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Melin Alf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Financial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26,388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58,242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automatic conversion of certain performance stock units previously awarded to the Reporting Person into restricted stock units in connection with the completion of the Issuer's pro-rata distribution of a portion of the outstanding shares of Technip Energies N.V. to the Issuer's shareholders (the "Spin-Off"). Each restricted stock unit represents a contingent right to receive one Ordinary Share and will vest in accordance with the applicable award(s).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automatic adjustment of all outstanding restricted stock units held by the Reporting Person pursuant to anti-dilution provisions contained in the applicable awards, which provisions were triggered as a result of the Spin-Off.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Lisa P. Wang,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1749" TargetMode="External"/><Relationship Id="rId14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2021-02-18T15:58:32Z</dcterms:created>
  <dcterms:modified xsi:type="dcterms:W3CDTF">2021-02-18T15:58:32Z</dcterms:modified>
</cp:coreProperties>
</file>