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106680</wp:posOffset>
            </wp:positionH>
            <wp:positionV relativeFrom="page">
              <wp:posOffset>629920</wp:posOffset>
            </wp:positionV>
            <wp:extent cx="7338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338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20"/>
        <w:spacing w:after="0"/>
        <w:rPr>
          <w:sz w:val="20"/>
          <w:szCs w:val="20"/>
          <w:color w:val="auto"/>
        </w:rPr>
      </w:pPr>
      <w:r>
        <w:rPr>
          <w:rFonts w:ascii="Arial" w:cs="Arial" w:eastAsia="Arial" w:hAnsi="Arial"/>
          <w:sz w:val="18"/>
          <w:szCs w:val="18"/>
          <w:u w:val="single" w:color="auto"/>
          <w:color w:val="auto"/>
        </w:rPr>
        <w:t>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520"/>
        <w:spacing w:after="0"/>
        <w:rPr>
          <w:sz w:val="20"/>
          <w:szCs w:val="20"/>
          <w:color w:val="auto"/>
        </w:rPr>
      </w:pPr>
      <w:r>
        <w:rPr>
          <w:rFonts w:ascii="Arial" w:cs="Arial" w:eastAsia="Arial" w:hAnsi="Arial"/>
          <w:sz w:val="18"/>
          <w:szCs w:val="18"/>
          <w:u w:val="single" w:color="auto"/>
          <w:color w:val="auto"/>
        </w:rPr>
        <w:t>____________________________</w:t>
      </w:r>
    </w:p>
    <w:p>
      <w:pPr>
        <w:spacing w:after="0" w:line="3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TechnipFMC plc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520"/>
        <w:spacing w:after="0"/>
        <w:rPr>
          <w:sz w:val="20"/>
          <w:szCs w:val="20"/>
          <w:color w:val="auto"/>
        </w:rPr>
      </w:pPr>
      <w:r>
        <w:rPr>
          <w:rFonts w:ascii="Arial" w:cs="Arial" w:eastAsia="Arial" w:hAnsi="Arial"/>
          <w:sz w:val="18"/>
          <w:szCs w:val="18"/>
          <w:u w:val="single" w:color="auto"/>
          <w:color w:val="auto"/>
        </w:rPr>
        <w:t>____________________________</w:t>
      </w:r>
    </w:p>
    <w:p>
      <w:pPr>
        <w:spacing w:after="0" w:line="153"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2220" w:type="dxa"/>
            <w:vAlign w:val="bottom"/>
          </w:tcPr>
          <w:p>
            <w:pPr>
              <w:jc w:val="center"/>
              <w:ind w:right="562"/>
              <w:spacing w:after="0"/>
              <w:rPr>
                <w:sz w:val="20"/>
                <w:szCs w:val="20"/>
                <w:color w:val="auto"/>
              </w:rPr>
            </w:pPr>
            <w:r>
              <w:rPr>
                <w:rFonts w:ascii="Arial" w:cs="Arial" w:eastAsia="Arial" w:hAnsi="Arial"/>
                <w:sz w:val="18"/>
                <w:szCs w:val="18"/>
                <w:b w:val="1"/>
                <w:bCs w:val="1"/>
                <w:color w:val="auto"/>
                <w:w w:val="90"/>
              </w:rPr>
              <w:t>England and Wales</w:t>
            </w:r>
          </w:p>
        </w:tc>
        <w:tc>
          <w:tcPr>
            <w:tcW w:w="3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001-37983</w:t>
            </w:r>
          </w:p>
        </w:tc>
        <w:tc>
          <w:tcPr>
            <w:tcW w:w="2040" w:type="dxa"/>
            <w:vAlign w:val="bottom"/>
          </w:tcPr>
          <w:p>
            <w:pPr>
              <w:spacing w:after="0"/>
              <w:rPr>
                <w:sz w:val="20"/>
                <w:szCs w:val="20"/>
                <w:color w:val="auto"/>
              </w:rPr>
            </w:pPr>
          </w:p>
        </w:tc>
        <w:tc>
          <w:tcPr>
            <w:tcW w:w="1880" w:type="dxa"/>
            <w:vAlign w:val="bottom"/>
          </w:tcPr>
          <w:p>
            <w:pPr>
              <w:jc w:val="center"/>
              <w:ind w:left="742"/>
              <w:spacing w:after="0"/>
              <w:rPr>
                <w:sz w:val="20"/>
                <w:szCs w:val="20"/>
                <w:color w:val="auto"/>
              </w:rPr>
            </w:pPr>
            <w:r>
              <w:rPr>
                <w:rFonts w:ascii="Arial" w:cs="Arial" w:eastAsia="Arial" w:hAnsi="Arial"/>
                <w:sz w:val="18"/>
                <w:szCs w:val="18"/>
                <w:b w:val="1"/>
                <w:bCs w:val="1"/>
                <w:color w:val="auto"/>
                <w:w w:val="89"/>
              </w:rPr>
              <w:t>98-1283037</w:t>
            </w:r>
          </w:p>
        </w:tc>
      </w:tr>
      <w:tr>
        <w:trPr>
          <w:trHeight w:val="184"/>
        </w:trPr>
        <w:tc>
          <w:tcPr>
            <w:tcW w:w="2220" w:type="dxa"/>
            <w:vAlign w:val="bottom"/>
          </w:tcPr>
          <w:p>
            <w:pPr>
              <w:spacing w:after="0"/>
              <w:rPr>
                <w:sz w:val="20"/>
                <w:szCs w:val="20"/>
                <w:color w:val="auto"/>
              </w:rPr>
            </w:pPr>
            <w:r>
              <w:rPr>
                <w:rFonts w:ascii="Arial" w:cs="Arial" w:eastAsia="Arial" w:hAnsi="Arial"/>
                <w:sz w:val="14"/>
                <w:szCs w:val="14"/>
                <w:color w:val="auto"/>
              </w:rPr>
              <w:t>(State or other jurisdiction</w:t>
            </w:r>
          </w:p>
        </w:tc>
        <w:tc>
          <w:tcPr>
            <w:tcW w:w="5040" w:type="dxa"/>
            <w:vAlign w:val="bottom"/>
            <w:gridSpan w:val="3"/>
          </w:tcPr>
          <w:p>
            <w:pPr>
              <w:jc w:val="center"/>
              <w:ind w:right="100"/>
              <w:spacing w:after="0"/>
              <w:rPr>
                <w:sz w:val="20"/>
                <w:szCs w:val="20"/>
                <w:color w:val="auto"/>
              </w:rPr>
            </w:pPr>
            <w:r>
              <w:rPr>
                <w:rFonts w:ascii="Arial" w:cs="Arial" w:eastAsia="Arial" w:hAnsi="Arial"/>
                <w:sz w:val="14"/>
                <w:szCs w:val="14"/>
                <w:color w:val="auto"/>
                <w:w w:val="94"/>
              </w:rPr>
              <w:t>(Commission File Number)</w:t>
            </w:r>
          </w:p>
        </w:tc>
        <w:tc>
          <w:tcPr>
            <w:tcW w:w="1880" w:type="dxa"/>
            <w:vAlign w:val="bottom"/>
          </w:tcPr>
          <w:p>
            <w:pPr>
              <w:jc w:val="center"/>
              <w:ind w:left="702"/>
              <w:spacing w:after="0"/>
              <w:rPr>
                <w:sz w:val="20"/>
                <w:szCs w:val="20"/>
                <w:color w:val="auto"/>
              </w:rPr>
            </w:pPr>
            <w:r>
              <w:rPr>
                <w:rFonts w:ascii="Arial" w:cs="Arial" w:eastAsia="Arial" w:hAnsi="Arial"/>
                <w:sz w:val="14"/>
                <w:szCs w:val="14"/>
                <w:color w:val="auto"/>
                <w:w w:val="95"/>
              </w:rPr>
              <w:t>(I.R.S. Employer</w:t>
            </w:r>
          </w:p>
        </w:tc>
      </w:tr>
      <w:tr>
        <w:trPr>
          <w:trHeight w:val="182"/>
        </w:trPr>
        <w:tc>
          <w:tcPr>
            <w:tcW w:w="2220" w:type="dxa"/>
            <w:vAlign w:val="bottom"/>
          </w:tcPr>
          <w:p>
            <w:pPr>
              <w:jc w:val="center"/>
              <w:ind w:right="602"/>
              <w:spacing w:after="0"/>
              <w:rPr>
                <w:sz w:val="20"/>
                <w:szCs w:val="20"/>
                <w:color w:val="auto"/>
              </w:rPr>
            </w:pPr>
            <w:r>
              <w:rPr>
                <w:rFonts w:ascii="Arial" w:cs="Arial" w:eastAsia="Arial" w:hAnsi="Arial"/>
                <w:sz w:val="14"/>
                <w:szCs w:val="14"/>
                <w:color w:val="auto"/>
                <w:w w:val="96"/>
              </w:rPr>
              <w:t>of incorporation)</w:t>
            </w:r>
          </w:p>
        </w:tc>
        <w:tc>
          <w:tcPr>
            <w:tcW w:w="1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80" w:type="dxa"/>
            <w:vAlign w:val="bottom"/>
          </w:tcPr>
          <w:p>
            <w:pPr>
              <w:jc w:val="center"/>
              <w:ind w:left="742"/>
              <w:spacing w:after="0"/>
              <w:rPr>
                <w:sz w:val="20"/>
                <w:szCs w:val="20"/>
                <w:color w:val="auto"/>
              </w:rPr>
            </w:pPr>
            <w:r>
              <w:rPr>
                <w:rFonts w:ascii="Arial" w:cs="Arial" w:eastAsia="Arial" w:hAnsi="Arial"/>
                <w:sz w:val="14"/>
                <w:szCs w:val="14"/>
                <w:color w:val="auto"/>
                <w:w w:val="97"/>
              </w:rPr>
              <w:t>Identification No.)</w:t>
            </w:r>
          </w:p>
        </w:tc>
      </w:tr>
      <w:tr>
        <w:trPr>
          <w:trHeight w:val="426"/>
        </w:trPr>
        <w:tc>
          <w:tcPr>
            <w:tcW w:w="2220" w:type="dxa"/>
            <w:vAlign w:val="bottom"/>
          </w:tcPr>
          <w:p>
            <w:pPr>
              <w:spacing w:after="0"/>
              <w:rPr>
                <w:sz w:val="24"/>
                <w:szCs w:val="24"/>
                <w:color w:val="auto"/>
              </w:rPr>
            </w:pPr>
          </w:p>
        </w:tc>
        <w:tc>
          <w:tcPr>
            <w:tcW w:w="5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One St. Paul’s Churchyard</w:t>
            </w:r>
          </w:p>
        </w:tc>
        <w:tc>
          <w:tcPr>
            <w:tcW w:w="188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London, EC4M 8AP</w:t>
            </w:r>
          </w:p>
        </w:tc>
        <w:tc>
          <w:tcPr>
            <w:tcW w:w="18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United Kingdom</w:t>
            </w:r>
          </w:p>
        </w:tc>
        <w:tc>
          <w:tcPr>
            <w:tcW w:w="1880" w:type="dxa"/>
            <w:vAlign w:val="bottom"/>
          </w:tcPr>
          <w:p>
            <w:pPr>
              <w:spacing w:after="0"/>
              <w:rPr>
                <w:sz w:val="18"/>
                <w:szCs w:val="18"/>
                <w:color w:val="auto"/>
              </w:rPr>
            </w:pPr>
          </w:p>
        </w:tc>
      </w:tr>
      <w:tr>
        <w:trPr>
          <w:trHeight w:val="182"/>
        </w:trPr>
        <w:tc>
          <w:tcPr>
            <w:tcW w:w="2220" w:type="dxa"/>
            <w:vAlign w:val="bottom"/>
          </w:tcPr>
          <w:p>
            <w:pPr>
              <w:spacing w:after="0"/>
              <w:rPr>
                <w:sz w:val="15"/>
                <w:szCs w:val="15"/>
                <w:color w:val="auto"/>
              </w:rPr>
            </w:pPr>
          </w:p>
        </w:tc>
        <w:tc>
          <w:tcPr>
            <w:tcW w:w="5040" w:type="dxa"/>
            <w:vAlign w:val="bottom"/>
            <w:gridSpan w:val="3"/>
          </w:tcPr>
          <w:p>
            <w:pPr>
              <w:jc w:val="center"/>
              <w:ind w:right="100"/>
              <w:spacing w:after="0"/>
              <w:rPr>
                <w:sz w:val="20"/>
                <w:szCs w:val="20"/>
                <w:color w:val="auto"/>
              </w:rPr>
            </w:pPr>
            <w:r>
              <w:rPr>
                <w:rFonts w:ascii="Arial" w:cs="Arial" w:eastAsia="Arial" w:hAnsi="Arial"/>
                <w:sz w:val="14"/>
                <w:szCs w:val="14"/>
                <w:color w:val="auto"/>
                <w:w w:val="95"/>
              </w:rPr>
              <w:t>(Address of Principal Executive Offices) (Zip Code)</w:t>
            </w:r>
          </w:p>
        </w:tc>
        <w:tc>
          <w:tcPr>
            <w:tcW w:w="1880" w:type="dxa"/>
            <w:vAlign w:val="bottom"/>
          </w:tcPr>
          <w:p>
            <w:pPr>
              <w:spacing w:after="0"/>
              <w:rPr>
                <w:sz w:val="15"/>
                <w:szCs w:val="15"/>
                <w:color w:val="auto"/>
              </w:rPr>
            </w:pPr>
          </w:p>
        </w:tc>
      </w:tr>
      <w:tr>
        <w:trPr>
          <w:trHeight w:val="412"/>
        </w:trPr>
        <w:tc>
          <w:tcPr>
            <w:tcW w:w="2220" w:type="dxa"/>
            <w:vAlign w:val="bottom"/>
          </w:tcPr>
          <w:p>
            <w:pPr>
              <w:spacing w:after="0"/>
              <w:rPr>
                <w:sz w:val="24"/>
                <w:szCs w:val="24"/>
                <w:color w:val="auto"/>
              </w:rPr>
            </w:pPr>
          </w:p>
        </w:tc>
        <w:tc>
          <w:tcPr>
            <w:tcW w:w="5040" w:type="dxa"/>
            <w:vAlign w:val="bottom"/>
            <w:gridSpan w:val="3"/>
          </w:tcPr>
          <w:p>
            <w:pPr>
              <w:jc w:val="right"/>
              <w:ind w:right="1920"/>
              <w:spacing w:after="0"/>
              <w:rPr>
                <w:sz w:val="20"/>
                <w:szCs w:val="20"/>
                <w:color w:val="auto"/>
              </w:rPr>
            </w:pPr>
            <w:r>
              <w:rPr>
                <w:rFonts w:ascii="Arial" w:cs="Arial" w:eastAsia="Arial" w:hAnsi="Arial"/>
                <w:sz w:val="18"/>
                <w:szCs w:val="18"/>
                <w:b w:val="1"/>
                <w:bCs w:val="1"/>
                <w:color w:val="auto"/>
              </w:rPr>
              <w:t>+44 203 429 3950</w:t>
            </w:r>
          </w:p>
        </w:tc>
        <w:tc>
          <w:tcPr>
            <w:tcW w:w="1880" w:type="dxa"/>
            <w:vAlign w:val="bottom"/>
          </w:tcPr>
          <w:p>
            <w:pPr>
              <w:spacing w:after="0"/>
              <w:rPr>
                <w:sz w:val="24"/>
                <w:szCs w:val="24"/>
                <w:color w:val="auto"/>
              </w:rPr>
            </w:pPr>
          </w:p>
        </w:tc>
      </w:tr>
      <w:tr>
        <w:trPr>
          <w:trHeight w:val="182"/>
        </w:trPr>
        <w:tc>
          <w:tcPr>
            <w:tcW w:w="2220" w:type="dxa"/>
            <w:vAlign w:val="bottom"/>
          </w:tcPr>
          <w:p>
            <w:pPr>
              <w:spacing w:after="0"/>
              <w:rPr>
                <w:sz w:val="15"/>
                <w:szCs w:val="15"/>
                <w:color w:val="auto"/>
              </w:rPr>
            </w:pPr>
          </w:p>
        </w:tc>
        <w:tc>
          <w:tcPr>
            <w:tcW w:w="504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(Registrant’s Telephone Number, Including Area Code)</w:t>
            </w:r>
          </w:p>
        </w:tc>
        <w:tc>
          <w:tcPr>
            <w:tcW w:w="1880" w:type="dxa"/>
            <w:vAlign w:val="bottom"/>
          </w:tcPr>
          <w:p>
            <w:pPr>
              <w:spacing w:after="0"/>
              <w:rPr>
                <w:sz w:val="15"/>
                <w:szCs w:val="15"/>
                <w:color w:val="auto"/>
              </w:rPr>
            </w:pPr>
          </w:p>
        </w:tc>
      </w:tr>
      <w:tr>
        <w:trPr>
          <w:trHeight w:val="412"/>
        </w:trPr>
        <w:tc>
          <w:tcPr>
            <w:tcW w:w="2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120" w:type="dxa"/>
            <w:vAlign w:val="bottom"/>
            <w:gridSpan w:val="2"/>
          </w:tcPr>
          <w:p>
            <w:pPr>
              <w:jc w:val="center"/>
              <w:ind w:right="2040"/>
              <w:spacing w:after="0"/>
              <w:rPr>
                <w:sz w:val="20"/>
                <w:szCs w:val="20"/>
                <w:color w:val="auto"/>
              </w:rPr>
            </w:pPr>
            <w:r>
              <w:rPr>
                <w:rFonts w:ascii="Arial" w:cs="Arial" w:eastAsia="Arial" w:hAnsi="Arial"/>
                <w:sz w:val="18"/>
                <w:szCs w:val="18"/>
                <w:b w:val="1"/>
                <w:bCs w:val="1"/>
                <w:color w:val="auto"/>
                <w:w w:val="92"/>
              </w:rPr>
              <w:t>n/a</w:t>
            </w:r>
          </w:p>
        </w:tc>
        <w:tc>
          <w:tcPr>
            <w:tcW w:w="1880" w:type="dxa"/>
            <w:vAlign w:val="bottom"/>
          </w:tcPr>
          <w:p>
            <w:pPr>
              <w:spacing w:after="0"/>
              <w:rPr>
                <w:sz w:val="24"/>
                <w:szCs w:val="24"/>
                <w:color w:val="auto"/>
              </w:rPr>
            </w:pPr>
          </w:p>
        </w:tc>
      </w:tr>
      <w:tr>
        <w:trPr>
          <w:trHeight w:val="166"/>
        </w:trPr>
        <w:tc>
          <w:tcPr>
            <w:tcW w:w="2220" w:type="dxa"/>
            <w:vAlign w:val="bottom"/>
          </w:tcPr>
          <w:p>
            <w:pPr>
              <w:spacing w:after="0"/>
              <w:rPr>
                <w:sz w:val="14"/>
                <w:szCs w:val="14"/>
                <w:color w:val="auto"/>
              </w:rPr>
            </w:pPr>
          </w:p>
        </w:tc>
        <w:tc>
          <w:tcPr>
            <w:tcW w:w="504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(Former name or former address, if changed since last report)</w:t>
            </w:r>
          </w:p>
        </w:tc>
        <w:tc>
          <w:tcPr>
            <w:tcW w:w="1880" w:type="dxa"/>
            <w:vAlign w:val="bottom"/>
          </w:tcPr>
          <w:p>
            <w:pPr>
              <w:spacing w:after="0"/>
              <w:rPr>
                <w:sz w:val="14"/>
                <w:szCs w:val="14"/>
                <w:color w:val="auto"/>
              </w:rPr>
            </w:pPr>
          </w:p>
        </w:tc>
      </w:tr>
      <w:tr>
        <w:trPr>
          <w:trHeight w:val="190"/>
        </w:trPr>
        <w:tc>
          <w:tcPr>
            <w:tcW w:w="2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88"/>
              </w:rPr>
              <w:t>____________</w:t>
            </w:r>
          </w:p>
        </w:tc>
        <w:tc>
          <w:tcPr>
            <w:tcW w:w="2040" w:type="dxa"/>
            <w:vAlign w:val="bottom"/>
          </w:tcPr>
          <w:p>
            <w:pPr>
              <w:spacing w:after="0"/>
              <w:rPr>
                <w:sz w:val="16"/>
                <w:szCs w:val="16"/>
                <w:color w:val="auto"/>
              </w:rPr>
            </w:pPr>
          </w:p>
        </w:tc>
        <w:tc>
          <w:tcPr>
            <w:tcW w:w="1880" w:type="dxa"/>
            <w:vAlign w:val="bottom"/>
          </w:tcPr>
          <w:p>
            <w:pPr>
              <w:spacing w:after="0"/>
              <w:rPr>
                <w:sz w:val="16"/>
                <w:szCs w:val="16"/>
                <w:color w:val="auto"/>
              </w:rPr>
            </w:pPr>
          </w:p>
        </w:tc>
      </w:tr>
    </w:tbl>
    <w:p>
      <w:pPr>
        <w:spacing w:after="0" w:line="16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63" w:lineRule="exact"/>
        <w:rPr>
          <w:sz w:val="24"/>
          <w:szCs w:val="24"/>
          <w:color w:val="auto"/>
        </w:rPr>
      </w:pPr>
    </w:p>
    <w:tbl>
      <w:tblPr>
        <w:tblLayout w:type="fixed"/>
        <w:tblInd w:w="60" w:type="dxa"/>
        <w:tblCellMar>
          <w:top w:w="0" w:type="dxa"/>
          <w:left w:w="0" w:type="dxa"/>
          <w:bottom w:w="0" w:type="dxa"/>
          <w:right w:w="0" w:type="dxa"/>
        </w:tblCellMar>
      </w:tblPr>
      <w:tr>
        <w:trPr>
          <w:trHeight w:val="239"/>
        </w:trPr>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Title of Each Class</w:t>
            </w:r>
          </w:p>
        </w:tc>
        <w:tc>
          <w:tcPr>
            <w:tcW w:w="2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w:t>
            </w: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58"/>
        </w:trPr>
        <w:tc>
          <w:tcPr>
            <w:tcW w:w="452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r>
      <w:tr>
        <w:trPr>
          <w:trHeight w:val="219"/>
        </w:trPr>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Ordinary shares, $1.00 par value per share</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FTI</w:t>
            </w:r>
          </w:p>
        </w:tc>
        <w:tc>
          <w:tcPr>
            <w:tcW w:w="4220" w:type="dxa"/>
            <w:vAlign w:val="bottom"/>
          </w:tcPr>
          <w:p>
            <w:pPr>
              <w:jc w:val="center"/>
              <w:spacing w:after="0"/>
              <w:rPr>
                <w:sz w:val="20"/>
                <w:szCs w:val="20"/>
                <w:color w:val="auto"/>
              </w:rPr>
            </w:pPr>
            <w:r>
              <w:rPr>
                <w:rFonts w:ascii="Arial" w:cs="Arial" w:eastAsia="Arial" w:hAnsi="Arial"/>
                <w:sz w:val="17"/>
                <w:szCs w:val="17"/>
                <w:color w:val="auto"/>
                <w:w w:val="92"/>
              </w:rPr>
              <w:t>New York Stock Exchange</w:t>
            </w:r>
          </w:p>
        </w:tc>
      </w:tr>
      <w:tr>
        <w:trPr>
          <w:trHeight w:val="58"/>
        </w:trPr>
        <w:tc>
          <w:tcPr>
            <w:tcW w:w="4520" w:type="dxa"/>
            <w:vAlign w:val="bottom"/>
            <w:tcBorders>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4220" w:type="dxa"/>
            <w:vAlign w:val="bottom"/>
            <w:tcBorders>
              <w:bottom w:val="single" w:sz="8" w:color="auto"/>
            </w:tcBorders>
          </w:tcPr>
          <w:p>
            <w:pPr>
              <w:spacing w:after="0"/>
              <w:rPr>
                <w:sz w:val="5"/>
                <w:szCs w:val="5"/>
                <w:color w:val="auto"/>
              </w:rPr>
            </w:pPr>
          </w:p>
        </w:tc>
      </w:tr>
    </w:tbl>
    <w:p>
      <w:pPr>
        <w:spacing w:after="0" w:line="202"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144" w:lineRule="exact"/>
        <w:rPr>
          <w:sz w:val="24"/>
          <w:szCs w:val="24"/>
          <w:color w:val="auto"/>
        </w:rPr>
      </w:pPr>
    </w:p>
    <w:p>
      <w:pPr>
        <w:spacing w:after="0" w:line="32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560"/>
          </w:cols>
          <w:pgMar w:left="160" w:top="1117" w:right="179" w:bottom="1440" w:gutter="0" w:footer="0" w:header="0"/>
        </w:sectPr>
      </w:pPr>
    </w:p>
    <w:bookmarkStart w:id="1" w:name="page2"/>
    <w:bookmarkEnd w:id="1"/>
    <w:p>
      <w:pPr>
        <w:spacing w:after="0" w:line="25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160" w:top="639" w:right="459" w:bottom="1440" w:gutter="0" w:footer="0" w:header="0"/>
        </w:sectPr>
      </w:pPr>
    </w:p>
    <w:bookmarkStart w:id="2" w:name="page3"/>
    <w:bookmarkEnd w:id="2"/>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3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TechnipFMC plc (the “Company”) held its Annual General Meeting of Shareholders on May 1, 2019 (the “Annual Meeting”) for the purpose of (1) electing each of the 12 director nominees for a term expiring at the Company’s 2020 Annual General Meeting of Shareholders or until his or her earlier death, retirement, resignation, or removal pursuant to the Company’s articles of association; (2) receiving the Company’s audited U.K. accounts for the year ended December 31, 2018, including the reports of the directors and the auditor thereon; (3) approving, on an advisory basis, the Company’s named executive officer (“NEO”) compensation for the year ended December 31, 2018 (the “Say-on-Pay Proposal for NEOs”); (4) approving, on an advisory basis, the frequency of future Say-on-Pay Proposals for NEOs; (5) approving, on an advisory basis, the Company’s directors’ remuneration report for the year ended December 31, 2018; (6) ratifying the appointment of PricewaterhouseCoopers LLP (“PwC”) as the Company’s U.S. independent registered public accounting firm for the year ending December 31, 2019; (7) re-appointing PwC as the Company’s U.K. statutory auditor under the U.K. Companies Act 2006, to hold office until the next annual general meeting of shareholders at which accounts are laid; and (8) authorizing the Board of Directors (the “Board”) and/or the Audit Committee of the Board (the “Audit Committee”) to determine the remuneration of PwC, in its capacity as the Company’s U.K. statutory auditor for the year ending December 31, 2019. Each proposal is more fully described in the Company’s definitive proxy statement on Schedule 14A filed with the Securities and Exchange Commission on March 15, 2019.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final voting results of the Annual Meeting.</w:t>
      </w:r>
    </w:p>
    <w:p>
      <w:pPr>
        <w:spacing w:after="0" w:line="225" w:lineRule="exact"/>
        <w:rPr>
          <w:sz w:val="20"/>
          <w:szCs w:val="20"/>
          <w:color w:val="auto"/>
        </w:rPr>
      </w:pPr>
    </w:p>
    <w:p>
      <w:pPr>
        <w:ind w:left="660" w:hanging="328"/>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election of each of the 12 director nominees for a term expiring at the Company’s 2020 Annual General Meeting of Shareholders or until his or her earlier death, retirement, resignation, or removal pursuant to the Company’s articles of association was approved. The voting results were as follows:</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Election of director: Douglas J. Pferdehirt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278,151,794</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92.1</w:t>
            </w:r>
          </w:p>
        </w:tc>
        <w:tc>
          <w:tcPr>
            <w:tcW w:w="1380" w:type="dxa"/>
            <w:vAlign w:val="bottom"/>
          </w:tcPr>
          <w:p>
            <w:pPr>
              <w:jc w:val="center"/>
              <w:spacing w:after="0"/>
              <w:rPr>
                <w:sz w:val="20"/>
                <w:szCs w:val="20"/>
                <w:color w:val="auto"/>
              </w:rPr>
            </w:pPr>
            <w:r>
              <w:rPr>
                <w:rFonts w:ascii="Arial" w:cs="Arial" w:eastAsia="Arial" w:hAnsi="Arial"/>
                <w:sz w:val="14"/>
                <w:szCs w:val="14"/>
                <w:color w:val="auto"/>
                <w:w w:val="91"/>
              </w:rPr>
              <w:t>23,776,681</w:t>
            </w:r>
          </w:p>
        </w:tc>
        <w:tc>
          <w:tcPr>
            <w:tcW w:w="1180" w:type="dxa"/>
            <w:vAlign w:val="bottom"/>
          </w:tcPr>
          <w:p>
            <w:pPr>
              <w:jc w:val="center"/>
              <w:ind w:right="15"/>
              <w:spacing w:after="0"/>
              <w:rPr>
                <w:sz w:val="20"/>
                <w:szCs w:val="20"/>
                <w:color w:val="auto"/>
              </w:rPr>
            </w:pPr>
            <w:r>
              <w:rPr>
                <w:rFonts w:ascii="Arial" w:cs="Arial" w:eastAsia="Arial" w:hAnsi="Arial"/>
                <w:sz w:val="14"/>
                <w:szCs w:val="14"/>
                <w:color w:val="auto"/>
                <w:w w:val="92"/>
              </w:rPr>
              <w:t>7.9</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301,928,475</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67.1</w:t>
            </w: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5,687,220</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director: Arnaud Caudoux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215,103,790</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70.2</w:t>
            </w:r>
          </w:p>
        </w:tc>
        <w:tc>
          <w:tcPr>
            <w:tcW w:w="1380" w:type="dxa"/>
            <w:vAlign w:val="bottom"/>
          </w:tcPr>
          <w:p>
            <w:pPr>
              <w:jc w:val="center"/>
              <w:spacing w:after="0"/>
              <w:rPr>
                <w:sz w:val="20"/>
                <w:szCs w:val="20"/>
                <w:color w:val="auto"/>
              </w:rPr>
            </w:pPr>
            <w:r>
              <w:rPr>
                <w:rFonts w:ascii="Arial" w:cs="Arial" w:eastAsia="Arial" w:hAnsi="Arial"/>
                <w:sz w:val="14"/>
                <w:szCs w:val="14"/>
                <w:color w:val="auto"/>
                <w:w w:val="91"/>
              </w:rPr>
              <w:t>91,343,768</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29.8</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306,447,558</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68.1</w:t>
            </w: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1,168,137</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500" w:right="179" w:bottom="1440" w:gutter="0" w:footer="0" w:header="0"/>
        </w:sectPr>
      </w:pPr>
    </w:p>
    <w:bookmarkStart w:id="3" w:name="page4"/>
    <w:bookmarkEnd w:id="3"/>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director: Pascal Colombani</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298,498,760</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97.4</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7,960,021</w:t>
            </w:r>
          </w:p>
        </w:tc>
        <w:tc>
          <w:tcPr>
            <w:tcW w:w="1180" w:type="dxa"/>
            <w:vAlign w:val="bottom"/>
          </w:tcPr>
          <w:p>
            <w:pPr>
              <w:jc w:val="center"/>
              <w:ind w:right="15"/>
              <w:spacing w:after="0"/>
              <w:rPr>
                <w:sz w:val="20"/>
                <w:szCs w:val="20"/>
                <w:color w:val="auto"/>
              </w:rPr>
            </w:pPr>
            <w:r>
              <w:rPr>
                <w:rFonts w:ascii="Arial" w:cs="Arial" w:eastAsia="Arial" w:hAnsi="Arial"/>
                <w:sz w:val="14"/>
                <w:szCs w:val="14"/>
                <w:color w:val="auto"/>
                <w:w w:val="92"/>
              </w:rPr>
              <w:t>2.6</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306,458,781</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68.1</w:t>
            </w: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1,156,914</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director: Marie-Ange Debon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256,127,641</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86.2</w:t>
            </w:r>
          </w:p>
        </w:tc>
        <w:tc>
          <w:tcPr>
            <w:tcW w:w="1380" w:type="dxa"/>
            <w:vAlign w:val="bottom"/>
          </w:tcPr>
          <w:p>
            <w:pPr>
              <w:jc w:val="center"/>
              <w:spacing w:after="0"/>
              <w:rPr>
                <w:sz w:val="20"/>
                <w:szCs w:val="20"/>
                <w:color w:val="auto"/>
              </w:rPr>
            </w:pPr>
            <w:r>
              <w:rPr>
                <w:rFonts w:ascii="Arial" w:cs="Arial" w:eastAsia="Arial" w:hAnsi="Arial"/>
                <w:sz w:val="14"/>
                <w:szCs w:val="14"/>
                <w:color w:val="auto"/>
                <w:w w:val="91"/>
              </w:rPr>
              <w:t>40,854,965</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13.8</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296,982,606</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66.0</w:t>
            </w:r>
          </w:p>
        </w:tc>
        <w:tc>
          <w:tcPr>
            <w:tcW w:w="1640" w:type="dxa"/>
            <w:vAlign w:val="bottom"/>
          </w:tcPr>
          <w:p>
            <w:pPr>
              <w:jc w:val="center"/>
              <w:spacing w:after="0"/>
              <w:rPr>
                <w:sz w:val="20"/>
                <w:szCs w:val="20"/>
                <w:color w:val="auto"/>
              </w:rPr>
            </w:pPr>
            <w:r>
              <w:rPr>
                <w:rFonts w:ascii="Arial" w:cs="Arial" w:eastAsia="Arial" w:hAnsi="Arial"/>
                <w:sz w:val="14"/>
                <w:szCs w:val="14"/>
                <w:color w:val="auto"/>
                <w:w w:val="91"/>
              </w:rPr>
              <w:t>10,633,089</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director: Eleazar de Carvalho Filho</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272,282,118</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88.7</w:t>
            </w:r>
          </w:p>
        </w:tc>
        <w:tc>
          <w:tcPr>
            <w:tcW w:w="1380" w:type="dxa"/>
            <w:vAlign w:val="bottom"/>
          </w:tcPr>
          <w:p>
            <w:pPr>
              <w:jc w:val="center"/>
              <w:spacing w:after="0"/>
              <w:rPr>
                <w:sz w:val="20"/>
                <w:szCs w:val="20"/>
                <w:color w:val="auto"/>
              </w:rPr>
            </w:pPr>
            <w:r>
              <w:rPr>
                <w:rFonts w:ascii="Arial" w:cs="Arial" w:eastAsia="Arial" w:hAnsi="Arial"/>
                <w:sz w:val="14"/>
                <w:szCs w:val="14"/>
                <w:color w:val="auto"/>
                <w:w w:val="91"/>
              </w:rPr>
              <w:t>34,789,900</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11.3</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307,072,018</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68.2</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543,677</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director: Claire S. Farley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299,433,373</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97.5</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7,626,672</w:t>
            </w:r>
          </w:p>
        </w:tc>
        <w:tc>
          <w:tcPr>
            <w:tcW w:w="1180" w:type="dxa"/>
            <w:vAlign w:val="bottom"/>
          </w:tcPr>
          <w:p>
            <w:pPr>
              <w:jc w:val="center"/>
              <w:ind w:right="15"/>
              <w:spacing w:after="0"/>
              <w:rPr>
                <w:sz w:val="20"/>
                <w:szCs w:val="20"/>
                <w:color w:val="auto"/>
              </w:rPr>
            </w:pPr>
            <w:r>
              <w:rPr>
                <w:rFonts w:ascii="Arial" w:cs="Arial" w:eastAsia="Arial" w:hAnsi="Arial"/>
                <w:sz w:val="14"/>
                <w:szCs w:val="14"/>
                <w:color w:val="auto"/>
                <w:w w:val="92"/>
              </w:rPr>
              <w:t>2.5</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307,060,045</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68.2</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555,650</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160" w:top="720" w:right="859" w:bottom="1440" w:gutter="0" w:footer="0" w:header="0"/>
        </w:sectPr>
      </w:pPr>
    </w:p>
    <w:bookmarkStart w:id="4" w:name="page5"/>
    <w:bookmarkEnd w:id="4"/>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director: Didier Houssin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298,367,687</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97.4</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8,083,841</w:t>
            </w:r>
          </w:p>
        </w:tc>
        <w:tc>
          <w:tcPr>
            <w:tcW w:w="1180" w:type="dxa"/>
            <w:vAlign w:val="bottom"/>
          </w:tcPr>
          <w:p>
            <w:pPr>
              <w:jc w:val="center"/>
              <w:ind w:right="15"/>
              <w:spacing w:after="0"/>
              <w:rPr>
                <w:sz w:val="20"/>
                <w:szCs w:val="20"/>
                <w:color w:val="auto"/>
              </w:rPr>
            </w:pPr>
            <w:r>
              <w:rPr>
                <w:rFonts w:ascii="Arial" w:cs="Arial" w:eastAsia="Arial" w:hAnsi="Arial"/>
                <w:sz w:val="14"/>
                <w:szCs w:val="14"/>
                <w:color w:val="auto"/>
                <w:w w:val="92"/>
              </w:rPr>
              <w:t>2.6</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306,451,528</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68.1</w:t>
            </w: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1,164,167</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director: Peter Mellbye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289,562,839</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94.3</w:t>
            </w:r>
          </w:p>
        </w:tc>
        <w:tc>
          <w:tcPr>
            <w:tcW w:w="1380" w:type="dxa"/>
            <w:vAlign w:val="bottom"/>
          </w:tcPr>
          <w:p>
            <w:pPr>
              <w:jc w:val="center"/>
              <w:spacing w:after="0"/>
              <w:rPr>
                <w:sz w:val="20"/>
                <w:szCs w:val="20"/>
                <w:color w:val="auto"/>
              </w:rPr>
            </w:pPr>
            <w:r>
              <w:rPr>
                <w:rFonts w:ascii="Arial" w:cs="Arial" w:eastAsia="Arial" w:hAnsi="Arial"/>
                <w:sz w:val="14"/>
                <w:szCs w:val="14"/>
                <w:color w:val="auto"/>
                <w:w w:val="91"/>
              </w:rPr>
              <w:t>17,503,196</w:t>
            </w:r>
          </w:p>
        </w:tc>
        <w:tc>
          <w:tcPr>
            <w:tcW w:w="1180" w:type="dxa"/>
            <w:vAlign w:val="bottom"/>
          </w:tcPr>
          <w:p>
            <w:pPr>
              <w:jc w:val="center"/>
              <w:ind w:right="15"/>
              <w:spacing w:after="0"/>
              <w:rPr>
                <w:sz w:val="20"/>
                <w:szCs w:val="20"/>
                <w:color w:val="auto"/>
              </w:rPr>
            </w:pPr>
            <w:r>
              <w:rPr>
                <w:rFonts w:ascii="Arial" w:cs="Arial" w:eastAsia="Arial" w:hAnsi="Arial"/>
                <w:sz w:val="14"/>
                <w:szCs w:val="14"/>
                <w:color w:val="auto"/>
                <w:w w:val="92"/>
              </w:rPr>
              <w:t>5.7</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307,066,035</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68.2</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549,660</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Election of director: John O’Leary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7"/>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298,739,298</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97.5</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7,701,025</w:t>
            </w:r>
          </w:p>
        </w:tc>
        <w:tc>
          <w:tcPr>
            <w:tcW w:w="1180" w:type="dxa"/>
            <w:vAlign w:val="bottom"/>
          </w:tcPr>
          <w:p>
            <w:pPr>
              <w:jc w:val="center"/>
              <w:ind w:right="15"/>
              <w:spacing w:after="0"/>
              <w:rPr>
                <w:sz w:val="20"/>
                <w:szCs w:val="20"/>
                <w:color w:val="auto"/>
              </w:rPr>
            </w:pPr>
            <w:r>
              <w:rPr>
                <w:rFonts w:ascii="Arial" w:cs="Arial" w:eastAsia="Arial" w:hAnsi="Arial"/>
                <w:sz w:val="14"/>
                <w:szCs w:val="14"/>
                <w:color w:val="auto"/>
                <w:w w:val="92"/>
              </w:rPr>
              <w:t>2.5</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306,440,323</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68.1</w:t>
            </w: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1,175,372</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Election of director: Kay G. Priestly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299,166,380</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97.4</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7,895,809</w:t>
            </w:r>
          </w:p>
        </w:tc>
        <w:tc>
          <w:tcPr>
            <w:tcW w:w="1180" w:type="dxa"/>
            <w:vAlign w:val="bottom"/>
          </w:tcPr>
          <w:p>
            <w:pPr>
              <w:jc w:val="center"/>
              <w:ind w:right="15"/>
              <w:spacing w:after="0"/>
              <w:rPr>
                <w:sz w:val="20"/>
                <w:szCs w:val="20"/>
                <w:color w:val="auto"/>
              </w:rPr>
            </w:pPr>
            <w:r>
              <w:rPr>
                <w:rFonts w:ascii="Arial" w:cs="Arial" w:eastAsia="Arial" w:hAnsi="Arial"/>
                <w:sz w:val="14"/>
                <w:szCs w:val="14"/>
                <w:color w:val="auto"/>
                <w:w w:val="92"/>
              </w:rPr>
              <w:t>2.6</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307,062,189</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68.2</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553,506</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160" w:top="504" w:right="859" w:bottom="1440" w:gutter="0" w:footer="0" w:header="0"/>
        </w:sectPr>
      </w:pPr>
    </w:p>
    <w:bookmarkStart w:id="5" w:name="page6"/>
    <w:bookmarkEnd w:id="5"/>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Election of director: Joseph Rinaldi</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300,066,884</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97.9</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6,373,079</w:t>
            </w:r>
          </w:p>
        </w:tc>
        <w:tc>
          <w:tcPr>
            <w:tcW w:w="1180" w:type="dxa"/>
            <w:vAlign w:val="bottom"/>
          </w:tcPr>
          <w:p>
            <w:pPr>
              <w:jc w:val="center"/>
              <w:ind w:right="15"/>
              <w:spacing w:after="0"/>
              <w:rPr>
                <w:sz w:val="20"/>
                <w:szCs w:val="20"/>
                <w:color w:val="auto"/>
              </w:rPr>
            </w:pPr>
            <w:r>
              <w:rPr>
                <w:rFonts w:ascii="Arial" w:cs="Arial" w:eastAsia="Arial" w:hAnsi="Arial"/>
                <w:sz w:val="14"/>
                <w:szCs w:val="14"/>
                <w:color w:val="auto"/>
                <w:w w:val="92"/>
              </w:rPr>
              <w:t>2.1</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306,439,963</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68.1</w:t>
            </w: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1,175,732</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Election of director: James M. Ringler</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250,176,300</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81.5</w:t>
            </w:r>
          </w:p>
        </w:tc>
        <w:tc>
          <w:tcPr>
            <w:tcW w:w="1380" w:type="dxa"/>
            <w:vAlign w:val="bottom"/>
          </w:tcPr>
          <w:p>
            <w:pPr>
              <w:jc w:val="center"/>
              <w:spacing w:after="0"/>
              <w:rPr>
                <w:sz w:val="20"/>
                <w:szCs w:val="20"/>
                <w:color w:val="auto"/>
              </w:rPr>
            </w:pPr>
            <w:r>
              <w:rPr>
                <w:rFonts w:ascii="Arial" w:cs="Arial" w:eastAsia="Arial" w:hAnsi="Arial"/>
                <w:sz w:val="14"/>
                <w:szCs w:val="14"/>
                <w:color w:val="auto"/>
                <w:w w:val="91"/>
              </w:rPr>
              <w:t>56,892,841</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18.5</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307,069,141</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68.2</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546,554</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receipt of the Company’s audited U.K. accounts for the year ended December 31, 2018, including the reports of the directors and the auditor thereon, was approved. The voting results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310,342,671</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98.8</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3,625,606</w:t>
            </w:r>
          </w:p>
        </w:tc>
        <w:tc>
          <w:tcPr>
            <w:tcW w:w="1180" w:type="dxa"/>
            <w:vAlign w:val="bottom"/>
          </w:tcPr>
          <w:p>
            <w:pPr>
              <w:jc w:val="center"/>
              <w:ind w:right="15"/>
              <w:spacing w:after="0"/>
              <w:rPr>
                <w:sz w:val="20"/>
                <w:szCs w:val="20"/>
                <w:color w:val="auto"/>
              </w:rPr>
            </w:pPr>
            <w:r>
              <w:rPr>
                <w:rFonts w:ascii="Arial" w:cs="Arial" w:eastAsia="Arial" w:hAnsi="Arial"/>
                <w:sz w:val="14"/>
                <w:szCs w:val="14"/>
                <w:color w:val="auto"/>
                <w:w w:val="92"/>
              </w:rPr>
              <w:t>1.2</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313,968,277</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69.8</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787,122</w:t>
            </w:r>
          </w:p>
        </w:tc>
        <w:tc>
          <w:tcPr>
            <w:tcW w:w="10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named executive officer (“NEO”) compensation for the year ended December 31, 2018 was approved, on an advisory basis. The voting results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213,720,747</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69.6</w:t>
            </w:r>
          </w:p>
        </w:tc>
        <w:tc>
          <w:tcPr>
            <w:tcW w:w="1380" w:type="dxa"/>
            <w:vAlign w:val="bottom"/>
          </w:tcPr>
          <w:p>
            <w:pPr>
              <w:jc w:val="center"/>
              <w:spacing w:after="0"/>
              <w:rPr>
                <w:sz w:val="20"/>
                <w:szCs w:val="20"/>
                <w:color w:val="auto"/>
              </w:rPr>
            </w:pPr>
            <w:r>
              <w:rPr>
                <w:rFonts w:ascii="Arial" w:cs="Arial" w:eastAsia="Arial" w:hAnsi="Arial"/>
                <w:sz w:val="14"/>
                <w:szCs w:val="14"/>
                <w:color w:val="auto"/>
                <w:w w:val="91"/>
              </w:rPr>
              <w:t>93,566,321</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30.4</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307,287,068</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68.3</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328,627</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160" w:top="504" w:right="659" w:bottom="1440" w:gutter="0" w:footer="0" w:header="0"/>
        </w:sectPr>
      </w:pPr>
    </w:p>
    <w:bookmarkStart w:id="6" w:name="page7"/>
    <w:bookmarkEnd w:id="6"/>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One year was approved, on an advisory basis, as the frequency of future Say-on-Pay Proposals for NEOs. The voting results were as follows:</w:t>
      </w:r>
    </w:p>
    <w:p>
      <w:pPr>
        <w:spacing w:after="0" w:line="38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0"/>
              </w:rPr>
              <w:t>2 YEARS</w:t>
            </w: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3"/>
              </w:rPr>
              <w:t>TOTAL VOTES</w:t>
            </w:r>
          </w:p>
        </w:tc>
        <w:tc>
          <w:tcPr>
            <w:tcW w:w="1220" w:type="dxa"/>
            <w:vAlign w:val="bottom"/>
          </w:tcPr>
          <w:p>
            <w:pPr>
              <w:spacing w:after="0"/>
              <w:rPr>
                <w:sz w:val="13"/>
                <w:szCs w:val="13"/>
                <w:color w:val="auto"/>
              </w:rPr>
            </w:pPr>
          </w:p>
        </w:tc>
        <w:tc>
          <w:tcPr>
            <w:tcW w:w="1060" w:type="dxa"/>
            <w:vAlign w:val="bottom"/>
            <w:vMerge w:val="restart"/>
          </w:tcPr>
          <w:p>
            <w:pPr>
              <w:jc w:val="center"/>
              <w:ind w:left="97"/>
              <w:spacing w:after="0"/>
              <w:rPr>
                <w:sz w:val="20"/>
                <w:szCs w:val="20"/>
                <w:color w:val="auto"/>
              </w:rPr>
            </w:pPr>
            <w:r>
              <w:rPr>
                <w:rFonts w:ascii="Arial" w:cs="Arial" w:eastAsia="Arial" w:hAnsi="Arial"/>
                <w:sz w:val="13"/>
                <w:szCs w:val="13"/>
                <w:color w:val="auto"/>
                <w:w w:val="93"/>
              </w:rPr>
              <w:t>BROKER NON-</w:t>
            </w: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1"/>
              </w:rPr>
              <w:t>3 YEARS (Number</w:t>
            </w:r>
          </w:p>
        </w:tc>
        <w:tc>
          <w:tcPr>
            <w:tcW w:w="920" w:type="dxa"/>
            <w:vAlign w:val="bottom"/>
          </w:tcPr>
          <w:p>
            <w:pPr>
              <w:spacing w:after="0"/>
              <w:rPr>
                <w:sz w:val="5"/>
                <w:szCs w:val="5"/>
                <w:color w:val="auto"/>
              </w:rPr>
            </w:pPr>
          </w:p>
        </w:tc>
        <w:tc>
          <w:tcPr>
            <w:tcW w:w="11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TOTAL VOTES</w:t>
            </w:r>
          </w:p>
        </w:tc>
        <w:tc>
          <w:tcPr>
            <w:tcW w:w="14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VALIDLY CAST AS A</w:t>
            </w:r>
          </w:p>
        </w:tc>
        <w:tc>
          <w:tcPr>
            <w:tcW w:w="12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ABSTENTIONS</w:t>
            </w: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560" w:type="dxa"/>
            <w:vAlign w:val="bottom"/>
            <w:vMerge w:val="restart"/>
          </w:tcPr>
          <w:p>
            <w:pPr>
              <w:spacing w:after="0" w:line="135" w:lineRule="exact"/>
              <w:rPr>
                <w:sz w:val="20"/>
                <w:szCs w:val="20"/>
                <w:color w:val="auto"/>
              </w:rPr>
            </w:pPr>
            <w:r>
              <w:rPr>
                <w:rFonts w:ascii="Arial" w:cs="Arial" w:eastAsia="Arial" w:hAnsi="Arial"/>
                <w:sz w:val="13"/>
                <w:szCs w:val="13"/>
                <w:color w:val="auto"/>
              </w:rPr>
              <w:t>1 YEAR (Number of votes)</w:t>
            </w:r>
          </w:p>
        </w:tc>
        <w:tc>
          <w:tcPr>
            <w:tcW w:w="980" w:type="dxa"/>
            <w:vAlign w:val="bottom"/>
            <w:vMerge w:val="restart"/>
          </w:tcPr>
          <w:p>
            <w:pPr>
              <w:ind w:left="140"/>
              <w:spacing w:after="0" w:line="135" w:lineRule="exact"/>
              <w:rPr>
                <w:sz w:val="20"/>
                <w:szCs w:val="20"/>
                <w:color w:val="auto"/>
              </w:rPr>
            </w:pPr>
            <w:r>
              <w:rPr>
                <w:rFonts w:ascii="Arial" w:cs="Arial" w:eastAsia="Arial" w:hAnsi="Arial"/>
                <w:sz w:val="13"/>
                <w:szCs w:val="13"/>
                <w:color w:val="auto"/>
              </w:rPr>
              <w:t>1 YEAR (%)</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(Number of</w:t>
            </w:r>
          </w:p>
        </w:tc>
        <w:tc>
          <w:tcPr>
            <w:tcW w:w="960" w:type="dxa"/>
            <w:vAlign w:val="bottom"/>
            <w:vMerge w:val="restart"/>
          </w:tcPr>
          <w:p>
            <w:pPr>
              <w:ind w:left="140"/>
              <w:spacing w:after="0" w:line="135" w:lineRule="exact"/>
              <w:rPr>
                <w:sz w:val="20"/>
                <w:szCs w:val="20"/>
                <w:color w:val="auto"/>
              </w:rPr>
            </w:pPr>
            <w:r>
              <w:rPr>
                <w:rFonts w:ascii="Arial" w:cs="Arial" w:eastAsia="Arial" w:hAnsi="Arial"/>
                <w:sz w:val="13"/>
                <w:szCs w:val="13"/>
                <w:color w:val="auto"/>
              </w:rPr>
              <w:t>2 YEARS (%)</w:t>
            </w:r>
          </w:p>
        </w:tc>
        <w:tc>
          <w:tcPr>
            <w:tcW w:w="1180" w:type="dxa"/>
            <w:vAlign w:val="bottom"/>
            <w:vMerge w:val="continue"/>
          </w:tcPr>
          <w:p>
            <w:pPr>
              <w:spacing w:after="0"/>
              <w:rPr>
                <w:sz w:val="5"/>
                <w:szCs w:val="5"/>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3"/>
                <w:szCs w:val="13"/>
                <w:color w:val="auto"/>
              </w:rPr>
              <w:t>3 YEARS (%)</w:t>
            </w:r>
          </w:p>
        </w:tc>
        <w:tc>
          <w:tcPr>
            <w:tcW w:w="11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060" w:type="dxa"/>
            <w:vAlign w:val="bottom"/>
            <w:vMerge w:val="restart"/>
          </w:tcPr>
          <w:p>
            <w:pPr>
              <w:jc w:val="center"/>
              <w:ind w:left="97"/>
              <w:spacing w:after="0" w:line="135" w:lineRule="exact"/>
              <w:rPr>
                <w:sz w:val="20"/>
                <w:szCs w:val="20"/>
                <w:color w:val="auto"/>
              </w:rPr>
            </w:pPr>
            <w:r>
              <w:rPr>
                <w:rFonts w:ascii="Arial" w:cs="Arial" w:eastAsia="Arial" w:hAnsi="Arial"/>
                <w:sz w:val="13"/>
                <w:szCs w:val="13"/>
                <w:color w:val="auto"/>
                <w:w w:val="91"/>
              </w:rPr>
              <w:t>VOTES (Number</w:t>
            </w:r>
          </w:p>
        </w:tc>
        <w:tc>
          <w:tcPr>
            <w:tcW w:w="0" w:type="dxa"/>
            <w:vAlign w:val="bottom"/>
          </w:tcPr>
          <w:p>
            <w:pPr>
              <w:spacing w:after="0"/>
              <w:rPr>
                <w:sz w:val="1"/>
                <w:szCs w:val="1"/>
                <w:color w:val="auto"/>
              </w:rPr>
            </w:pPr>
          </w:p>
        </w:tc>
      </w:tr>
      <w:tr>
        <w:trPr>
          <w:trHeight w:val="68"/>
        </w:trPr>
        <w:tc>
          <w:tcPr>
            <w:tcW w:w="15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1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of Votes)</w:t>
            </w:r>
          </w:p>
        </w:tc>
        <w:tc>
          <w:tcPr>
            <w:tcW w:w="920" w:type="dxa"/>
            <w:vAlign w:val="bottom"/>
            <w:vMerge w:val="continue"/>
          </w:tcPr>
          <w:p>
            <w:pPr>
              <w:spacing w:after="0"/>
              <w:rPr>
                <w:sz w:val="5"/>
                <w:szCs w:val="5"/>
                <w:color w:val="auto"/>
              </w:rPr>
            </w:pPr>
          </w:p>
        </w:tc>
        <w:tc>
          <w:tcPr>
            <w:tcW w:w="11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VALIDLY CAST</w:t>
            </w:r>
          </w:p>
        </w:tc>
        <w:tc>
          <w:tcPr>
            <w:tcW w:w="14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PERCENTAGE OF</w:t>
            </w:r>
          </w:p>
        </w:tc>
        <w:tc>
          <w:tcPr>
            <w:tcW w:w="12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(Number of votes)</w:t>
            </w: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4"/>
              </w:rPr>
              <w:t>votes)</w:t>
            </w:r>
          </w:p>
        </w:tc>
        <w:tc>
          <w:tcPr>
            <w:tcW w:w="9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060" w:type="dxa"/>
            <w:vAlign w:val="bottom"/>
            <w:vMerge w:val="restart"/>
          </w:tcPr>
          <w:p>
            <w:pPr>
              <w:jc w:val="center"/>
              <w:ind w:left="77"/>
              <w:spacing w:after="0"/>
              <w:rPr>
                <w:sz w:val="20"/>
                <w:szCs w:val="20"/>
                <w:color w:val="auto"/>
              </w:rPr>
            </w:pPr>
            <w:r>
              <w:rPr>
                <w:rFonts w:ascii="Arial" w:cs="Arial" w:eastAsia="Arial" w:hAnsi="Arial"/>
                <w:sz w:val="13"/>
                <w:szCs w:val="13"/>
                <w:color w:val="auto"/>
                <w:w w:val="88"/>
              </w:rPr>
              <w:t>of votes)</w:t>
            </w:r>
          </w:p>
        </w:tc>
        <w:tc>
          <w:tcPr>
            <w:tcW w:w="0" w:type="dxa"/>
            <w:vAlign w:val="bottom"/>
          </w:tcPr>
          <w:p>
            <w:pPr>
              <w:spacing w:after="0"/>
              <w:rPr>
                <w:sz w:val="1"/>
                <w:szCs w:val="1"/>
                <w:color w:val="auto"/>
              </w:rPr>
            </w:pPr>
          </w:p>
        </w:tc>
      </w:tr>
      <w:tr>
        <w:trPr>
          <w:trHeight w:val="93"/>
        </w:trPr>
        <w:tc>
          <w:tcPr>
            <w:tcW w:w="1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80" w:type="dxa"/>
            <w:vAlign w:val="bottom"/>
            <w:vMerge w:val="restart"/>
          </w:tcPr>
          <w:p>
            <w:pPr>
              <w:jc w:val="center"/>
              <w:spacing w:after="0"/>
              <w:rPr>
                <w:sz w:val="20"/>
                <w:szCs w:val="20"/>
                <w:color w:val="auto"/>
              </w:rPr>
            </w:pPr>
            <w:r>
              <w:rPr>
                <w:rFonts w:ascii="Arial" w:cs="Arial" w:eastAsia="Arial" w:hAnsi="Arial"/>
                <w:sz w:val="13"/>
                <w:szCs w:val="13"/>
                <w:color w:val="auto"/>
                <w:w w:val="90"/>
              </w:rPr>
              <w:t>SHARES IN ISSUE (%)</w:t>
            </w:r>
          </w:p>
        </w:tc>
        <w:tc>
          <w:tcPr>
            <w:tcW w:w="12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369" w:lineRule="exact"/>
        <w:rPr>
          <w:sz w:val="20"/>
          <w:szCs w:val="20"/>
          <w:color w:val="auto"/>
        </w:rPr>
      </w:pPr>
    </w:p>
    <w:p>
      <w:pPr>
        <w:ind w:left="520"/>
        <w:spacing w:after="0"/>
        <w:tabs>
          <w:tab w:leader="none" w:pos="2060" w:val="left"/>
          <w:tab w:leader="none" w:pos="2900" w:val="left"/>
          <w:tab w:leader="none" w:pos="3960" w:val="left"/>
          <w:tab w:leader="none" w:pos="4820" w:val="left"/>
          <w:tab w:leader="none" w:pos="6060" w:val="left"/>
          <w:tab w:leader="none" w:pos="6880" w:val="left"/>
          <w:tab w:leader="none" w:pos="8360" w:val="left"/>
          <w:tab w:leader="none" w:pos="9580" w:val="left"/>
          <w:tab w:leader="none" w:pos="10740" w:val="left"/>
        </w:tabs>
        <w:rPr>
          <w:sz w:val="20"/>
          <w:szCs w:val="20"/>
          <w:color w:val="auto"/>
        </w:rPr>
      </w:pPr>
      <w:r>
        <w:rPr>
          <w:rFonts w:ascii="Arial" w:cs="Arial" w:eastAsia="Arial" w:hAnsi="Arial"/>
          <w:sz w:val="14"/>
          <w:szCs w:val="14"/>
          <w:color w:val="auto"/>
        </w:rPr>
        <w:t>301,205,901</w:t>
      </w:r>
      <w:r>
        <w:rPr>
          <w:sz w:val="20"/>
          <w:szCs w:val="20"/>
          <w:color w:val="auto"/>
        </w:rPr>
        <w:tab/>
      </w:r>
      <w:r>
        <w:rPr>
          <w:rFonts w:ascii="Arial" w:cs="Arial" w:eastAsia="Arial" w:hAnsi="Arial"/>
          <w:sz w:val="14"/>
          <w:szCs w:val="14"/>
          <w:color w:val="auto"/>
        </w:rPr>
        <w:t>98.1</w:t>
      </w:r>
      <w:r>
        <w:rPr>
          <w:sz w:val="20"/>
          <w:szCs w:val="20"/>
          <w:color w:val="auto"/>
        </w:rPr>
        <w:tab/>
      </w:r>
      <w:r>
        <w:rPr>
          <w:rFonts w:ascii="Arial" w:cs="Arial" w:eastAsia="Arial" w:hAnsi="Arial"/>
          <w:sz w:val="14"/>
          <w:szCs w:val="14"/>
          <w:color w:val="auto"/>
        </w:rPr>
        <w:t>346,421</w:t>
      </w:r>
      <w:r>
        <w:rPr>
          <w:sz w:val="20"/>
          <w:szCs w:val="20"/>
          <w:color w:val="auto"/>
        </w:rPr>
        <w:tab/>
      </w:r>
      <w:r>
        <w:rPr>
          <w:rFonts w:ascii="Arial" w:cs="Arial" w:eastAsia="Arial" w:hAnsi="Arial"/>
          <w:sz w:val="14"/>
          <w:szCs w:val="14"/>
          <w:color w:val="auto"/>
        </w:rPr>
        <w:t>0.1</w:t>
      </w:r>
      <w:r>
        <w:rPr>
          <w:sz w:val="20"/>
          <w:szCs w:val="20"/>
          <w:color w:val="auto"/>
        </w:rPr>
        <w:tab/>
      </w:r>
      <w:r>
        <w:rPr>
          <w:rFonts w:ascii="Arial" w:cs="Arial" w:eastAsia="Arial" w:hAnsi="Arial"/>
          <w:sz w:val="14"/>
          <w:szCs w:val="14"/>
          <w:color w:val="auto"/>
        </w:rPr>
        <w:t>5,426,340</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306,978,662</w:t>
      </w:r>
      <w:r>
        <w:rPr>
          <w:sz w:val="20"/>
          <w:szCs w:val="20"/>
          <w:color w:val="auto"/>
        </w:rPr>
        <w:tab/>
      </w:r>
      <w:r>
        <w:rPr>
          <w:rFonts w:ascii="Arial" w:cs="Arial" w:eastAsia="Arial" w:hAnsi="Arial"/>
          <w:sz w:val="14"/>
          <w:szCs w:val="14"/>
          <w:color w:val="auto"/>
        </w:rPr>
        <w:t>68.2</w:t>
      </w:r>
      <w:r>
        <w:rPr>
          <w:sz w:val="20"/>
          <w:szCs w:val="20"/>
          <w:color w:val="auto"/>
        </w:rPr>
        <w:tab/>
      </w:r>
      <w:r>
        <w:rPr>
          <w:rFonts w:ascii="Arial" w:cs="Arial" w:eastAsia="Arial" w:hAnsi="Arial"/>
          <w:sz w:val="14"/>
          <w:szCs w:val="14"/>
          <w:color w:val="auto"/>
        </w:rPr>
        <w:t>637,033</w:t>
      </w:r>
      <w:r>
        <w:rPr>
          <w:sz w:val="20"/>
          <w:szCs w:val="20"/>
          <w:color w:val="auto"/>
        </w:rPr>
        <w:tab/>
      </w:r>
      <w:r>
        <w:rPr>
          <w:rFonts w:ascii="Arial" w:cs="Arial" w:eastAsia="Arial" w:hAnsi="Arial"/>
          <w:sz w:val="13"/>
          <w:szCs w:val="13"/>
          <w:color w:val="auto"/>
        </w:rPr>
        <w:t>7,139,704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338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Based on the results of this Proposal 4, the Company has determined to include future Say-on-Pay Proposals for NEOs every year until the next required frequency vote.</w:t>
      </w:r>
    </w:p>
    <w:p>
      <w:pPr>
        <w:spacing w:after="0" w:line="170" w:lineRule="exact"/>
        <w:rPr>
          <w:sz w:val="20"/>
          <w:szCs w:val="20"/>
          <w:color w:val="auto"/>
        </w:rPr>
      </w:pPr>
    </w:p>
    <w:p>
      <w:pPr>
        <w:ind w:left="660" w:right="1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directors’ remuneration report for the year ended December 31, 2018 was approved, on an advisory basis. The voting results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245,541,292</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79.9</w:t>
            </w:r>
          </w:p>
        </w:tc>
        <w:tc>
          <w:tcPr>
            <w:tcW w:w="1380" w:type="dxa"/>
            <w:vAlign w:val="bottom"/>
          </w:tcPr>
          <w:p>
            <w:pPr>
              <w:jc w:val="center"/>
              <w:spacing w:after="0"/>
              <w:rPr>
                <w:sz w:val="20"/>
                <w:szCs w:val="20"/>
                <w:color w:val="auto"/>
              </w:rPr>
            </w:pPr>
            <w:r>
              <w:rPr>
                <w:rFonts w:ascii="Arial" w:cs="Arial" w:eastAsia="Arial" w:hAnsi="Arial"/>
                <w:sz w:val="14"/>
                <w:szCs w:val="14"/>
                <w:color w:val="auto"/>
                <w:w w:val="91"/>
              </w:rPr>
              <w:t>61,734,154</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20.1</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307,275,446</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68.3</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340,249</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7,139,704</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appointment of PwC as the Company’s U.S. independent registered public accounting firm for the year ending December 31, 2019 was ratified. The voting results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310,040,197</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98.6</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4,277,416</w:t>
            </w:r>
          </w:p>
        </w:tc>
        <w:tc>
          <w:tcPr>
            <w:tcW w:w="1180" w:type="dxa"/>
            <w:vAlign w:val="bottom"/>
          </w:tcPr>
          <w:p>
            <w:pPr>
              <w:jc w:val="center"/>
              <w:ind w:right="15"/>
              <w:spacing w:after="0"/>
              <w:rPr>
                <w:sz w:val="20"/>
                <w:szCs w:val="20"/>
                <w:color w:val="auto"/>
              </w:rPr>
            </w:pPr>
            <w:r>
              <w:rPr>
                <w:rFonts w:ascii="Arial" w:cs="Arial" w:eastAsia="Arial" w:hAnsi="Arial"/>
                <w:sz w:val="14"/>
                <w:szCs w:val="14"/>
                <w:color w:val="auto"/>
                <w:w w:val="92"/>
              </w:rPr>
              <w:t>1.4</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314,317,613</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69.8</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437,786</w:t>
            </w:r>
          </w:p>
        </w:tc>
        <w:tc>
          <w:tcPr>
            <w:tcW w:w="10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re-appointment of PwC as the Company’s U.K. statutory auditor under the U.K. Companies Act 2006, to hold office until the next annual general meeting of shareholders at which accounts are laid, was approved. The voting results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309,820,157</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98.6</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4,512,036</w:t>
            </w:r>
          </w:p>
        </w:tc>
        <w:tc>
          <w:tcPr>
            <w:tcW w:w="1180" w:type="dxa"/>
            <w:vAlign w:val="bottom"/>
          </w:tcPr>
          <w:p>
            <w:pPr>
              <w:jc w:val="center"/>
              <w:ind w:right="15"/>
              <w:spacing w:after="0"/>
              <w:rPr>
                <w:sz w:val="20"/>
                <w:szCs w:val="20"/>
                <w:color w:val="auto"/>
              </w:rPr>
            </w:pPr>
            <w:r>
              <w:rPr>
                <w:rFonts w:ascii="Arial" w:cs="Arial" w:eastAsia="Arial" w:hAnsi="Arial"/>
                <w:sz w:val="14"/>
                <w:szCs w:val="14"/>
                <w:color w:val="auto"/>
                <w:w w:val="92"/>
              </w:rPr>
              <w:t>1.4</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314,332,193</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69.8</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423,206</w:t>
            </w:r>
          </w:p>
        </w:tc>
        <w:tc>
          <w:tcPr>
            <w:tcW w:w="10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504" w:right="179" w:bottom="1440" w:gutter="0" w:footer="0" w:header="0"/>
        </w:sectPr>
      </w:pPr>
    </w:p>
    <w:bookmarkStart w:id="7" w:name="page8"/>
    <w:bookmarkEnd w:id="7"/>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proposal to authorize the Board and/or the Audit Committee to determine the remuneration of PwC, in its capacity as the Company’s U.K. statutory auditor for the year ending December 31, 2019, was approved. The voting results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jc w:val="center"/>
              <w:ind w:left="32"/>
              <w:spacing w:after="0"/>
              <w:rPr>
                <w:sz w:val="20"/>
                <w:szCs w:val="20"/>
                <w:color w:val="auto"/>
              </w:rPr>
            </w:pPr>
            <w:r>
              <w:rPr>
                <w:rFonts w:ascii="Arial" w:cs="Arial" w:eastAsia="Arial" w:hAnsi="Arial"/>
                <w:sz w:val="14"/>
                <w:szCs w:val="14"/>
                <w:color w:val="auto"/>
                <w:w w:val="99"/>
              </w:rPr>
              <w:t>TOTAL VOTES</w:t>
            </w:r>
          </w:p>
        </w:tc>
        <w:tc>
          <w:tcPr>
            <w:tcW w:w="16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9"/>
              </w:rPr>
              <w:t>BROKER NON-</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6"/>
              </w:rPr>
              <w:t>FOR (Number of</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PERCENT FOR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AGAINST (Number</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auto"/>
                <w:w w:val="95"/>
              </w:rPr>
              <w:t>PERCENT</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9"/>
              </w:rPr>
              <w:t>TOTAL VOTES</w:t>
            </w: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rPr>
              <w:t>VALIDLY CAST AS A</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6"/>
              </w:rPr>
              <w:t>ABSTENTIONS (Number</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96"/>
              </w:rPr>
              <w:t>VOTES (Number</w:t>
            </w:r>
          </w:p>
        </w:tc>
        <w:tc>
          <w:tcPr>
            <w:tcW w:w="0" w:type="dxa"/>
            <w:vAlign w:val="bottom"/>
          </w:tcPr>
          <w:p>
            <w:pPr>
              <w:spacing w:after="0"/>
              <w:rPr>
                <w:sz w:val="1"/>
                <w:szCs w:val="1"/>
                <w:color w:val="auto"/>
              </w:rPr>
            </w:pPr>
          </w:p>
        </w:tc>
      </w:tr>
      <w:tr>
        <w:trPr>
          <w:trHeight w:val="89"/>
        </w:trPr>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votes)</w:t>
            </w:r>
          </w:p>
        </w:tc>
        <w:tc>
          <w:tcPr>
            <w:tcW w:w="1220" w:type="dxa"/>
            <w:vAlign w:val="bottom"/>
          </w:tcPr>
          <w:p>
            <w:pPr>
              <w:jc w:val="right"/>
              <w:ind w:right="395"/>
              <w:spacing w:after="0" w:line="90" w:lineRule="exact"/>
              <w:rPr>
                <w:sz w:val="20"/>
                <w:szCs w:val="20"/>
                <w:color w:val="auto"/>
              </w:rPr>
            </w:pPr>
            <w:r>
              <w:rPr>
                <w:rFonts w:ascii="Arial" w:cs="Arial" w:eastAsia="Arial" w:hAnsi="Arial"/>
                <w:sz w:val="10"/>
                <w:szCs w:val="10"/>
                <w:color w:val="auto"/>
              </w:rPr>
              <w:t>(%)</w:t>
            </w:r>
          </w:p>
        </w:tc>
        <w:tc>
          <w:tcPr>
            <w:tcW w:w="138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180" w:type="dxa"/>
            <w:vAlign w:val="bottom"/>
          </w:tcPr>
          <w:p>
            <w:pPr>
              <w:jc w:val="center"/>
              <w:spacing w:after="0" w:line="90" w:lineRule="exact"/>
              <w:rPr>
                <w:sz w:val="20"/>
                <w:szCs w:val="20"/>
                <w:color w:val="auto"/>
              </w:rPr>
            </w:pPr>
            <w:r>
              <w:rPr>
                <w:rFonts w:ascii="Arial" w:cs="Arial" w:eastAsia="Arial" w:hAnsi="Arial"/>
                <w:sz w:val="10"/>
                <w:szCs w:val="10"/>
                <w:color w:val="auto"/>
              </w:rPr>
              <w:t>AGAINST (%)</w:t>
            </w:r>
          </w:p>
        </w:tc>
        <w:tc>
          <w:tcPr>
            <w:tcW w:w="1340" w:type="dxa"/>
            <w:vAlign w:val="bottom"/>
          </w:tcPr>
          <w:p>
            <w:pPr>
              <w:jc w:val="center"/>
              <w:spacing w:after="0" w:line="90" w:lineRule="exact"/>
              <w:rPr>
                <w:sz w:val="20"/>
                <w:szCs w:val="20"/>
                <w:color w:val="auto"/>
              </w:rPr>
            </w:pPr>
            <w:r>
              <w:rPr>
                <w:rFonts w:ascii="Arial" w:cs="Arial" w:eastAsia="Arial" w:hAnsi="Arial"/>
                <w:sz w:val="10"/>
                <w:szCs w:val="10"/>
                <w:color w:val="auto"/>
              </w:rPr>
              <w:t>VALIDLY CAST</w:t>
            </w:r>
          </w:p>
        </w:tc>
        <w:tc>
          <w:tcPr>
            <w:tcW w:w="1660" w:type="dxa"/>
            <w:vAlign w:val="bottom"/>
          </w:tcPr>
          <w:p>
            <w:pPr>
              <w:jc w:val="center"/>
              <w:ind w:left="12"/>
              <w:spacing w:after="0" w:line="90" w:lineRule="exact"/>
              <w:rPr>
                <w:sz w:val="20"/>
                <w:szCs w:val="20"/>
                <w:color w:val="auto"/>
              </w:rPr>
            </w:pPr>
            <w:r>
              <w:rPr>
                <w:rFonts w:ascii="Arial" w:cs="Arial" w:eastAsia="Arial" w:hAnsi="Arial"/>
                <w:sz w:val="10"/>
                <w:szCs w:val="10"/>
                <w:color w:val="auto"/>
              </w:rPr>
              <w:t>PERCENTAGE OF</w:t>
            </w:r>
          </w:p>
        </w:tc>
        <w:tc>
          <w:tcPr>
            <w:tcW w:w="1640" w:type="dxa"/>
            <w:vAlign w:val="bottom"/>
          </w:tcPr>
          <w:p>
            <w:pPr>
              <w:jc w:val="center"/>
              <w:spacing w:after="0" w:line="90" w:lineRule="exact"/>
              <w:rPr>
                <w:sz w:val="20"/>
                <w:szCs w:val="20"/>
                <w:color w:val="auto"/>
              </w:rPr>
            </w:pPr>
            <w:r>
              <w:rPr>
                <w:rFonts w:ascii="Arial" w:cs="Arial" w:eastAsia="Arial" w:hAnsi="Arial"/>
                <w:sz w:val="10"/>
                <w:szCs w:val="10"/>
                <w:color w:val="auto"/>
              </w:rPr>
              <w:t>of votes)</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3"/>
              </w:rPr>
              <w:t>of votes)</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vMerge w:val="restart"/>
          </w:tcPr>
          <w:p>
            <w:pPr>
              <w:jc w:val="center"/>
              <w:ind w:left="12"/>
              <w:spacing w:after="0"/>
              <w:rPr>
                <w:sz w:val="20"/>
                <w:szCs w:val="20"/>
                <w:color w:val="auto"/>
              </w:rPr>
            </w:pPr>
            <w:r>
              <w:rPr>
                <w:rFonts w:ascii="Arial" w:cs="Arial" w:eastAsia="Arial" w:hAnsi="Arial"/>
                <w:sz w:val="14"/>
                <w:szCs w:val="14"/>
                <w:color w:val="auto"/>
                <w:w w:val="96"/>
              </w:rPr>
              <w:t>SHARES IN ISSUE (%)</w:t>
            </w:r>
          </w:p>
        </w:tc>
        <w:tc>
          <w:tcPr>
            <w:tcW w:w="16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spacing w:after="0"/>
              <w:rPr>
                <w:sz w:val="20"/>
                <w:szCs w:val="20"/>
                <w:color w:val="auto"/>
              </w:rPr>
            </w:pPr>
            <w:r>
              <w:rPr>
                <w:rFonts w:ascii="Arial" w:cs="Arial" w:eastAsia="Arial" w:hAnsi="Arial"/>
                <w:sz w:val="14"/>
                <w:szCs w:val="14"/>
                <w:color w:val="auto"/>
                <w:w w:val="92"/>
              </w:rPr>
              <w:t>310,562,761</w:t>
            </w:r>
          </w:p>
        </w:tc>
        <w:tc>
          <w:tcPr>
            <w:tcW w:w="1220" w:type="dxa"/>
            <w:vAlign w:val="bottom"/>
          </w:tcPr>
          <w:p>
            <w:pPr>
              <w:jc w:val="right"/>
              <w:ind w:right="375"/>
              <w:spacing w:after="0"/>
              <w:rPr>
                <w:sz w:val="20"/>
                <w:szCs w:val="20"/>
                <w:color w:val="auto"/>
              </w:rPr>
            </w:pPr>
            <w:r>
              <w:rPr>
                <w:rFonts w:ascii="Arial" w:cs="Arial" w:eastAsia="Arial" w:hAnsi="Arial"/>
                <w:sz w:val="14"/>
                <w:szCs w:val="14"/>
                <w:color w:val="auto"/>
              </w:rPr>
              <w:t>98.9</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3,523,652</w:t>
            </w:r>
          </w:p>
        </w:tc>
        <w:tc>
          <w:tcPr>
            <w:tcW w:w="1180" w:type="dxa"/>
            <w:vAlign w:val="bottom"/>
          </w:tcPr>
          <w:p>
            <w:pPr>
              <w:jc w:val="center"/>
              <w:ind w:right="15"/>
              <w:spacing w:after="0"/>
              <w:rPr>
                <w:sz w:val="20"/>
                <w:szCs w:val="20"/>
                <w:color w:val="auto"/>
              </w:rPr>
            </w:pPr>
            <w:r>
              <w:rPr>
                <w:rFonts w:ascii="Arial" w:cs="Arial" w:eastAsia="Arial" w:hAnsi="Arial"/>
                <w:sz w:val="14"/>
                <w:szCs w:val="14"/>
                <w:color w:val="auto"/>
                <w:w w:val="92"/>
              </w:rPr>
              <w:t>1.1</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314,086,413</w:t>
            </w:r>
          </w:p>
        </w:tc>
        <w:tc>
          <w:tcPr>
            <w:tcW w:w="1660" w:type="dxa"/>
            <w:vAlign w:val="bottom"/>
          </w:tcPr>
          <w:p>
            <w:pPr>
              <w:jc w:val="center"/>
              <w:ind w:left="12"/>
              <w:spacing w:after="0"/>
              <w:rPr>
                <w:sz w:val="20"/>
                <w:szCs w:val="20"/>
                <w:color w:val="auto"/>
              </w:rPr>
            </w:pPr>
            <w:r>
              <w:rPr>
                <w:rFonts w:ascii="Arial" w:cs="Arial" w:eastAsia="Arial" w:hAnsi="Arial"/>
                <w:sz w:val="14"/>
                <w:szCs w:val="14"/>
                <w:color w:val="auto"/>
                <w:w w:val="95"/>
              </w:rPr>
              <w:t>69.8</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668,986</w:t>
            </w:r>
          </w:p>
        </w:tc>
        <w:tc>
          <w:tcPr>
            <w:tcW w:w="10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63"/>
        </w:trPr>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160" w:top="504" w:right="7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rPr>
              <w:t>Date: May 3, 2019</w:t>
            </w:r>
          </w:p>
        </w:tc>
        <w:tc>
          <w:tcPr>
            <w:tcW w:w="9940" w:type="dxa"/>
            <w:vAlign w:val="bottom"/>
            <w:gridSpan w:val="3"/>
          </w:tcPr>
          <w:p>
            <w:pPr>
              <w:ind w:left="280"/>
              <w:spacing w:after="0"/>
              <w:rPr>
                <w:sz w:val="20"/>
                <w:szCs w:val="20"/>
                <w:color w:val="auto"/>
              </w:rPr>
            </w:pPr>
            <w:r>
              <w:rPr>
                <w:rFonts w:ascii="Arial" w:cs="Arial" w:eastAsia="Arial" w:hAnsi="Arial"/>
                <w:sz w:val="18"/>
                <w:szCs w:val="18"/>
                <w:color w:val="auto"/>
              </w:rPr>
              <w:t>By: /s/ Dianne B. Ralston</w:t>
            </w:r>
          </w:p>
        </w:tc>
      </w:tr>
      <w:tr>
        <w:trPr>
          <w:trHeight w:val="20"/>
        </w:trPr>
        <w:tc>
          <w:tcPr>
            <w:tcW w:w="7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615"/>
        </w:trPr>
        <w:tc>
          <w:tcPr>
            <w:tcW w:w="740" w:type="dxa"/>
            <w:vAlign w:val="bottom"/>
          </w:tcPr>
          <w:p>
            <w:pPr>
              <w:ind w:left="40"/>
              <w:spacing w:after="0"/>
              <w:rPr>
                <w:sz w:val="20"/>
                <w:szCs w:val="20"/>
                <w:color w:val="auto"/>
              </w:rPr>
            </w:pPr>
            <w:r>
              <w:rPr>
                <w:rFonts w:ascii="Arial" w:cs="Arial" w:eastAsia="Arial" w:hAnsi="Arial"/>
                <w:sz w:val="18"/>
                <w:szCs w:val="18"/>
                <w:color w:val="auto"/>
              </w:rPr>
              <w:t>Name:</w:t>
            </w:r>
          </w:p>
        </w:tc>
        <w:tc>
          <w:tcPr>
            <w:tcW w:w="10820" w:type="dxa"/>
            <w:vAlign w:val="bottom"/>
            <w:gridSpan w:val="4"/>
          </w:tcPr>
          <w:p>
            <w:pPr>
              <w:ind w:left="220"/>
              <w:spacing w:after="0"/>
              <w:rPr>
                <w:sz w:val="20"/>
                <w:szCs w:val="20"/>
                <w:color w:val="auto"/>
              </w:rPr>
            </w:pPr>
            <w:r>
              <w:rPr>
                <w:rFonts w:ascii="Arial" w:cs="Arial" w:eastAsia="Arial" w:hAnsi="Arial"/>
                <w:sz w:val="18"/>
                <w:szCs w:val="18"/>
                <w:color w:val="auto"/>
              </w:rPr>
              <w:t>Dianne B. Ralston</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10820" w:type="dxa"/>
            <w:vAlign w:val="bottom"/>
            <w:gridSpan w:val="4"/>
          </w:tcPr>
          <w:p>
            <w:pPr>
              <w:ind w:left="220"/>
              <w:spacing w:after="0"/>
              <w:rPr>
                <w:sz w:val="20"/>
                <w:szCs w:val="20"/>
                <w:color w:val="auto"/>
              </w:rPr>
            </w:pPr>
            <w:r>
              <w:rPr>
                <w:rFonts w:ascii="Arial" w:cs="Arial" w:eastAsia="Arial" w:hAnsi="Arial"/>
                <w:sz w:val="18"/>
                <w:szCs w:val="18"/>
                <w:color w:val="auto"/>
              </w:rPr>
              <w:t>Executive Vice President,</w:t>
            </w:r>
          </w:p>
        </w:tc>
      </w:tr>
      <w:tr>
        <w:trPr>
          <w:trHeight w:val="270"/>
        </w:trPr>
        <w:tc>
          <w:tcPr>
            <w:tcW w:w="740" w:type="dxa"/>
            <w:vAlign w:val="bottom"/>
          </w:tcPr>
          <w:p>
            <w:pPr>
              <w:spacing w:after="0"/>
              <w:rPr>
                <w:sz w:val="23"/>
                <w:szCs w:val="23"/>
                <w:color w:val="auto"/>
              </w:rPr>
            </w:pPr>
          </w:p>
        </w:tc>
        <w:tc>
          <w:tcPr>
            <w:tcW w:w="10820" w:type="dxa"/>
            <w:vAlign w:val="bottom"/>
            <w:gridSpan w:val="4"/>
          </w:tcPr>
          <w:p>
            <w:pPr>
              <w:ind w:left="220"/>
              <w:spacing w:after="0"/>
              <w:rPr>
                <w:sz w:val="20"/>
                <w:szCs w:val="20"/>
                <w:color w:val="auto"/>
              </w:rPr>
            </w:pPr>
            <w:r>
              <w:rPr>
                <w:rFonts w:ascii="Arial" w:cs="Arial" w:eastAsia="Arial" w:hAnsi="Arial"/>
                <w:sz w:val="18"/>
                <w:szCs w:val="18"/>
                <w:color w:val="auto"/>
              </w:rPr>
              <w:t>Chief Legal Officer and Secretary</w:t>
            </w:r>
          </w:p>
        </w:tc>
      </w:tr>
      <w:tr>
        <w:trPr>
          <w:trHeight w:val="823"/>
        </w:trPr>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r>
        <w:trPr>
          <w:trHeight w:val="115"/>
        </w:trPr>
        <w:tc>
          <w:tcPr>
            <w:tcW w:w="7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6740" w:type="dxa"/>
            <w:vAlign w:val="bottom"/>
            <w:tcBorders>
              <w:bottom w:val="single" w:sz="8" w:color="auto"/>
            </w:tcBorders>
          </w:tcPr>
          <w:p>
            <w:pPr>
              <w:spacing w:after="0"/>
              <w:rPr>
                <w:sz w:val="10"/>
                <w:szCs w:val="10"/>
                <w:color w:val="auto"/>
              </w:rPr>
            </w:pPr>
          </w:p>
        </w:tc>
      </w:tr>
    </w:tbl>
    <w:p>
      <w:pPr>
        <w:spacing w:after="0" w:line="1" w:lineRule="exact"/>
        <w:rPr>
          <w:sz w:val="20"/>
          <w:szCs w:val="20"/>
          <w:color w:val="auto"/>
        </w:rPr>
      </w:pPr>
    </w:p>
    <w:sectPr>
      <w:pgSz w:w="11900" w:h="16838" w:orient="portrait"/>
      <w:cols w:equalWidth="0" w:num="1">
        <w:col w:w="11560"/>
      </w:cols>
      <w:pgMar w:left="160" w:top="932"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lvl w:ilvl="1">
      <w:lvlJc w:val="left"/>
      <w:lvlText w:val="%2."/>
      <w:numFmt w:val="lowerLetter"/>
      <w:start w:val="1"/>
    </w:lvl>
  </w:abstractNum>
  <w:abstractNum w:abstractNumId="1">
    <w:nsid w:val="216231B"/>
    <w:multiLevelType w:val="hybridMultilevel"/>
    <w:lvl w:ilvl="0">
      <w:lvlJc w:val="left"/>
      <w:lvlText w:val="%1."/>
      <w:numFmt w:val="lowerLetter"/>
      <w:start w:val="2"/>
    </w:lvl>
  </w:abstractNum>
  <w:abstractNum w:abstractNumId="2">
    <w:nsid w:val="1F16E9E8"/>
    <w:multiLevelType w:val="hybridMultilevel"/>
    <w:lvl w:ilvl="0">
      <w:lvlJc w:val="left"/>
      <w:lvlText w:val="%1."/>
      <w:numFmt w:val="lowerLetter"/>
      <w:start w:val="3"/>
    </w:lvl>
  </w:abstractNum>
  <w:abstractNum w:abstractNumId="3">
    <w:nsid w:val="1190CDE7"/>
    <w:multiLevelType w:val="hybridMultilevel"/>
    <w:lvl w:ilvl="0">
      <w:lvlJc w:val="left"/>
      <w:lvlText w:val="%1."/>
      <w:numFmt w:val="lowerLetter"/>
      <w:start w:val="4"/>
    </w:lvl>
  </w:abstractNum>
  <w:abstractNum w:abstractNumId="4">
    <w:nsid w:val="66EF438D"/>
    <w:multiLevelType w:val="hybridMultilevel"/>
    <w:lvl w:ilvl="0">
      <w:lvlJc w:val="left"/>
      <w:lvlText w:val="%1."/>
      <w:numFmt w:val="lowerLetter"/>
      <w:start w:val="5"/>
    </w:lvl>
  </w:abstractNum>
  <w:abstractNum w:abstractNumId="5">
    <w:nsid w:val="140E0F76"/>
    <w:multiLevelType w:val="hybridMultilevel"/>
    <w:lvl w:ilvl="0">
      <w:lvlJc w:val="left"/>
      <w:lvlText w:val="%1."/>
      <w:numFmt w:val="lowerLetter"/>
      <w:start w:val="6"/>
    </w:lvl>
  </w:abstractNum>
  <w:abstractNum w:abstractNumId="6">
    <w:nsid w:val="3352255A"/>
    <w:multiLevelType w:val="hybridMultilevel"/>
    <w:lvl w:ilvl="0">
      <w:lvlJc w:val="left"/>
      <w:lvlText w:val="%1."/>
      <w:numFmt w:val="lowerLetter"/>
      <w:start w:val="7"/>
    </w:lvl>
  </w:abstractNum>
  <w:abstractNum w:abstractNumId="7">
    <w:nsid w:val="109CF92E"/>
    <w:multiLevelType w:val="hybridMultilevel"/>
    <w:lvl w:ilvl="0">
      <w:lvlJc w:val="left"/>
      <w:lvlText w:val="%1."/>
      <w:numFmt w:val="lowerLetter"/>
      <w:start w:val="8"/>
    </w:lvl>
  </w:abstractNum>
  <w:abstractNum w:abstractNumId="8">
    <w:nsid w:val="DED7263"/>
    <w:multiLevelType w:val="hybridMultilevel"/>
    <w:lvl w:ilvl="0">
      <w:lvlJc w:val="left"/>
      <w:lvlText w:val="%1."/>
      <w:numFmt w:val="lowerRoman"/>
      <w:start w:val="1"/>
    </w:lvl>
  </w:abstractNum>
  <w:abstractNum w:abstractNumId="9">
    <w:nsid w:val="7FDCC233"/>
    <w:multiLevelType w:val="hybridMultilevel"/>
    <w:lvl w:ilvl="0">
      <w:lvlJc w:val="left"/>
      <w:lvlText w:val="%1."/>
      <w:numFmt w:val="lowerLetter"/>
      <w:start w:val="10"/>
    </w:lvl>
  </w:abstractNum>
  <w:abstractNum w:abstractNumId="10">
    <w:nsid w:val="1BEFD79F"/>
    <w:multiLevelType w:val="hybridMultilevel"/>
    <w:lvl w:ilvl="0">
      <w:lvlJc w:val="left"/>
      <w:lvlText w:val="%1."/>
      <w:numFmt w:val="lowerLetter"/>
      <w:start w:val="11"/>
    </w:lvl>
  </w:abstractNum>
  <w:abstractNum w:abstractNumId="11">
    <w:nsid w:val="41A7C4C9"/>
    <w:multiLevelType w:val="hybridMultilevel"/>
    <w:lvl w:ilvl="0">
      <w:lvlJc w:val="left"/>
      <w:lvlText w:val="%1."/>
      <w:numFmt w:val="lowerLetter"/>
      <w:start w:val="12"/>
    </w:lvl>
  </w:abstractNum>
  <w:abstractNum w:abstractNumId="12">
    <w:nsid w:val="6B68079A"/>
    <w:multiLevelType w:val="hybridMultilevel"/>
    <w:lvl w:ilvl="0">
      <w:lvlJc w:val="left"/>
      <w:lvlText w:val="%1."/>
      <w:numFmt w:val="decimal"/>
      <w:start w:val="2"/>
    </w:lvl>
  </w:abstractNum>
  <w:abstractNum w:abstractNumId="13">
    <w:nsid w:val="4E6AFB66"/>
    <w:multiLevelType w:val="hybridMultilevel"/>
    <w:lvl w:ilvl="0">
      <w:lvlJc w:val="left"/>
      <w:lvlText w:val="%1."/>
      <w:numFmt w:val="decimal"/>
      <w:start w:val="3"/>
    </w:lvl>
  </w:abstractNum>
  <w:abstractNum w:abstractNumId="14">
    <w:nsid w:val="25E45D32"/>
    <w:multiLevelType w:val="hybridMultilevel"/>
    <w:lvl w:ilvl="0">
      <w:lvlJc w:val="left"/>
      <w:lvlText w:val="%1."/>
      <w:numFmt w:val="decimal"/>
      <w:start w:val="4"/>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decimal"/>
      <w:start w:val="6"/>
    </w:lvl>
  </w:abstractNum>
  <w:abstractNum w:abstractNumId="17">
    <w:nsid w:val="3F2DBA31"/>
    <w:multiLevelType w:val="hybridMultilevel"/>
    <w:lvl w:ilvl="0">
      <w:lvlJc w:val="left"/>
      <w:lvlText w:val="%1."/>
      <w:numFmt w:val="decimal"/>
      <w:start w:val="7"/>
    </w:lvl>
  </w:abstractNum>
  <w:abstractNum w:abstractNumId="18">
    <w:nsid w:val="7C83E45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2019-12-15T19:46:33Z</dcterms:created>
  <dcterms:modified xsi:type="dcterms:W3CDTF">2019-12-15T19:46:33Z</dcterms:modified>
</cp:coreProperties>
</file>