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PILENKO THIERRY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TECHNIPFMC PLC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EC4M 8AP</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02/18/2019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0000FF"/>
                <w:w w:val="98"/>
              </w:rPr>
              <w:t>132,000</w:t>
            </w:r>
            <w:r>
              <w:rPr>
                <w:rFonts w:ascii="Arial" w:cs="Arial" w:eastAsia="Arial" w:hAnsi="Arial"/>
                <w:sz w:val="22"/>
                <w:szCs w:val="22"/>
                <w:color w:val="008000"/>
                <w:w w:val="98"/>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756,001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02/18/2019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rPr>
              <w:t>58,000</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814,001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July 1, 2016, the Reporting Person was granted restricted stock units subject to certain performance criteria. On February 18, 2019, the Compensation Committee certified the performance level pursuant to the terms of the award, and as a result, 132,000 restricted stock units were awarded, each of which represents a contingent right to receive one Ordinary Share that will vest on July 1, 2020.</w:t>
      </w:r>
    </w:p>
    <w:p>
      <w:pPr>
        <w:jc w:val="both"/>
        <w:ind w:left="40" w:right="2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6, 2016, the Reporting Person was granted restricted stock units subject to certain performance criteria. On February 18, 2019, the Compensation Committee certified the performance level pursuant to the terms of the award, and as a result, 58,000 restricted stock units were awarded, each of which represents a contingent right to receive one Ordinary Share that will vest on December 6, 2020.</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Lisa P. Wang,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02/19/2019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2307"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2019-12-24T09:15:06Z</dcterms:created>
  <dcterms:modified xsi:type="dcterms:W3CDTF">2019-12-24T09:15:06Z</dcterms:modified>
</cp:coreProperties>
</file>