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Types>
</file>

<file path=_rels/.rels><?xml version="1.0" encoding="UTF-8" standalone="yes"?>
<Relationships xmlns="http://schemas.openxmlformats.org/package/2006/relationships">
    <Relationship Target="word/document.xml" Type="http://schemas.openxmlformats.org/officeDocument/2006/relationships/officeDocument" Id="rId1"/>
    <Relationship Target="docProps/core.xml" Type="http://schemas.openxmlformats.org/package/2006/relationships/metadata/core-properties" Id="rId2"/>
    <Relationship Target="docProps/app.xml" Type="http://schemas.openxmlformats.org/officeDocument/2006/relationships/extended-properties" Id="rId3"/>
</Relationships>

</file>

<file path=word/document.xml><?xml version="1.0" encoding="utf-8"?>
<w:document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body>
    <!-- Created by docx4j 8.2.8 (Apache licensed) using REFERENCE JAXB in Oracle Java 11.0.13 on Linux -->
    <w:p>
      <w:pPr>
        <w:spacing w:before="0" w:after="0"/>
        <w:ind w:left="120"/>
        <w:jc w:val="left"/>
      </w:pPr>
    </w:p>
    <w:bookmarkStart w:name="if5bce3d3882148cf91b6563d87cc4db5_1" w:id="0"/>
    <w:p>
      <w:pPr>
        <w:spacing w:before="0" w:after="0"/>
        <w:ind w:left="120"/>
        <w:jc w:val="left"/>
      </w:pPr>
    </w:p>
    <w:bookmarkEnd w:id="0"/>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6"/>
        <w:gridCol w:w="13361"/>
        <w:gridCol w:w="137"/>
      </w:tblGrid>
      <w:tr>
        <w:trPr>
          <w:trHeight w:val="30" w:hRule="atLeast"/>
        </w:trPr>
        <w:tc>
          <w:tcPr>
            <w:tcW w:w="136" w:type="dxa"/>
            <w:tcBorders/>
            <w:tcMar>
              <w:top w:w="15" w:type="dxa"/>
              <w:left w:w="15" w:type="dxa"/>
              <w:bottom w:w="15" w:type="dxa"/>
              <w:right w:w="15" w:type="dxa"/>
            </w:tcMar>
            <w:vAlign w:val="center"/>
          </w:tcPr>
          <w:p/>
        </w:tc>
        <w:tc>
          <w:tcPr>
            <w:tcW w:w="13361" w:type="dxa"/>
            <w:tcBorders/>
            <w:tcMar>
              <w:top w:w="15" w:type="dxa"/>
              <w:left w:w="15" w:type="dxa"/>
              <w:bottom w:w="15" w:type="dxa"/>
              <w:right w:w="15" w:type="dxa"/>
            </w:tcMar>
            <w:vAlign w:val="center"/>
          </w:tcPr>
          <w:p/>
        </w:tc>
        <w:tc>
          <w:tcPr>
            <w:tcW w:w="137" w:type="dxa"/>
            <w:tcBorders/>
            <w:tcMar>
              <w:top w:w="15" w:type="dxa"/>
              <w:left w:w="15" w:type="dxa"/>
              <w:bottom w:w="15" w:type="dxa"/>
              <w:right w:w="15" w:type="dxa"/>
            </w:tcMar>
            <w:vAlign w:val="center"/>
          </w:tcPr>
          <w:p/>
        </w:tc>
      </w:tr>
      <w:tr>
        <w:trPr>
          <w:trHeight w:val="60" w:hRule="atLeast"/>
        </w:trPr>
        <w:tc>
          <w:tcPr>
            <w:tcW w:w="0" w:type="auto"/>
            <w:gridSpan w:val="3"/>
            <w:tcBorders>
              <w:top w:val="single" w:color="000000" w:sz="5"/>
              <w:bottom w:val="single" w:color="000000" w:sz="5"/>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20" w:after="180"/>
        <w:ind w:left="120"/>
        <w:jc w:val="center"/>
      </w:pPr>
      <w:r>
        <w:rPr>
          <w:rFonts w:ascii="Times New Roman" w:hAnsi="Times New Roman"/>
          <w:b w:val="false"/>
          <w:i w:val="false"/>
          <w:color w:val="000000"/>
          <w:sz w:val="22"/>
        </w:rPr>
        <w:t xml:space="preserve"> </w:t>
      </w:r>
      <w:r>
        <w:rPr>
          <w:rFonts w:ascii="Arial" w:hAnsi="Arial"/>
          <w:b/>
          <w:i w:val="false"/>
          <w:color w:val="000000"/>
          <w:sz w:val="24"/>
        </w:rPr>
        <w:t>UNITED STATES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4"/>
        </w:rPr>
        <w:t>SECURITIES AND EXCHANGE COMMISSION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4"/>
        </w:rPr>
        <w:t>Washington, D.C. 20549</w:t>
      </w:r>
      <w:r>
        <w:rPr>
          <w:rFonts w:ascii="Times New Roman" w:hAnsi="Times New Roman"/>
          <w:b w:val="false"/>
          <w:i w:val="false"/>
          <w:color w:val="000000"/>
          <w:sz w:val="22"/>
        </w:rPr>
        <w:t xml:space="preserve"> </w:t>
      </w:r>
    </w:p>
    <w:p>
      <w:pPr>
        <w:spacing w:before="0" w:after="0"/>
        <w:ind w:left="120"/>
        <w:jc w:val="left"/>
      </w:pPr>
    </w:p>
    <w:p>
      <w:pPr>
        <w:spacing w:before="0" w:after="2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0"/>
        <w:gridCol w:w="2491"/>
        <w:gridCol w:w="40"/>
      </w:tblGrid>
      <w:tr>
        <w:trPr>
          <w:trHeight w:val="30" w:hRule="atLeast"/>
        </w:trPr>
        <w:tc>
          <w:tcPr>
            <w:tcW w:w="40" w:type="dxa"/>
            <w:tcBorders/>
            <w:tcMar>
              <w:top w:w="15" w:type="dxa"/>
              <w:left w:w="15" w:type="dxa"/>
              <w:bottom w:w="15" w:type="dxa"/>
              <w:right w:w="15" w:type="dxa"/>
            </w:tcMar>
            <w:vAlign w:val="center"/>
          </w:tcPr>
          <w:p/>
        </w:tc>
        <w:tc>
          <w:tcPr>
            <w:tcW w:w="249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60" w:hRule="atLeast"/>
        </w:trPr>
        <w:tc>
          <w:tcPr>
            <w:tcW w:w="0" w:type="auto"/>
            <w:gridSpan w:val="3"/>
            <w:tcBorders/>
            <w:tcMar>
              <w:top w:w="15" w:type="dxa"/>
              <w:left w:w="15" w:type="dxa"/>
              <w:bottom w:w="15" w:type="dxa"/>
              <w:right w:w="15" w:type="dxa"/>
            </w:tcMar>
            <w:vAlign w:val="center"/>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36"/>
        </w:rPr>
        <w:t xml:space="preserve">FORM </w:t>
      </w:r>
      <w:bookmarkStart w:name="f-1" w:id="1"/>
      <w:r>
        <w:rPr>
          <w:rFonts w:ascii="Arial" w:hAnsi="Arial"/>
          <w:b/>
          <w:i w:val="false"/>
          <w:color w:val="000000"/>
          <w:sz w:val="36"/>
        </w:rPr>
        <w:t>10-Q</w:t>
      </w:r>
      <w:bookmarkEnd w:id="1"/>
      <w:r>
        <w:rPr>
          <w:rFonts w:ascii="Arial" w:hAnsi="Arial"/>
          <w:b/>
          <w:i w:val="false"/>
          <w:color w:val="000000"/>
          <w:sz w:val="36"/>
        </w:rPr>
        <w:t xml:space="preserve"> </w:t>
      </w:r>
    </w:p>
    <w:p>
      <w:pPr>
        <w:spacing w:before="0" w:after="0"/>
        <w:ind w:left="120"/>
        <w:jc w:val="left"/>
      </w:pPr>
    </w:p>
    <w:p>
      <w:pPr>
        <w:spacing w:before="0" w:after="60"/>
        <w:ind w:left="120"/>
        <w:jc w:val="center"/>
      </w:pPr>
      <w:r>
        <w:rPr>
          <w:rFonts w:ascii="Times New Roman" w:hAnsi="Times New Roman"/>
          <w:b w:val="false"/>
          <w:i w:val="false"/>
          <w:color w:val="000000"/>
          <w:sz w:val="22"/>
        </w:rPr>
        <w:t xml:space="preserve"> </w:t>
      </w:r>
      <w:bookmarkStart w:name="f-2" w:id="2"/>
      <w:r>
        <w:rPr>
          <w:rFonts w:ascii="Arial Unicode MS" w:hAnsi="Arial Unicode MS"/>
          <w:b w:val="false"/>
          <w:i w:val="false"/>
          <w:color w:val="000000"/>
          <w:sz w:val="24"/>
        </w:rPr>
        <w:t>☒</w:t>
      </w:r>
      <w:bookmarkEnd w:id="2"/>
      <w:r>
        <w:rPr>
          <w:rFonts w:ascii="Arial Unicode MS" w:hAnsi="Arial Unicode MS"/>
          <w:b w:val="false"/>
          <w:i w:val="false"/>
          <w:color w:val="000000"/>
          <w:sz w:val="24"/>
        </w:rPr>
        <w:t xml:space="preserve"> </w:t>
      </w:r>
      <w:r>
        <w:rPr>
          <w:rFonts w:ascii="Arial" w:hAnsi="Arial"/>
          <w:b/>
          <w:i w:val="false"/>
          <w:color w:val="000000"/>
          <w:sz w:val="18"/>
        </w:rPr>
        <w:t>    QUARTERLY REPORT PURSUANT TO SECTION 13 OR 15(d) OF THE SECURITIES EXCHANGE ACT OF 1934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 xml:space="preserve">For the quarterly period ended </w:t>
      </w:r>
      <w:bookmarkStart w:name="f-3" w:id="3"/>
      <w:r>
        <w:rPr>
          <w:rFonts w:ascii="Arial" w:hAnsi="Arial"/>
          <w:b w:val="false"/>
          <w:i w:val="false"/>
          <w:color w:val="000000"/>
          <w:sz w:val="18"/>
        </w:rPr>
        <w:t>June 30, 2025</w:t>
      </w:r>
      <w:bookmarkEnd w:id="3"/>
      <w:r>
        <w:rPr>
          <w:rFonts w:ascii="Arial" w:hAnsi="Arial"/>
          <w:b w:val="false"/>
          <w:i w:val="false"/>
          <w:color w:val="000000"/>
          <w:sz w:val="18"/>
        </w:rPr>
        <w:t xml:space="preserve"> </w:t>
      </w:r>
    </w:p>
    <w:p>
      <w:pPr>
        <w:spacing w:before="0" w:after="0"/>
        <w:ind w:left="120"/>
        <w:jc w:val="left"/>
      </w:pPr>
    </w:p>
    <w:p>
      <w:pPr>
        <w:spacing w:before="80" w:after="8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or</w:t>
      </w:r>
      <w:r>
        <w:rPr>
          <w:rFonts w:ascii="Times New Roman" w:hAnsi="Times New Roman"/>
          <w:b w:val="false"/>
          <w:i w:val="false"/>
          <w:color w:val="000000"/>
          <w:sz w:val="22"/>
        </w:rPr>
        <w:t xml:space="preserve"> </w:t>
      </w:r>
    </w:p>
    <w:p>
      <w:pPr>
        <w:spacing w:before="0" w:after="0"/>
        <w:ind w:left="120"/>
        <w:jc w:val="left"/>
      </w:pPr>
    </w:p>
    <w:p>
      <w:pPr>
        <w:spacing w:before="80" w:after="40"/>
        <w:ind w:left="120"/>
        <w:jc w:val="center"/>
      </w:pPr>
      <w:r>
        <w:rPr>
          <w:rFonts w:ascii="Times New Roman" w:hAnsi="Times New Roman"/>
          <w:b w:val="false"/>
          <w:i w:val="false"/>
          <w:color w:val="000000"/>
          <w:sz w:val="22"/>
        </w:rPr>
        <w:t xml:space="preserve"> </w:t>
      </w:r>
      <w:bookmarkStart w:name="f-4" w:id="4"/>
      <w:r>
        <w:rPr>
          <w:rFonts w:ascii="Arial Unicode MS" w:hAnsi="Arial Unicode MS"/>
          <w:b w:val="false"/>
          <w:i w:val="false"/>
          <w:color w:val="000000"/>
          <w:sz w:val="24"/>
        </w:rPr>
        <w:t>☐</w:t>
      </w:r>
      <w:bookmarkEnd w:id="4"/>
      <w:r>
        <w:rPr>
          <w:rFonts w:ascii="Arial Unicode MS" w:hAnsi="Arial Unicode MS"/>
          <w:b w:val="false"/>
          <w:i w:val="false"/>
          <w:color w:val="000000"/>
          <w:sz w:val="24"/>
        </w:rPr>
        <w:t xml:space="preserve"> </w:t>
      </w:r>
      <w:r>
        <w:rPr>
          <w:rFonts w:ascii="Arial" w:hAnsi="Arial"/>
          <w:b w:val="false"/>
          <w:i w:val="false"/>
          <w:color w:val="000000"/>
          <w:sz w:val="18"/>
        </w:rPr>
        <w:t>    </w:t>
      </w:r>
      <w:r>
        <w:rPr>
          <w:rFonts w:ascii="Times New Roman" w:hAnsi="Times New Roman"/>
          <w:b w:val="false"/>
          <w:i w:val="false"/>
          <w:color w:val="000000"/>
          <w:sz w:val="22"/>
        </w:rPr>
        <w:t xml:space="preserve"> </w:t>
      </w:r>
      <w:r>
        <w:rPr>
          <w:rFonts w:ascii="Arial" w:hAnsi="Arial"/>
          <w:b/>
          <w:i w:val="false"/>
          <w:color w:val="000000"/>
          <w:sz w:val="18"/>
        </w:rPr>
        <w:t>TRANSITION REPORT PURSUANT TO SECTION 13 OR 15(d) OF THE SECURITIES EXCHANGE ACT OF 1934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For the transition period from</w:t>
      </w:r>
      <w:r>
        <w:rPr>
          <w:rFonts w:ascii="Times New Roman" w:hAnsi="Times New Roman"/>
          <w:b w:val="false"/>
          <w:i w:val="false"/>
          <w:color w:val="000000"/>
          <w:sz w:val="22"/>
        </w:rPr>
        <w:t xml:space="preserve"> </w:t>
      </w:r>
      <w:r>
        <w:rPr>
          <w:rFonts w:ascii="Arial" w:hAnsi="Arial"/>
          <w:b w:val="false"/>
          <w:i w:val="false"/>
          <w:color w:val="ffffff"/>
          <w:sz w:val="18"/>
        </w:rPr>
        <w:t>_____</w:t>
      </w:r>
      <w:r>
        <w:rPr>
          <w:rFonts w:ascii="Times New Roman" w:hAnsi="Times New Roman"/>
          <w:b w:val="false"/>
          <w:i w:val="false"/>
          <w:color w:val="000000"/>
          <w:sz w:val="22"/>
        </w:rPr>
        <w:t xml:space="preserve"> </w:t>
      </w:r>
      <w:r>
        <w:rPr>
          <w:rFonts w:ascii="Arial" w:hAnsi="Arial"/>
          <w:b w:val="false"/>
          <w:i w:val="false"/>
          <w:color w:val="000000"/>
          <w:sz w:val="18"/>
        </w:rPr>
        <w:t>to</w:t>
      </w:r>
      <w:r>
        <w:rPr>
          <w:rFonts w:ascii="Times New Roman" w:hAnsi="Times New Roman"/>
          <w:b w:val="false"/>
          <w:i w:val="false"/>
          <w:color w:val="000000"/>
          <w:sz w:val="22"/>
        </w:rPr>
        <w:t xml:space="preserve"> </w:t>
      </w:r>
      <w:r>
        <w:rPr>
          <w:rFonts w:ascii="Arial" w:hAnsi="Arial"/>
          <w:b w:val="false"/>
          <w:i w:val="false"/>
          <w:color w:val="ffffff"/>
          <w:sz w:val="18"/>
        </w:rPr>
        <w:t>_____</w:t>
      </w:r>
      <w:r>
        <w:rPr>
          <w:rFonts w:ascii="Times New Roman" w:hAnsi="Times New Roman"/>
          <w:b w:val="false"/>
          <w:i w:val="false"/>
          <w:color w:val="000000"/>
          <w:sz w:val="22"/>
        </w:rPr>
        <w:t xml:space="preserve"> </w:t>
      </w:r>
      <w:r>
        <w:rPr>
          <w:rFonts w:ascii="Arial" w:hAnsi="Arial"/>
          <w:b w:val="false"/>
          <w:i w:val="false"/>
          <w:color w:val="000000"/>
          <w:sz w:val="18"/>
        </w:rPr>
        <w:t>.</w:t>
      </w:r>
      <w:r>
        <w:rPr>
          <w:rFonts w:ascii="Times New Roman" w:hAnsi="Times New Roman"/>
          <w:b w:val="false"/>
          <w:i w:val="false"/>
          <w:color w:val="000000"/>
          <w:sz w:val="22"/>
        </w:rPr>
        <w:t xml:space="preserve"> </w:t>
      </w:r>
    </w:p>
    <w:p>
      <w:pPr>
        <w:spacing w:before="0" w:after="0"/>
        <w:ind w:left="120"/>
        <w:jc w:val="left"/>
      </w:pPr>
    </w:p>
    <w:p>
      <w:pPr>
        <w:spacing w:before="6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8"/>
        </w:rPr>
        <w:t>Commission File Number:</w:t>
      </w:r>
      <w:r>
        <w:rPr>
          <w:rFonts w:ascii="Times New Roman" w:hAnsi="Times New Roman"/>
          <w:b w:val="false"/>
          <w:i w:val="false"/>
          <w:color w:val="000000"/>
          <w:sz w:val="22"/>
        </w:rPr>
        <w:t xml:space="preserve"> </w:t>
      </w:r>
      <w:bookmarkStart w:name="f-5" w:id="5"/>
      <w:r>
        <w:rPr>
          <w:rFonts w:ascii="Arial" w:hAnsi="Arial"/>
          <w:b/>
          <w:i w:val="false"/>
          <w:color w:val="000000"/>
          <w:sz w:val="18"/>
        </w:rPr>
        <w:t>001-37983</w:t>
      </w:r>
      <w:bookmarkEnd w:id="5"/>
      <w:r>
        <w:rPr>
          <w:rFonts w:ascii="Arial" w:hAnsi="Arial"/>
          <w:b/>
          <w:i w:val="false"/>
          <w:color w:val="000000"/>
          <w:sz w:val="18"/>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bookmarkStart w:name="f-6" w:id="6"/>
      <w:r>
        <w:rPr>
          <w:rFonts w:ascii="Arial" w:hAnsi="Arial"/>
          <w:b/>
          <w:i w:val="false"/>
          <w:color w:val="000000"/>
          <w:sz w:val="44"/>
        </w:rPr>
        <w:t>TechnipFMC plc</w:t>
      </w:r>
      <w:bookmarkEnd w:id="6"/>
      <w:r>
        <w:rPr>
          <w:rFonts w:ascii="Arial" w:hAnsi="Arial"/>
          <w:b/>
          <w:i w:val="false"/>
          <w:color w:val="000000"/>
          <w:sz w:val="44"/>
        </w:rPr>
        <w:t xml:space="preserve"> </w:t>
      </w:r>
    </w:p>
    <w:p>
      <w:pPr>
        <w:spacing w:before="0" w:after="0"/>
        <w:ind w:left="120"/>
        <w:jc w:val="left"/>
      </w:pPr>
    </w:p>
    <w:p>
      <w:pPr>
        <w:spacing w:before="6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4"/>
        </w:rPr>
        <w:t>(Exact name of registrant as specified in its charter)</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5"/>
        <w:gridCol w:w="6016"/>
        <w:gridCol w:w="397"/>
        <w:gridCol w:w="384"/>
        <w:gridCol w:w="6016"/>
        <w:gridCol w:w="386"/>
      </w:tblGrid>
      <w:tr>
        <w:trPr>
          <w:trHeight w:val="30" w:hRule="atLeast"/>
        </w:trPr>
        <w:tc>
          <w:tcPr>
            <w:tcW w:w="395" w:type="dxa"/>
            <w:tcBorders/>
            <w:tcMar>
              <w:top w:w="15" w:type="dxa"/>
              <w:left w:w="15" w:type="dxa"/>
              <w:bottom w:w="15" w:type="dxa"/>
              <w:right w:w="15" w:type="dxa"/>
            </w:tcMar>
            <w:vAlign w:val="center"/>
          </w:tcPr>
          <w:p/>
        </w:tc>
        <w:tc>
          <w:tcPr>
            <w:tcW w:w="6016" w:type="dxa"/>
            <w:tcBorders/>
            <w:tcMar>
              <w:top w:w="15" w:type="dxa"/>
              <w:left w:w="15" w:type="dxa"/>
              <w:bottom w:w="15" w:type="dxa"/>
              <w:right w:w="15" w:type="dxa"/>
            </w:tcMar>
            <w:vAlign w:val="center"/>
          </w:tcPr>
          <w:p/>
        </w:tc>
        <w:tc>
          <w:tcPr>
            <w:tcW w:w="397" w:type="dxa"/>
            <w:tcBorders/>
            <w:tcMar>
              <w:top w:w="15" w:type="dxa"/>
              <w:left w:w="15" w:type="dxa"/>
              <w:bottom w:w="15" w:type="dxa"/>
              <w:right w:w="15" w:type="dxa"/>
            </w:tcMar>
            <w:vAlign w:val="center"/>
          </w:tcPr>
          <w:p/>
        </w:tc>
        <w:tc>
          <w:tcPr>
            <w:tcW w:w="384" w:type="dxa"/>
            <w:tcBorders/>
            <w:tcMar>
              <w:top w:w="15" w:type="dxa"/>
              <w:left w:w="15" w:type="dxa"/>
              <w:bottom w:w="15" w:type="dxa"/>
              <w:right w:w="15" w:type="dxa"/>
            </w:tcMar>
            <w:vAlign w:val="center"/>
          </w:tcPr>
          <w:p/>
        </w:tc>
        <w:tc>
          <w:tcPr>
            <w:tcW w:w="6016" w:type="dxa"/>
            <w:tcBorders/>
            <w:tcMar>
              <w:top w:w="15" w:type="dxa"/>
              <w:left w:w="15" w:type="dxa"/>
              <w:bottom w:w="15" w:type="dxa"/>
              <w:right w:w="15" w:type="dxa"/>
            </w:tcMar>
            <w:vAlign w:val="center"/>
          </w:tcPr>
          <w:p/>
        </w:tc>
        <w:tc>
          <w:tcPr>
            <w:tcW w:w="386"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7" w:id="7"/>
            <w:r>
              <w:rPr>
                <w:rFonts w:ascii="Arial" w:hAnsi="Arial"/>
                <w:b/>
                <w:i w:val="false"/>
                <w:color w:val="000000"/>
                <w:sz w:val="18"/>
              </w:rPr>
              <w:t>United Kingdom</w:t>
            </w:r>
            <w:bookmarkEnd w:id="7"/>
            <w:r>
              <w:rPr>
                <w:rFonts w:ascii="Arial" w:hAnsi="Arial"/>
                <w:b/>
                <w:i w:val="false"/>
                <w:color w:val="000000"/>
                <w:sz w:val="18"/>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8" w:id="8"/>
            <w:r>
              <w:rPr>
                <w:rFonts w:ascii="Arial" w:hAnsi="Arial"/>
                <w:b/>
                <w:i w:val="false"/>
                <w:color w:val="000000"/>
                <w:sz w:val="18"/>
              </w:rPr>
              <w:t>98-1283037</w:t>
            </w:r>
            <w:bookmarkEnd w:id="8"/>
            <w:r>
              <w:rPr>
                <w:rFonts w:ascii="Arial" w:hAnsi="Arial"/>
                <w:b/>
                <w:i w:val="false"/>
                <w:color w:val="000000"/>
                <w:sz w:val="18"/>
              </w:rPr>
              <w:t xml:space="preserve"> </w:t>
            </w:r>
          </w:p>
        </w:tc>
      </w:tr>
      <w:tr>
        <w:trPr>
          <w:trHeight w:val="315" w:hRule="atLeast"/>
        </w:trPr>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 xml:space="preserve">(State or other jurisdiction of incorporation or organization) </w:t>
            </w:r>
            <w:r>
              <w:br/>
            </w:r>
            <w:r>
              <w:rPr>
                <w:rFonts w:ascii="Arial" w:hAnsi="Arial"/>
                <w:b w:val="false"/>
                <w:i w:val="false"/>
                <w:color w:val="000000"/>
                <w:sz w:val="14"/>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(I.R.S. Employer Identification No.)</w:t>
            </w:r>
            <w:r>
              <w:rPr>
                <w:rFonts w:ascii="Times New Roman" w:hAnsi="Times New Roman"/>
                <w:b w:val="false"/>
                <w:i w:val="false"/>
                <w:color w:val="000000"/>
                <w:sz w:val="22"/>
              </w:rPr>
              <w:t xml:space="preserve"> </w:t>
            </w:r>
          </w:p>
        </w:tc>
      </w:tr>
      <w:tr>
        <w:trPr/>
      </w:tr>
      <w:tr>
        <w:trPr/>
      </w:tr>
      <w:tr>
        <w:trPr/>
      </w:tr>
      <w:tr>
        <w:trPr/>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9" w:id="9"/>
            <w:r>
              <w:rPr>
                <w:rFonts w:ascii="Arial" w:hAnsi="Arial"/>
                <w:b/>
                <w:i w:val="false"/>
                <w:color w:val="000000"/>
                <w:sz w:val="18"/>
              </w:rPr>
              <w:t>One Subsea Lane</w:t>
            </w:r>
            <w:bookmarkEnd w:id="9"/>
            <w:r>
              <w:rPr>
                <w:rFonts w:ascii="Arial" w:hAnsi="Arial"/>
                <w:b/>
                <w:i w:val="false"/>
                <w:color w:val="000000"/>
                <w:sz w:val="18"/>
              </w:rPr>
              <w:t xml:space="preserve"> </w:t>
            </w:r>
          </w:p>
        </w:tc>
        <w:tc>
          <w:tcPr>
            <w:tcW w:w="0" w:type="auto"/>
            <w:gridSpan w:val="3"/>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bookmarkStart w:name="f-10" w:id="10"/>
            <w:r>
              <w:rPr>
                <w:rFonts w:ascii="Arial" w:hAnsi="Arial"/>
                <w:b/>
                <w:i w:val="false"/>
                <w:color w:val="000000"/>
                <w:sz w:val="18"/>
              </w:rPr>
              <w:t>Houston</w:t>
            </w:r>
            <w:bookmarkEnd w:id="10"/>
            <w:r>
              <w:rPr>
                <w:rFonts w:ascii="Arial" w:hAnsi="Arial"/>
                <w:b/>
                <w:i w:val="false"/>
                <w:color w:val="000000"/>
                <w:sz w:val="18"/>
              </w:rPr>
              <w:t xml:space="preserve"> , </w:t>
            </w:r>
            <w:bookmarkStart w:name="f-11" w:id="11"/>
            <w:r>
              <w:rPr>
                <w:rFonts w:ascii="Arial" w:hAnsi="Arial"/>
                <w:b/>
                <w:i w:val="false"/>
                <w:color w:val="000000"/>
                <w:sz w:val="18"/>
              </w:rPr>
              <w:t>Texas</w:t>
            </w:r>
            <w:bookmarkEnd w:id="11"/>
            <w:r>
              <w:rPr>
                <w:rFonts w:ascii="Arial" w:hAnsi="Arial"/>
                <w:b/>
                <w:i w:val="false"/>
                <w:color w:val="000000"/>
                <w:sz w:val="18"/>
              </w:rPr>
              <w:t xml:space="preserve"> </w:t>
            </w:r>
          </w:p>
        </w:tc>
        <w:tc>
          <w:tcPr>
            <w:tcW w:w="0" w:type="auto"/>
            <w:gridSpan w:val="3"/>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12" w:id="12"/>
            <w:r>
              <w:rPr>
                <w:rFonts w:ascii="Arial" w:hAnsi="Arial"/>
                <w:b/>
                <w:i w:val="false"/>
                <w:color w:val="000000"/>
                <w:sz w:val="18"/>
              </w:rPr>
              <w:t>United States of America</w:t>
            </w:r>
            <w:bookmarkEnd w:id="12"/>
            <w:r>
              <w:rPr>
                <w:rFonts w:ascii="Arial" w:hAnsi="Arial"/>
                <w:b/>
                <w:i w:val="false"/>
                <w:color w:val="000000"/>
                <w:sz w:val="18"/>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bookmarkStart w:name="f-13" w:id="13"/>
            <w:r>
              <w:rPr>
                <w:rFonts w:ascii="Arial" w:hAnsi="Arial"/>
                <w:b/>
                <w:i w:val="false"/>
                <w:color w:val="000000"/>
                <w:sz w:val="18"/>
              </w:rPr>
              <w:t>77044</w:t>
            </w:r>
            <w:bookmarkEnd w:id="13"/>
            <w:r>
              <w:rPr>
                <w:rFonts w:ascii="Arial" w:hAnsi="Arial"/>
                <w:b/>
                <w:i w:val="false"/>
                <w:color w:val="000000"/>
                <w:sz w:val="18"/>
              </w:rPr>
              <w:t xml:space="preserve"> </w:t>
            </w:r>
          </w:p>
        </w:tc>
      </w:tr>
      <w:tr>
        <w:trPr>
          <w:trHeight w:val="315" w:hRule="atLeast"/>
        </w:trPr>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(Address of principal executive offices)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(Zip Code)</w:t>
            </w:r>
            <w:r>
              <w:rPr>
                <w:rFonts w:ascii="Times New Roman" w:hAnsi="Times New Roman"/>
                <w:b w:val="false"/>
                <w:i w:val="false"/>
                <w:color w:val="000000"/>
                <w:sz w:val="22"/>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 xml:space="preserve">+ </w:t>
      </w:r>
      <w:bookmarkStart w:name="f-14" w:id="14"/>
      <w:r>
        <w:rPr>
          <w:rFonts w:ascii="Arial" w:hAnsi="Arial"/>
          <w:b/>
          <w:i w:val="false"/>
          <w:color w:val="000000"/>
          <w:sz w:val="18"/>
        </w:rPr>
        <w:t>1</w:t>
      </w:r>
      <w:bookmarkEnd w:id="14"/>
      <w:r>
        <w:rPr>
          <w:rFonts w:ascii="Arial" w:hAnsi="Arial"/>
          <w:b/>
          <w:i w:val="false"/>
          <w:color w:val="000000"/>
          <w:sz w:val="18"/>
        </w:rPr>
        <w:t xml:space="preserve"> </w:t>
      </w:r>
      <w:bookmarkStart w:name="f-15" w:id="15"/>
      <w:r>
        <w:rPr>
          <w:rFonts w:ascii="Arial" w:hAnsi="Arial"/>
          <w:b/>
          <w:i w:val="false"/>
          <w:color w:val="000000"/>
          <w:sz w:val="18"/>
        </w:rPr>
        <w:t>281</w:t>
      </w:r>
      <w:bookmarkEnd w:id="15"/>
      <w:r>
        <w:rPr>
          <w:rFonts w:ascii="Arial" w:hAnsi="Arial"/>
          <w:b/>
          <w:i w:val="false"/>
          <w:color w:val="000000"/>
          <w:sz w:val="18"/>
        </w:rPr>
        <w:t xml:space="preserve"> - </w:t>
      </w:r>
      <w:bookmarkStart w:name="f-16" w:id="16"/>
      <w:r>
        <w:rPr>
          <w:rFonts w:ascii="Arial" w:hAnsi="Arial"/>
          <w:b/>
          <w:i w:val="false"/>
          <w:color w:val="000000"/>
          <w:sz w:val="18"/>
        </w:rPr>
        <w:t>591-4000</w:t>
      </w:r>
      <w:bookmarkEnd w:id="16"/>
      <w:r>
        <w:rPr>
          <w:rFonts w:ascii="Arial" w:hAnsi="Arial"/>
          <w:b/>
          <w:i w:val="false"/>
          <w:color w:val="000000"/>
          <w:sz w:val="18"/>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4"/>
        </w:rPr>
        <w:t>(Registrant’s telephone number, including area code)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4"/>
        </w:rPr>
        <w:t>______________________________________________________</w:t>
      </w:r>
      <w:r>
        <w:rPr>
          <w:rFonts w:ascii="Times New Roman" w:hAnsi="Times New Roman"/>
          <w:b w:val="false"/>
          <w:i w:val="false"/>
          <w:color w:val="000000"/>
          <w:sz w:val="22"/>
        </w:rPr>
        <w:t xml:space="preserve"> </w:t>
      </w:r>
    </w:p>
    <w:p>
      <w:pPr>
        <w:spacing w:before="0" w:after="0"/>
        <w:ind w:left="120"/>
        <w:jc w:val="left"/>
      </w:pPr>
    </w:p>
    <w:p>
      <w:pPr>
        <w:spacing w:before="0" w:after="6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54"/>
        <w:gridCol w:w="2383"/>
        <w:gridCol w:w="155"/>
        <w:gridCol w:w="155"/>
        <w:gridCol w:w="2384"/>
        <w:gridCol w:w="156"/>
        <w:gridCol w:w="298"/>
        <w:gridCol w:w="2146"/>
        <w:gridCol w:w="299"/>
        <w:gridCol w:w="182"/>
        <w:gridCol w:w="2386"/>
        <w:gridCol w:w="183"/>
        <w:gridCol w:w="183"/>
        <w:gridCol w:w="2387"/>
        <w:gridCol w:w="183"/>
      </w:tblGrid>
      <w:tr>
        <w:trPr>
          <w:trHeight w:val="30" w:hRule="atLeast"/>
        </w:trPr>
        <w:tc>
          <w:tcPr>
            <w:tcW w:w="154" w:type="dxa"/>
            <w:tcBorders/>
            <w:tcMar>
              <w:top w:w="15" w:type="dxa"/>
              <w:left w:w="15" w:type="dxa"/>
              <w:bottom w:w="15" w:type="dxa"/>
              <w:right w:w="15" w:type="dxa"/>
            </w:tcMar>
            <w:vAlign w:val="center"/>
          </w:tcPr>
          <w:p/>
        </w:tc>
        <w:tc>
          <w:tcPr>
            <w:tcW w:w="2383"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2384" w:type="dxa"/>
            <w:tcBorders/>
            <w:tcMar>
              <w:top w:w="15" w:type="dxa"/>
              <w:left w:w="15" w:type="dxa"/>
              <w:bottom w:w="15" w:type="dxa"/>
              <w:right w:w="15" w:type="dxa"/>
            </w:tcMar>
            <w:vAlign w:val="center"/>
          </w:tcPr>
          <w:p/>
        </w:tc>
        <w:tc>
          <w:tcPr>
            <w:tcW w:w="156" w:type="dxa"/>
            <w:tcBorders/>
            <w:tcMar>
              <w:top w:w="15" w:type="dxa"/>
              <w:left w:w="15" w:type="dxa"/>
              <w:bottom w:w="15" w:type="dxa"/>
              <w:right w:w="15" w:type="dxa"/>
            </w:tcMar>
            <w:vAlign w:val="center"/>
          </w:tcPr>
          <w:p/>
        </w:tc>
        <w:tc>
          <w:tcPr>
            <w:tcW w:w="298" w:type="dxa"/>
            <w:tcBorders/>
            <w:tcMar>
              <w:top w:w="15" w:type="dxa"/>
              <w:left w:w="15" w:type="dxa"/>
              <w:bottom w:w="15" w:type="dxa"/>
              <w:right w:w="15" w:type="dxa"/>
            </w:tcMar>
            <w:vAlign w:val="center"/>
          </w:tcPr>
          <w:p/>
        </w:tc>
        <w:tc>
          <w:tcPr>
            <w:tcW w:w="2146" w:type="dxa"/>
            <w:tcBorders/>
            <w:tcMar>
              <w:top w:w="15" w:type="dxa"/>
              <w:left w:w="15" w:type="dxa"/>
              <w:bottom w:w="15" w:type="dxa"/>
              <w:right w:w="15" w:type="dxa"/>
            </w:tcMar>
            <w:vAlign w:val="center"/>
          </w:tcPr>
          <w:p/>
        </w:tc>
        <w:tc>
          <w:tcPr>
            <w:tcW w:w="299" w:type="dxa"/>
            <w:tcBorders/>
            <w:tcMar>
              <w:top w:w="15" w:type="dxa"/>
              <w:left w:w="15" w:type="dxa"/>
              <w:bottom w:w="15" w:type="dxa"/>
              <w:right w:w="15" w:type="dxa"/>
            </w:tcMar>
            <w:vAlign w:val="center"/>
          </w:tcPr>
          <w:p/>
        </w:tc>
        <w:tc>
          <w:tcPr>
            <w:tcW w:w="182" w:type="dxa"/>
            <w:tcBorders/>
            <w:tcMar>
              <w:top w:w="15" w:type="dxa"/>
              <w:left w:w="15" w:type="dxa"/>
              <w:bottom w:w="15" w:type="dxa"/>
              <w:right w:w="15" w:type="dxa"/>
            </w:tcMar>
            <w:vAlign w:val="center"/>
          </w:tcPr>
          <w:p/>
        </w:tc>
        <w:tc>
          <w:tcPr>
            <w:tcW w:w="2386" w:type="dxa"/>
            <w:tcBorders/>
            <w:tcMar>
              <w:top w:w="15" w:type="dxa"/>
              <w:left w:w="15" w:type="dxa"/>
              <w:bottom w:w="15" w:type="dxa"/>
              <w:right w:w="15" w:type="dxa"/>
            </w:tcMar>
            <w:vAlign w:val="center"/>
          </w:tcPr>
          <w:p/>
        </w:tc>
        <w:tc>
          <w:tcPr>
            <w:tcW w:w="183" w:type="dxa"/>
            <w:tcBorders/>
            <w:tcMar>
              <w:top w:w="15" w:type="dxa"/>
              <w:left w:w="15" w:type="dxa"/>
              <w:bottom w:w="15" w:type="dxa"/>
              <w:right w:w="15" w:type="dxa"/>
            </w:tcMar>
            <w:vAlign w:val="center"/>
          </w:tcPr>
          <w:p/>
        </w:tc>
        <w:tc>
          <w:tcPr>
            <w:tcW w:w="183" w:type="dxa"/>
            <w:tcBorders/>
            <w:tcMar>
              <w:top w:w="15" w:type="dxa"/>
              <w:left w:w="15" w:type="dxa"/>
              <w:bottom w:w="15" w:type="dxa"/>
              <w:right w:w="15" w:type="dxa"/>
            </w:tcMar>
            <w:vAlign w:val="center"/>
          </w:tcPr>
          <w:p/>
        </w:tc>
        <w:tc>
          <w:tcPr>
            <w:tcW w:w="2387" w:type="dxa"/>
            <w:tcBorders/>
            <w:tcMar>
              <w:top w:w="15" w:type="dxa"/>
              <w:left w:w="15" w:type="dxa"/>
              <w:bottom w:w="15" w:type="dxa"/>
              <w:right w:w="15" w:type="dxa"/>
            </w:tcMar>
            <w:vAlign w:val="center"/>
          </w:tcPr>
          <w:p/>
        </w:tc>
        <w:tc>
          <w:tcPr>
            <w:tcW w:w="183" w:type="dxa"/>
            <w:tcBorders/>
            <w:tcMar>
              <w:top w:w="15" w:type="dxa"/>
              <w:left w:w="15" w:type="dxa"/>
              <w:bottom w:w="15" w:type="dxa"/>
              <w:right w:w="15" w:type="dxa"/>
            </w:tcMar>
            <w:vAlign w:val="center"/>
          </w:tcPr>
          <w:p/>
        </w:tc>
      </w:tr>
      <w:tr>
        <w:trPr>
          <w:trHeight w:val="315" w:hRule="atLeast"/>
        </w:trPr>
        <w:tc>
          <w:tcPr>
            <w:tcW w:w="0" w:type="auto"/>
            <w:gridSpan w:val="15"/>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Securities registered pursuant to Section 12(b) of the Act:</w:t>
            </w:r>
            <w:r>
              <w:rPr>
                <w:rFonts w:ascii="Times New Roman" w:hAnsi="Times New Roman"/>
                <w:b w:val="false"/>
                <w:i w:val="false"/>
                <w:color w:val="000000"/>
                <w:sz w:val="22"/>
              </w:rPr>
              <w:t xml:space="preserve"> </w:t>
            </w:r>
          </w:p>
        </w:tc>
      </w:tr>
      <w:tr>
        <w:trPr>
          <w:trHeight w:val="315" w:hRule="atLeast"/>
        </w:trPr>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Title of each class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Trading Symbol</w:t>
            </w:r>
            <w:r>
              <w:rPr>
                <w:rFonts w:ascii="Times New Roman" w:hAnsi="Times New Roman"/>
                <w:b w:val="false"/>
                <w:i w:val="false"/>
                <w:color w:val="000000"/>
                <w:sz w:val="22"/>
              </w:rPr>
              <w:t xml:space="preserve"> </w:t>
            </w:r>
          </w:p>
        </w:tc>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Name of each exchange on which registered</w:t>
            </w:r>
            <w:r>
              <w:rPr>
                <w:rFonts w:ascii="Times New Roman" w:hAnsi="Times New Roman"/>
                <w:b w:val="false"/>
                <w:i w:val="false"/>
                <w:color w:val="000000"/>
                <w:sz w:val="22"/>
              </w:rPr>
              <w:t xml:space="preserve"> </w:t>
            </w:r>
          </w:p>
        </w:tc>
      </w:tr>
      <w:tr>
        <w:trPr>
          <w:trHeight w:val="315" w:hRule="atLeast"/>
        </w:trPr>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7" w:id="17"/>
            <w:r>
              <w:rPr>
                <w:rFonts w:ascii="Arial" w:hAnsi="Arial"/>
                <w:b w:val="false"/>
                <w:i w:val="false"/>
                <w:color w:val="000000"/>
                <w:sz w:val="16"/>
              </w:rPr>
              <w:t>Ordinary shares, $1.00 par value per share</w:t>
            </w:r>
            <w:bookmarkEnd w:id="17"/>
            <w:r>
              <w:rPr>
                <w:rFonts w:ascii="Arial" w:hAnsi="Arial"/>
                <w:b w:val="false"/>
                <w:i w:val="false"/>
                <w:color w:val="000000"/>
                <w:sz w:val="16"/>
              </w:rPr>
              <w:t xml:space="preserve"> </w:t>
            </w: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8" w:id="18"/>
            <w:r>
              <w:rPr>
                <w:rFonts w:ascii="Arial" w:hAnsi="Arial"/>
                <w:b w:val="false"/>
                <w:i w:val="false"/>
                <w:color w:val="000000"/>
                <w:sz w:val="16"/>
              </w:rPr>
              <w:t>FTI</w:t>
            </w:r>
            <w:bookmarkEnd w:id="18"/>
            <w:r>
              <w:rPr>
                <w:rFonts w:ascii="Arial" w:hAnsi="Arial"/>
                <w:b w:val="false"/>
                <w:i w:val="false"/>
                <w:color w:val="000000"/>
                <w:sz w:val="16"/>
              </w:rPr>
              <w:t xml:space="preserve"> </w:t>
            </w:r>
          </w:p>
        </w:tc>
        <w:tc>
          <w:tcPr>
            <w:tcW w:w="0" w:type="auto"/>
            <w:gridSpan w:val="6"/>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19" w:id="19"/>
            <w:r>
              <w:rPr>
                <w:rFonts w:ascii="Arial" w:hAnsi="Arial"/>
                <w:b w:val="false"/>
                <w:i w:val="false"/>
                <w:color w:val="000000"/>
                <w:sz w:val="16"/>
              </w:rPr>
              <w:t>New York Stock Exchange</w:t>
            </w:r>
            <w:bookmarkEnd w:id="19"/>
            <w:r>
              <w:rPr>
                <w:rFonts w:ascii="Arial" w:hAnsi="Arial"/>
                <w:b w:val="false"/>
                <w:i w:val="false"/>
                <w:color w:val="000000"/>
                <w:sz w:val="16"/>
              </w:rPr>
              <w:t xml:space="preserve"> </w:t>
            </w:r>
          </w:p>
        </w:tc>
      </w:tr>
      <w:tr>
        <w:trPr/>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Indicate by check mark whether the registrant (1) has filed all reports required to be filed by Section 13 or 15(d) of the Securities Exchange Act of 1934 during the preceding 12 months (or for such shorter period that the registrant was required to file such reports), and (2) has been subject to such filing requirements for the past 90 days. </w:t>
      </w:r>
      <w:bookmarkStart w:name="f-20" w:id="20"/>
      <w:r>
        <w:rPr>
          <w:rFonts w:ascii="Arial" w:hAnsi="Arial"/>
          <w:b w:val="false"/>
          <w:i w:val="false"/>
          <w:color w:val="000000"/>
          <w:sz w:val="16"/>
        </w:rPr>
        <w:t>Yes</w:t>
      </w:r>
      <w:bookmarkEnd w:id="20"/>
      <w:r>
        <w:rPr>
          <w:rFonts w:ascii="Arial" w:hAnsi="Arial"/>
          <w:b w:val="false"/>
          <w:i w:val="false"/>
          <w:color w:val="000000"/>
          <w:sz w:val="16"/>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No</w:t>
      </w: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 xml:space="preserve">Indicate by check mark whether the registrant has submitted electronically every Interactive Data File required to be submitted pursuant to Rule 405 of Regulation S-T (§232.405 of this chapter) during the preceding 12 months (or for such shorter period that the registrant was required to submit such files). </w:t>
      </w:r>
      <w:bookmarkStart w:name="f-21" w:id="21"/>
      <w:r>
        <w:rPr>
          <w:rFonts w:ascii="Arial" w:hAnsi="Arial"/>
          <w:b w:val="false"/>
          <w:i w:val="false"/>
          <w:color w:val="000000"/>
          <w:sz w:val="16"/>
        </w:rPr>
        <w:t>Yes</w:t>
      </w:r>
      <w:bookmarkEnd w:id="21"/>
      <w:r>
        <w:rPr>
          <w:rFonts w:ascii="Arial" w:hAnsi="Arial"/>
          <w:b w:val="false"/>
          <w:i w:val="false"/>
          <w:color w:val="000000"/>
          <w:sz w:val="16"/>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No</w:t>
      </w: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the registrant is a large accelerated filer, an accelerated filer, a non-accelerated filer, a smaller reporting company, or an emerging growth company. See the definitions of “large accelerated filer,” “accelerated filer,” “smaller reporting company,” and “emerging growth company” in Rule 12b-2 of the Exchange Act.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05"/>
        <w:gridCol w:w="3089"/>
        <w:gridCol w:w="405"/>
        <w:gridCol w:w="128"/>
        <w:gridCol w:w="5248"/>
        <w:gridCol w:w="58"/>
        <w:gridCol w:w="412"/>
        <w:gridCol w:w="3091"/>
        <w:gridCol w:w="413"/>
        <w:gridCol w:w="57"/>
        <w:gridCol w:w="250"/>
        <w:gridCol w:w="58"/>
      </w:tblGrid>
      <w:tr>
        <w:trPr>
          <w:trHeight w:val="30" w:hRule="atLeast"/>
        </w:trPr>
        <w:tc>
          <w:tcPr>
            <w:tcW w:w="405" w:type="dxa"/>
            <w:tcBorders/>
            <w:tcMar>
              <w:top w:w="15" w:type="dxa"/>
              <w:left w:w="15" w:type="dxa"/>
              <w:bottom w:w="15" w:type="dxa"/>
              <w:right w:w="15" w:type="dxa"/>
            </w:tcMar>
            <w:vAlign w:val="center"/>
          </w:tcPr>
          <w:p/>
        </w:tc>
        <w:tc>
          <w:tcPr>
            <w:tcW w:w="3089" w:type="dxa"/>
            <w:tcBorders/>
            <w:tcMar>
              <w:top w:w="15" w:type="dxa"/>
              <w:left w:w="15" w:type="dxa"/>
              <w:bottom w:w="15" w:type="dxa"/>
              <w:right w:w="15" w:type="dxa"/>
            </w:tcMar>
            <w:vAlign w:val="center"/>
          </w:tcPr>
          <w:p/>
        </w:tc>
        <w:tc>
          <w:tcPr>
            <w:tcW w:w="405"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5248"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c>
          <w:tcPr>
            <w:tcW w:w="412" w:type="dxa"/>
            <w:tcBorders/>
            <w:tcMar>
              <w:top w:w="15" w:type="dxa"/>
              <w:left w:w="15" w:type="dxa"/>
              <w:bottom w:w="15" w:type="dxa"/>
              <w:right w:w="15" w:type="dxa"/>
            </w:tcMar>
            <w:vAlign w:val="center"/>
          </w:tcPr>
          <w:p/>
        </w:tc>
        <w:tc>
          <w:tcPr>
            <w:tcW w:w="3091" w:type="dxa"/>
            <w:tcBorders/>
            <w:tcMar>
              <w:top w:w="15" w:type="dxa"/>
              <w:left w:w="15" w:type="dxa"/>
              <w:bottom w:w="15" w:type="dxa"/>
              <w:right w:w="15" w:type="dxa"/>
            </w:tcMar>
            <w:vAlign w:val="center"/>
          </w:tcPr>
          <w:p/>
        </w:tc>
        <w:tc>
          <w:tcPr>
            <w:tcW w:w="413"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250"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r>
      <w:tr>
        <w:trPr>
          <w:trHeight w:val="51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bookmarkStart w:name="f-22" w:id="22"/>
            <w:r>
              <w:rPr>
                <w:rFonts w:ascii="Arial" w:hAnsi="Arial"/>
                <w:b w:val="false"/>
                <w:i w:val="false"/>
                <w:color w:val="000000"/>
                <w:sz w:val="16"/>
              </w:rPr>
              <w:t>Large accelerated filer</w:t>
            </w:r>
            <w:bookmarkEnd w:id="22"/>
            <w:r>
              <w:rPr>
                <w:rFonts w:ascii="Arial" w:hAnsi="Arial"/>
                <w:b w:val="false"/>
                <w:i w:val="false"/>
                <w:color w:val="000000"/>
                <w:sz w:val="16"/>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Accelerated filer</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Non-accelerated filer</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Smaller reporting company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bookmarkStart w:name="f-23" w:id="23"/>
            <w:r>
              <w:rPr>
                <w:rFonts w:ascii="Arial Unicode MS" w:hAnsi="Arial Unicode MS"/>
                <w:b w:val="false"/>
                <w:i w:val="false"/>
                <w:color w:val="000000"/>
                <w:sz w:val="16"/>
              </w:rPr>
              <w:t>☐</w:t>
            </w:r>
            <w:bookmarkEnd w:id="23"/>
            <w:r>
              <w:rPr>
                <w:rFonts w:ascii="Arial Unicode MS" w:hAnsi="Arial Unicode MS"/>
                <w:b w:val="false"/>
                <w:i w:val="false"/>
                <w:color w:val="000000"/>
                <w:sz w:val="16"/>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Emerging growth company</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bookmarkStart w:name="f-24" w:id="24"/>
            <w:r>
              <w:rPr>
                <w:rFonts w:ascii="Arial Unicode MS" w:hAnsi="Arial Unicode MS"/>
                <w:b w:val="false"/>
                <w:i w:val="false"/>
                <w:color w:val="000000"/>
                <w:sz w:val="16"/>
              </w:rPr>
              <w:t>☐</w:t>
            </w:r>
            <w:bookmarkEnd w:id="24"/>
            <w:r>
              <w:rPr>
                <w:rFonts w:ascii="Arial Unicode MS" w:hAnsi="Arial Unicode MS"/>
                <w:b w:val="false"/>
                <w:i w:val="false"/>
                <w:color w:val="000000"/>
                <w:sz w:val="16"/>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both"/>
      </w:pPr>
      <w:r>
        <w:rPr>
          <w:rFonts w:ascii="Times New Roman" w:hAnsi="Times New Roman"/>
          <w:b w:val="false"/>
          <w:i w:val="false"/>
          <w:color w:val="000000"/>
          <w:sz w:val="22"/>
        </w:rPr>
        <w:t xml:space="preserve"> </w:t>
      </w:r>
      <w:r>
        <w:rPr>
          <w:rFonts w:ascii="Arial" w:hAnsi="Arial"/>
          <w:b w:val="false"/>
          <w:i w:val="false"/>
          <w:color w:val="000000"/>
          <w:sz w:val="16"/>
        </w:rPr>
        <w:t>If an emerging growth company, indicate by check mark if the registrant has elected not to use the extended transition period for complying with any new or revised financial accounting standards provided pursuant to Section 13(a) of the Exchange Act.</w:t>
      </w: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Indicate by check mark whether the registrant is a shell company (as defined in Rule 12b-2 of the Exchange Act). Yes</w:t>
      </w:r>
      <w:r>
        <w:rPr>
          <w:rFonts w:ascii="Times New Roman" w:hAnsi="Times New Roman"/>
          <w:b w:val="false"/>
          <w:i w:val="false"/>
          <w:color w:val="000000"/>
          <w:sz w:val="22"/>
        </w:rPr>
        <w:t xml:space="preserve"> </w:t>
      </w:r>
      <w:r>
        <w:rPr>
          <w:rFonts w:ascii="Arial Unicode MS" w:hAnsi="Arial Unicode MS"/>
          <w:b w:val="false"/>
          <w:i w:val="false"/>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No</w:t>
      </w:r>
      <w:r>
        <w:rPr>
          <w:rFonts w:ascii="Times New Roman" w:hAnsi="Times New Roman"/>
          <w:b w:val="false"/>
          <w:i w:val="false"/>
          <w:color w:val="000000"/>
          <w:sz w:val="22"/>
        </w:rPr>
        <w:t xml:space="preserve"> </w:t>
      </w:r>
      <w:bookmarkStart w:name="f-25" w:id="25"/>
      <w:r>
        <w:rPr>
          <w:rFonts w:ascii="Arial Unicode MS" w:hAnsi="Arial Unicode MS"/>
          <w:b w:val="false"/>
          <w:i w:val="false"/>
          <w:color w:val="000000"/>
          <w:sz w:val="16"/>
        </w:rPr>
        <w:t>☒</w:t>
      </w:r>
      <w:bookmarkEnd w:id="25"/>
      <w:r>
        <w:rPr>
          <w:rFonts w:ascii="Arial Unicode MS" w:hAnsi="Arial Unicode MS"/>
          <w:b w:val="false"/>
          <w:i w:val="false"/>
          <w:color w:val="000000"/>
          <w:sz w:val="16"/>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6"/>
        </w:rPr>
        <w:t>Indicate the number of shares outstanding of each of the issuer’s classes of common stock, as of the latest practicable date.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32"/>
        <w:gridCol w:w="4870"/>
        <w:gridCol w:w="335"/>
        <w:gridCol w:w="128"/>
        <w:gridCol w:w="2114"/>
        <w:gridCol w:w="40"/>
        <w:gridCol w:w="456"/>
        <w:gridCol w:w="4883"/>
        <w:gridCol w:w="456"/>
      </w:tblGrid>
      <w:tr>
        <w:trPr>
          <w:trHeight w:val="30" w:hRule="atLeast"/>
        </w:trPr>
        <w:tc>
          <w:tcPr>
            <w:tcW w:w="332" w:type="dxa"/>
            <w:tcBorders/>
            <w:tcMar>
              <w:top w:w="15" w:type="dxa"/>
              <w:left w:w="15" w:type="dxa"/>
              <w:bottom w:w="15" w:type="dxa"/>
              <w:right w:w="15" w:type="dxa"/>
            </w:tcMar>
            <w:vAlign w:val="center"/>
          </w:tcPr>
          <w:p/>
        </w:tc>
        <w:tc>
          <w:tcPr>
            <w:tcW w:w="4870" w:type="dxa"/>
            <w:tcBorders/>
            <w:tcMar>
              <w:top w:w="15" w:type="dxa"/>
              <w:left w:w="15" w:type="dxa"/>
              <w:bottom w:w="15" w:type="dxa"/>
              <w:right w:w="15" w:type="dxa"/>
            </w:tcMar>
            <w:vAlign w:val="center"/>
          </w:tcPr>
          <w:p/>
        </w:tc>
        <w:tc>
          <w:tcPr>
            <w:tcW w:w="335"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211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56" w:type="dxa"/>
            <w:tcBorders/>
            <w:tcMar>
              <w:top w:w="15" w:type="dxa"/>
              <w:left w:w="15" w:type="dxa"/>
              <w:bottom w:w="15" w:type="dxa"/>
              <w:right w:w="15" w:type="dxa"/>
            </w:tcMar>
            <w:vAlign w:val="center"/>
          </w:tcPr>
          <w:p/>
        </w:tc>
        <w:tc>
          <w:tcPr>
            <w:tcW w:w="4883" w:type="dxa"/>
            <w:tcBorders/>
            <w:tcMar>
              <w:top w:w="15" w:type="dxa"/>
              <w:left w:w="15" w:type="dxa"/>
              <w:bottom w:w="15" w:type="dxa"/>
              <w:right w:w="15" w:type="dxa"/>
            </w:tcMar>
            <w:vAlign w:val="center"/>
          </w:tcPr>
          <w:p/>
        </w:tc>
        <w:tc>
          <w:tcPr>
            <w:tcW w:w="456"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u w:val="single"/>
              </w:rPr>
              <w:t>Class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u w:val="single"/>
              </w:rPr>
              <w:t>Outstanding at July 22, 2025</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Ordinary shares, $1.00 par value per share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top"/>
          </w:tcPr>
          <w:p>
            <w:pPr>
              <w:spacing w:before="0" w:after="0"/>
              <w:ind w:left="0"/>
              <w:jc w:val="center"/>
            </w:pPr>
            <w:r>
              <w:rPr>
                <w:rFonts w:ascii="Times New Roman" w:hAnsi="Times New Roman"/>
                <w:b w:val="false"/>
                <w:i w:val="false"/>
                <w:color w:val="000000"/>
                <w:sz w:val="22"/>
              </w:rPr>
              <w:t xml:space="preserve"> </w:t>
            </w:r>
            <w:bookmarkStart w:name="f-26" w:id="26"/>
            <w:r>
              <w:rPr>
                <w:rFonts w:ascii="Arial" w:hAnsi="Arial"/>
                <w:b/>
                <w:i w:val="false"/>
                <w:color w:val="000000"/>
                <w:sz w:val="16"/>
              </w:rPr>
              <w:t>411,016,473</w:t>
            </w:r>
            <w:bookmarkEnd w:id="26"/>
            <w:r>
              <w:rPr>
                <w:rFonts w:ascii="Arial" w:hAnsi="Arial"/>
                <w:b/>
                <w:i w:val="false"/>
                <w:color w:val="000000"/>
                <w:sz w:val="16"/>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36"/>
        <w:gridCol w:w="13361"/>
        <w:gridCol w:w="137"/>
      </w:tblGrid>
      <w:tr>
        <w:trPr>
          <w:trHeight w:val="30" w:hRule="atLeast"/>
        </w:trPr>
        <w:tc>
          <w:tcPr>
            <w:tcW w:w="136" w:type="dxa"/>
            <w:tcBorders/>
            <w:tcMar>
              <w:top w:w="15" w:type="dxa"/>
              <w:left w:w="15" w:type="dxa"/>
              <w:bottom w:w="15" w:type="dxa"/>
              <w:right w:w="15" w:type="dxa"/>
            </w:tcMar>
            <w:vAlign w:val="center"/>
          </w:tcPr>
          <w:p/>
        </w:tc>
        <w:tc>
          <w:tcPr>
            <w:tcW w:w="13361" w:type="dxa"/>
            <w:tcBorders/>
            <w:tcMar>
              <w:top w:w="15" w:type="dxa"/>
              <w:left w:w="15" w:type="dxa"/>
              <w:bottom w:w="15" w:type="dxa"/>
              <w:right w:w="15" w:type="dxa"/>
            </w:tcMar>
            <w:vAlign w:val="center"/>
          </w:tcPr>
          <w:p/>
        </w:tc>
        <w:tc>
          <w:tcPr>
            <w:tcW w:w="137" w:type="dxa"/>
            <w:tcBorders/>
            <w:tcMar>
              <w:top w:w="15" w:type="dxa"/>
              <w:left w:w="15" w:type="dxa"/>
              <w:bottom w:w="15" w:type="dxa"/>
              <w:right w:w="15" w:type="dxa"/>
            </w:tcMar>
            <w:vAlign w:val="center"/>
          </w:tcPr>
          <w:p/>
        </w:tc>
      </w:tr>
      <w:tr>
        <w:trPr>
          <w:trHeight w:val="60" w:hRule="atLeast"/>
        </w:trPr>
        <w:tc>
          <w:tcPr>
            <w:tcW w:w="0" w:type="auto"/>
            <w:gridSpan w:val="3"/>
            <w:tcBorders>
              <w:top w:val="single" w:color="000000" w:sz="5"/>
              <w:bottom w:val="single" w:color="000000" w:sz="5"/>
            </w:tcBorders>
            <w:tcMar>
              <w:top w:w="15" w:type="dxa"/>
              <w:left w:w="15" w:type="dxa"/>
              <w:bottom w:w="15" w:type="dxa"/>
              <w:right w:w="15" w:type="dxa"/>
            </w:tcMar>
            <w:vAlign w:val="center"/>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7" w:id="27"/>
    <w:p>
      <w:pPr>
        <w:spacing w:before="0" w:after="0"/>
        <w:ind w:left="120"/>
        <w:jc w:val="left"/>
      </w:pPr>
    </w:p>
    <w:bookmarkEnd w:id="27"/>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TABLE OF CONTENTS</w:t>
      </w:r>
      <w:r>
        <w:rPr>
          <w:rFonts w:ascii="Times New Roman" w:hAnsi="Times New Roman"/>
          <w:b w:val="false"/>
          <w:i w:val="false"/>
          <w:color w:val="000000"/>
          <w:sz w:val="22"/>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794"/>
        <w:gridCol w:w="10930"/>
        <w:gridCol w:w="796"/>
        <w:gridCol w:w="188"/>
        <w:gridCol w:w="738"/>
        <w:gridCol w:w="188"/>
      </w:tblGrid>
      <w:tr>
        <w:trPr>
          <w:trHeight w:val="30" w:hRule="atLeast"/>
        </w:trPr>
        <w:tc>
          <w:tcPr>
            <w:tcW w:w="794" w:type="dxa"/>
            <w:tcBorders/>
            <w:tcMar>
              <w:top w:w="15" w:type="dxa"/>
              <w:left w:w="15" w:type="dxa"/>
              <w:bottom w:w="15" w:type="dxa"/>
              <w:right w:w="15" w:type="dxa"/>
            </w:tcMar>
            <w:vAlign w:val="center"/>
          </w:tcPr>
          <w:p/>
        </w:tc>
        <w:tc>
          <w:tcPr>
            <w:tcW w:w="10930" w:type="dxa"/>
            <w:tcBorders/>
            <w:tcMar>
              <w:top w:w="15" w:type="dxa"/>
              <w:left w:w="15" w:type="dxa"/>
              <w:bottom w:w="15" w:type="dxa"/>
              <w:right w:w="15" w:type="dxa"/>
            </w:tcMar>
            <w:vAlign w:val="center"/>
          </w:tcPr>
          <w:p/>
        </w:tc>
        <w:tc>
          <w:tcPr>
            <w:tcW w:w="796" w:type="dxa"/>
            <w:tcBorders/>
            <w:tcMar>
              <w:top w:w="15" w:type="dxa"/>
              <w:left w:w="15" w:type="dxa"/>
              <w:bottom w:w="15" w:type="dxa"/>
              <w:right w:w="15" w:type="dxa"/>
            </w:tcMar>
            <w:vAlign w:val="center"/>
          </w:tcPr>
          <w:p/>
        </w:tc>
        <w:tc>
          <w:tcPr>
            <w:tcW w:w="188" w:type="dxa"/>
            <w:tcBorders/>
            <w:tcMar>
              <w:top w:w="15" w:type="dxa"/>
              <w:left w:w="15" w:type="dxa"/>
              <w:bottom w:w="15" w:type="dxa"/>
              <w:right w:w="15" w:type="dxa"/>
            </w:tcMar>
            <w:vAlign w:val="center"/>
          </w:tcPr>
          <w:p/>
        </w:tc>
        <w:tc>
          <w:tcPr>
            <w:tcW w:w="738" w:type="dxa"/>
            <w:tcBorders/>
            <w:tcMar>
              <w:top w:w="15" w:type="dxa"/>
              <w:left w:w="15" w:type="dxa"/>
              <w:bottom w:w="15" w:type="dxa"/>
              <w:right w:w="15" w:type="dxa"/>
            </w:tcMar>
            <w:vAlign w:val="center"/>
          </w:tcPr>
          <w:p/>
        </w:tc>
        <w:tc>
          <w:tcPr>
            <w:tcW w:w="188"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i w:val="false"/>
                <w:color w:val="000000"/>
                <w:sz w:val="16"/>
              </w:rPr>
              <w:t>Page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spacing w:before="0" w:after="0"/>
              <w:ind w:left="140"/>
              <w:jc w:val="left"/>
            </w:pPr>
            <w:r>
              <w:rPr>
                <w:rFonts w:ascii="Times New Roman" w:hAnsi="Times New Roman"/>
                <w:b w:val="false"/>
                <w:i w:val="false"/>
                <w:color w:val="000000"/>
                <w:sz w:val="22"/>
              </w:rPr>
              <w:t xml:space="preserve"> </w:t>
            </w:r>
            <w:hyperlink w:anchor="if5bce3d3882148cf91b6563d87cc4db5_13">
              <w:r>
                <w:rPr>
                  <w:rFonts w:ascii="Arial" w:hAnsi="Arial"/>
                  <w:b w:val="false"/>
                  <w:i w:val="false"/>
                  <w:color w:val="0000ff"/>
                  <w:sz w:val="16"/>
                  <w:u w:val="single"/>
                </w:rPr>
                <w:t>PART I - Financial Information</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3">
              <w:r>
                <w:rPr>
                  <w:rFonts w:ascii="Arial" w:hAnsi="Arial"/>
                  <w:b w:val="false"/>
                  <w:i w:val="false"/>
                  <w:color w:val="0000ff"/>
                  <w:sz w:val="16"/>
                  <w:u w:val="single"/>
                </w:rPr>
                <w:t>4</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6">
              <w:r>
                <w:rPr>
                  <w:rFonts w:ascii="Arial" w:hAnsi="Arial"/>
                  <w:b w:val="false"/>
                  <w:i w:val="false"/>
                  <w:color w:val="0000ff"/>
                  <w:sz w:val="16"/>
                  <w:u w:val="single"/>
                </w:rPr>
                <w:t>Item 1. Financial Statements (Unaudited)</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3">
              <w:r>
                <w:rPr>
                  <w:rFonts w:ascii="Arial" w:hAnsi="Arial"/>
                  <w:b w:val="false"/>
                  <w:i w:val="false"/>
                  <w:color w:val="0000ff"/>
                  <w:sz w:val="16"/>
                  <w:u w:val="single"/>
                </w:rPr>
                <w:t>4</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9">
              <w:r>
                <w:rPr>
                  <w:rFonts w:ascii="Arial" w:hAnsi="Arial"/>
                  <w:b w:val="false"/>
                  <w:i w:val="false"/>
                  <w:color w:val="0000ff"/>
                  <w:sz w:val="16"/>
                  <w:u w:val="single"/>
                </w:rPr>
                <w:t>Condensed Consolidated Statements of Income</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6">
              <w:r>
                <w:rPr>
                  <w:rFonts w:ascii="Arial" w:hAnsi="Arial"/>
                  <w:b w:val="false"/>
                  <w:i w:val="false"/>
                  <w:color w:val="0000ff"/>
                  <w:sz w:val="16"/>
                  <w:u w:val="single"/>
                </w:rPr>
                <w:t>4</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22">
              <w:r>
                <w:rPr>
                  <w:rFonts w:ascii="Arial" w:hAnsi="Arial"/>
                  <w:b w:val="false"/>
                  <w:i w:val="false"/>
                  <w:color w:val="0000ff"/>
                  <w:sz w:val="16"/>
                  <w:u w:val="single"/>
                </w:rPr>
                <w:t>Condensed Consolidated Statements of Comprehensive Income</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22">
              <w:r>
                <w:rPr>
                  <w:rFonts w:ascii="Arial" w:hAnsi="Arial"/>
                  <w:b w:val="false"/>
                  <w:i w:val="false"/>
                  <w:color w:val="0000ff"/>
                  <w:sz w:val="16"/>
                  <w:u w:val="single"/>
                </w:rPr>
                <w:t>5</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28">
              <w:r>
                <w:rPr>
                  <w:rFonts w:ascii="Arial" w:hAnsi="Arial"/>
                  <w:b w:val="false"/>
                  <w:i w:val="false"/>
                  <w:color w:val="0000ff"/>
                  <w:sz w:val="16"/>
                  <w:u w:val="single"/>
                </w:rPr>
                <w:t>Condensed Consolidated Balance Sheets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28">
              <w:r>
                <w:rPr>
                  <w:rFonts w:ascii="Arial" w:hAnsi="Arial"/>
                  <w:b w:val="false"/>
                  <w:i w:val="false"/>
                  <w:color w:val="0000ff"/>
                  <w:sz w:val="16"/>
                  <w:u w:val="single"/>
                </w:rPr>
                <w:t>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31">
              <w:r>
                <w:rPr>
                  <w:rFonts w:ascii="Arial" w:hAnsi="Arial"/>
                  <w:b w:val="false"/>
                  <w:i w:val="false"/>
                  <w:color w:val="0000ff"/>
                  <w:sz w:val="16"/>
                  <w:u w:val="single"/>
                </w:rPr>
                <w:t>Condensed Consolidated Statements of Cash Flows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31">
              <w:r>
                <w:rPr>
                  <w:rFonts w:ascii="Arial" w:hAnsi="Arial"/>
                  <w:b w:val="false"/>
                  <w:i w:val="false"/>
                  <w:color w:val="0000ff"/>
                  <w:sz w:val="16"/>
                  <w:u w:val="single"/>
                </w:rPr>
                <w:t>7</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34">
              <w:r>
                <w:rPr>
                  <w:rFonts w:ascii="Arial" w:hAnsi="Arial"/>
                  <w:b w:val="false"/>
                  <w:i w:val="false"/>
                  <w:color w:val="0000ff"/>
                  <w:sz w:val="16"/>
                  <w:u w:val="single"/>
                </w:rPr>
                <w:t>Condensed Consolidated Statements of Changes in Stockholders’ Equity</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34">
              <w:r>
                <w:rPr>
                  <w:rFonts w:ascii="Arial" w:hAnsi="Arial"/>
                  <w:b w:val="false"/>
                  <w:i w:val="false"/>
                  <w:color w:val="0000ff"/>
                  <w:sz w:val="16"/>
                  <w:u w:val="single"/>
                </w:rPr>
                <w:t>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40">
              <w:r>
                <w:rPr>
                  <w:rFonts w:ascii="Arial" w:hAnsi="Arial"/>
                  <w:b w:val="false"/>
                  <w:i w:val="false"/>
                  <w:color w:val="0000ff"/>
                  <w:sz w:val="16"/>
                  <w:u w:val="single"/>
                </w:rPr>
                <w:t>Notes to Condensed Consolidated Financial Statements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40">
              <w:r>
                <w:rPr>
                  <w:rFonts w:ascii="Arial" w:hAnsi="Arial"/>
                  <w:b w:val="false"/>
                  <w:i w:val="false"/>
                  <w:color w:val="0000ff"/>
                  <w:sz w:val="16"/>
                  <w:u w:val="single"/>
                </w:rPr>
                <w:t>10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45">
              <w:r>
                <w:rPr>
                  <w:rFonts w:ascii="Arial" w:hAnsi="Arial"/>
                  <w:b w:val="false"/>
                  <w:i w:val="false"/>
                  <w:color w:val="0000ff"/>
                  <w:sz w:val="16"/>
                  <w:u w:val="single"/>
                </w:rPr>
                <w:t>Item 2. Management’s Discussion and Analysis of Financial Condition and Results of Operations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45">
              <w:r>
                <w:rPr>
                  <w:rFonts w:ascii="Arial" w:hAnsi="Arial"/>
                  <w:b w:val="false"/>
                  <w:i w:val="false"/>
                  <w:color w:val="0000ff"/>
                  <w:sz w:val="16"/>
                  <w:u w:val="single"/>
                </w:rPr>
                <w:t>28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48">
              <w:r>
                <w:rPr>
                  <w:rFonts w:ascii="Arial" w:hAnsi="Arial"/>
                  <w:b w:val="false"/>
                  <w:i w:val="false"/>
                  <w:color w:val="0000ff"/>
                  <w:sz w:val="16"/>
                  <w:u w:val="single"/>
                </w:rPr>
                <w:t>Business Outlook</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48">
              <w:r>
                <w:rPr>
                  <w:rFonts w:ascii="Arial" w:hAnsi="Arial"/>
                  <w:b w:val="false"/>
                  <w:i w:val="false"/>
                  <w:color w:val="0000ff"/>
                  <w:sz w:val="16"/>
                  <w:u w:val="single"/>
                </w:rPr>
                <w:t>28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51">
              <w:r>
                <w:rPr>
                  <w:rFonts w:ascii="Arial" w:hAnsi="Arial"/>
                  <w:b w:val="false"/>
                  <w:i w:val="false"/>
                  <w:color w:val="0000ff"/>
                  <w:sz w:val="16"/>
                  <w:u w:val="single"/>
                </w:rPr>
                <w:t>Consolidated Results of Operations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51">
              <w:r>
                <w:rPr>
                  <w:rFonts w:ascii="Arial" w:hAnsi="Arial"/>
                  <w:b w:val="false"/>
                  <w:i w:val="false"/>
                  <w:color w:val="0000ff"/>
                  <w:sz w:val="16"/>
                  <w:u w:val="single"/>
                </w:rPr>
                <w:t>30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57">
              <w:r>
                <w:rPr>
                  <w:rFonts w:ascii="Arial" w:hAnsi="Arial"/>
                  <w:b w:val="false"/>
                  <w:i w:val="false"/>
                  <w:color w:val="0000ff"/>
                  <w:sz w:val="16"/>
                  <w:u w:val="single"/>
                </w:rPr>
                <w:t>Segment Results of Operations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57">
              <w:r>
                <w:rPr>
                  <w:rFonts w:ascii="Arial" w:hAnsi="Arial"/>
                  <w:b w:val="false"/>
                  <w:i w:val="false"/>
                  <w:color w:val="0000ff"/>
                  <w:sz w:val="16"/>
                  <w:u w:val="single"/>
                </w:rPr>
                <w:t>33</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66">
              <w:r>
                <w:rPr>
                  <w:rFonts w:ascii="Arial" w:hAnsi="Arial"/>
                  <w:b w:val="false"/>
                  <w:i w:val="false"/>
                  <w:color w:val="0000ff"/>
                  <w:sz w:val="16"/>
                  <w:u w:val="single"/>
                </w:rPr>
                <w:t>Inbound Orders and Order Backlog</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66">
              <w:r>
                <w:rPr>
                  <w:rFonts w:ascii="Arial" w:hAnsi="Arial"/>
                  <w:b w:val="false"/>
                  <w:i w:val="false"/>
                  <w:color w:val="0000ff"/>
                  <w:sz w:val="16"/>
                  <w:u w:val="single"/>
                </w:rPr>
                <w:t>35</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69">
              <w:r>
                <w:rPr>
                  <w:rFonts w:ascii="Arial" w:hAnsi="Arial"/>
                  <w:b w:val="false"/>
                  <w:i w:val="false"/>
                  <w:color w:val="0000ff"/>
                  <w:sz w:val="16"/>
                  <w:u w:val="single"/>
                </w:rPr>
                <w:t>Liquidity and Capital Resources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69">
              <w:r>
                <w:rPr>
                  <w:rFonts w:ascii="Arial" w:hAnsi="Arial"/>
                  <w:b w:val="false"/>
                  <w:i w:val="false"/>
                  <w:color w:val="0000ff"/>
                  <w:sz w:val="16"/>
                  <w:u w:val="single"/>
                </w:rPr>
                <w:t>36</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22"/>
              </w:pBdr>
              <w:spacing w:before="0" w:after="0"/>
              <w:ind w:left="725"/>
              <w:jc w:val="left"/>
            </w:pPr>
            <w:r>
              <w:rPr>
                <w:rFonts w:ascii="Times New Roman" w:hAnsi="Times New Roman"/>
                <w:b w:val="false"/>
                <w:i w:val="false"/>
                <w:color w:val="000000"/>
                <w:sz w:val="22"/>
              </w:rPr>
              <w:t xml:space="preserve"> </w:t>
            </w:r>
            <w:hyperlink w:anchor="if5bce3d3882148cf91b6563d87cc4db5_172">
              <w:r>
                <w:rPr>
                  <w:rFonts w:ascii="Arial" w:hAnsi="Arial"/>
                  <w:b w:val="false"/>
                  <w:i w:val="false"/>
                  <w:color w:val="0000ff"/>
                  <w:sz w:val="16"/>
                  <w:u w:val="single"/>
                </w:rPr>
                <w:t>Critical Accounting Estimates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72">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78">
              <w:r>
                <w:rPr>
                  <w:rFonts w:ascii="Arial" w:hAnsi="Arial"/>
                  <w:b w:val="false"/>
                  <w:i w:val="false"/>
                  <w:color w:val="0000ff"/>
                  <w:sz w:val="16"/>
                  <w:u w:val="single"/>
                </w:rPr>
                <w:t>Item 3. Quantitative and Qualitative Disclosures About Market Risk</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78">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81">
              <w:r>
                <w:rPr>
                  <w:rFonts w:ascii="Arial" w:hAnsi="Arial"/>
                  <w:b w:val="false"/>
                  <w:i w:val="false"/>
                  <w:color w:val="0000ff"/>
                  <w:sz w:val="16"/>
                  <w:u w:val="single"/>
                </w:rPr>
                <w:t>Item 4. Controls and Procedures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81">
              <w:r>
                <w:rPr>
                  <w:rFonts w:ascii="Arial" w:hAnsi="Arial"/>
                  <w:b w:val="false"/>
                  <w:i w:val="false"/>
                  <w:color w:val="0000ff"/>
                  <w:sz w:val="16"/>
                  <w:u w:val="single"/>
                </w:rPr>
                <w:t>38</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spacing w:before="0" w:after="0"/>
              <w:ind w:left="140"/>
              <w:jc w:val="left"/>
            </w:pPr>
            <w:r>
              <w:rPr>
                <w:rFonts w:ascii="Times New Roman" w:hAnsi="Times New Roman"/>
                <w:b w:val="false"/>
                <w:i w:val="false"/>
                <w:color w:val="000000"/>
                <w:sz w:val="22"/>
              </w:rPr>
              <w:t xml:space="preserve"> </w:t>
            </w:r>
            <w:hyperlink w:anchor="if5bce3d3882148cf91b6563d87cc4db5_184">
              <w:r>
                <w:rPr>
                  <w:rFonts w:ascii="Arial" w:hAnsi="Arial"/>
                  <w:b w:val="false"/>
                  <w:i w:val="false"/>
                  <w:color w:val="0000ff"/>
                  <w:sz w:val="16"/>
                  <w:u w:val="single"/>
                </w:rPr>
                <w:t>PART II - Other Information</w:t>
              </w:r>
            </w:hyperlink>
            <w:r>
              <w:rPr>
                <w:rFonts w:ascii="Arial" w:hAnsi="Arial"/>
                <w:b w:val="false"/>
                <w:i w:val="false"/>
                <w:color w:val="0000ff"/>
                <w:sz w:val="16"/>
                <w:u w:val="single"/>
              </w:rPr>
              <w:t xml:space="preserve"> </w:t>
            </w:r>
          </w:p>
        </w:tc>
        <w:tc>
          <w:tcPr>
            <w:tcW w:w="0" w:type="auto"/>
            <w:gridSpan w:val="3"/>
            <w:tcBorders/>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84">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87">
              <w:r>
                <w:rPr>
                  <w:rFonts w:ascii="Arial" w:hAnsi="Arial"/>
                  <w:b w:val="false"/>
                  <w:i w:val="false"/>
                  <w:color w:val="0000ff"/>
                  <w:sz w:val="16"/>
                  <w:u w:val="single"/>
                </w:rPr>
                <w:t>Item 1. Legal Proceedings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87">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90">
              <w:r>
                <w:rPr>
                  <w:rFonts w:ascii="Arial" w:hAnsi="Arial"/>
                  <w:b w:val="false"/>
                  <w:i w:val="false"/>
                  <w:color w:val="0000ff"/>
                  <w:sz w:val="16"/>
                  <w:u w:val="single"/>
                </w:rPr>
                <w:t>Item 1A. Risk Factors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90">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93">
              <w:r>
                <w:rPr>
                  <w:rFonts w:ascii="Arial" w:hAnsi="Arial"/>
                  <w:b w:val="false"/>
                  <w:i w:val="false"/>
                  <w:color w:val="0000ff"/>
                  <w:sz w:val="16"/>
                  <w:u w:val="single"/>
                </w:rPr>
                <w:t>Item 2. Unregistered Sales of Equity Securities and Use of Proceeds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93">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96">
              <w:r>
                <w:rPr>
                  <w:rFonts w:ascii="Arial" w:hAnsi="Arial"/>
                  <w:b w:val="false"/>
                  <w:i w:val="false"/>
                  <w:color w:val="0000ff"/>
                  <w:sz w:val="16"/>
                  <w:u w:val="single"/>
                </w:rPr>
                <w:t>Item 3. Defaults Upon Senior Securities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96">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199">
              <w:r>
                <w:rPr>
                  <w:rFonts w:ascii="Arial" w:hAnsi="Arial"/>
                  <w:b w:val="false"/>
                  <w:i w:val="false"/>
                  <w:color w:val="0000ff"/>
                  <w:sz w:val="16"/>
                  <w:u w:val="single"/>
                </w:rPr>
                <w:t>Item 4. Mine Safety Disclosures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199">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202">
              <w:r>
                <w:rPr>
                  <w:rFonts w:ascii="Arial" w:hAnsi="Arial"/>
                  <w:b w:val="false"/>
                  <w:i w:val="false"/>
                  <w:color w:val="0000ff"/>
                  <w:sz w:val="16"/>
                  <w:u w:val="single"/>
                </w:rPr>
                <w:t>Item 5. Other Information</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202">
              <w:r>
                <w:rPr>
                  <w:rFonts w:ascii="Arial" w:hAnsi="Arial"/>
                  <w:b w:val="false"/>
                  <w:i w:val="false"/>
                  <w:color w:val="0000ff"/>
                  <w:sz w:val="16"/>
                  <w:u w:val="single"/>
                </w:rPr>
                <w:t>39</w:t>
              </w:r>
            </w:hyperlink>
            <w:r>
              <w:rPr>
                <w:rFonts w:ascii="Arial" w:hAnsi="Arial"/>
                <w:b w:val="false"/>
                <w:i w:val="false"/>
                <w:color w:val="0000ff"/>
                <w:sz w:val="16"/>
                <w:u w:val="single"/>
              </w:rPr>
              <w:t xml:space="preserve"> </w:t>
            </w:r>
          </w:p>
        </w:tc>
      </w:tr>
      <w:tr>
        <w:trPr>
          <w:trHeight w:val="330" w:hRule="atLeast"/>
        </w:trPr>
        <w:tc>
          <w:tcPr>
            <w:tcW w:w="0" w:type="auto"/>
            <w:gridSpan w:val="3"/>
            <w:tcBorders/>
            <w:shd w:fill="ccee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211">
              <w:r>
                <w:rPr>
                  <w:rFonts w:ascii="Arial" w:hAnsi="Arial"/>
                  <w:b w:val="false"/>
                  <w:i w:val="false"/>
                  <w:color w:val="0000ff"/>
                  <w:sz w:val="16"/>
                  <w:u w:val="single"/>
                </w:rPr>
                <w:t>Item 6. Exhibits</w:t>
              </w:r>
            </w:hyperlink>
            <w:r>
              <w:rPr>
                <w:rFonts w:ascii="Arial" w:hAnsi="Arial"/>
                <w:b w:val="false"/>
                <w:i w:val="false"/>
                <w:color w:val="0000ff"/>
                <w:sz w:val="16"/>
                <w:u w:val="single"/>
              </w:rPr>
              <w:t xml:space="preserve"> </w:t>
            </w:r>
          </w:p>
        </w:tc>
        <w:tc>
          <w:tcPr>
            <w:tcW w:w="0" w:type="auto"/>
            <w:gridSpan w:val="3"/>
            <w:tcBorders/>
            <w:shd w:fill="ccee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211">
              <w:r>
                <w:rPr>
                  <w:rFonts w:ascii="Arial" w:hAnsi="Arial"/>
                  <w:b w:val="false"/>
                  <w:i w:val="false"/>
                  <w:color w:val="0000ff"/>
                  <w:sz w:val="16"/>
                  <w:u w:val="single"/>
                </w:rPr>
                <w:t>40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center"/>
          </w:tcPr>
          <w:p>
            <w:pPr>
              <w:pBdr>
                <w:left w:space="8"/>
              </w:pBdr>
              <w:spacing w:before="0" w:after="0"/>
              <w:ind w:left="365"/>
              <w:jc w:val="left"/>
            </w:pPr>
            <w:r>
              <w:rPr>
                <w:rFonts w:ascii="Times New Roman" w:hAnsi="Times New Roman"/>
                <w:b w:val="false"/>
                <w:i w:val="false"/>
                <w:color w:val="000000"/>
                <w:sz w:val="22"/>
              </w:rPr>
              <w:t xml:space="preserve"> </w:t>
            </w:r>
            <w:hyperlink w:anchor="if5bce3d3882148cf91b6563d87cc4db5_214">
              <w:r>
                <w:rPr>
                  <w:rFonts w:ascii="Arial" w:hAnsi="Arial"/>
                  <w:b w:val="false"/>
                  <w:i w:val="false"/>
                  <w:color w:val="0000ff"/>
                  <w:sz w:val="16"/>
                  <w:u w:val="single"/>
                </w:rPr>
                <w:t>Signatures</w:t>
              </w:r>
            </w:hyperlink>
            <w:r>
              <w:rPr>
                <w:rFonts w:ascii="Arial" w:hAnsi="Arial"/>
                <w:b w:val="false"/>
                <w:i w:val="false"/>
                <w:color w:val="0000ff"/>
                <w:sz w:val="16"/>
                <w:u w:val="single"/>
              </w:rPr>
              <w:t xml:space="preserve"> </w:t>
            </w:r>
          </w:p>
        </w:tc>
        <w:tc>
          <w:tcPr>
            <w:tcW w:w="0" w:type="auto"/>
            <w:gridSpan w:val="3"/>
            <w:tcBorders/>
            <w:shd w:fill="ffffff"/>
            <w:tcMar>
              <w:top w:w="30" w:type="dxa"/>
              <w:left w:w="15" w:type="dxa"/>
              <w:bottom w:w="30" w:type="dxa"/>
              <w:right w:w="15" w:type="dxa"/>
            </w:tcMar>
            <w:vAlign w:val="center"/>
          </w:tcPr>
          <w:p>
            <w:pPr>
              <w:spacing w:before="0" w:after="0"/>
              <w:ind w:left="140"/>
              <w:jc w:val="right"/>
            </w:pPr>
            <w:r>
              <w:rPr>
                <w:rFonts w:ascii="Times New Roman" w:hAnsi="Times New Roman"/>
                <w:b w:val="false"/>
                <w:i w:val="false"/>
                <w:color w:val="000000"/>
                <w:sz w:val="22"/>
              </w:rPr>
              <w:t xml:space="preserve"> </w:t>
            </w:r>
            <w:hyperlink w:anchor="if5bce3d3882148cf91b6563d87cc4db5_214">
              <w:r>
                <w:rPr>
                  <w:rFonts w:ascii="Arial" w:hAnsi="Arial"/>
                  <w:b w:val="false"/>
                  <w:i w:val="false"/>
                  <w:color w:val="0000ff"/>
                  <w:sz w:val="16"/>
                  <w:u w:val="single"/>
                </w:rPr>
                <w:t>41</w:t>
              </w:r>
            </w:hyperlink>
            <w:r>
              <w:rPr>
                <w:rFonts w:ascii="Arial" w:hAnsi="Arial"/>
                <w:b w:val="false"/>
                <w:i w:val="false"/>
                <w:color w:val="0000ff"/>
                <w:sz w:val="16"/>
                <w:u w:val="single"/>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w:t>
      </w:r>
      <w:r>
        <w:rPr>
          <w:rFonts w:ascii="Times New Roman" w:hAnsi="Times New Roman"/>
          <w:b w:val="false"/>
          <w:i w:val="false"/>
          <w:color w:val="000000"/>
          <w:sz w:val="22"/>
        </w:rPr>
        <w:t xml:space="preserve"> </w:t>
      </w:r>
    </w:p>
    <w:p>
      <w:pPr>
        <w:spacing w:before="0" w:after="0"/>
        <w:ind w:left="120"/>
        <w:jc w:val="left"/>
      </w:pPr>
    </w:p>
    <w:bookmarkStart w:name="if5bce3d3882148cf91b6563d87cc4db5_10" w:id="28"/>
    <w:p>
      <w:pPr>
        <w:spacing w:before="0" w:after="0"/>
        <w:ind w:left="120"/>
        <w:jc w:val="left"/>
      </w:pPr>
    </w:p>
    <w:bookmarkEnd w:id="28"/>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CAUTIONARY NOTE REGARDING FORWARD-LOOKING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This Quarterly Report on Form 10-Q of TechnipFMC plc (the “Company,” “we,” “us,” or “our”) contains “forward-looking statements” as defined in Section 27A of the United States Securities Act of 1933, as amended, and Section 21E of the United States Securities Exchange Act of 1934, as amended (the “Exchange Act”). Forward-looking statements usually relate to future events, market growth and recovery, growth of our New Energy business and anticipated revenues, earnings, cash flows, or other aspects of our operations or operating results. Forward-looking statements are often identified by the words “believe,” “expect,” “anticipate,” “plan,” “intend,” “foresee,” “should,” “would,” “could,” “may,” “estimate,” “outlook”, “commit,” “target,” and similar expressions, including the negative thereof. The absence of these words, however, does not mean that the statements are not forward-looking. These forward-looking statements are based on our current expectations, beliefs, and assumptions concerning future developments and business conditions and their potential effect on us. While management believes these forward-looking statements are reasonable as and when made, there can be no assurance that future developments affecting us will be those that we anticipate.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All of our forward-looking statements involve risks and uncertainties (some of which are significant or beyond our control) and assumptions that could cause actual results to differ materially from our historical experience and our present expectations or projections. Known material factors that could cause actual results to differ materially from those contemplated in the forward-looking statements include those set forth in Part I, Item 1A, “Risk Factors” of our Annual Report on Form 10-K for the fiscal year ended December 31, 2024 and Part II, Item 1A “Risk Factors” and elsewhere in this Quarterly Report on Form 10-Q, including, unpredictable trends in the demand for and price of oil and natural gas; competition and unanticipated changes relating to competitive factors in our industry, including ongoing industry consolidation; our inability to develop, implement and protect new technologies and services and intellectual property related thereto; the cumulative loss of major contracts, customers or alliances and unfavorable credit and commercial terms of certain contracts; disruptions in the political, regulatory, economic and social conditions, or public health crisis in the countries where we conduct business; unexpected geopolitical events, armed conflicts, and terrorism threats; the refusal of the Depository Trust Company to act as depository and clearing agency for our shares; the impact of our existing and future indebtedness; a downgrade in our debt rating; the risks caused by our acquisition and divestiture activities; additional costs or risks from increasing scrutiny and expectations regarding sustainability matters; uncertainties related to our investments, including those related to energy transition; the risks caused by fixed-price contracts; our failure to timely deliver our backlog; our reliance on subcontractors, suppliers and our joint venture partners; a failure or breach of our IT infrastructure or that of our subcontractors, suppliers or joint venture partners, including as a result of cyber-attacks; risks of pirates and maritime conflicts endangering our maritime employees and assets; any delays and cost overruns of capital asset construction projects for vessels and manufacturing facilities; potential liabilities inherent in the industries in which we operate or have operated; our failure to comply with existing and future laws and regulations, including those related to environmental protection, climate change, health and safety, labor and employment, import/export controls, currency exchange, bribery and corruption, taxation, privacy, data protection and data security; uninsured claims and litigation against us; the additional restrictions on dividend payouts or share repurchases as an English public limited company; tax laws, treaties and regulations and any unfavorable findings by relevant tax authorities; significant changes or developments in U.S. or other national trade policies, including tariffs and the reactions of other countries thereto; potential departure of our key managers and employees; adverse seasonal, weather, and other climatic conditions; unfavorable currency exchange rates; risk in connection with our defined benefit pension plan commitments; and our inability to obtain sufficient bonding capacity for certain contracts. We caution you not to place undue reliance on any forward-looking statements, which speak only as of the date hereof. We undertake no obligation to publicly update or revise any of our forward-looking statements after the date they are made, whether as a result of new information, future events, or otherwise, except to the extent required by law.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w:t>
      </w:r>
      <w:r>
        <w:rPr>
          <w:rFonts w:ascii="Times New Roman" w:hAnsi="Times New Roman"/>
          <w:b w:val="false"/>
          <w:i w:val="false"/>
          <w:color w:val="000000"/>
          <w:sz w:val="22"/>
        </w:rPr>
        <w:t xml:space="preserve"> </w:t>
      </w:r>
    </w:p>
    <w:p>
      <w:pPr>
        <w:spacing w:before="0" w:after="0"/>
        <w:ind w:left="120"/>
        <w:jc w:val="left"/>
      </w:pPr>
    </w:p>
    <w:bookmarkStart w:name="if5bce3d3882148cf91b6563d87cc4db5_13" w:id="29"/>
    <w:p>
      <w:pPr>
        <w:spacing w:before="0" w:after="0"/>
        <w:ind w:left="120"/>
        <w:jc w:val="left"/>
      </w:pPr>
    </w:p>
    <w:bookmarkEnd w:id="29"/>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60" w:after="60"/>
        <w:ind w:left="120"/>
        <w:jc w:val="left"/>
      </w:pPr>
      <w:r>
        <w:rPr>
          <w:rFonts w:ascii="Times New Roman" w:hAnsi="Times New Roman"/>
          <w:b w:val="false"/>
          <w:i w:val="false"/>
          <w:color w:val="000000"/>
          <w:sz w:val="22"/>
        </w:rPr>
        <w:t xml:space="preserve"> </w:t>
      </w:r>
      <w:r>
        <w:rPr>
          <w:rFonts w:ascii="Arial" w:hAnsi="Arial"/>
          <w:b/>
          <w:i w:val="false"/>
          <w:color w:val="000000"/>
          <w:sz w:val="16"/>
        </w:rPr>
        <w:t>PART I - FINANCIAL INFORMATION</w:t>
      </w:r>
      <w:r>
        <w:rPr>
          <w:rFonts w:ascii="Times New Roman" w:hAnsi="Times New Roman"/>
          <w:b w:val="false"/>
          <w:i w:val="false"/>
          <w:color w:val="000000"/>
          <w:sz w:val="22"/>
        </w:rPr>
        <w:t xml:space="preserve"> </w:t>
      </w:r>
    </w:p>
    <w:p>
      <w:pPr>
        <w:spacing w:before="0" w:after="0"/>
        <w:ind w:left="120"/>
        <w:jc w:val="left"/>
      </w:pPr>
    </w:p>
    <w:bookmarkStart w:name="if5bce3d3882148cf91b6563d87cc4db5_16" w:id="30"/>
    <w:p>
      <w:pPr>
        <w:spacing w:before="0" w:after="0"/>
        <w:ind w:left="120"/>
        <w:jc w:val="left"/>
      </w:pPr>
    </w:p>
    <w:bookmarkEnd w:id="30"/>
    <w:p>
      <w:pPr>
        <w:spacing w:before="0" w:after="0"/>
        <w:ind w:left="120"/>
        <w:jc w:val="left"/>
      </w:pPr>
    </w:p>
    <w:p>
      <w:pPr>
        <w:spacing w:before="60" w:after="60"/>
        <w:ind w:left="120"/>
        <w:jc w:val="left"/>
      </w:pPr>
      <w:r>
        <w:rPr>
          <w:rFonts w:ascii="Times New Roman" w:hAnsi="Times New Roman"/>
          <w:b w:val="false"/>
          <w:i w:val="false"/>
          <w:color w:val="000000"/>
          <w:sz w:val="22"/>
        </w:rPr>
        <w:t xml:space="preserve"> </w:t>
      </w:r>
      <w:r>
        <w:rPr>
          <w:rFonts w:ascii="Arial" w:hAnsi="Arial"/>
          <w:b/>
          <w:i w:val="false"/>
          <w:color w:val="000000"/>
          <w:sz w:val="16"/>
        </w:rPr>
        <w:t>ITEM 1. FINANCIAL STATEMENTS</w:t>
      </w:r>
      <w:r>
        <w:rPr>
          <w:rFonts w:ascii="Times New Roman" w:hAnsi="Times New Roman"/>
          <w:b w:val="false"/>
          <w:i w:val="false"/>
          <w:color w:val="000000"/>
          <w:sz w:val="22"/>
        </w:rPr>
        <w:t xml:space="preserve"> </w:t>
      </w:r>
    </w:p>
    <w:p>
      <w:pPr>
        <w:spacing w:before="0" w:after="0"/>
        <w:ind w:left="120"/>
        <w:jc w:val="left"/>
      </w:pPr>
    </w:p>
    <w:bookmarkStart w:name="if5bce3d3882148cf91b6563d87cc4db5_19" w:id="31"/>
    <w:p>
      <w:pPr>
        <w:spacing w:before="0" w:after="0"/>
        <w:ind w:left="120"/>
        <w:jc w:val="left"/>
      </w:pPr>
    </w:p>
    <w:bookmarkEnd w:id="31"/>
    <w:p>
      <w:pPr>
        <w:spacing w:before="0" w:after="0"/>
        <w:ind w:left="120"/>
        <w:jc w:val="left"/>
      </w:pPr>
    </w:p>
    <w:p>
      <w:pPr>
        <w:spacing w:before="6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CONDENSED CONSOLIDATED STATEMENTS OF INCOME (UNAUDITED)</w:t>
      </w:r>
      <w:r>
        <w:rPr>
          <w:rFonts w:ascii="Times New Roman" w:hAnsi="Times New Roman"/>
          <w:b w:val="false"/>
          <w:i w:val="false"/>
          <w:color w:val="000000"/>
          <w:sz w:val="22"/>
        </w:rPr>
        <w:t xml:space="preserve"> </w:t>
      </w:r>
    </w:p>
    <w:p>
      <w:pPr>
        <w:spacing w:before="0" w:after="0"/>
        <w:ind w:left="120"/>
        <w:jc w:val="left"/>
      </w:pPr>
    </w:p>
    <w:p>
      <w:pPr>
        <w:spacing w:before="180" w:after="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9"/>
        <w:gridCol w:w="5693"/>
        <w:gridCol w:w="581"/>
        <w:gridCol w:w="146"/>
        <w:gridCol w:w="1419"/>
        <w:gridCol w:w="40"/>
        <w:gridCol w:w="40"/>
        <w:gridCol w:w="40"/>
        <w:gridCol w:w="40"/>
        <w:gridCol w:w="146"/>
        <w:gridCol w:w="1419"/>
        <w:gridCol w:w="40"/>
        <w:gridCol w:w="40"/>
        <w:gridCol w:w="40"/>
        <w:gridCol w:w="40"/>
        <w:gridCol w:w="146"/>
        <w:gridCol w:w="1419"/>
        <w:gridCol w:w="40"/>
        <w:gridCol w:w="40"/>
        <w:gridCol w:w="40"/>
        <w:gridCol w:w="40"/>
        <w:gridCol w:w="146"/>
        <w:gridCol w:w="1420"/>
        <w:gridCol w:w="40"/>
      </w:tblGrid>
      <w:tr>
        <w:trPr>
          <w:trHeight w:val="30" w:hRule="atLeast"/>
        </w:trPr>
        <w:tc>
          <w:tcPr>
            <w:tcW w:w="579" w:type="dxa"/>
            <w:tcBorders/>
            <w:tcMar>
              <w:top w:w="15" w:type="dxa"/>
              <w:left w:w="15" w:type="dxa"/>
              <w:bottom w:w="15" w:type="dxa"/>
              <w:right w:w="15" w:type="dxa"/>
            </w:tcMar>
            <w:vAlign w:val="center"/>
          </w:tcPr>
          <w:p/>
        </w:tc>
        <w:tc>
          <w:tcPr>
            <w:tcW w:w="5693" w:type="dxa"/>
            <w:tcBorders/>
            <w:tcMar>
              <w:top w:w="15" w:type="dxa"/>
              <w:left w:w="15" w:type="dxa"/>
              <w:bottom w:w="15" w:type="dxa"/>
              <w:right w:w="15" w:type="dxa"/>
            </w:tcMar>
            <w:vAlign w:val="center"/>
          </w:tcPr>
          <w:p/>
        </w:tc>
        <w:tc>
          <w:tcPr>
            <w:tcW w:w="58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1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1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1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30" w:type="dxa"/>
              <w:left w:w="15" w:type="dxa"/>
              <w:bottom w:w="30" w:type="dxa"/>
              <w:right w:w="15" w:type="dxa"/>
            </w:tcMar>
            <w:vAlign w:val="bottom"/>
          </w:tcPr>
          <w:p>
            <w:pPr>
              <w:spacing w:before="10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(In millions, except per share data)</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55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Revenue</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Service revenue</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 w:id="32"/>
            <w:r>
              <w:rPr>
                <w:rFonts w:ascii="Arial" w:hAnsi="Arial"/>
                <w:b w:val="false"/>
                <w:i w:val="false"/>
                <w:color w:val="000000"/>
                <w:sz w:val="16"/>
              </w:rPr>
              <w:t>1,459.9</w:t>
            </w:r>
            <w:bookmarkEnd w:id="3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3" w:id="33"/>
            <w:r>
              <w:rPr>
                <w:rFonts w:ascii="Arial" w:hAnsi="Arial"/>
                <w:b w:val="false"/>
                <w:i w:val="false"/>
                <w:color w:val="000000"/>
                <w:sz w:val="16"/>
              </w:rPr>
              <w:t>1,405.7</w:t>
            </w:r>
            <w:bookmarkEnd w:id="3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 w:id="34"/>
            <w:r>
              <w:rPr>
                <w:rFonts w:ascii="Arial" w:hAnsi="Arial"/>
                <w:b w:val="false"/>
                <w:i w:val="false"/>
                <w:color w:val="000000"/>
                <w:sz w:val="16"/>
              </w:rPr>
              <w:t>2,763.9</w:t>
            </w:r>
            <w:bookmarkEnd w:id="3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 w:id="35"/>
            <w:r>
              <w:rPr>
                <w:rFonts w:ascii="Arial" w:hAnsi="Arial"/>
                <w:b w:val="false"/>
                <w:i w:val="false"/>
                <w:color w:val="000000"/>
                <w:sz w:val="16"/>
              </w:rPr>
              <w:t>2,571.5</w:t>
            </w:r>
            <w:bookmarkEnd w:id="3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Product revenue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6" w:id="36"/>
            <w:r>
              <w:rPr>
                <w:rFonts w:ascii="Arial" w:hAnsi="Arial"/>
                <w:b w:val="false"/>
                <w:i w:val="false"/>
                <w:color w:val="000000"/>
                <w:sz w:val="16"/>
              </w:rPr>
              <w:t>1,001.4</w:t>
            </w:r>
            <w:bookmarkEnd w:id="3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 w:id="37"/>
            <w:r>
              <w:rPr>
                <w:rFonts w:ascii="Arial" w:hAnsi="Arial"/>
                <w:b w:val="false"/>
                <w:i w:val="false"/>
                <w:color w:val="000000"/>
                <w:sz w:val="16"/>
              </w:rPr>
              <w:t>860.2</w:t>
            </w:r>
            <w:bookmarkEnd w:id="3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 w:id="38"/>
            <w:r>
              <w:rPr>
                <w:rFonts w:ascii="Arial" w:hAnsi="Arial"/>
                <w:b w:val="false"/>
                <w:i w:val="false"/>
                <w:color w:val="000000"/>
                <w:sz w:val="16"/>
              </w:rPr>
              <w:t>1,869.6</w:t>
            </w:r>
            <w:bookmarkEnd w:id="3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 w:id="39"/>
            <w:r>
              <w:rPr>
                <w:rFonts w:ascii="Arial" w:hAnsi="Arial"/>
                <w:b w:val="false"/>
                <w:i w:val="false"/>
                <w:color w:val="000000"/>
                <w:sz w:val="16"/>
              </w:rPr>
              <w:t>1,674.1</w:t>
            </w:r>
            <w:bookmarkEnd w:id="3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Lease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 w:id="40"/>
            <w:r>
              <w:rPr>
                <w:rFonts w:ascii="Arial" w:hAnsi="Arial"/>
                <w:b w:val="false"/>
                <w:i w:val="false"/>
                <w:color w:val="000000"/>
                <w:sz w:val="16"/>
              </w:rPr>
              <w:t>73.4</w:t>
            </w:r>
            <w:bookmarkEnd w:id="4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 w:id="41"/>
            <w:r>
              <w:rPr>
                <w:rFonts w:ascii="Arial" w:hAnsi="Arial"/>
                <w:b w:val="false"/>
                <w:i w:val="false"/>
                <w:color w:val="000000"/>
                <w:sz w:val="16"/>
              </w:rPr>
              <w:t>59.7</w:t>
            </w:r>
            <w:bookmarkEnd w:id="4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 w:id="42"/>
            <w:r>
              <w:rPr>
                <w:rFonts w:ascii="Arial" w:hAnsi="Arial"/>
                <w:b w:val="false"/>
                <w:i w:val="false"/>
                <w:color w:val="000000"/>
                <w:sz w:val="16"/>
              </w:rPr>
              <w:t>134.8</w:t>
            </w:r>
            <w:bookmarkEnd w:id="4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3" w:id="43"/>
            <w:r>
              <w:rPr>
                <w:rFonts w:ascii="Arial" w:hAnsi="Arial"/>
                <w:b w:val="false"/>
                <w:i w:val="false"/>
                <w:color w:val="000000"/>
                <w:sz w:val="16"/>
              </w:rPr>
              <w:t>122.0</w:t>
            </w:r>
            <w:bookmarkEnd w:id="4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 w:id="44"/>
            <w:r>
              <w:rPr>
                <w:rFonts w:ascii="Arial" w:hAnsi="Arial"/>
                <w:b w:val="false"/>
                <w:i w:val="false"/>
                <w:color w:val="000000"/>
                <w:sz w:val="16"/>
              </w:rPr>
              <w:t>2,534.7</w:t>
            </w:r>
            <w:bookmarkEnd w:id="4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 w:id="45"/>
            <w:r>
              <w:rPr>
                <w:rFonts w:ascii="Arial" w:hAnsi="Arial"/>
                <w:b w:val="false"/>
                <w:i w:val="false"/>
                <w:color w:val="000000"/>
                <w:sz w:val="16"/>
              </w:rPr>
              <w:t>2,325.6</w:t>
            </w:r>
            <w:bookmarkEnd w:id="4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 w:id="46"/>
            <w:r>
              <w:rPr>
                <w:rFonts w:ascii="Arial" w:hAnsi="Arial"/>
                <w:b w:val="false"/>
                <w:i w:val="false"/>
                <w:color w:val="000000"/>
                <w:sz w:val="16"/>
              </w:rPr>
              <w:t>4,768.3</w:t>
            </w:r>
            <w:bookmarkEnd w:id="46"/>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 w:id="47"/>
            <w:r>
              <w:rPr>
                <w:rFonts w:ascii="Arial" w:hAnsi="Arial"/>
                <w:b w:val="false"/>
                <w:i w:val="false"/>
                <w:color w:val="000000"/>
                <w:sz w:val="16"/>
              </w:rPr>
              <w:t>4,367.6</w:t>
            </w:r>
            <w:bookmarkEnd w:id="4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18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Costs and expenses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service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 w:id="48"/>
            <w:r>
              <w:rPr>
                <w:rFonts w:ascii="Arial" w:hAnsi="Arial"/>
                <w:b w:val="false"/>
                <w:i w:val="false"/>
                <w:color w:val="000000"/>
                <w:sz w:val="16"/>
              </w:rPr>
              <w:t>1,116.8</w:t>
            </w:r>
            <w:bookmarkEnd w:id="4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 w:id="49"/>
            <w:r>
              <w:rPr>
                <w:rFonts w:ascii="Arial" w:hAnsi="Arial"/>
                <w:b w:val="false"/>
                <w:i w:val="false"/>
                <w:color w:val="000000"/>
                <w:sz w:val="16"/>
              </w:rPr>
              <w:t>1,112.1</w:t>
            </w:r>
            <w:bookmarkEnd w:id="4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0" w:id="50"/>
            <w:r>
              <w:rPr>
                <w:rFonts w:ascii="Arial" w:hAnsi="Arial"/>
                <w:b w:val="false"/>
                <w:i w:val="false"/>
                <w:color w:val="000000"/>
                <w:sz w:val="16"/>
              </w:rPr>
              <w:t>2,207.2</w:t>
            </w:r>
            <w:bookmarkEnd w:id="5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1" w:id="51"/>
            <w:r>
              <w:rPr>
                <w:rFonts w:ascii="Arial" w:hAnsi="Arial"/>
                <w:b w:val="false"/>
                <w:i w:val="false"/>
                <w:color w:val="000000"/>
                <w:sz w:val="16"/>
              </w:rPr>
              <w:t>2,131.2</w:t>
            </w:r>
            <w:bookmarkEnd w:id="5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product revenue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 w:id="52"/>
            <w:r>
              <w:rPr>
                <w:rFonts w:ascii="Arial" w:hAnsi="Arial"/>
                <w:b w:val="false"/>
                <w:i w:val="false"/>
                <w:color w:val="000000"/>
                <w:sz w:val="16"/>
              </w:rPr>
              <w:t>783.7</w:t>
            </w:r>
            <w:bookmarkEnd w:id="5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 w:id="53"/>
            <w:r>
              <w:rPr>
                <w:rFonts w:ascii="Arial" w:hAnsi="Arial"/>
                <w:b w:val="false"/>
                <w:i w:val="false"/>
                <w:color w:val="000000"/>
                <w:sz w:val="16"/>
              </w:rPr>
              <w:t>672.3</w:t>
            </w:r>
            <w:bookmarkEnd w:id="5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 w:id="54"/>
            <w:r>
              <w:rPr>
                <w:rFonts w:ascii="Arial" w:hAnsi="Arial"/>
                <w:b w:val="false"/>
                <w:i w:val="false"/>
                <w:color w:val="000000"/>
                <w:sz w:val="16"/>
              </w:rPr>
              <w:t>1,419.5</w:t>
            </w:r>
            <w:bookmarkEnd w:id="5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 w:id="55"/>
            <w:r>
              <w:rPr>
                <w:rFonts w:ascii="Arial" w:hAnsi="Arial"/>
                <w:b w:val="false"/>
                <w:i w:val="false"/>
                <w:color w:val="000000"/>
                <w:sz w:val="16"/>
              </w:rPr>
              <w:t>1,315.5</w:t>
            </w:r>
            <w:bookmarkEnd w:id="5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lease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 w:id="56"/>
            <w:r>
              <w:rPr>
                <w:rFonts w:ascii="Arial" w:hAnsi="Arial"/>
                <w:b w:val="false"/>
                <w:i w:val="false"/>
                <w:color w:val="000000"/>
                <w:sz w:val="16"/>
              </w:rPr>
              <w:t>40.9</w:t>
            </w:r>
            <w:bookmarkEnd w:id="5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 w:id="57"/>
            <w:r>
              <w:rPr>
                <w:rFonts w:ascii="Arial" w:hAnsi="Arial"/>
                <w:b w:val="false"/>
                <w:i w:val="false"/>
                <w:color w:val="000000"/>
                <w:sz w:val="16"/>
              </w:rPr>
              <w:t>40.3</w:t>
            </w:r>
            <w:bookmarkEnd w:id="5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 w:id="58"/>
            <w:r>
              <w:rPr>
                <w:rFonts w:ascii="Arial" w:hAnsi="Arial"/>
                <w:b w:val="false"/>
                <w:i w:val="false"/>
                <w:color w:val="000000"/>
                <w:sz w:val="16"/>
              </w:rPr>
              <w:t>83.4</w:t>
            </w:r>
            <w:bookmarkEnd w:id="5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 w:id="59"/>
            <w:r>
              <w:rPr>
                <w:rFonts w:ascii="Arial" w:hAnsi="Arial"/>
                <w:b w:val="false"/>
                <w:i w:val="false"/>
                <w:color w:val="000000"/>
                <w:sz w:val="16"/>
              </w:rPr>
              <w:t>78.6</w:t>
            </w:r>
            <w:bookmarkEnd w:id="5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Selling, general and administrative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 w:id="60"/>
            <w:r>
              <w:rPr>
                <w:rFonts w:ascii="Arial" w:hAnsi="Arial"/>
                <w:b w:val="false"/>
                <w:i w:val="false"/>
                <w:color w:val="000000"/>
                <w:sz w:val="16"/>
              </w:rPr>
              <w:t>173.2</w:t>
            </w:r>
            <w:bookmarkEnd w:id="6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1" w:id="61"/>
            <w:r>
              <w:rPr>
                <w:rFonts w:ascii="Arial" w:hAnsi="Arial"/>
                <w:b w:val="false"/>
                <w:i w:val="false"/>
                <w:color w:val="000000"/>
                <w:sz w:val="16"/>
              </w:rPr>
              <w:t>174.9</w:t>
            </w:r>
            <w:bookmarkEnd w:id="6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2" w:id="62"/>
            <w:r>
              <w:rPr>
                <w:rFonts w:ascii="Arial" w:hAnsi="Arial"/>
                <w:b w:val="false"/>
                <w:i w:val="false"/>
                <w:color w:val="000000"/>
                <w:sz w:val="16"/>
              </w:rPr>
              <w:t>357.4</w:t>
            </w:r>
            <w:bookmarkEnd w:id="6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 w:id="63"/>
            <w:r>
              <w:rPr>
                <w:rFonts w:ascii="Arial" w:hAnsi="Arial"/>
                <w:b w:val="false"/>
                <w:i w:val="false"/>
                <w:color w:val="000000"/>
                <w:sz w:val="16"/>
              </w:rPr>
              <w:t>334.7</w:t>
            </w:r>
            <w:bookmarkEnd w:id="6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Research and development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 w:id="64"/>
            <w:r>
              <w:rPr>
                <w:rFonts w:ascii="Arial" w:hAnsi="Arial"/>
                <w:b w:val="false"/>
                <w:i w:val="false"/>
                <w:color w:val="000000"/>
                <w:sz w:val="16"/>
              </w:rPr>
              <w:t>14.1</w:t>
            </w:r>
            <w:bookmarkEnd w:id="6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 w:id="65"/>
            <w:r>
              <w:rPr>
                <w:rFonts w:ascii="Arial" w:hAnsi="Arial"/>
                <w:b w:val="false"/>
                <w:i w:val="false"/>
                <w:color w:val="000000"/>
                <w:sz w:val="16"/>
              </w:rPr>
              <w:t>15.2</w:t>
            </w:r>
            <w:bookmarkEnd w:id="6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 w:id="66"/>
            <w:r>
              <w:rPr>
                <w:rFonts w:ascii="Arial" w:hAnsi="Arial"/>
                <w:b w:val="false"/>
                <w:i w:val="false"/>
                <w:color w:val="000000"/>
                <w:sz w:val="16"/>
              </w:rPr>
              <w:t>33.2</w:t>
            </w:r>
            <w:bookmarkEnd w:id="6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 w:id="67"/>
            <w:r>
              <w:rPr>
                <w:rFonts w:ascii="Arial" w:hAnsi="Arial"/>
                <w:b w:val="false"/>
                <w:i w:val="false"/>
                <w:color w:val="000000"/>
                <w:sz w:val="16"/>
              </w:rPr>
              <w:t>32.8</w:t>
            </w:r>
            <w:bookmarkEnd w:id="6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Restructuring, impairment and other expenses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 w:id="68"/>
            <w:r>
              <w:rPr>
                <w:rFonts w:ascii="Arial" w:hAnsi="Arial"/>
                <w:b w:val="false"/>
                <w:i w:val="false"/>
                <w:color w:val="000000"/>
                <w:sz w:val="16"/>
              </w:rPr>
              <w:t>16.4</w:t>
            </w:r>
            <w:bookmarkEnd w:id="6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 w:id="69"/>
            <w:r>
              <w:rPr>
                <w:rFonts w:ascii="Arial" w:hAnsi="Arial"/>
                <w:b w:val="false"/>
                <w:i w:val="false"/>
                <w:color w:val="000000"/>
                <w:sz w:val="16"/>
              </w:rPr>
              <w:t>2.4</w:t>
            </w:r>
            <w:bookmarkEnd w:id="6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 w:id="70"/>
            <w:r>
              <w:rPr>
                <w:rFonts w:ascii="Arial" w:hAnsi="Arial"/>
                <w:b w:val="false"/>
                <w:i w:val="false"/>
                <w:color w:val="000000"/>
                <w:sz w:val="16"/>
              </w:rPr>
              <w:t>17.6</w:t>
            </w:r>
            <w:bookmarkEnd w:id="7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1" w:id="71"/>
            <w:r>
              <w:rPr>
                <w:rFonts w:ascii="Arial" w:hAnsi="Arial"/>
                <w:b w:val="false"/>
                <w:i w:val="false"/>
                <w:color w:val="000000"/>
                <w:sz w:val="16"/>
              </w:rPr>
              <w:t>7.4</w:t>
            </w:r>
            <w:bookmarkEnd w:id="7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costs and expenses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 w:id="72"/>
            <w:r>
              <w:rPr>
                <w:rFonts w:ascii="Arial" w:hAnsi="Arial"/>
                <w:b w:val="false"/>
                <w:i w:val="false"/>
                <w:color w:val="000000"/>
                <w:sz w:val="16"/>
              </w:rPr>
              <w:t>2,145.1</w:t>
            </w:r>
            <w:bookmarkEnd w:id="7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 w:id="73"/>
            <w:r>
              <w:rPr>
                <w:rFonts w:ascii="Arial" w:hAnsi="Arial"/>
                <w:b w:val="false"/>
                <w:i w:val="false"/>
                <w:color w:val="000000"/>
                <w:sz w:val="16"/>
              </w:rPr>
              <w:t>2,017.2</w:t>
            </w:r>
            <w:bookmarkEnd w:id="73"/>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 w:id="74"/>
            <w:r>
              <w:rPr>
                <w:rFonts w:ascii="Arial" w:hAnsi="Arial"/>
                <w:b w:val="false"/>
                <w:i w:val="false"/>
                <w:color w:val="000000"/>
                <w:sz w:val="16"/>
              </w:rPr>
              <w:t>4,118.3</w:t>
            </w:r>
            <w:bookmarkEnd w:id="7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 w:id="75"/>
            <w:r>
              <w:rPr>
                <w:rFonts w:ascii="Arial" w:hAnsi="Arial"/>
                <w:b w:val="false"/>
                <w:i w:val="false"/>
                <w:color w:val="000000"/>
                <w:sz w:val="16"/>
              </w:rPr>
              <w:t>3,900.2</w:t>
            </w:r>
            <w:bookmarkEnd w:id="75"/>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18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expense,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6" w:id="76"/>
            <w:r>
              <w:rPr>
                <w:rFonts w:ascii="Arial" w:hAnsi="Arial"/>
                <w:b w:val="false"/>
                <w:i w:val="false"/>
                <w:color w:val="000000"/>
                <w:sz w:val="16"/>
              </w:rPr>
              <w:t>10.7</w:t>
            </w:r>
            <w:bookmarkEnd w:id="7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7" w:id="77"/>
            <w:r>
              <w:rPr>
                <w:rFonts w:ascii="Arial" w:hAnsi="Arial"/>
                <w:b w:val="false"/>
                <w:i w:val="false"/>
                <w:color w:val="000000"/>
                <w:sz w:val="16"/>
              </w:rPr>
              <w:t>44.1</w:t>
            </w:r>
            <w:bookmarkEnd w:id="7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8" w:id="78"/>
            <w:r>
              <w:rPr>
                <w:rFonts w:ascii="Arial" w:hAnsi="Arial"/>
                <w:b w:val="false"/>
                <w:i w:val="false"/>
                <w:color w:val="000000"/>
                <w:sz w:val="16"/>
              </w:rPr>
              <w:t>40.3</w:t>
            </w:r>
            <w:bookmarkEnd w:id="7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9" w:id="79"/>
            <w:r>
              <w:rPr>
                <w:rFonts w:ascii="Arial" w:hAnsi="Arial"/>
                <w:b w:val="false"/>
                <w:i w:val="false"/>
                <w:color w:val="000000"/>
                <w:sz w:val="16"/>
              </w:rPr>
              <w:t>56.4</w:t>
            </w:r>
            <w:bookmarkEnd w:id="79"/>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Gain on disposal of Measurement Solutions business (Note 18)</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 w:id="80"/>
            <w:r>
              <w:rPr>
                <w:rFonts w:ascii="Arial" w:hAnsi="Arial"/>
                <w:b w:val="false"/>
                <w:i w:val="false"/>
                <w:color w:val="000000"/>
                <w:sz w:val="16"/>
              </w:rPr>
              <w:t>—</w:t>
            </w:r>
            <w:bookmarkEnd w:id="8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 w:id="81"/>
            <w:r>
              <w:rPr>
                <w:rFonts w:ascii="Arial" w:hAnsi="Arial"/>
                <w:b w:val="false"/>
                <w:i w:val="false"/>
                <w:color w:val="000000"/>
                <w:sz w:val="16"/>
              </w:rPr>
              <w:t>—</w:t>
            </w:r>
            <w:bookmarkEnd w:id="8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 w:id="82"/>
            <w:r>
              <w:rPr>
                <w:rFonts w:ascii="Arial" w:hAnsi="Arial"/>
                <w:b w:val="false"/>
                <w:i w:val="false"/>
                <w:color w:val="000000"/>
                <w:sz w:val="16"/>
              </w:rPr>
              <w:t>—</w:t>
            </w:r>
            <w:bookmarkEnd w:id="8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 w:id="83"/>
            <w:r>
              <w:rPr>
                <w:rFonts w:ascii="Arial" w:hAnsi="Arial"/>
                <w:b w:val="false"/>
                <w:i w:val="false"/>
                <w:color w:val="000000"/>
                <w:sz w:val="16"/>
              </w:rPr>
              <w:t>75.2</w:t>
            </w:r>
            <w:bookmarkEnd w:id="8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 (Note 9)</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 w:id="84"/>
            <w:r>
              <w:rPr>
                <w:rFonts w:ascii="Arial" w:hAnsi="Arial"/>
                <w:b w:val="false"/>
                <w:i w:val="false"/>
                <w:color w:val="000000"/>
                <w:sz w:val="16"/>
              </w:rPr>
              <w:t>10.3</w:t>
            </w:r>
            <w:bookmarkEnd w:id="8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 w:id="85"/>
            <w:r>
              <w:rPr>
                <w:rFonts w:ascii="Arial" w:hAnsi="Arial"/>
                <w:b w:val="false"/>
                <w:i w:val="false"/>
                <w:color w:val="000000"/>
                <w:sz w:val="16"/>
              </w:rPr>
              <w:t>2.6</w:t>
            </w:r>
            <w:bookmarkEnd w:id="8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 w:id="86"/>
            <w:r>
              <w:rPr>
                <w:rFonts w:ascii="Arial" w:hAnsi="Arial"/>
                <w:b w:val="false"/>
                <w:i w:val="false"/>
                <w:color w:val="000000"/>
                <w:sz w:val="16"/>
              </w:rPr>
              <w:t>19.7</w:t>
            </w:r>
            <w:bookmarkEnd w:id="8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 w:id="87"/>
            <w:r>
              <w:rPr>
                <w:rFonts w:ascii="Arial" w:hAnsi="Arial"/>
                <w:b w:val="false"/>
                <w:i w:val="false"/>
                <w:color w:val="000000"/>
                <w:sz w:val="16"/>
              </w:rPr>
              <w:t>4.0</w:t>
            </w:r>
            <w:bookmarkEnd w:id="8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net interest expense and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8" w:id="88"/>
            <w:r>
              <w:rPr>
                <w:rFonts w:ascii="Arial" w:hAnsi="Arial"/>
                <w:b w:val="false"/>
                <w:i w:val="false"/>
                <w:color w:val="000000"/>
                <w:sz w:val="16"/>
              </w:rPr>
              <w:t>389.2</w:t>
            </w:r>
            <w:bookmarkEnd w:id="8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9" w:id="89"/>
            <w:r>
              <w:rPr>
                <w:rFonts w:ascii="Arial" w:hAnsi="Arial"/>
                <w:b w:val="false"/>
                <w:i w:val="false"/>
                <w:color w:val="000000"/>
                <w:sz w:val="16"/>
              </w:rPr>
              <w:t>266.9</w:t>
            </w:r>
            <w:bookmarkEnd w:id="8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0" w:id="90"/>
            <w:r>
              <w:rPr>
                <w:rFonts w:ascii="Arial" w:hAnsi="Arial"/>
                <w:b w:val="false"/>
                <w:i w:val="false"/>
                <w:color w:val="000000"/>
                <w:sz w:val="16"/>
              </w:rPr>
              <w:t>629.4</w:t>
            </w:r>
            <w:bookmarkEnd w:id="9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 w:id="91"/>
            <w:r>
              <w:rPr>
                <w:rFonts w:ascii="Arial" w:hAnsi="Arial"/>
                <w:b w:val="false"/>
                <w:i w:val="false"/>
                <w:color w:val="000000"/>
                <w:sz w:val="16"/>
              </w:rPr>
              <w:t>490.2</w:t>
            </w:r>
            <w:bookmarkEnd w:id="9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Interest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 w:id="92"/>
            <w:r>
              <w:rPr>
                <w:rFonts w:ascii="Arial" w:hAnsi="Arial"/>
                <w:b w:val="false"/>
                <w:i w:val="false"/>
                <w:color w:val="000000"/>
                <w:sz w:val="16"/>
              </w:rPr>
              <w:t>7.8</w:t>
            </w:r>
            <w:bookmarkEnd w:id="9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 w:id="93"/>
            <w:r>
              <w:rPr>
                <w:rFonts w:ascii="Arial" w:hAnsi="Arial"/>
                <w:b w:val="false"/>
                <w:i w:val="false"/>
                <w:color w:val="000000"/>
                <w:sz w:val="16"/>
              </w:rPr>
              <w:t>5.7</w:t>
            </w:r>
            <w:bookmarkEnd w:id="9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4" w:id="94"/>
            <w:r>
              <w:rPr>
                <w:rFonts w:ascii="Arial" w:hAnsi="Arial"/>
                <w:b w:val="false"/>
                <w:i w:val="false"/>
                <w:color w:val="000000"/>
                <w:sz w:val="16"/>
              </w:rPr>
              <w:t>20.5</w:t>
            </w:r>
            <w:bookmarkEnd w:id="9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5" w:id="95"/>
            <w:r>
              <w:rPr>
                <w:rFonts w:ascii="Arial" w:hAnsi="Arial"/>
                <w:b w:val="false"/>
                <w:i w:val="false"/>
                <w:color w:val="000000"/>
                <w:sz w:val="16"/>
              </w:rPr>
              <w:t>19.4</w:t>
            </w:r>
            <w:bookmarkEnd w:id="9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Interest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6" w:id="96"/>
            <w:r>
              <w:rPr>
                <w:rFonts w:ascii="Arial" w:hAnsi="Arial"/>
                <w:b w:val="false"/>
                <w:i w:val="false"/>
                <w:color w:val="000000"/>
                <w:sz w:val="16"/>
              </w:rPr>
              <w:t>22.2</w:t>
            </w:r>
            <w:bookmarkEnd w:id="9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7" w:id="97"/>
            <w:r>
              <w:rPr>
                <w:rFonts w:ascii="Arial" w:hAnsi="Arial"/>
                <w:b w:val="false"/>
                <w:i w:val="false"/>
                <w:color w:val="000000"/>
                <w:sz w:val="16"/>
              </w:rPr>
              <w:t>27.1</w:t>
            </w:r>
            <w:bookmarkEnd w:id="97"/>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 w:id="98"/>
            <w:r>
              <w:rPr>
                <w:rFonts w:ascii="Arial" w:hAnsi="Arial"/>
                <w:b w:val="false"/>
                <w:i w:val="false"/>
                <w:color w:val="000000"/>
                <w:sz w:val="16"/>
              </w:rPr>
              <w:t>44.8</w:t>
            </w:r>
            <w:bookmarkEnd w:id="9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9" w:id="99"/>
            <w:r>
              <w:rPr>
                <w:rFonts w:ascii="Arial" w:hAnsi="Arial"/>
                <w:b w:val="false"/>
                <w:i w:val="false"/>
                <w:color w:val="000000"/>
                <w:sz w:val="16"/>
              </w:rPr>
              <w:t>53.5</w:t>
            </w:r>
            <w:bookmarkEnd w:id="9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0" w:id="100"/>
            <w:r>
              <w:rPr>
                <w:rFonts w:ascii="Arial" w:hAnsi="Arial"/>
                <w:b w:val="false"/>
                <w:i w:val="false"/>
                <w:color w:val="000000"/>
                <w:sz w:val="16"/>
              </w:rPr>
              <w:t>374.8</w:t>
            </w:r>
            <w:bookmarkEnd w:id="10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1" w:id="101"/>
            <w:r>
              <w:rPr>
                <w:rFonts w:ascii="Arial" w:hAnsi="Arial"/>
                <w:b w:val="false"/>
                <w:i w:val="false"/>
                <w:color w:val="000000"/>
                <w:sz w:val="16"/>
              </w:rPr>
              <w:t>245.5</w:t>
            </w:r>
            <w:bookmarkEnd w:id="10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2" w:id="102"/>
            <w:r>
              <w:rPr>
                <w:rFonts w:ascii="Arial" w:hAnsi="Arial"/>
                <w:b w:val="false"/>
                <w:i w:val="false"/>
                <w:color w:val="000000"/>
                <w:sz w:val="16"/>
              </w:rPr>
              <w:t>605.1</w:t>
            </w:r>
            <w:bookmarkEnd w:id="10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 w:id="103"/>
            <w:r>
              <w:rPr>
                <w:rFonts w:ascii="Arial" w:hAnsi="Arial"/>
                <w:b w:val="false"/>
                <w:i w:val="false"/>
                <w:color w:val="000000"/>
                <w:sz w:val="16"/>
              </w:rPr>
              <w:t>456.1</w:t>
            </w:r>
            <w:bookmarkEnd w:id="103"/>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for income taxes (Note 15)</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 w:id="104"/>
            <w:r>
              <w:rPr>
                <w:rFonts w:ascii="Arial" w:hAnsi="Arial"/>
                <w:b w:val="false"/>
                <w:i w:val="false"/>
                <w:color w:val="000000"/>
                <w:sz w:val="16"/>
              </w:rPr>
              <w:t>106.5</w:t>
            </w:r>
            <w:bookmarkEnd w:id="10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5" w:id="105"/>
            <w:r>
              <w:rPr>
                <w:rFonts w:ascii="Arial" w:hAnsi="Arial"/>
                <w:b w:val="false"/>
                <w:i w:val="false"/>
                <w:color w:val="000000"/>
                <w:sz w:val="16"/>
              </w:rPr>
              <w:t>59.2</w:t>
            </w:r>
            <w:bookmarkEnd w:id="10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 w:id="106"/>
            <w:r>
              <w:rPr>
                <w:rFonts w:ascii="Arial" w:hAnsi="Arial"/>
                <w:b w:val="false"/>
                <w:i w:val="false"/>
                <w:color w:val="000000"/>
                <w:sz w:val="16"/>
              </w:rPr>
              <w:t>193.5</w:t>
            </w:r>
            <w:bookmarkEnd w:id="10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7" w:id="107"/>
            <w:r>
              <w:rPr>
                <w:rFonts w:ascii="Arial" w:hAnsi="Arial"/>
                <w:b w:val="false"/>
                <w:i w:val="false"/>
                <w:color w:val="000000"/>
                <w:sz w:val="16"/>
              </w:rPr>
              <w:t>108.9</w:t>
            </w:r>
            <w:bookmarkEnd w:id="10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 w:id="108"/>
            <w:r>
              <w:rPr>
                <w:rFonts w:ascii="Arial" w:hAnsi="Arial"/>
                <w:b w:val="false"/>
                <w:i w:val="false"/>
                <w:color w:val="000000"/>
                <w:sz w:val="16"/>
              </w:rPr>
              <w:t>268.3</w:t>
            </w:r>
            <w:bookmarkEnd w:id="10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 w:id="109"/>
            <w:r>
              <w:rPr>
                <w:rFonts w:ascii="Arial" w:hAnsi="Arial"/>
                <w:b w:val="false"/>
                <w:i w:val="false"/>
                <w:color w:val="000000"/>
                <w:sz w:val="16"/>
              </w:rPr>
              <w:t>186.3</w:t>
            </w:r>
            <w:bookmarkEnd w:id="10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 w:id="110"/>
            <w:r>
              <w:rPr>
                <w:rFonts w:ascii="Arial" w:hAnsi="Arial"/>
                <w:b w:val="false"/>
                <w:i w:val="false"/>
                <w:color w:val="000000"/>
                <w:sz w:val="16"/>
              </w:rPr>
              <w:t>411.6</w:t>
            </w:r>
            <w:bookmarkEnd w:id="11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1" w:id="111"/>
            <w:r>
              <w:rPr>
                <w:rFonts w:ascii="Arial" w:hAnsi="Arial"/>
                <w:b w:val="false"/>
                <w:i w:val="false"/>
                <w:color w:val="000000"/>
                <w:sz w:val="16"/>
              </w:rPr>
              <w:t>347.2</w:t>
            </w:r>
            <w:bookmarkEnd w:id="11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9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 w:id="112"/>
            <w:r>
              <w:rPr>
                <w:rFonts w:ascii="Arial" w:hAnsi="Arial"/>
                <w:b w:val="false"/>
                <w:i w:val="false"/>
                <w:color w:val="000000"/>
                <w:sz w:val="16"/>
              </w:rPr>
              <w:t>1.2</w:t>
            </w:r>
            <w:bookmarkEnd w:id="11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3" w:id="113"/>
            <w:r>
              <w:rPr>
                <w:rFonts w:ascii="Arial" w:hAnsi="Arial"/>
                <w:b w:val="false"/>
                <w:i w:val="false"/>
                <w:color w:val="000000"/>
                <w:sz w:val="16"/>
              </w:rPr>
              <w:t>0.2</w:t>
            </w:r>
            <w:bookmarkEnd w:id="11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4" w:id="114"/>
            <w:r>
              <w:rPr>
                <w:rFonts w:ascii="Arial" w:hAnsi="Arial"/>
                <w:b w:val="false"/>
                <w:i w:val="false"/>
                <w:color w:val="000000"/>
                <w:sz w:val="16"/>
              </w:rPr>
              <w:t>0.1</w:t>
            </w:r>
            <w:bookmarkEnd w:id="11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5" w:id="115"/>
            <w:r>
              <w:rPr>
                <w:rFonts w:ascii="Arial" w:hAnsi="Arial"/>
                <w:b w:val="false"/>
                <w:i w:val="false"/>
                <w:color w:val="000000"/>
                <w:sz w:val="16"/>
              </w:rPr>
              <w:t>3.6</w:t>
            </w:r>
            <w:bookmarkEnd w:id="11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attributable to TechnipFMC plc</w:t>
            </w:r>
            <w:r>
              <w:rPr>
                <w:rFonts w:ascii="Times New Roman" w:hAnsi="Times New Roman"/>
                <w:b w:val="false"/>
                <w:i w:val="false"/>
                <w:color w:val="000000"/>
                <w:sz w:val="22"/>
              </w:rPr>
              <w:t xml:space="preserve"> </w:t>
            </w: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 w:id="116"/>
            <w:r>
              <w:rPr>
                <w:rFonts w:ascii="Arial" w:hAnsi="Arial"/>
                <w:b w:val="false"/>
                <w:i w:val="false"/>
                <w:color w:val="000000"/>
                <w:sz w:val="16"/>
              </w:rPr>
              <w:t>269.5</w:t>
            </w:r>
            <w:bookmarkEnd w:id="116"/>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 w:id="117"/>
            <w:r>
              <w:rPr>
                <w:rFonts w:ascii="Arial" w:hAnsi="Arial"/>
                <w:b w:val="false"/>
                <w:i w:val="false"/>
                <w:color w:val="000000"/>
                <w:sz w:val="16"/>
              </w:rPr>
              <w:t>186.5</w:t>
            </w:r>
            <w:bookmarkEnd w:id="117"/>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 w:id="118"/>
            <w:r>
              <w:rPr>
                <w:rFonts w:ascii="Arial" w:hAnsi="Arial"/>
                <w:b w:val="false"/>
                <w:i w:val="false"/>
                <w:color w:val="000000"/>
                <w:sz w:val="16"/>
              </w:rPr>
              <w:t>411.5</w:t>
            </w:r>
            <w:bookmarkEnd w:id="11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0"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 w:id="119"/>
            <w:r>
              <w:rPr>
                <w:rFonts w:ascii="Arial" w:hAnsi="Arial"/>
                <w:b w:val="false"/>
                <w:i w:val="false"/>
                <w:color w:val="000000"/>
                <w:sz w:val="16"/>
              </w:rPr>
              <w:t>343.6</w:t>
            </w:r>
            <w:bookmarkEnd w:id="11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18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Earnings per share attributable to TechnipFMC plc</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 w:id="120"/>
            <w:r>
              <w:rPr>
                <w:rFonts w:ascii="Arial" w:hAnsi="Arial"/>
                <w:b w:val="false"/>
                <w:i w:val="false"/>
                <w:color w:val="000000"/>
                <w:sz w:val="16"/>
              </w:rPr>
              <w:t>0.65</w:t>
            </w:r>
            <w:bookmarkEnd w:id="12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 w:id="121"/>
            <w:r>
              <w:rPr>
                <w:rFonts w:ascii="Arial" w:hAnsi="Arial"/>
                <w:b w:val="false"/>
                <w:i w:val="false"/>
                <w:color w:val="000000"/>
                <w:sz w:val="16"/>
              </w:rPr>
              <w:t>0.43</w:t>
            </w:r>
            <w:bookmarkEnd w:id="12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 w:id="122"/>
            <w:r>
              <w:rPr>
                <w:rFonts w:ascii="Arial" w:hAnsi="Arial"/>
                <w:b w:val="false"/>
                <w:i w:val="false"/>
                <w:color w:val="000000"/>
                <w:sz w:val="16"/>
              </w:rPr>
              <w:t>0.98</w:t>
            </w:r>
            <w:bookmarkEnd w:id="12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 w:id="123"/>
            <w:r>
              <w:rPr>
                <w:rFonts w:ascii="Arial" w:hAnsi="Arial"/>
                <w:b w:val="false"/>
                <w:i w:val="false"/>
                <w:color w:val="000000"/>
                <w:sz w:val="16"/>
              </w:rPr>
              <w:t>0.80</w:t>
            </w:r>
            <w:bookmarkEnd w:id="12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 w:id="124"/>
            <w:r>
              <w:rPr>
                <w:rFonts w:ascii="Arial" w:hAnsi="Arial"/>
                <w:b w:val="false"/>
                <w:i w:val="false"/>
                <w:color w:val="000000"/>
                <w:sz w:val="16"/>
              </w:rPr>
              <w:t>0.64</w:t>
            </w:r>
            <w:bookmarkEnd w:id="12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 w:id="125"/>
            <w:r>
              <w:rPr>
                <w:rFonts w:ascii="Arial" w:hAnsi="Arial"/>
                <w:b w:val="false"/>
                <w:i w:val="false"/>
                <w:color w:val="000000"/>
                <w:sz w:val="16"/>
              </w:rPr>
              <w:t>0.42</w:t>
            </w:r>
            <w:bookmarkEnd w:id="12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 w:id="126"/>
            <w:r>
              <w:rPr>
                <w:rFonts w:ascii="Arial" w:hAnsi="Arial"/>
                <w:b w:val="false"/>
                <w:i w:val="false"/>
                <w:color w:val="000000"/>
                <w:sz w:val="16"/>
              </w:rPr>
              <w:t>0.97</w:t>
            </w:r>
            <w:bookmarkEnd w:id="12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 w:id="127"/>
            <w:r>
              <w:rPr>
                <w:rFonts w:ascii="Arial" w:hAnsi="Arial"/>
                <w:b w:val="false"/>
                <w:i w:val="false"/>
                <w:color w:val="000000"/>
                <w:sz w:val="16"/>
              </w:rPr>
              <w:t>0.78</w:t>
            </w:r>
            <w:bookmarkEnd w:id="12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18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Weighted average shares outstanding (Note 5)</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Basic</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 w:id="128"/>
            <w:r>
              <w:rPr>
                <w:rFonts w:ascii="Arial" w:hAnsi="Arial"/>
                <w:b w:val="false"/>
                <w:i w:val="false"/>
                <w:color w:val="000000"/>
                <w:sz w:val="16"/>
              </w:rPr>
              <w:t>415.4</w:t>
            </w:r>
            <w:bookmarkEnd w:id="12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 w:id="129"/>
            <w:r>
              <w:rPr>
                <w:rFonts w:ascii="Arial" w:hAnsi="Arial"/>
                <w:b w:val="false"/>
                <w:i w:val="false"/>
                <w:color w:val="000000"/>
                <w:sz w:val="16"/>
              </w:rPr>
              <w:t>430.2</w:t>
            </w:r>
            <w:bookmarkEnd w:id="12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 w:id="130"/>
            <w:r>
              <w:rPr>
                <w:rFonts w:ascii="Arial" w:hAnsi="Arial"/>
                <w:b w:val="false"/>
                <w:i w:val="false"/>
                <w:color w:val="000000"/>
                <w:sz w:val="16"/>
              </w:rPr>
              <w:t>418.3</w:t>
            </w:r>
            <w:bookmarkEnd w:id="13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 w:id="131"/>
            <w:r>
              <w:rPr>
                <w:rFonts w:ascii="Arial" w:hAnsi="Arial"/>
                <w:b w:val="false"/>
                <w:i w:val="false"/>
                <w:color w:val="000000"/>
                <w:sz w:val="16"/>
              </w:rPr>
              <w:t>431.9</w:t>
            </w:r>
            <w:bookmarkEnd w:id="131"/>
            <w:r>
              <w:rPr>
                <w:rFonts w:ascii="Arial" w:hAnsi="Arial"/>
                <w:b w:val="false"/>
                <w:i w:val="false"/>
                <w:color w:val="000000"/>
                <w:sz w:val="16"/>
              </w:rPr>
              <w:t xml:space="preserve"> </w:t>
            </w: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Diluted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 w:id="132"/>
            <w:r>
              <w:rPr>
                <w:rFonts w:ascii="Arial" w:hAnsi="Arial"/>
                <w:b w:val="false"/>
                <w:i w:val="false"/>
                <w:color w:val="000000"/>
                <w:sz w:val="16"/>
              </w:rPr>
              <w:t>420.5</w:t>
            </w:r>
            <w:bookmarkEnd w:id="13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 w:id="133"/>
            <w:r>
              <w:rPr>
                <w:rFonts w:ascii="Arial" w:hAnsi="Arial"/>
                <w:b w:val="false"/>
                <w:i w:val="false"/>
                <w:color w:val="000000"/>
                <w:sz w:val="16"/>
              </w:rPr>
              <w:t>440.1</w:t>
            </w:r>
            <w:bookmarkEnd w:id="13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 w:id="134"/>
            <w:r>
              <w:rPr>
                <w:rFonts w:ascii="Arial" w:hAnsi="Arial"/>
                <w:b w:val="false"/>
                <w:i w:val="false"/>
                <w:color w:val="000000"/>
                <w:sz w:val="16"/>
              </w:rPr>
              <w:t>426.2</w:t>
            </w:r>
            <w:bookmarkEnd w:id="13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 w:id="135"/>
            <w:r>
              <w:rPr>
                <w:rFonts w:ascii="Arial" w:hAnsi="Arial"/>
                <w:b w:val="false"/>
                <w:i w:val="false"/>
                <w:color w:val="000000"/>
                <w:sz w:val="16"/>
              </w:rPr>
              <w:t>443.2</w:t>
            </w:r>
            <w:bookmarkEnd w:id="135"/>
            <w:r>
              <w:rPr>
                <w:rFonts w:ascii="Arial" w:hAnsi="Arial"/>
                <w:b w:val="false"/>
                <w:i w:val="false"/>
                <w:color w:val="000000"/>
                <w:sz w:val="16"/>
              </w:rPr>
              <w:t xml:space="preserve"> </w:t>
            </w: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180" w:after="8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The accompanying notes are an integral part of the condensed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w:t>
      </w:r>
      <w:r>
        <w:rPr>
          <w:rFonts w:ascii="Times New Roman" w:hAnsi="Times New Roman"/>
          <w:b w:val="false"/>
          <w:i w:val="false"/>
          <w:color w:val="000000"/>
          <w:sz w:val="22"/>
        </w:rPr>
        <w:t xml:space="preserve"> </w:t>
      </w:r>
    </w:p>
    <w:p>
      <w:pPr>
        <w:spacing w:before="0" w:after="0"/>
        <w:ind w:left="120"/>
        <w:jc w:val="left"/>
      </w:pPr>
    </w:p>
    <w:bookmarkStart w:name="if5bce3d3882148cf91b6563d87cc4db5_22" w:id="136"/>
    <w:p>
      <w:pPr>
        <w:spacing w:before="0" w:after="0"/>
        <w:ind w:left="120"/>
        <w:jc w:val="left"/>
      </w:pPr>
    </w:p>
    <w:bookmarkEnd w:id="136"/>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2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CONDENSED CONSOLIDATED STATEMENTS OF COMPREHENSIVE INCOME (UNAUDITED)</w:t>
      </w:r>
      <w:r>
        <w:rPr>
          <w:rFonts w:ascii="Times New Roman" w:hAnsi="Times New Roman"/>
          <w:b w:val="false"/>
          <w:i w:val="false"/>
          <w:color w:val="000000"/>
          <w:sz w:val="22"/>
        </w:rPr>
        <w:t xml:space="preserve"> </w:t>
      </w:r>
    </w:p>
    <w:p>
      <w:pPr>
        <w:spacing w:before="0" w:after="0"/>
        <w:ind w:left="120"/>
        <w:jc w:val="left"/>
      </w:pPr>
    </w:p>
    <w:p>
      <w:pPr>
        <w:spacing w:before="120" w:after="6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33"/>
        <w:gridCol w:w="5622"/>
        <w:gridCol w:w="637"/>
        <w:gridCol w:w="146"/>
        <w:gridCol w:w="1409"/>
        <w:gridCol w:w="40"/>
        <w:gridCol w:w="40"/>
        <w:gridCol w:w="40"/>
        <w:gridCol w:w="40"/>
        <w:gridCol w:w="146"/>
        <w:gridCol w:w="1409"/>
        <w:gridCol w:w="40"/>
        <w:gridCol w:w="40"/>
        <w:gridCol w:w="40"/>
        <w:gridCol w:w="40"/>
        <w:gridCol w:w="146"/>
        <w:gridCol w:w="1410"/>
        <w:gridCol w:w="40"/>
        <w:gridCol w:w="40"/>
        <w:gridCol w:w="40"/>
        <w:gridCol w:w="40"/>
        <w:gridCol w:w="146"/>
        <w:gridCol w:w="1410"/>
        <w:gridCol w:w="40"/>
      </w:tblGrid>
      <w:tr>
        <w:trPr>
          <w:trHeight w:val="30" w:hRule="atLeast"/>
        </w:trPr>
        <w:tc>
          <w:tcPr>
            <w:tcW w:w="633" w:type="dxa"/>
            <w:tcBorders/>
            <w:tcMar>
              <w:top w:w="15" w:type="dxa"/>
              <w:left w:w="15" w:type="dxa"/>
              <w:bottom w:w="15" w:type="dxa"/>
              <w:right w:w="15" w:type="dxa"/>
            </w:tcMar>
            <w:vAlign w:val="center"/>
          </w:tcPr>
          <w:p/>
        </w:tc>
        <w:tc>
          <w:tcPr>
            <w:tcW w:w="5622" w:type="dxa"/>
            <w:tcBorders/>
            <w:tcMar>
              <w:top w:w="15" w:type="dxa"/>
              <w:left w:w="15" w:type="dxa"/>
              <w:bottom w:w="15" w:type="dxa"/>
              <w:right w:w="15" w:type="dxa"/>
            </w:tcMar>
            <w:vAlign w:val="center"/>
          </w:tcPr>
          <w:p/>
        </w:tc>
        <w:tc>
          <w:tcPr>
            <w:tcW w:w="637"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0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0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1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1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30" w:type="dxa"/>
              <w:left w:w="15" w:type="dxa"/>
              <w:bottom w:w="30" w:type="dxa"/>
              <w:right w:w="15" w:type="dxa"/>
            </w:tcMar>
            <w:vAlign w:val="bottom"/>
          </w:tcPr>
          <w:p>
            <w:pPr>
              <w:spacing w:before="10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attributable to TechnipFMC plc</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6" w:id="137"/>
            <w:r>
              <w:rPr>
                <w:rFonts w:ascii="Arial" w:hAnsi="Arial"/>
                <w:b w:val="false"/>
                <w:i w:val="false"/>
                <w:color w:val="000000"/>
                <w:sz w:val="16"/>
              </w:rPr>
              <w:t>269.5</w:t>
            </w:r>
            <w:bookmarkEnd w:id="13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7" w:id="138"/>
            <w:r>
              <w:rPr>
                <w:rFonts w:ascii="Arial" w:hAnsi="Arial"/>
                <w:b w:val="false"/>
                <w:i w:val="false"/>
                <w:color w:val="000000"/>
                <w:sz w:val="16"/>
              </w:rPr>
              <w:t>186.5</w:t>
            </w:r>
            <w:bookmarkEnd w:id="13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8" w:id="139"/>
            <w:r>
              <w:rPr>
                <w:rFonts w:ascii="Arial" w:hAnsi="Arial"/>
                <w:b w:val="false"/>
                <w:i w:val="false"/>
                <w:color w:val="000000"/>
                <w:sz w:val="16"/>
              </w:rPr>
              <w:t>411.5</w:t>
            </w:r>
            <w:bookmarkEnd w:id="13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9" w:id="140"/>
            <w:r>
              <w:rPr>
                <w:rFonts w:ascii="Arial" w:hAnsi="Arial"/>
                <w:b w:val="false"/>
                <w:i w:val="false"/>
                <w:color w:val="000000"/>
                <w:sz w:val="16"/>
              </w:rPr>
              <w:t>343.6</w:t>
            </w:r>
            <w:bookmarkEnd w:id="14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attributable to non-controlling interests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0" w:id="141"/>
            <w:r>
              <w:rPr>
                <w:rFonts w:ascii="Arial" w:hAnsi="Arial"/>
                <w:b w:val="false"/>
                <w:i w:val="false"/>
                <w:color w:val="000000"/>
                <w:sz w:val="16"/>
              </w:rPr>
              <w:t>1.2</w:t>
            </w:r>
            <w:bookmarkEnd w:id="14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1" w:id="142"/>
            <w:r>
              <w:rPr>
                <w:rFonts w:ascii="Arial" w:hAnsi="Arial"/>
                <w:b w:val="false"/>
                <w:i w:val="false"/>
                <w:color w:val="000000"/>
                <w:sz w:val="16"/>
              </w:rPr>
              <w:t>0.2</w:t>
            </w:r>
            <w:bookmarkEnd w:id="14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2" w:id="143"/>
            <w:r>
              <w:rPr>
                <w:rFonts w:ascii="Arial" w:hAnsi="Arial"/>
                <w:b w:val="false"/>
                <w:i w:val="false"/>
                <w:color w:val="000000"/>
                <w:sz w:val="16"/>
              </w:rPr>
              <w:t>0.1</w:t>
            </w:r>
            <w:bookmarkEnd w:id="14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3" w:id="144"/>
            <w:r>
              <w:rPr>
                <w:rFonts w:ascii="Arial" w:hAnsi="Arial"/>
                <w:b w:val="false"/>
                <w:i w:val="false"/>
                <w:color w:val="000000"/>
                <w:sz w:val="16"/>
              </w:rPr>
              <w:t>3.6</w:t>
            </w:r>
            <w:bookmarkEnd w:id="14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attributable to TechnipFMC plc, including non-controlling interests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4" w:id="145"/>
            <w:r>
              <w:rPr>
                <w:rFonts w:ascii="Arial" w:hAnsi="Arial"/>
                <w:b w:val="false"/>
                <w:i w:val="false"/>
                <w:color w:val="000000"/>
                <w:sz w:val="16"/>
              </w:rPr>
              <w:t>268.3</w:t>
            </w:r>
            <w:bookmarkEnd w:id="14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5" w:id="146"/>
            <w:r>
              <w:rPr>
                <w:rFonts w:ascii="Arial" w:hAnsi="Arial"/>
                <w:b w:val="false"/>
                <w:i w:val="false"/>
                <w:color w:val="000000"/>
                <w:sz w:val="16"/>
              </w:rPr>
              <w:t>186.3</w:t>
            </w:r>
            <w:bookmarkEnd w:id="146"/>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6" w:id="147"/>
            <w:r>
              <w:rPr>
                <w:rFonts w:ascii="Arial" w:hAnsi="Arial"/>
                <w:b w:val="false"/>
                <w:i w:val="false"/>
                <w:color w:val="000000"/>
                <w:sz w:val="16"/>
              </w:rPr>
              <w:t>411.6</w:t>
            </w:r>
            <w:bookmarkEnd w:id="14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7" w:id="148"/>
            <w:r>
              <w:rPr>
                <w:rFonts w:ascii="Arial" w:hAnsi="Arial"/>
                <w:b w:val="false"/>
                <w:i w:val="false"/>
                <w:color w:val="000000"/>
                <w:sz w:val="16"/>
              </w:rPr>
              <w:t>347.2</w:t>
            </w:r>
            <w:bookmarkEnd w:id="14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7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Foreign currency translation adjustments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unrealized gains (losses) arising during the period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48" w:id="149"/>
            <w:r>
              <w:rPr>
                <w:rFonts w:ascii="Arial" w:hAnsi="Arial"/>
                <w:b w:val="false"/>
                <w:i w:val="false"/>
                <w:color w:val="000000"/>
                <w:sz w:val="16"/>
              </w:rPr>
              <w:t>121.4</w:t>
            </w:r>
            <w:bookmarkEnd w:id="14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49" w:id="150"/>
            <w:r>
              <w:rPr>
                <w:rFonts w:ascii="Arial" w:hAnsi="Arial"/>
                <w:b w:val="false"/>
                <w:i w:val="false"/>
                <w:color w:val="000000"/>
                <w:sz w:val="16"/>
              </w:rPr>
              <w:t>89.4</w:t>
            </w:r>
            <w:bookmarkEnd w:id="150"/>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0" w:id="151"/>
            <w:r>
              <w:rPr>
                <w:rFonts w:ascii="Arial" w:hAnsi="Arial"/>
                <w:b w:val="false"/>
                <w:i w:val="false"/>
                <w:color w:val="000000"/>
                <w:sz w:val="16"/>
              </w:rPr>
              <w:t>211.5</w:t>
            </w:r>
            <w:bookmarkEnd w:id="15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1" w:id="152"/>
            <w:r>
              <w:rPr>
                <w:rFonts w:ascii="Arial" w:hAnsi="Arial"/>
                <w:b w:val="false"/>
                <w:i w:val="false"/>
                <w:color w:val="000000"/>
                <w:sz w:val="16"/>
              </w:rPr>
              <w:t>152.1</w:t>
            </w:r>
            <w:bookmarkEnd w:id="152"/>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losses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2" w:id="153"/>
            <w:r>
              <w:rPr>
                <w:rFonts w:ascii="Arial" w:hAnsi="Arial"/>
                <w:b w:val="false"/>
                <w:i w:val="false"/>
                <w:color w:val="000000"/>
                <w:sz w:val="16"/>
              </w:rPr>
              <w:t>—</w:t>
            </w:r>
            <w:bookmarkEnd w:id="15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3" w:id="154"/>
            <w:r>
              <w:rPr>
                <w:rFonts w:ascii="Arial" w:hAnsi="Arial"/>
                <w:b w:val="false"/>
                <w:i w:val="false"/>
                <w:color w:val="000000"/>
                <w:sz w:val="16"/>
              </w:rPr>
              <w:t>—</w:t>
            </w:r>
            <w:bookmarkEnd w:id="15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4" w:id="155"/>
            <w:r>
              <w:rPr>
                <w:rFonts w:ascii="Arial" w:hAnsi="Arial"/>
                <w:b w:val="false"/>
                <w:i w:val="false"/>
                <w:color w:val="000000"/>
                <w:sz w:val="16"/>
              </w:rPr>
              <w:t>—</w:t>
            </w:r>
            <w:bookmarkEnd w:id="15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5" w:id="156"/>
            <w:r>
              <w:rPr>
                <w:rFonts w:ascii="Arial" w:hAnsi="Arial"/>
                <w:b w:val="false"/>
                <w:i w:val="false"/>
                <w:color w:val="000000"/>
                <w:sz w:val="16"/>
              </w:rPr>
              <w:t>10.5</w:t>
            </w:r>
            <w:bookmarkEnd w:id="15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Foreign currency translation adjustments</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6" w:id="157"/>
            <w:r>
              <w:rPr>
                <w:rFonts w:ascii="Arial" w:hAnsi="Arial"/>
                <w:b w:val="false"/>
                <w:i w:val="false"/>
                <w:color w:val="000000"/>
                <w:sz w:val="16"/>
              </w:rPr>
              <w:t>121.4</w:t>
            </w:r>
            <w:bookmarkEnd w:id="157"/>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7" w:id="158"/>
            <w:r>
              <w:rPr>
                <w:rFonts w:ascii="Arial" w:hAnsi="Arial"/>
                <w:b w:val="false"/>
                <w:i w:val="false"/>
                <w:color w:val="000000"/>
                <w:sz w:val="16"/>
              </w:rPr>
              <w:t>89.4</w:t>
            </w:r>
            <w:bookmarkEnd w:id="158"/>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58" w:id="159"/>
            <w:r>
              <w:rPr>
                <w:rFonts w:ascii="Arial" w:hAnsi="Arial"/>
                <w:b w:val="false"/>
                <w:i w:val="false"/>
                <w:color w:val="000000"/>
                <w:sz w:val="16"/>
              </w:rPr>
              <w:t>211.5</w:t>
            </w:r>
            <w:bookmarkEnd w:id="15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59" w:id="160"/>
            <w:r>
              <w:rPr>
                <w:rFonts w:ascii="Arial" w:hAnsi="Arial"/>
                <w:b w:val="false"/>
                <w:i w:val="false"/>
                <w:color w:val="000000"/>
                <w:sz w:val="16"/>
              </w:rPr>
              <w:t>141.6</w:t>
            </w:r>
            <w:bookmarkEnd w:id="160"/>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Net gains (losses) on hedging instruments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gains (losses) arising during the period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0" w:id="161"/>
            <w:r>
              <w:rPr>
                <w:rFonts w:ascii="Arial" w:hAnsi="Arial"/>
                <w:b w:val="false"/>
                <w:i w:val="false"/>
                <w:color w:val="000000"/>
                <w:sz w:val="16"/>
              </w:rPr>
              <w:t>50.7</w:t>
            </w:r>
            <w:bookmarkEnd w:id="16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1" w:id="162"/>
            <w:r>
              <w:rPr>
                <w:rFonts w:ascii="Arial" w:hAnsi="Arial"/>
                <w:b w:val="false"/>
                <w:i w:val="false"/>
                <w:color w:val="000000"/>
                <w:sz w:val="16"/>
              </w:rPr>
              <w:t>20.7</w:t>
            </w:r>
            <w:bookmarkEnd w:id="16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2" w:id="163"/>
            <w:r>
              <w:rPr>
                <w:rFonts w:ascii="Arial" w:hAnsi="Arial"/>
                <w:b w:val="false"/>
                <w:i w:val="false"/>
                <w:color w:val="000000"/>
                <w:sz w:val="16"/>
              </w:rPr>
              <w:t>109.9</w:t>
            </w:r>
            <w:bookmarkEnd w:id="16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3" w:id="164"/>
            <w:r>
              <w:rPr>
                <w:rFonts w:ascii="Arial" w:hAnsi="Arial"/>
                <w:b w:val="false"/>
                <w:i w:val="false"/>
                <w:color w:val="000000"/>
                <w:sz w:val="16"/>
              </w:rPr>
              <w:t>55.1</w:t>
            </w:r>
            <w:bookmarkEnd w:id="16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(gains) losses included in 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4" w:id="165"/>
            <w:r>
              <w:rPr>
                <w:rFonts w:ascii="Arial" w:hAnsi="Arial"/>
                <w:b w:val="false"/>
                <w:i w:val="false"/>
                <w:color w:val="000000"/>
                <w:sz w:val="16"/>
              </w:rPr>
              <w:t>4.8</w:t>
            </w:r>
            <w:bookmarkEnd w:id="16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5" w:id="166"/>
            <w:r>
              <w:rPr>
                <w:rFonts w:ascii="Arial" w:hAnsi="Arial"/>
                <w:b w:val="false"/>
                <w:i w:val="false"/>
                <w:color w:val="000000"/>
                <w:sz w:val="16"/>
              </w:rPr>
              <w:t>3.7</w:t>
            </w:r>
            <w:bookmarkEnd w:id="16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6" w:id="167"/>
            <w:r>
              <w:rPr>
                <w:rFonts w:ascii="Arial" w:hAnsi="Arial"/>
                <w:b w:val="false"/>
                <w:i w:val="false"/>
                <w:color w:val="000000"/>
                <w:sz w:val="16"/>
              </w:rPr>
              <w:t>5.5</w:t>
            </w:r>
            <w:bookmarkEnd w:id="16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7" w:id="168"/>
            <w:r>
              <w:rPr>
                <w:rFonts w:ascii="Arial" w:hAnsi="Arial"/>
                <w:b w:val="false"/>
                <w:i w:val="false"/>
                <w:color w:val="000000"/>
                <w:sz w:val="16"/>
              </w:rPr>
              <w:t>6.8</w:t>
            </w:r>
            <w:bookmarkEnd w:id="16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Net gains (losses) on hedging instruments</w:t>
            </w:r>
            <w:r>
              <w:rPr>
                <w:rFonts w:ascii="Times New Roman" w:hAnsi="Times New Roman"/>
                <w:b w:val="false"/>
                <w:i w:val="false"/>
                <w:color w:val="000000"/>
                <w:sz w:val="22"/>
              </w:rPr>
              <w:t xml:space="preserve"> </w:t>
            </w:r>
            <w:r>
              <w:rPr>
                <w:rFonts w:ascii="Arial" w:hAnsi="Arial"/>
                <w:b/>
                <w:i w:val="false"/>
                <w:color w:val="000000"/>
                <w:sz w:val="10"/>
              </w:rPr>
              <w:t>(b)</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68" w:id="169"/>
            <w:r>
              <w:rPr>
                <w:rFonts w:ascii="Arial" w:hAnsi="Arial"/>
                <w:b w:val="false"/>
                <w:i w:val="false"/>
                <w:color w:val="000000"/>
                <w:sz w:val="16"/>
              </w:rPr>
              <w:t>55.5</w:t>
            </w:r>
            <w:bookmarkEnd w:id="16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69" w:id="170"/>
            <w:r>
              <w:rPr>
                <w:rFonts w:ascii="Arial" w:hAnsi="Arial"/>
                <w:b w:val="false"/>
                <w:i w:val="false"/>
                <w:color w:val="000000"/>
                <w:sz w:val="16"/>
              </w:rPr>
              <w:t>24.4</w:t>
            </w:r>
            <w:bookmarkEnd w:id="17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0" w:id="171"/>
            <w:r>
              <w:rPr>
                <w:rFonts w:ascii="Arial" w:hAnsi="Arial"/>
                <w:b w:val="false"/>
                <w:i w:val="false"/>
                <w:color w:val="000000"/>
                <w:sz w:val="16"/>
              </w:rPr>
              <w:t>115.4</w:t>
            </w:r>
            <w:bookmarkEnd w:id="17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1" w:id="172"/>
            <w:r>
              <w:rPr>
                <w:rFonts w:ascii="Arial" w:hAnsi="Arial"/>
                <w:b w:val="false"/>
                <w:i w:val="false"/>
                <w:color w:val="000000"/>
                <w:sz w:val="16"/>
              </w:rPr>
              <w:t>61.9</w:t>
            </w:r>
            <w:bookmarkEnd w:id="172"/>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r>
      <w:tr>
        <w:trPr>
          <w:trHeight w:val="27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Pension and other post-retirement benefits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gains (losses) arising during the period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2" w:id="173"/>
            <w:r>
              <w:rPr>
                <w:rFonts w:ascii="Arial" w:hAnsi="Arial"/>
                <w:b w:val="false"/>
                <w:i w:val="false"/>
                <w:color w:val="000000"/>
                <w:sz w:val="16"/>
              </w:rPr>
              <w:t>3.4</w:t>
            </w:r>
            <w:bookmarkEnd w:id="17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3" w:id="174"/>
            <w:r>
              <w:rPr>
                <w:rFonts w:ascii="Arial" w:hAnsi="Arial"/>
                <w:b w:val="false"/>
                <w:i w:val="false"/>
                <w:color w:val="000000"/>
                <w:sz w:val="16"/>
              </w:rPr>
              <w:t>0.8</w:t>
            </w:r>
            <w:bookmarkEnd w:id="17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74" w:id="175"/>
            <w:r>
              <w:rPr>
                <w:rFonts w:ascii="Arial" w:hAnsi="Arial"/>
                <w:b w:val="false"/>
                <w:i w:val="false"/>
                <w:color w:val="000000"/>
                <w:sz w:val="16"/>
              </w:rPr>
              <w:t>5.7</w:t>
            </w:r>
            <w:bookmarkEnd w:id="17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5" w:id="176"/>
            <w:r>
              <w:rPr>
                <w:rFonts w:ascii="Arial" w:hAnsi="Arial"/>
                <w:b w:val="false"/>
                <w:i w:val="false"/>
                <w:color w:val="000000"/>
                <w:sz w:val="16"/>
              </w:rPr>
              <w:t>3.3</w:t>
            </w:r>
            <w:bookmarkEnd w:id="17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amortization of prior service cost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6" w:id="177"/>
            <w:r>
              <w:rPr>
                <w:rFonts w:ascii="Arial" w:hAnsi="Arial"/>
                <w:b w:val="false"/>
                <w:i w:val="false"/>
                <w:color w:val="000000"/>
                <w:sz w:val="16"/>
              </w:rPr>
              <w:t>—</w:t>
            </w:r>
            <w:bookmarkEnd w:id="17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7" w:id="178"/>
            <w:r>
              <w:rPr>
                <w:rFonts w:ascii="Arial" w:hAnsi="Arial"/>
                <w:b w:val="false"/>
                <w:i w:val="false"/>
                <w:color w:val="000000"/>
                <w:sz w:val="16"/>
              </w:rPr>
              <w:t>—</w:t>
            </w:r>
            <w:bookmarkEnd w:id="17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8" w:id="179"/>
            <w:r>
              <w:rPr>
                <w:rFonts w:ascii="Arial" w:hAnsi="Arial"/>
                <w:b w:val="false"/>
                <w:i w:val="false"/>
                <w:color w:val="000000"/>
                <w:sz w:val="16"/>
              </w:rPr>
              <w:t>0.1</w:t>
            </w:r>
            <w:bookmarkEnd w:id="17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79" w:id="180"/>
            <w:r>
              <w:rPr>
                <w:rFonts w:ascii="Arial" w:hAnsi="Arial"/>
                <w:b w:val="false"/>
                <w:i w:val="false"/>
                <w:color w:val="000000"/>
                <w:sz w:val="16"/>
              </w:rPr>
              <w:t>—</w:t>
            </w:r>
            <w:bookmarkEnd w:id="18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amortization of net actuarial losses included in 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0" w:id="181"/>
            <w:r>
              <w:rPr>
                <w:rFonts w:ascii="Arial" w:hAnsi="Arial"/>
                <w:b w:val="false"/>
                <w:i w:val="false"/>
                <w:color w:val="000000"/>
                <w:sz w:val="16"/>
              </w:rPr>
              <w:t>2.4</w:t>
            </w:r>
            <w:bookmarkEnd w:id="18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1" w:id="182"/>
            <w:r>
              <w:rPr>
                <w:rFonts w:ascii="Arial" w:hAnsi="Arial"/>
                <w:b w:val="false"/>
                <w:i w:val="false"/>
                <w:color w:val="000000"/>
                <w:sz w:val="16"/>
              </w:rPr>
              <w:t>3.0</w:t>
            </w:r>
            <w:bookmarkEnd w:id="18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2" w:id="183"/>
            <w:r>
              <w:rPr>
                <w:rFonts w:ascii="Arial" w:hAnsi="Arial"/>
                <w:b w:val="false"/>
                <w:i w:val="false"/>
                <w:color w:val="000000"/>
                <w:sz w:val="16"/>
              </w:rPr>
              <w:t>4.7</w:t>
            </w:r>
            <w:bookmarkEnd w:id="18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3" w:id="184"/>
            <w:r>
              <w:rPr>
                <w:rFonts w:ascii="Arial" w:hAnsi="Arial"/>
                <w:b w:val="false"/>
                <w:i w:val="false"/>
                <w:color w:val="000000"/>
                <w:sz w:val="16"/>
              </w:rPr>
              <w:t>6.2</w:t>
            </w:r>
            <w:bookmarkEnd w:id="18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 included in 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4" w:id="185"/>
            <w:r>
              <w:rPr>
                <w:rFonts w:ascii="Arial" w:hAnsi="Arial"/>
                <w:b w:val="false"/>
                <w:i w:val="false"/>
                <w:color w:val="000000"/>
                <w:sz w:val="16"/>
              </w:rPr>
              <w:t>—</w:t>
            </w:r>
            <w:bookmarkEnd w:id="18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5" w:id="186"/>
            <w:r>
              <w:rPr>
                <w:rFonts w:ascii="Arial" w:hAnsi="Arial"/>
                <w:b w:val="false"/>
                <w:i w:val="false"/>
                <w:color w:val="000000"/>
                <w:sz w:val="16"/>
              </w:rPr>
              <w:t>—</w:t>
            </w:r>
            <w:bookmarkEnd w:id="18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6" w:id="187"/>
            <w:r>
              <w:rPr>
                <w:rFonts w:ascii="Arial" w:hAnsi="Arial"/>
                <w:b w:val="false"/>
                <w:i w:val="false"/>
                <w:color w:val="000000"/>
                <w:sz w:val="16"/>
              </w:rPr>
              <w:t>—</w:t>
            </w:r>
            <w:bookmarkEnd w:id="18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87" w:id="188"/>
            <w:r>
              <w:rPr>
                <w:rFonts w:ascii="Arial" w:hAnsi="Arial"/>
                <w:b w:val="false"/>
                <w:i w:val="false"/>
                <w:color w:val="000000"/>
                <w:sz w:val="16"/>
              </w:rPr>
              <w:t>2.3</w:t>
            </w:r>
            <w:bookmarkEnd w:id="18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Net pension and other post-retirement benefits</w:t>
            </w:r>
            <w:r>
              <w:rPr>
                <w:rFonts w:ascii="Times New Roman" w:hAnsi="Times New Roman"/>
                <w:b w:val="false"/>
                <w:i w:val="false"/>
                <w:color w:val="000000"/>
                <w:sz w:val="22"/>
              </w:rPr>
              <w:t xml:space="preserve"> </w:t>
            </w:r>
            <w:r>
              <w:rPr>
                <w:rFonts w:ascii="Arial" w:hAnsi="Arial"/>
                <w:b/>
                <w:i w:val="false"/>
                <w:color w:val="000000"/>
                <w:sz w:val="10"/>
              </w:rPr>
              <w:t>(c)</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88" w:id="189"/>
            <w:r>
              <w:rPr>
                <w:rFonts w:ascii="Arial" w:hAnsi="Arial"/>
                <w:b w:val="false"/>
                <w:i w:val="false"/>
                <w:color w:val="000000"/>
                <w:sz w:val="16"/>
              </w:rPr>
              <w:t>1.0</w:t>
            </w:r>
            <w:bookmarkEnd w:id="189"/>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89" w:id="190"/>
            <w:r>
              <w:rPr>
                <w:rFonts w:ascii="Arial" w:hAnsi="Arial"/>
                <w:b w:val="false"/>
                <w:i w:val="false"/>
                <w:color w:val="000000"/>
                <w:sz w:val="16"/>
              </w:rPr>
              <w:t>2.2</w:t>
            </w:r>
            <w:bookmarkEnd w:id="19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0" w:id="191"/>
            <w:r>
              <w:rPr>
                <w:rFonts w:ascii="Arial" w:hAnsi="Arial"/>
                <w:b w:val="false"/>
                <w:i w:val="false"/>
                <w:color w:val="000000"/>
                <w:sz w:val="16"/>
              </w:rPr>
              <w:t>0.9</w:t>
            </w:r>
            <w:bookmarkEnd w:id="191"/>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1" w:id="192"/>
            <w:r>
              <w:rPr>
                <w:rFonts w:ascii="Arial" w:hAnsi="Arial"/>
                <w:b w:val="false"/>
                <w:i w:val="false"/>
                <w:color w:val="000000"/>
                <w:sz w:val="16"/>
              </w:rPr>
              <w:t>7.2</w:t>
            </w:r>
            <w:bookmarkEnd w:id="19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4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2" w:id="193"/>
            <w:r>
              <w:rPr>
                <w:rFonts w:ascii="Arial" w:hAnsi="Arial"/>
                <w:b w:val="false"/>
                <w:i w:val="false"/>
                <w:color w:val="000000"/>
                <w:sz w:val="16"/>
              </w:rPr>
              <w:t>175.9</w:t>
            </w:r>
            <w:bookmarkEnd w:id="19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3" w:id="194"/>
            <w:r>
              <w:rPr>
                <w:rFonts w:ascii="Arial" w:hAnsi="Arial"/>
                <w:b w:val="false"/>
                <w:i w:val="false"/>
                <w:color w:val="000000"/>
                <w:sz w:val="16"/>
              </w:rPr>
              <w:t>111.6</w:t>
            </w:r>
            <w:bookmarkEnd w:id="194"/>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4" w:id="195"/>
            <w:r>
              <w:rPr>
                <w:rFonts w:ascii="Arial" w:hAnsi="Arial"/>
                <w:b w:val="false"/>
                <w:i w:val="false"/>
                <w:color w:val="000000"/>
                <w:sz w:val="16"/>
              </w:rPr>
              <w:t>326.0</w:t>
            </w:r>
            <w:bookmarkEnd w:id="19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95" w:id="196"/>
            <w:r>
              <w:rPr>
                <w:rFonts w:ascii="Arial" w:hAnsi="Arial"/>
                <w:b w:val="false"/>
                <w:i w:val="false"/>
                <w:color w:val="000000"/>
                <w:sz w:val="16"/>
              </w:rPr>
              <w:t>196.3</w:t>
            </w:r>
            <w:bookmarkEnd w:id="19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Comprehensive income</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6" w:id="197"/>
            <w:r>
              <w:rPr>
                <w:rFonts w:ascii="Arial" w:hAnsi="Arial"/>
                <w:b w:val="false"/>
                <w:i w:val="false"/>
                <w:color w:val="000000"/>
                <w:sz w:val="16"/>
              </w:rPr>
              <w:t>444.2</w:t>
            </w:r>
            <w:bookmarkEnd w:id="197"/>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7" w:id="198"/>
            <w:r>
              <w:rPr>
                <w:rFonts w:ascii="Arial" w:hAnsi="Arial"/>
                <w:b w:val="false"/>
                <w:i w:val="false"/>
                <w:color w:val="000000"/>
                <w:sz w:val="16"/>
              </w:rPr>
              <w:t>74.7</w:t>
            </w:r>
            <w:bookmarkEnd w:id="19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8" w:id="199"/>
            <w:r>
              <w:rPr>
                <w:rFonts w:ascii="Arial" w:hAnsi="Arial"/>
                <w:b w:val="false"/>
                <w:i w:val="false"/>
                <w:color w:val="000000"/>
                <w:sz w:val="16"/>
              </w:rPr>
              <w:t>737.6</w:t>
            </w:r>
            <w:bookmarkEnd w:id="19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99" w:id="200"/>
            <w:r>
              <w:rPr>
                <w:rFonts w:ascii="Arial" w:hAnsi="Arial"/>
                <w:b w:val="false"/>
                <w:i w:val="false"/>
                <w:color w:val="000000"/>
                <w:sz w:val="16"/>
              </w:rPr>
              <w:t>150.9</w:t>
            </w:r>
            <w:bookmarkEnd w:id="20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Comprehensive (income) loss attributable to non-controlling interest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0" w:id="201"/>
            <w:r>
              <w:rPr>
                <w:rFonts w:ascii="Arial" w:hAnsi="Arial"/>
                <w:b w:val="false"/>
                <w:i w:val="false"/>
                <w:color w:val="000000"/>
                <w:sz w:val="16"/>
              </w:rPr>
              <w:t>1.0</w:t>
            </w:r>
            <w:bookmarkEnd w:id="20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1" w:id="202"/>
            <w:r>
              <w:rPr>
                <w:rFonts w:ascii="Arial" w:hAnsi="Arial"/>
                <w:b w:val="false"/>
                <w:i w:val="false"/>
                <w:color w:val="000000"/>
                <w:sz w:val="16"/>
              </w:rPr>
              <w:t>0.5</w:t>
            </w:r>
            <w:bookmarkEnd w:id="20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202" w:id="203"/>
            <w:r>
              <w:rPr>
                <w:rFonts w:ascii="Arial" w:hAnsi="Arial"/>
                <w:b w:val="false"/>
                <w:i w:val="false"/>
                <w:color w:val="000000"/>
                <w:sz w:val="16"/>
              </w:rPr>
              <w:t>0.4</w:t>
            </w:r>
            <w:bookmarkEnd w:id="203"/>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203" w:id="204"/>
            <w:r>
              <w:rPr>
                <w:rFonts w:ascii="Arial" w:hAnsi="Arial"/>
                <w:b w:val="false"/>
                <w:i w:val="false"/>
                <w:color w:val="000000"/>
                <w:sz w:val="16"/>
              </w:rPr>
              <w:t>3.4</w:t>
            </w:r>
            <w:bookmarkEnd w:id="20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Comprehensive income attributable to TechnipFMC plc</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4" w:id="205"/>
            <w:r>
              <w:rPr>
                <w:rFonts w:ascii="Arial" w:hAnsi="Arial"/>
                <w:b w:val="false"/>
                <w:i w:val="false"/>
                <w:color w:val="000000"/>
                <w:sz w:val="16"/>
              </w:rPr>
              <w:t>445.2</w:t>
            </w:r>
            <w:bookmarkEnd w:id="205"/>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0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5" w:id="206"/>
            <w:r>
              <w:rPr>
                <w:rFonts w:ascii="Arial" w:hAnsi="Arial"/>
                <w:b w:val="false"/>
                <w:i w:val="false"/>
                <w:color w:val="000000"/>
                <w:sz w:val="16"/>
              </w:rPr>
              <w:t>75.2</w:t>
            </w:r>
            <w:bookmarkEnd w:id="206"/>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6" w:id="207"/>
            <w:r>
              <w:rPr>
                <w:rFonts w:ascii="Arial" w:hAnsi="Arial"/>
                <w:b w:val="false"/>
                <w:i w:val="false"/>
                <w:color w:val="000000"/>
                <w:sz w:val="16"/>
              </w:rPr>
              <w:t>737.2</w:t>
            </w:r>
            <w:bookmarkEnd w:id="207"/>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1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07" w:id="208"/>
            <w:r>
              <w:rPr>
                <w:rFonts w:ascii="Arial" w:hAnsi="Arial"/>
                <w:b w:val="false"/>
                <w:i w:val="false"/>
                <w:color w:val="000000"/>
                <w:sz w:val="16"/>
              </w:rPr>
              <w:t>147.5</w:t>
            </w:r>
            <w:bookmarkEnd w:id="208"/>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120" w:after="6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The accompanying notes are an integral part of the condensed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5</w:t>
      </w:r>
      <w:r>
        <w:rPr>
          <w:rFonts w:ascii="Times New Roman" w:hAnsi="Times New Roman"/>
          <w:b w:val="false"/>
          <w:i w:val="false"/>
          <w:color w:val="000000"/>
          <w:sz w:val="22"/>
        </w:rPr>
        <w:t xml:space="preserve"> </w:t>
      </w:r>
    </w:p>
    <w:p>
      <w:pPr>
        <w:spacing w:before="0" w:after="0"/>
        <w:ind w:left="120"/>
        <w:jc w:val="left"/>
      </w:pPr>
    </w:p>
    <w:bookmarkStart w:name="if5bce3d3882148cf91b6563d87cc4db5_28" w:id="209"/>
    <w:p>
      <w:pPr>
        <w:spacing w:before="0" w:after="0"/>
        <w:ind w:left="120"/>
        <w:jc w:val="left"/>
      </w:pPr>
    </w:p>
    <w:bookmarkEnd w:id="209"/>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CONDENSED CONSOLIDATED BALANCE SHEETS (UNAUDITED)</w:t>
      </w:r>
      <w:r>
        <w:rPr>
          <w:rFonts w:ascii="Times New Roman" w:hAnsi="Times New Roman"/>
          <w:b w:val="false"/>
          <w:i w:val="false"/>
          <w:color w:val="000000"/>
          <w:sz w:val="22"/>
        </w:rPr>
        <w:t xml:space="preserve"> </w:t>
      </w:r>
    </w:p>
    <w:p>
      <w:pPr>
        <w:spacing w:before="0" w:after="0"/>
        <w:ind w:left="120"/>
        <w:jc w:val="left"/>
      </w:pPr>
    </w:p>
    <w:p>
      <w:pPr>
        <w:pBdr>
          <w:left w:space="13"/>
          <w:right w:space="13"/>
        </w:pBdr>
        <w:spacing w:before="180" w:after="80"/>
        <w:ind w:left="48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71"/>
        <w:gridCol w:w="8379"/>
        <w:gridCol w:w="674"/>
        <w:gridCol w:w="146"/>
        <w:gridCol w:w="1217"/>
        <w:gridCol w:w="40"/>
        <w:gridCol w:w="40"/>
        <w:gridCol w:w="40"/>
        <w:gridCol w:w="40"/>
        <w:gridCol w:w="154"/>
        <w:gridCol w:w="1231"/>
        <w:gridCol w:w="42"/>
      </w:tblGrid>
      <w:tr>
        <w:trPr>
          <w:trHeight w:val="30" w:hRule="atLeast"/>
        </w:trPr>
        <w:tc>
          <w:tcPr>
            <w:tcW w:w="671" w:type="dxa"/>
            <w:tcBorders/>
            <w:tcMar>
              <w:top w:w="15" w:type="dxa"/>
              <w:left w:w="15" w:type="dxa"/>
              <w:bottom w:w="15" w:type="dxa"/>
              <w:right w:w="15" w:type="dxa"/>
            </w:tcMar>
            <w:vAlign w:val="center"/>
          </w:tcPr>
          <w:p/>
        </w:tc>
        <w:tc>
          <w:tcPr>
            <w:tcW w:w="8379" w:type="dxa"/>
            <w:tcBorders/>
            <w:tcMar>
              <w:top w:w="15" w:type="dxa"/>
              <w:left w:w="15" w:type="dxa"/>
              <w:bottom w:w="15" w:type="dxa"/>
              <w:right w:w="15" w:type="dxa"/>
            </w:tcMar>
            <w:vAlign w:val="center"/>
          </w:tcPr>
          <w:p/>
        </w:tc>
        <w:tc>
          <w:tcPr>
            <w:tcW w:w="67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4" w:type="dxa"/>
            <w:tcBorders/>
            <w:tcMar>
              <w:top w:w="15" w:type="dxa"/>
              <w:left w:w="15" w:type="dxa"/>
              <w:bottom w:w="15" w:type="dxa"/>
              <w:right w:w="15" w:type="dxa"/>
            </w:tcMar>
            <w:vAlign w:val="center"/>
          </w:tcPr>
          <w:p/>
        </w:tc>
        <w:tc>
          <w:tcPr>
            <w:tcW w:w="1231"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r>
      <w:tr>
        <w:trPr>
          <w:trHeight w:val="87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par value data)</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Assets</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and cash equivalents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0" w:id="210"/>
            <w:r>
              <w:rPr>
                <w:rFonts w:ascii="Arial" w:hAnsi="Arial"/>
                <w:b w:val="false"/>
                <w:i w:val="false"/>
                <w:color w:val="000000"/>
                <w:sz w:val="16"/>
              </w:rPr>
              <w:t>950.0</w:t>
            </w:r>
            <w:bookmarkEnd w:id="21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4"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1" w:id="211"/>
            <w:r>
              <w:rPr>
                <w:rFonts w:ascii="Arial" w:hAnsi="Arial"/>
                <w:b w:val="false"/>
                <w:i w:val="false"/>
                <w:color w:val="000000"/>
                <w:sz w:val="16"/>
              </w:rPr>
              <w:t>1,157.7</w:t>
            </w:r>
            <w:bookmarkEnd w:id="211"/>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pBdr>
                <w:left w:space="9"/>
              </w:pBdr>
              <w:spacing w:before="0" w:after="0"/>
              <w:ind w:left="740"/>
              <w:jc w:val="left"/>
            </w:pPr>
            <w:r>
              <w:rPr>
                <w:rFonts w:ascii="Times New Roman" w:hAnsi="Times New Roman"/>
                <w:b w:val="false"/>
                <w:i w:val="false"/>
                <w:color w:val="000000"/>
                <w:sz w:val="22"/>
              </w:rPr>
              <w:t xml:space="preserve"> </w:t>
            </w:r>
            <w:r>
              <w:rPr>
                <w:rFonts w:ascii="Arial" w:hAnsi="Arial"/>
                <w:b w:val="false"/>
                <w:i w:val="false"/>
                <w:color w:val="000000"/>
                <w:sz w:val="16"/>
              </w:rPr>
              <w:t xml:space="preserve">Trade receivables, net of allowances of $ </w:t>
            </w:r>
            <w:bookmarkStart w:name="f-222" w:id="212"/>
            <w:r>
              <w:rPr>
                <w:rFonts w:ascii="Arial" w:hAnsi="Arial"/>
                <w:b w:val="false"/>
                <w:i w:val="false"/>
                <w:color w:val="000000"/>
                <w:sz w:val="16"/>
              </w:rPr>
              <w:t>51.4</w:t>
            </w:r>
            <w:bookmarkEnd w:id="212"/>
            <w:r>
              <w:rPr>
                <w:rFonts w:ascii="Arial" w:hAnsi="Arial"/>
                <w:b w:val="false"/>
                <w:i w:val="false"/>
                <w:color w:val="000000"/>
                <w:sz w:val="16"/>
              </w:rPr>
              <w:t xml:space="preserve"> in 2025 and $ </w:t>
            </w:r>
            <w:bookmarkStart w:name="f-223" w:id="213"/>
            <w:r>
              <w:rPr>
                <w:rFonts w:ascii="Arial" w:hAnsi="Arial"/>
                <w:b w:val="false"/>
                <w:i w:val="false"/>
                <w:color w:val="000000"/>
                <w:sz w:val="16"/>
              </w:rPr>
              <w:t>43.4</w:t>
            </w:r>
            <w:bookmarkEnd w:id="213"/>
            <w:r>
              <w:rPr>
                <w:rFonts w:ascii="Arial" w:hAnsi="Arial"/>
                <w:b w:val="false"/>
                <w:i w:val="false"/>
                <w:color w:val="000000"/>
                <w:sz w:val="16"/>
              </w:rPr>
              <w:t xml:space="preserve"> in 2024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4" w:id="214"/>
            <w:r>
              <w:rPr>
                <w:rFonts w:ascii="Arial" w:hAnsi="Arial"/>
                <w:b w:val="false"/>
                <w:i w:val="false"/>
                <w:color w:val="000000"/>
                <w:sz w:val="16"/>
              </w:rPr>
              <w:t>1,307.5</w:t>
            </w:r>
            <w:bookmarkEnd w:id="21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5" w:id="215"/>
            <w:r>
              <w:rPr>
                <w:rFonts w:ascii="Arial" w:hAnsi="Arial"/>
                <w:b w:val="false"/>
                <w:i w:val="false"/>
                <w:color w:val="000000"/>
                <w:sz w:val="16"/>
              </w:rPr>
              <w:t>1,318.5</w:t>
            </w:r>
            <w:bookmarkEnd w:id="21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pBdr>
                <w:left w:space="9"/>
              </w:pBdr>
              <w:spacing w:before="0" w:after="0"/>
              <w:ind w:left="740"/>
              <w:jc w:val="left"/>
            </w:pPr>
            <w:r>
              <w:rPr>
                <w:rFonts w:ascii="Times New Roman" w:hAnsi="Times New Roman"/>
                <w:b w:val="false"/>
                <w:i w:val="false"/>
                <w:color w:val="000000"/>
                <w:sz w:val="22"/>
              </w:rPr>
              <w:t xml:space="preserve"> </w:t>
            </w:r>
            <w:r>
              <w:rPr>
                <w:rFonts w:ascii="Arial" w:hAnsi="Arial"/>
                <w:b w:val="false"/>
                <w:i w:val="false"/>
                <w:color w:val="000000"/>
                <w:sz w:val="16"/>
              </w:rPr>
              <w:t xml:space="preserve">Contract assets, net of allowances of $ </w:t>
            </w:r>
            <w:bookmarkStart w:name="f-226" w:id="216"/>
            <w:r>
              <w:rPr>
                <w:rFonts w:ascii="Arial" w:hAnsi="Arial"/>
                <w:b w:val="false"/>
                <w:i w:val="false"/>
                <w:color w:val="000000"/>
                <w:sz w:val="16"/>
              </w:rPr>
              <w:t>1.3</w:t>
            </w:r>
            <w:bookmarkEnd w:id="216"/>
            <w:r>
              <w:rPr>
                <w:rFonts w:ascii="Arial" w:hAnsi="Arial"/>
                <w:b w:val="false"/>
                <w:i w:val="false"/>
                <w:color w:val="000000"/>
                <w:sz w:val="16"/>
              </w:rPr>
              <w:t xml:space="preserve"> in 2025 and $ </w:t>
            </w:r>
            <w:bookmarkStart w:name="f-227" w:id="217"/>
            <w:r>
              <w:rPr>
                <w:rFonts w:ascii="Arial" w:hAnsi="Arial"/>
                <w:b w:val="false"/>
                <w:i w:val="false"/>
                <w:color w:val="000000"/>
                <w:sz w:val="16"/>
              </w:rPr>
              <w:t>1.3</w:t>
            </w:r>
            <w:bookmarkEnd w:id="217"/>
            <w:r>
              <w:rPr>
                <w:rFonts w:ascii="Arial" w:hAnsi="Arial"/>
                <w:b w:val="false"/>
                <w:i w:val="false"/>
                <w:color w:val="000000"/>
                <w:sz w:val="16"/>
              </w:rPr>
              <w:t xml:space="preserve"> in 2024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8" w:id="218"/>
            <w:r>
              <w:rPr>
                <w:rFonts w:ascii="Arial" w:hAnsi="Arial"/>
                <w:b w:val="false"/>
                <w:i w:val="false"/>
                <w:color w:val="000000"/>
                <w:sz w:val="16"/>
              </w:rPr>
              <w:t>1,112.3</w:t>
            </w:r>
            <w:bookmarkEnd w:id="21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29" w:id="219"/>
            <w:r>
              <w:rPr>
                <w:rFonts w:ascii="Arial" w:hAnsi="Arial"/>
                <w:b w:val="false"/>
                <w:i w:val="false"/>
                <w:color w:val="000000"/>
                <w:sz w:val="16"/>
              </w:rPr>
              <w:t>967.7</w:t>
            </w:r>
            <w:bookmarkEnd w:id="219"/>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Inventories, net (Note 7)</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0" w:id="220"/>
            <w:r>
              <w:rPr>
                <w:rFonts w:ascii="Arial" w:hAnsi="Arial"/>
                <w:b w:val="false"/>
                <w:i w:val="false"/>
                <w:color w:val="000000"/>
                <w:sz w:val="16"/>
              </w:rPr>
              <w:t>1,221.5</w:t>
            </w:r>
            <w:bookmarkEnd w:id="22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1" w:id="221"/>
            <w:r>
              <w:rPr>
                <w:rFonts w:ascii="Arial" w:hAnsi="Arial"/>
                <w:b w:val="false"/>
                <w:i w:val="false"/>
                <w:color w:val="000000"/>
                <w:sz w:val="16"/>
              </w:rPr>
              <w:t>1,076.7</w:t>
            </w:r>
            <w:bookmarkEnd w:id="221"/>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financial instruments (Note 16)</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2" w:id="222"/>
            <w:r>
              <w:rPr>
                <w:rFonts w:ascii="Arial" w:hAnsi="Arial"/>
                <w:b w:val="false"/>
                <w:i w:val="false"/>
                <w:color w:val="000000"/>
                <w:sz w:val="16"/>
              </w:rPr>
              <w:t>409.0</w:t>
            </w:r>
            <w:bookmarkEnd w:id="22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3" w:id="223"/>
            <w:r>
              <w:rPr>
                <w:rFonts w:ascii="Arial" w:hAnsi="Arial"/>
                <w:b w:val="false"/>
                <w:i w:val="false"/>
                <w:color w:val="000000"/>
                <w:sz w:val="16"/>
              </w:rPr>
              <w:t>347.1</w:t>
            </w:r>
            <w:bookmarkEnd w:id="223"/>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taxes receivable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4" w:id="224"/>
            <w:r>
              <w:rPr>
                <w:rFonts w:ascii="Arial" w:hAnsi="Arial"/>
                <w:b w:val="false"/>
                <w:i w:val="false"/>
                <w:color w:val="000000"/>
                <w:sz w:val="16"/>
              </w:rPr>
              <w:t>121.7</w:t>
            </w:r>
            <w:bookmarkEnd w:id="22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5" w:id="225"/>
            <w:r>
              <w:rPr>
                <w:rFonts w:ascii="Arial" w:hAnsi="Arial"/>
                <w:b w:val="false"/>
                <w:i w:val="false"/>
                <w:color w:val="000000"/>
                <w:sz w:val="16"/>
              </w:rPr>
              <w:t>136.6</w:t>
            </w:r>
            <w:bookmarkEnd w:id="22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Advances paid to suppliers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6" w:id="226"/>
            <w:r>
              <w:rPr>
                <w:rFonts w:ascii="Arial" w:hAnsi="Arial"/>
                <w:b w:val="false"/>
                <w:i w:val="false"/>
                <w:color w:val="000000"/>
                <w:sz w:val="16"/>
              </w:rPr>
              <w:t>109.5</w:t>
            </w:r>
            <w:bookmarkEnd w:id="22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7" w:id="227"/>
            <w:r>
              <w:rPr>
                <w:rFonts w:ascii="Arial" w:hAnsi="Arial"/>
                <w:b w:val="false"/>
                <w:i w:val="false"/>
                <w:color w:val="000000"/>
                <w:sz w:val="16"/>
              </w:rPr>
              <w:t>116.9</w:t>
            </w:r>
            <w:bookmarkEnd w:id="227"/>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current assets (Note 8)</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8" w:id="228"/>
            <w:r>
              <w:rPr>
                <w:rFonts w:ascii="Arial" w:hAnsi="Arial"/>
                <w:b w:val="false"/>
                <w:i w:val="false"/>
                <w:color w:val="000000"/>
                <w:sz w:val="16"/>
              </w:rPr>
              <w:t>392.0</w:t>
            </w:r>
            <w:bookmarkEnd w:id="22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39" w:id="229"/>
            <w:r>
              <w:rPr>
                <w:rFonts w:ascii="Arial" w:hAnsi="Arial"/>
                <w:b w:val="false"/>
                <w:i w:val="false"/>
                <w:color w:val="000000"/>
                <w:sz w:val="16"/>
              </w:rPr>
              <w:t>346.4</w:t>
            </w:r>
            <w:bookmarkEnd w:id="229"/>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current assets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0" w:id="230"/>
            <w:r>
              <w:rPr>
                <w:rFonts w:ascii="Arial" w:hAnsi="Arial"/>
                <w:b w:val="false"/>
                <w:i w:val="false"/>
                <w:color w:val="000000"/>
                <w:sz w:val="16"/>
              </w:rPr>
              <w:t>5,623.5</w:t>
            </w:r>
            <w:bookmarkEnd w:id="23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1" w:id="231"/>
            <w:r>
              <w:rPr>
                <w:rFonts w:ascii="Arial" w:hAnsi="Arial"/>
                <w:b w:val="false"/>
                <w:i w:val="false"/>
                <w:color w:val="000000"/>
                <w:sz w:val="16"/>
              </w:rPr>
              <w:t>5,467.6</w:t>
            </w:r>
            <w:bookmarkEnd w:id="231"/>
            <w:r>
              <w:rPr>
                <w:rFonts w:ascii="Arial" w:hAnsi="Arial"/>
                <w:b w:val="false"/>
                <w:i w:val="false"/>
                <w:color w:val="000000"/>
                <w:sz w:val="16"/>
              </w:rPr>
              <w:t xml:space="preserve">   </w:t>
            </w:r>
          </w:p>
        </w:tc>
        <w:tc>
          <w:tcPr>
            <w:tcW w:w="42"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Investments in equity affiliates (Note 9)</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2" w:id="232"/>
            <w:r>
              <w:rPr>
                <w:rFonts w:ascii="Arial" w:hAnsi="Arial"/>
                <w:b w:val="false"/>
                <w:i w:val="false"/>
                <w:color w:val="000000"/>
                <w:sz w:val="16"/>
              </w:rPr>
              <w:t>234.7</w:t>
            </w:r>
            <w:bookmarkEnd w:id="23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3" w:id="233"/>
            <w:r>
              <w:rPr>
                <w:rFonts w:ascii="Arial" w:hAnsi="Arial"/>
                <w:b w:val="false"/>
                <w:i w:val="false"/>
                <w:color w:val="000000"/>
                <w:sz w:val="16"/>
              </w:rPr>
              <w:t>244.5</w:t>
            </w:r>
            <w:bookmarkEnd w:id="233"/>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bottom"/>
          </w:tcPr>
          <w:p>
            <w:pPr>
              <w:pBdr>
                <w:left w:space="9"/>
              </w:pBdr>
              <w:spacing w:before="0" w:after="0"/>
              <w:ind w:left="740"/>
              <w:jc w:val="left"/>
            </w:pPr>
            <w:r>
              <w:rPr>
                <w:rFonts w:ascii="Times New Roman" w:hAnsi="Times New Roman"/>
                <w:b w:val="false"/>
                <w:i w:val="false"/>
                <w:color w:val="000000"/>
                <w:sz w:val="22"/>
              </w:rPr>
              <w:t xml:space="preserve"> </w:t>
            </w:r>
            <w:r>
              <w:rPr>
                <w:rFonts w:ascii="Arial" w:hAnsi="Arial"/>
                <w:b w:val="false"/>
                <w:i w:val="false"/>
                <w:color w:val="000000"/>
                <w:sz w:val="16"/>
              </w:rPr>
              <w:t xml:space="preserve">Property, plant and equipment, net of accumulated depreciation of $ </w:t>
            </w:r>
            <w:bookmarkStart w:name="f-244" w:id="234"/>
            <w:r>
              <w:rPr>
                <w:rFonts w:ascii="Arial" w:hAnsi="Arial"/>
                <w:b w:val="false"/>
                <w:i w:val="false"/>
                <w:color w:val="000000"/>
                <w:sz w:val="16"/>
              </w:rPr>
              <w:t>3,178.1</w:t>
            </w:r>
            <w:bookmarkEnd w:id="234"/>
            <w:r>
              <w:rPr>
                <w:rFonts w:ascii="Arial" w:hAnsi="Arial"/>
                <w:b w:val="false"/>
                <w:i w:val="false"/>
                <w:color w:val="000000"/>
                <w:sz w:val="16"/>
              </w:rPr>
              <w:t xml:space="preserve"> in 2025 and $ </w:t>
            </w:r>
            <w:bookmarkStart w:name="f-245" w:id="235"/>
            <w:r>
              <w:rPr>
                <w:rFonts w:ascii="Arial" w:hAnsi="Arial"/>
                <w:b w:val="false"/>
                <w:i w:val="false"/>
                <w:color w:val="000000"/>
                <w:sz w:val="16"/>
              </w:rPr>
              <w:t>2,824.0</w:t>
            </w:r>
            <w:bookmarkEnd w:id="235"/>
            <w:r>
              <w:rPr>
                <w:rFonts w:ascii="Arial" w:hAnsi="Arial"/>
                <w:b w:val="false"/>
                <w:i w:val="false"/>
                <w:color w:val="000000"/>
                <w:sz w:val="16"/>
              </w:rPr>
              <w:t xml:space="preserve"> in 2024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6" w:id="236"/>
            <w:r>
              <w:rPr>
                <w:rFonts w:ascii="Arial" w:hAnsi="Arial"/>
                <w:b w:val="false"/>
                <w:i w:val="false"/>
                <w:color w:val="000000"/>
                <w:sz w:val="16"/>
              </w:rPr>
              <w:t>2,294.2</w:t>
            </w:r>
            <w:bookmarkEnd w:id="23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7" w:id="237"/>
            <w:r>
              <w:rPr>
                <w:rFonts w:ascii="Arial" w:hAnsi="Arial"/>
                <w:b w:val="false"/>
                <w:i w:val="false"/>
                <w:color w:val="000000"/>
                <w:sz w:val="16"/>
              </w:rPr>
              <w:t>2,133.8</w:t>
            </w:r>
            <w:bookmarkEnd w:id="237"/>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lease right-of-use assets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8" w:id="238"/>
            <w:r>
              <w:rPr>
                <w:rFonts w:ascii="Arial" w:hAnsi="Arial"/>
                <w:b w:val="false"/>
                <w:i w:val="false"/>
                <w:color w:val="000000"/>
                <w:sz w:val="16"/>
              </w:rPr>
              <w:t>745.8</w:t>
            </w:r>
            <w:bookmarkEnd w:id="23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49" w:id="239"/>
            <w:r>
              <w:rPr>
                <w:rFonts w:ascii="Arial" w:hAnsi="Arial"/>
                <w:b w:val="false"/>
                <w:i w:val="false"/>
                <w:color w:val="000000"/>
                <w:sz w:val="16"/>
              </w:rPr>
              <w:t>723.3</w:t>
            </w:r>
            <w:bookmarkEnd w:id="239"/>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Finance lease right-of-use assets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0" w:id="240"/>
            <w:r>
              <w:rPr>
                <w:rFonts w:ascii="Arial" w:hAnsi="Arial"/>
                <w:b w:val="false"/>
                <w:i w:val="false"/>
                <w:color w:val="000000"/>
                <w:sz w:val="16"/>
              </w:rPr>
              <w:t>85.0</w:t>
            </w:r>
            <w:bookmarkEnd w:id="24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1" w:id="241"/>
            <w:r>
              <w:rPr>
                <w:rFonts w:ascii="Arial" w:hAnsi="Arial"/>
                <w:b w:val="false"/>
                <w:i w:val="false"/>
                <w:color w:val="000000"/>
                <w:sz w:val="16"/>
              </w:rPr>
              <w:t>96.9</w:t>
            </w:r>
            <w:bookmarkEnd w:id="241"/>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pBdr>
                <w:left w:space="9"/>
              </w:pBdr>
              <w:spacing w:before="0" w:after="0"/>
              <w:ind w:left="740"/>
              <w:jc w:val="left"/>
            </w:pPr>
            <w:r>
              <w:rPr>
                <w:rFonts w:ascii="Times New Roman" w:hAnsi="Times New Roman"/>
                <w:b w:val="false"/>
                <w:i w:val="false"/>
                <w:color w:val="000000"/>
                <w:sz w:val="22"/>
              </w:rPr>
              <w:t xml:space="preserve"> </w:t>
            </w:r>
            <w:r>
              <w:rPr>
                <w:rFonts w:ascii="Arial" w:hAnsi="Arial"/>
                <w:b w:val="false"/>
                <w:i w:val="false"/>
                <w:color w:val="000000"/>
                <w:sz w:val="16"/>
              </w:rPr>
              <w:t xml:space="preserve">Intangible assets, net of accumulated amortization of $ </w:t>
            </w:r>
            <w:bookmarkStart w:name="f-252" w:id="242"/>
            <w:r>
              <w:rPr>
                <w:rFonts w:ascii="Arial" w:hAnsi="Arial"/>
                <w:b w:val="false"/>
                <w:i w:val="false"/>
                <w:color w:val="000000"/>
                <w:sz w:val="16"/>
              </w:rPr>
              <w:t>861.5</w:t>
            </w:r>
            <w:bookmarkEnd w:id="242"/>
            <w:r>
              <w:rPr>
                <w:rFonts w:ascii="Arial" w:hAnsi="Arial"/>
                <w:b w:val="false"/>
                <w:i w:val="false"/>
                <w:color w:val="000000"/>
                <w:sz w:val="16"/>
              </w:rPr>
              <w:t xml:space="preserve"> in 2025 and $ </w:t>
            </w:r>
            <w:bookmarkStart w:name="f-253" w:id="243"/>
            <w:r>
              <w:rPr>
                <w:rFonts w:ascii="Arial" w:hAnsi="Arial"/>
                <w:b w:val="false"/>
                <w:i w:val="false"/>
                <w:color w:val="000000"/>
                <w:sz w:val="16"/>
              </w:rPr>
              <w:t>816.6</w:t>
            </w:r>
            <w:bookmarkEnd w:id="243"/>
            <w:r>
              <w:rPr>
                <w:rFonts w:ascii="Arial" w:hAnsi="Arial"/>
                <w:b w:val="false"/>
                <w:i w:val="false"/>
                <w:color w:val="000000"/>
                <w:sz w:val="16"/>
              </w:rPr>
              <w:t xml:space="preserve"> in 2024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4" w:id="244"/>
            <w:r>
              <w:rPr>
                <w:rFonts w:ascii="Arial" w:hAnsi="Arial"/>
                <w:b w:val="false"/>
                <w:i w:val="false"/>
                <w:color w:val="000000"/>
                <w:sz w:val="16"/>
              </w:rPr>
              <w:t>494.2</w:t>
            </w:r>
            <w:bookmarkEnd w:id="24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5" w:id="245"/>
            <w:r>
              <w:rPr>
                <w:rFonts w:ascii="Arial" w:hAnsi="Arial"/>
                <w:b w:val="false"/>
                <w:i w:val="false"/>
                <w:color w:val="000000"/>
                <w:sz w:val="16"/>
              </w:rPr>
              <w:t>508.3</w:t>
            </w:r>
            <w:bookmarkEnd w:id="24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Deferred income taxes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6" w:id="246"/>
            <w:r>
              <w:rPr>
                <w:rFonts w:ascii="Arial" w:hAnsi="Arial"/>
                <w:b w:val="false"/>
                <w:i w:val="false"/>
                <w:color w:val="000000"/>
                <w:sz w:val="16"/>
              </w:rPr>
              <w:t>244.2</w:t>
            </w:r>
            <w:bookmarkEnd w:id="24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7" w:id="247"/>
            <w:r>
              <w:rPr>
                <w:rFonts w:ascii="Arial" w:hAnsi="Arial"/>
                <w:b w:val="false"/>
                <w:i w:val="false"/>
                <w:color w:val="000000"/>
                <w:sz w:val="16"/>
              </w:rPr>
              <w:t>259.7</w:t>
            </w:r>
            <w:bookmarkEnd w:id="247"/>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financial instruments (Note 16)</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8" w:id="248"/>
            <w:r>
              <w:rPr>
                <w:rFonts w:ascii="Arial" w:hAnsi="Arial"/>
                <w:b w:val="false"/>
                <w:i w:val="false"/>
                <w:color w:val="000000"/>
                <w:sz w:val="16"/>
              </w:rPr>
              <w:t>75.5</w:t>
            </w:r>
            <w:bookmarkEnd w:id="24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59" w:id="249"/>
            <w:r>
              <w:rPr>
                <w:rFonts w:ascii="Arial" w:hAnsi="Arial"/>
                <w:b w:val="false"/>
                <w:i w:val="false"/>
                <w:color w:val="000000"/>
                <w:sz w:val="16"/>
              </w:rPr>
              <w:t>176.8</w:t>
            </w:r>
            <w:bookmarkEnd w:id="249"/>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assets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0" w:id="250"/>
            <w:r>
              <w:rPr>
                <w:rFonts w:ascii="Arial" w:hAnsi="Arial"/>
                <w:b w:val="false"/>
                <w:i w:val="false"/>
                <w:color w:val="000000"/>
                <w:sz w:val="16"/>
              </w:rPr>
              <w:t>284.8</w:t>
            </w:r>
            <w:bookmarkEnd w:id="25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1" w:id="251"/>
            <w:r>
              <w:rPr>
                <w:rFonts w:ascii="Arial" w:hAnsi="Arial"/>
                <w:b w:val="false"/>
                <w:i w:val="false"/>
                <w:color w:val="000000"/>
                <w:sz w:val="16"/>
              </w:rPr>
              <w:t>258.3</w:t>
            </w:r>
            <w:bookmarkEnd w:id="251"/>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assets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2" w:id="252"/>
            <w:r>
              <w:rPr>
                <w:rFonts w:ascii="Arial" w:hAnsi="Arial"/>
                <w:b w:val="false"/>
                <w:i w:val="false"/>
                <w:color w:val="000000"/>
                <w:sz w:val="16"/>
              </w:rPr>
              <w:t>10,081.9</w:t>
            </w:r>
            <w:bookmarkEnd w:id="25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4"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3" w:id="253"/>
            <w:r>
              <w:rPr>
                <w:rFonts w:ascii="Arial" w:hAnsi="Arial"/>
                <w:b w:val="false"/>
                <w:i w:val="false"/>
                <w:color w:val="000000"/>
                <w:sz w:val="16"/>
              </w:rPr>
              <w:t>9,869.2</w:t>
            </w:r>
            <w:bookmarkEnd w:id="253"/>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r>
      <w:tr>
        <w:trPr>
          <w:trHeight w:val="12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Liabilities and equity</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Short-term debt and current portion of long-term debt (Note 11)</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4" w:id="254"/>
            <w:r>
              <w:rPr>
                <w:rFonts w:ascii="Arial" w:hAnsi="Arial"/>
                <w:b w:val="false"/>
                <w:i w:val="false"/>
                <w:color w:val="000000"/>
                <w:sz w:val="16"/>
              </w:rPr>
              <w:t>271.2</w:t>
            </w:r>
            <w:bookmarkEnd w:id="25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4"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5" w:id="255"/>
            <w:r>
              <w:rPr>
                <w:rFonts w:ascii="Arial" w:hAnsi="Arial"/>
                <w:b w:val="false"/>
                <w:i w:val="false"/>
                <w:color w:val="000000"/>
                <w:sz w:val="16"/>
              </w:rPr>
              <w:t>277.9</w:t>
            </w:r>
            <w:bookmarkEnd w:id="255"/>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lease liabilities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6" w:id="256"/>
            <w:r>
              <w:rPr>
                <w:rFonts w:ascii="Arial" w:hAnsi="Arial"/>
                <w:b w:val="false"/>
                <w:i w:val="false"/>
                <w:color w:val="000000"/>
                <w:sz w:val="16"/>
              </w:rPr>
              <w:t>145.0</w:t>
            </w:r>
            <w:bookmarkEnd w:id="25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7" w:id="257"/>
            <w:r>
              <w:rPr>
                <w:rFonts w:ascii="Arial" w:hAnsi="Arial"/>
                <w:b w:val="false"/>
                <w:i w:val="false"/>
                <w:color w:val="000000"/>
                <w:sz w:val="16"/>
              </w:rPr>
              <w:t>131.0</w:t>
            </w:r>
            <w:bookmarkEnd w:id="257"/>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Finance lease liabilities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8" w:id="258"/>
            <w:r>
              <w:rPr>
                <w:rFonts w:ascii="Arial" w:hAnsi="Arial"/>
                <w:b w:val="false"/>
                <w:i w:val="false"/>
                <w:color w:val="000000"/>
                <w:sz w:val="16"/>
              </w:rPr>
              <w:t>29.6</w:t>
            </w:r>
            <w:bookmarkEnd w:id="25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69" w:id="259"/>
            <w:r>
              <w:rPr>
                <w:rFonts w:ascii="Arial" w:hAnsi="Arial"/>
                <w:b w:val="false"/>
                <w:i w:val="false"/>
                <w:color w:val="000000"/>
                <w:sz w:val="16"/>
              </w:rPr>
              <w:t>61.9</w:t>
            </w:r>
            <w:bookmarkEnd w:id="259"/>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Accounts payable, trade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0" w:id="260"/>
            <w:r>
              <w:rPr>
                <w:rFonts w:ascii="Arial" w:hAnsi="Arial"/>
                <w:b w:val="false"/>
                <w:i w:val="false"/>
                <w:color w:val="000000"/>
                <w:sz w:val="16"/>
              </w:rPr>
              <w:t>1,293.8</w:t>
            </w:r>
            <w:bookmarkEnd w:id="26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1" w:id="261"/>
            <w:r>
              <w:rPr>
                <w:rFonts w:ascii="Arial" w:hAnsi="Arial"/>
                <w:b w:val="false"/>
                <w:i w:val="false"/>
                <w:color w:val="000000"/>
                <w:sz w:val="16"/>
              </w:rPr>
              <w:t>1,302.6</w:t>
            </w:r>
            <w:bookmarkEnd w:id="261"/>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Contract liabilities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2" w:id="262"/>
            <w:r>
              <w:rPr>
                <w:rFonts w:ascii="Arial" w:hAnsi="Arial"/>
                <w:b w:val="false"/>
                <w:i w:val="false"/>
                <w:color w:val="000000"/>
                <w:sz w:val="16"/>
              </w:rPr>
              <w:t>2,060.3</w:t>
            </w:r>
            <w:bookmarkEnd w:id="26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3" w:id="263"/>
            <w:r>
              <w:rPr>
                <w:rFonts w:ascii="Arial" w:hAnsi="Arial"/>
                <w:b w:val="false"/>
                <w:i w:val="false"/>
                <w:color w:val="000000"/>
                <w:sz w:val="16"/>
              </w:rPr>
              <w:t>1,786.6</w:t>
            </w:r>
            <w:bookmarkEnd w:id="263"/>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Accrued payroll</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4" w:id="264"/>
            <w:r>
              <w:rPr>
                <w:rFonts w:ascii="Arial" w:hAnsi="Arial"/>
                <w:b w:val="false"/>
                <w:i w:val="false"/>
                <w:color w:val="000000"/>
                <w:sz w:val="16"/>
              </w:rPr>
              <w:t>223.5</w:t>
            </w:r>
            <w:bookmarkEnd w:id="26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5" w:id="265"/>
            <w:r>
              <w:rPr>
                <w:rFonts w:ascii="Arial" w:hAnsi="Arial"/>
                <w:b w:val="false"/>
                <w:i w:val="false"/>
                <w:color w:val="000000"/>
                <w:sz w:val="16"/>
              </w:rPr>
              <w:t>185.3</w:t>
            </w:r>
            <w:bookmarkEnd w:id="26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financial instruments (Note 16)</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6" w:id="266"/>
            <w:r>
              <w:rPr>
                <w:rFonts w:ascii="Arial" w:hAnsi="Arial"/>
                <w:b w:val="false"/>
                <w:i w:val="false"/>
                <w:color w:val="000000"/>
                <w:sz w:val="16"/>
              </w:rPr>
              <w:t>337.7</w:t>
            </w:r>
            <w:bookmarkEnd w:id="26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7" w:id="267"/>
            <w:r>
              <w:rPr>
                <w:rFonts w:ascii="Arial" w:hAnsi="Arial"/>
                <w:b w:val="false"/>
                <w:i w:val="false"/>
                <w:color w:val="000000"/>
                <w:sz w:val="16"/>
              </w:rPr>
              <w:t>396.8</w:t>
            </w:r>
            <w:bookmarkEnd w:id="267"/>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taxes payable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8" w:id="268"/>
            <w:r>
              <w:rPr>
                <w:rFonts w:ascii="Arial" w:hAnsi="Arial"/>
                <w:b w:val="false"/>
                <w:i w:val="false"/>
                <w:color w:val="000000"/>
                <w:sz w:val="16"/>
              </w:rPr>
              <w:t>153.3</w:t>
            </w:r>
            <w:bookmarkEnd w:id="26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79" w:id="269"/>
            <w:r>
              <w:rPr>
                <w:rFonts w:ascii="Arial" w:hAnsi="Arial"/>
                <w:b w:val="false"/>
                <w:i w:val="false"/>
                <w:color w:val="000000"/>
                <w:sz w:val="16"/>
              </w:rPr>
              <w:t>156.5</w:t>
            </w:r>
            <w:bookmarkEnd w:id="269"/>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current liabilities (Note 8)</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0" w:id="270"/>
            <w:r>
              <w:rPr>
                <w:rFonts w:ascii="Arial" w:hAnsi="Arial"/>
                <w:b w:val="false"/>
                <w:i w:val="false"/>
                <w:color w:val="000000"/>
                <w:sz w:val="16"/>
              </w:rPr>
              <w:t>576.6</w:t>
            </w:r>
            <w:bookmarkEnd w:id="27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1" w:id="271"/>
            <w:r>
              <w:rPr>
                <w:rFonts w:ascii="Arial" w:hAnsi="Arial"/>
                <w:b w:val="false"/>
                <w:i w:val="false"/>
                <w:color w:val="000000"/>
                <w:sz w:val="16"/>
              </w:rPr>
              <w:t>566.2</w:t>
            </w:r>
            <w:bookmarkEnd w:id="271"/>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45" w:hRule="atLeast"/>
        </w:trPr>
        <w:tc>
          <w:tcPr>
            <w:tcW w:w="0" w:type="auto"/>
            <w:gridSpan w:val="3"/>
            <w:tcBorders/>
            <w:shd w:fill="ccee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current liabilities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2" w:id="272"/>
            <w:r>
              <w:rPr>
                <w:rFonts w:ascii="Arial" w:hAnsi="Arial"/>
                <w:b w:val="false"/>
                <w:i w:val="false"/>
                <w:color w:val="000000"/>
                <w:sz w:val="16"/>
              </w:rPr>
              <w:t>5,091.0</w:t>
            </w:r>
            <w:bookmarkEnd w:id="27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3" w:id="273"/>
            <w:r>
              <w:rPr>
                <w:rFonts w:ascii="Arial" w:hAnsi="Arial"/>
                <w:b w:val="false"/>
                <w:i w:val="false"/>
                <w:color w:val="000000"/>
                <w:sz w:val="16"/>
              </w:rPr>
              <w:t>4,864.8</w:t>
            </w:r>
            <w:bookmarkEnd w:id="273"/>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Long-term debt, less current portion (Note 11)</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4" w:id="274"/>
            <w:r>
              <w:rPr>
                <w:rFonts w:ascii="Arial" w:hAnsi="Arial"/>
                <w:b w:val="false"/>
                <w:i w:val="false"/>
                <w:color w:val="000000"/>
                <w:sz w:val="16"/>
              </w:rPr>
              <w:t>425.1</w:t>
            </w:r>
            <w:bookmarkEnd w:id="27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5" w:id="275"/>
            <w:r>
              <w:rPr>
                <w:rFonts w:ascii="Arial" w:hAnsi="Arial"/>
                <w:b w:val="false"/>
                <w:i w:val="false"/>
                <w:color w:val="000000"/>
                <w:sz w:val="16"/>
              </w:rPr>
              <w:t>607.3</w:t>
            </w:r>
            <w:bookmarkEnd w:id="275"/>
            <w:r>
              <w:rPr>
                <w:rFonts w:ascii="Arial" w:hAnsi="Arial"/>
                <w:b w:val="false"/>
                <w:i w:val="false"/>
                <w:color w:val="000000"/>
                <w:sz w:val="16"/>
              </w:rPr>
              <w:t xml:space="preserve">   </w:t>
            </w:r>
          </w:p>
        </w:tc>
        <w:tc>
          <w:tcPr>
            <w:tcW w:w="42" w:type="dxa"/>
            <w:tcBorders>
              <w:top w:val="single" w:color="000000" w:sz="11"/>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lease liabilities, less current portion</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6" w:id="276"/>
            <w:r>
              <w:rPr>
                <w:rFonts w:ascii="Arial" w:hAnsi="Arial"/>
                <w:b w:val="false"/>
                <w:i w:val="false"/>
                <w:color w:val="000000"/>
                <w:sz w:val="16"/>
              </w:rPr>
              <w:t>659.8</w:t>
            </w:r>
            <w:bookmarkEnd w:id="27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7" w:id="277"/>
            <w:r>
              <w:rPr>
                <w:rFonts w:ascii="Arial" w:hAnsi="Arial"/>
                <w:b w:val="false"/>
                <w:i w:val="false"/>
                <w:color w:val="000000"/>
                <w:sz w:val="16"/>
              </w:rPr>
              <w:t>661.5</w:t>
            </w:r>
            <w:bookmarkEnd w:id="277"/>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Financing lease liabilities, less current portion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8" w:id="278"/>
            <w:r>
              <w:rPr>
                <w:rFonts w:ascii="Arial" w:hAnsi="Arial"/>
                <w:b w:val="false"/>
                <w:i w:val="false"/>
                <w:color w:val="000000"/>
                <w:sz w:val="16"/>
              </w:rPr>
              <w:t>69.9</w:t>
            </w:r>
            <w:bookmarkEnd w:id="27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89" w:id="279"/>
            <w:r>
              <w:rPr>
                <w:rFonts w:ascii="Arial" w:hAnsi="Arial"/>
                <w:b w:val="false"/>
                <w:i w:val="false"/>
                <w:color w:val="000000"/>
                <w:sz w:val="16"/>
              </w:rPr>
              <w:t>51.8</w:t>
            </w:r>
            <w:bookmarkEnd w:id="279"/>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Deferred income taxes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0" w:id="280"/>
            <w:r>
              <w:rPr>
                <w:rFonts w:ascii="Arial" w:hAnsi="Arial"/>
                <w:b w:val="false"/>
                <w:i w:val="false"/>
                <w:color w:val="000000"/>
                <w:sz w:val="16"/>
              </w:rPr>
              <w:t>77.9</w:t>
            </w:r>
            <w:bookmarkEnd w:id="28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1" w:id="281"/>
            <w:r>
              <w:rPr>
                <w:rFonts w:ascii="Arial" w:hAnsi="Arial"/>
                <w:b w:val="false"/>
                <w:i w:val="false"/>
                <w:color w:val="000000"/>
                <w:sz w:val="16"/>
              </w:rPr>
              <w:t>54.4</w:t>
            </w:r>
            <w:bookmarkEnd w:id="281"/>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Accrued pension and other post-retirement benefits, less current portion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2" w:id="282"/>
            <w:r>
              <w:rPr>
                <w:rFonts w:ascii="Arial" w:hAnsi="Arial"/>
                <w:b w:val="false"/>
                <w:i w:val="false"/>
                <w:color w:val="000000"/>
                <w:sz w:val="16"/>
              </w:rPr>
              <w:t>132.3</w:t>
            </w:r>
            <w:bookmarkEnd w:id="28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3" w:id="283"/>
            <w:r>
              <w:rPr>
                <w:rFonts w:ascii="Arial" w:hAnsi="Arial"/>
                <w:b w:val="false"/>
                <w:i w:val="false"/>
                <w:color w:val="000000"/>
                <w:sz w:val="16"/>
              </w:rPr>
              <w:t>129.3</w:t>
            </w:r>
            <w:bookmarkEnd w:id="283"/>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financial instruments (Note 16)</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4" w:id="284"/>
            <w:r>
              <w:rPr>
                <w:rFonts w:ascii="Arial" w:hAnsi="Arial"/>
                <w:b w:val="false"/>
                <w:i w:val="false"/>
                <w:color w:val="000000"/>
                <w:sz w:val="16"/>
              </w:rPr>
              <w:t>91.9</w:t>
            </w:r>
            <w:bookmarkEnd w:id="28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5" w:id="285"/>
            <w:r>
              <w:rPr>
                <w:rFonts w:ascii="Arial" w:hAnsi="Arial"/>
                <w:b w:val="false"/>
                <w:i w:val="false"/>
                <w:color w:val="000000"/>
                <w:sz w:val="16"/>
              </w:rPr>
              <w:t>242.5</w:t>
            </w:r>
            <w:bookmarkEnd w:id="28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liabilities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6" w:id="286"/>
            <w:r>
              <w:rPr>
                <w:rFonts w:ascii="Arial" w:hAnsi="Arial"/>
                <w:b w:val="false"/>
                <w:i w:val="false"/>
                <w:color w:val="000000"/>
                <w:sz w:val="16"/>
              </w:rPr>
              <w:t>237.4</w:t>
            </w:r>
            <w:bookmarkEnd w:id="28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7" w:id="287"/>
            <w:r>
              <w:rPr>
                <w:rFonts w:ascii="Arial" w:hAnsi="Arial"/>
                <w:b w:val="false"/>
                <w:i w:val="false"/>
                <w:color w:val="000000"/>
                <w:sz w:val="16"/>
              </w:rPr>
              <w:t>119.2</w:t>
            </w:r>
            <w:bookmarkEnd w:id="287"/>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345" w:hRule="atLeast"/>
        </w:trPr>
        <w:tc>
          <w:tcPr>
            <w:tcW w:w="0" w:type="auto"/>
            <w:gridSpan w:val="3"/>
            <w:tcBorders/>
            <w:shd w:fill="ccee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liabilities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8" w:id="288"/>
            <w:r>
              <w:rPr>
                <w:rFonts w:ascii="Arial" w:hAnsi="Arial"/>
                <w:b w:val="false"/>
                <w:i w:val="false"/>
                <w:color w:val="000000"/>
                <w:sz w:val="16"/>
              </w:rPr>
              <w:t>6,785.3</w:t>
            </w:r>
            <w:bookmarkEnd w:id="28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299" w:id="289"/>
            <w:r>
              <w:rPr>
                <w:rFonts w:ascii="Arial" w:hAnsi="Arial"/>
                <w:b w:val="false"/>
                <w:i w:val="false"/>
                <w:color w:val="000000"/>
                <w:sz w:val="16"/>
              </w:rPr>
              <w:t>6,730.8</w:t>
            </w:r>
            <w:bookmarkEnd w:id="289"/>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Commitments and contingent liabilities (Note 14)</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pPr>
              <w:spacing w:before="0" w:after="0"/>
              <w:ind w:left="0"/>
              <w:jc w:val="center"/>
            </w:pPr>
            <w:bookmarkStart w:name="f-300" w:id="290"/>
            <w:bookmarkEnd w:id="290"/>
          </w:p>
        </w:tc>
        <w:tc>
          <w:tcPr>
            <w:tcW w:w="0" w:type="auto"/>
            <w:gridSpan w:val="3"/>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15" w:type="dxa"/>
              <w:left w:w="15" w:type="dxa"/>
              <w:bottom w:w="15" w:type="dxa"/>
              <w:right w:w="15" w:type="dxa"/>
            </w:tcMar>
            <w:vAlign w:val="center"/>
          </w:tcPr>
          <w:p>
            <w:pPr>
              <w:spacing w:before="0" w:after="0"/>
              <w:ind w:left="0"/>
              <w:jc w:val="center"/>
            </w:pPr>
            <w:bookmarkStart w:name="f-301" w:id="291"/>
            <w:bookmarkEnd w:id="291"/>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Stockholders’ equity (Note 12)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585" w:hRule="atLeast"/>
        </w:trPr>
        <w:tc>
          <w:tcPr>
            <w:tcW w:w="0" w:type="auto"/>
            <w:gridSpan w:val="3"/>
            <w:tcBorders/>
            <w:shd w:fill="ffffff"/>
            <w:tcMar>
              <w:top w:w="30" w:type="dxa"/>
              <w:left w:w="15" w:type="dxa"/>
              <w:bottom w:w="30" w:type="dxa"/>
              <w:right w:w="15" w:type="dxa"/>
            </w:tcMar>
            <w:vAlign w:val="bottom"/>
          </w:tcPr>
          <w:p>
            <w:pPr>
              <w:pBdr>
                <w:left w:space="9"/>
              </w:pBdr>
              <w:spacing w:before="0" w:after="0"/>
              <w:ind w:left="740"/>
              <w:jc w:val="left"/>
            </w:pPr>
            <w:r>
              <w:rPr>
                <w:rFonts w:ascii="Times New Roman" w:hAnsi="Times New Roman"/>
                <w:b w:val="false"/>
                <w:i w:val="false"/>
                <w:color w:val="000000"/>
                <w:sz w:val="22"/>
              </w:rPr>
              <w:t xml:space="preserve"> </w:t>
            </w:r>
            <w:r>
              <w:rPr>
                <w:rFonts w:ascii="Arial" w:hAnsi="Arial"/>
                <w:b w:val="false"/>
                <w:i w:val="false"/>
                <w:color w:val="000000"/>
                <w:sz w:val="16"/>
              </w:rPr>
              <w:t xml:space="preserve">Ordinary shares, $ </w:t>
            </w:r>
            <w:bookmarkStart w:name="f-302" w:id="292"/>
            <w:bookmarkEnd w:id="292"/>
            <w:bookmarkStart w:name="f-303" w:id="293"/>
            <w:r>
              <w:rPr>
                <w:rFonts w:ascii="Arial" w:hAnsi="Arial"/>
                <w:b w:val="false"/>
                <w:i w:val="false"/>
                <w:color w:val="000000"/>
                <w:sz w:val="16"/>
              </w:rPr>
              <w:t>1.00</w:t>
            </w:r>
            <w:bookmarkEnd w:id="293"/>
            <w:bookmarkStart w:name="f-302" w:id="294"/>
            <w:r>
              <w:rPr>
                <w:rFonts w:ascii="Arial" w:hAnsi="Arial"/>
                <w:b w:val="false"/>
                <w:i w:val="false"/>
                <w:color w:val="000000"/>
                <w:sz w:val="16"/>
              </w:rPr>
              <w:t xml:space="preserve"> </w:t>
            </w:r>
            <w:bookmarkEnd w:id="294"/>
            <w:r>
              <w:rPr>
                <w:rFonts w:ascii="Arial" w:hAnsi="Arial"/>
                <w:b w:val="false"/>
                <w:i w:val="false"/>
                <w:color w:val="000000"/>
                <w:sz w:val="16"/>
              </w:rPr>
              <w:t xml:space="preserve">par value; </w:t>
            </w:r>
            <w:bookmarkStart w:name="f-304" w:id="295"/>
            <w:bookmarkEnd w:id="295"/>
            <w:bookmarkStart w:name="f-305" w:id="296"/>
            <w:r>
              <w:rPr>
                <w:rFonts w:ascii="Arial" w:hAnsi="Arial"/>
                <w:b w:val="false"/>
                <w:i w:val="false"/>
                <w:color w:val="000000"/>
                <w:sz w:val="16"/>
              </w:rPr>
              <w:t>618.3</w:t>
            </w:r>
            <w:bookmarkEnd w:id="296"/>
            <w:bookmarkStart w:name="f-304" w:id="297"/>
            <w:r>
              <w:rPr>
                <w:rFonts w:ascii="Arial" w:hAnsi="Arial"/>
                <w:b w:val="false"/>
                <w:i w:val="false"/>
                <w:color w:val="000000"/>
                <w:sz w:val="16"/>
              </w:rPr>
              <w:t xml:space="preserve"> </w:t>
            </w:r>
            <w:bookmarkEnd w:id="297"/>
            <w:r>
              <w:rPr>
                <w:rFonts w:ascii="Arial" w:hAnsi="Arial"/>
                <w:b w:val="false"/>
                <w:i w:val="false"/>
                <w:color w:val="000000"/>
                <w:sz w:val="16"/>
              </w:rPr>
              <w:t xml:space="preserve">shares authorized in 2025 and 2024; </w:t>
            </w:r>
            <w:bookmarkStart w:name="f-306" w:id="298"/>
            <w:bookmarkEnd w:id="298"/>
            <w:bookmarkStart w:name="f-307" w:id="299"/>
            <w:r>
              <w:rPr>
                <w:rFonts w:ascii="Arial" w:hAnsi="Arial"/>
                <w:b w:val="false"/>
                <w:i w:val="false"/>
                <w:color w:val="000000"/>
                <w:sz w:val="16"/>
              </w:rPr>
              <w:t>411.0</w:t>
            </w:r>
            <w:bookmarkEnd w:id="299"/>
            <w:bookmarkStart w:name="f-306" w:id="300"/>
            <w:r>
              <w:rPr>
                <w:rFonts w:ascii="Arial" w:hAnsi="Arial"/>
                <w:b w:val="false"/>
                <w:i w:val="false"/>
                <w:color w:val="000000"/>
                <w:sz w:val="16"/>
              </w:rPr>
              <w:t xml:space="preserve"> </w:t>
            </w:r>
            <w:bookmarkEnd w:id="300"/>
            <w:r>
              <w:rPr>
                <w:rFonts w:ascii="Arial" w:hAnsi="Arial"/>
                <w:b w:val="false"/>
                <w:i w:val="false"/>
                <w:color w:val="000000"/>
                <w:sz w:val="16"/>
              </w:rPr>
              <w:t xml:space="preserve">shares and </w:t>
            </w:r>
            <w:bookmarkStart w:name="f-308" w:id="301"/>
            <w:bookmarkEnd w:id="301"/>
            <w:bookmarkStart w:name="f-309" w:id="302"/>
            <w:r>
              <w:rPr>
                <w:rFonts w:ascii="Arial" w:hAnsi="Arial"/>
                <w:b w:val="false"/>
                <w:i w:val="false"/>
                <w:color w:val="000000"/>
                <w:sz w:val="16"/>
              </w:rPr>
              <w:t>423.1</w:t>
            </w:r>
            <w:bookmarkEnd w:id="302"/>
            <w:bookmarkStart w:name="f-308" w:id="303"/>
            <w:r>
              <w:rPr>
                <w:rFonts w:ascii="Arial" w:hAnsi="Arial"/>
                <w:b w:val="false"/>
                <w:i w:val="false"/>
                <w:color w:val="000000"/>
                <w:sz w:val="16"/>
              </w:rPr>
              <w:t xml:space="preserve"> </w:t>
            </w:r>
            <w:bookmarkEnd w:id="303"/>
            <w:r>
              <w:rPr>
                <w:rFonts w:ascii="Arial" w:hAnsi="Arial"/>
                <w:b w:val="false"/>
                <w:i w:val="false"/>
                <w:color w:val="000000"/>
                <w:sz w:val="16"/>
              </w:rPr>
              <w:t xml:space="preserve">shares issued and outstanding in 2025 and 2024, respectively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0" w:id="304"/>
            <w:r>
              <w:rPr>
                <w:rFonts w:ascii="Arial" w:hAnsi="Arial"/>
                <w:b w:val="false"/>
                <w:i w:val="false"/>
                <w:color w:val="000000"/>
                <w:sz w:val="16"/>
              </w:rPr>
              <w:t>411.0</w:t>
            </w:r>
            <w:bookmarkEnd w:id="30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1" w:id="305"/>
            <w:r>
              <w:rPr>
                <w:rFonts w:ascii="Arial" w:hAnsi="Arial"/>
                <w:b w:val="false"/>
                <w:i w:val="false"/>
                <w:color w:val="000000"/>
                <w:sz w:val="16"/>
              </w:rPr>
              <w:t>423.0</w:t>
            </w:r>
            <w:bookmarkEnd w:id="305"/>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r>
      <w:tr>
        <w:trPr>
          <w:trHeight w:val="49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Capital in excess of par value of ordinary shares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2" w:id="306"/>
            <w:r>
              <w:rPr>
                <w:rFonts w:ascii="Arial" w:hAnsi="Arial"/>
                <w:b w:val="false"/>
                <w:i w:val="false"/>
                <w:color w:val="000000"/>
                <w:sz w:val="16"/>
              </w:rPr>
              <w:t>8,261.3</w:t>
            </w:r>
            <w:bookmarkEnd w:id="30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3" w:id="307"/>
            <w:r>
              <w:rPr>
                <w:rFonts w:ascii="Arial" w:hAnsi="Arial"/>
                <w:b w:val="false"/>
                <w:i w:val="false"/>
                <w:color w:val="000000"/>
                <w:sz w:val="16"/>
              </w:rPr>
              <w:t>8,653.4</w:t>
            </w:r>
            <w:bookmarkEnd w:id="307"/>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Accumulated deficit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14" w:id="308"/>
            <w:r>
              <w:rPr>
                <w:rFonts w:ascii="Arial" w:hAnsi="Arial"/>
                <w:b w:val="false"/>
                <w:i w:val="false"/>
                <w:color w:val="000000"/>
                <w:sz w:val="16"/>
              </w:rPr>
              <w:t>4,073.6</w:t>
            </w:r>
            <w:bookmarkEnd w:id="30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15" w:id="309"/>
            <w:r>
              <w:rPr>
                <w:rFonts w:ascii="Arial" w:hAnsi="Arial"/>
                <w:b w:val="false"/>
                <w:i w:val="false"/>
                <w:color w:val="000000"/>
                <w:sz w:val="16"/>
              </w:rPr>
              <w:t>4,309.8</w:t>
            </w:r>
            <w:bookmarkEnd w:id="309"/>
            <w:r>
              <w:rPr>
                <w:rFonts w:ascii="Arial" w:hAnsi="Arial"/>
                <w:b w:val="false"/>
                <w:i w:val="false"/>
                <w:color w:val="000000"/>
                <w:sz w:val="16"/>
              </w:rPr>
              <w:t xml:space="preserve"> ) </w:t>
            </w:r>
          </w:p>
        </w:tc>
        <w:tc>
          <w:tcPr>
            <w:tcW w:w="42"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Accumulated other comprehensive loss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16" w:id="310"/>
            <w:r>
              <w:rPr>
                <w:rFonts w:ascii="Arial" w:hAnsi="Arial"/>
                <w:b w:val="false"/>
                <w:i w:val="false"/>
                <w:color w:val="000000"/>
                <w:sz w:val="16"/>
              </w:rPr>
              <w:t>1,347.1</w:t>
            </w:r>
            <w:bookmarkEnd w:id="31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17" w:id="311"/>
            <w:r>
              <w:rPr>
                <w:rFonts w:ascii="Arial" w:hAnsi="Arial"/>
                <w:b w:val="false"/>
                <w:i w:val="false"/>
                <w:color w:val="000000"/>
                <w:sz w:val="16"/>
              </w:rPr>
              <w:t>1,672.8</w:t>
            </w:r>
            <w:bookmarkEnd w:id="311"/>
            <w:r>
              <w:rPr>
                <w:rFonts w:ascii="Arial" w:hAnsi="Arial"/>
                <w:b w:val="false"/>
                <w:i w:val="false"/>
                <w:color w:val="000000"/>
                <w:sz w:val="16"/>
              </w:rPr>
              <w:t xml:space="preserve"> ) </w:t>
            </w:r>
          </w:p>
        </w:tc>
        <w:tc>
          <w:tcPr>
            <w:tcW w:w="42"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TechnipFMC plc stockholders’ equity</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8" w:id="312"/>
            <w:r>
              <w:rPr>
                <w:rFonts w:ascii="Arial" w:hAnsi="Arial"/>
                <w:b w:val="false"/>
                <w:i w:val="false"/>
                <w:color w:val="000000"/>
                <w:sz w:val="16"/>
              </w:rPr>
              <w:t>3,251.6</w:t>
            </w:r>
            <w:bookmarkEnd w:id="31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19" w:id="313"/>
            <w:r>
              <w:rPr>
                <w:rFonts w:ascii="Arial" w:hAnsi="Arial"/>
                <w:b w:val="false"/>
                <w:i w:val="false"/>
                <w:color w:val="000000"/>
                <w:sz w:val="16"/>
              </w:rPr>
              <w:t>3,093.8</w:t>
            </w:r>
            <w:bookmarkEnd w:id="313"/>
            <w:r>
              <w:rPr>
                <w:rFonts w:ascii="Arial" w:hAnsi="Arial"/>
                <w:b w:val="false"/>
                <w:i w:val="false"/>
                <w:color w:val="000000"/>
                <w:sz w:val="16"/>
              </w:rPr>
              <w:t xml:space="preserve">   </w:t>
            </w:r>
          </w:p>
        </w:tc>
        <w:tc>
          <w:tcPr>
            <w:tcW w:w="42"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0" w:id="314"/>
            <w:r>
              <w:rPr>
                <w:rFonts w:ascii="Arial" w:hAnsi="Arial"/>
                <w:b w:val="false"/>
                <w:i w:val="false"/>
                <w:color w:val="000000"/>
                <w:sz w:val="16"/>
              </w:rPr>
              <w:t>45.0</w:t>
            </w:r>
            <w:bookmarkEnd w:id="31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1" w:id="315"/>
            <w:r>
              <w:rPr>
                <w:rFonts w:ascii="Arial" w:hAnsi="Arial"/>
                <w:b w:val="false"/>
                <w:i w:val="false"/>
                <w:color w:val="000000"/>
                <w:sz w:val="16"/>
              </w:rPr>
              <w:t>44.6</w:t>
            </w:r>
            <w:bookmarkEnd w:id="315"/>
            <w:r>
              <w:rPr>
                <w:rFonts w:ascii="Arial" w:hAnsi="Arial"/>
                <w:b w:val="false"/>
                <w:i w:val="false"/>
                <w:color w:val="000000"/>
                <w:sz w:val="16"/>
              </w:rPr>
              <w:t xml:space="preserve">   </w:t>
            </w:r>
          </w:p>
        </w:tc>
        <w:tc>
          <w:tcPr>
            <w:tcW w:w="42"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 equity</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2" w:id="316"/>
            <w:r>
              <w:rPr>
                <w:rFonts w:ascii="Arial" w:hAnsi="Arial"/>
                <w:b w:val="false"/>
                <w:i w:val="false"/>
                <w:color w:val="000000"/>
                <w:sz w:val="16"/>
              </w:rPr>
              <w:t>3,296.6</w:t>
            </w:r>
            <w:bookmarkEnd w:id="316"/>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3" w:id="317"/>
            <w:r>
              <w:rPr>
                <w:rFonts w:ascii="Arial" w:hAnsi="Arial"/>
                <w:b w:val="false"/>
                <w:i w:val="false"/>
                <w:color w:val="000000"/>
                <w:sz w:val="16"/>
              </w:rPr>
              <w:t>3,138.4</w:t>
            </w:r>
            <w:bookmarkEnd w:id="317"/>
            <w:r>
              <w:rPr>
                <w:rFonts w:ascii="Arial" w:hAnsi="Arial"/>
                <w:b w:val="false"/>
                <w:i w:val="false"/>
                <w:color w:val="000000"/>
                <w:sz w:val="16"/>
              </w:rPr>
              <w:t xml:space="preserve">   </w:t>
            </w:r>
          </w:p>
        </w:tc>
        <w:tc>
          <w:tcPr>
            <w:tcW w:w="42" w:type="dxa"/>
            <w:tcBorders>
              <w:top w:val="single" w:color="000000" w:sz="11"/>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liabilities and equity</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1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4" w:id="318"/>
            <w:r>
              <w:rPr>
                <w:rFonts w:ascii="Arial" w:hAnsi="Arial"/>
                <w:b w:val="false"/>
                <w:i w:val="false"/>
                <w:color w:val="000000"/>
                <w:sz w:val="16"/>
              </w:rPr>
              <w:t>10,081.9</w:t>
            </w:r>
            <w:bookmarkEnd w:id="318"/>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5" w:id="319"/>
            <w:r>
              <w:rPr>
                <w:rFonts w:ascii="Arial" w:hAnsi="Arial"/>
                <w:b w:val="false"/>
                <w:i w:val="false"/>
                <w:color w:val="000000"/>
                <w:sz w:val="16"/>
              </w:rPr>
              <w:t>9,869.2</w:t>
            </w:r>
            <w:bookmarkEnd w:id="319"/>
            <w:r>
              <w:rPr>
                <w:rFonts w:ascii="Arial" w:hAnsi="Arial"/>
                <w:b w:val="false"/>
                <w:i w:val="false"/>
                <w:color w:val="000000"/>
                <w:sz w:val="16"/>
              </w:rPr>
              <w:t xml:space="preserve">   </w:t>
            </w:r>
          </w:p>
        </w:tc>
        <w:tc>
          <w:tcPr>
            <w:tcW w:w="42"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8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The accompanying notes are an integral part of the condensed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6</w:t>
      </w:r>
      <w:r>
        <w:rPr>
          <w:rFonts w:ascii="Times New Roman" w:hAnsi="Times New Roman"/>
          <w:b w:val="false"/>
          <w:i w:val="false"/>
          <w:color w:val="000000"/>
          <w:sz w:val="22"/>
        </w:rPr>
        <w:t xml:space="preserve"> </w:t>
      </w:r>
    </w:p>
    <w:p>
      <w:pPr>
        <w:spacing w:before="0" w:after="0"/>
        <w:ind w:left="120"/>
        <w:jc w:val="left"/>
      </w:pPr>
    </w:p>
    <w:bookmarkStart w:name="if5bce3d3882148cf91b6563d87cc4db5_31" w:id="320"/>
    <w:p>
      <w:pPr>
        <w:spacing w:before="0" w:after="0"/>
        <w:ind w:left="120"/>
        <w:jc w:val="left"/>
      </w:pPr>
    </w:p>
    <w:bookmarkEnd w:id="320"/>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CONDENSED CONSOLIDATED STATEMENTS OF CASH FLOWS (UNAUDITED)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0"/>
        <w:gridCol w:w="8847"/>
        <w:gridCol w:w="574"/>
        <w:gridCol w:w="146"/>
        <w:gridCol w:w="1538"/>
        <w:gridCol w:w="40"/>
        <w:gridCol w:w="40"/>
        <w:gridCol w:w="40"/>
        <w:gridCol w:w="40"/>
        <w:gridCol w:w="146"/>
        <w:gridCol w:w="1533"/>
        <w:gridCol w:w="40"/>
      </w:tblGrid>
      <w:tr>
        <w:trPr>
          <w:trHeight w:val="30" w:hRule="atLeast"/>
        </w:trPr>
        <w:tc>
          <w:tcPr>
            <w:tcW w:w="570" w:type="dxa"/>
            <w:tcBorders/>
            <w:tcMar>
              <w:top w:w="15" w:type="dxa"/>
              <w:left w:w="15" w:type="dxa"/>
              <w:bottom w:w="15" w:type="dxa"/>
              <w:right w:w="15" w:type="dxa"/>
            </w:tcMar>
            <w:vAlign w:val="center"/>
          </w:tcPr>
          <w:p/>
        </w:tc>
        <w:tc>
          <w:tcPr>
            <w:tcW w:w="8847" w:type="dxa"/>
            <w:tcBorders/>
            <w:tcMar>
              <w:top w:w="15" w:type="dxa"/>
              <w:left w:w="15" w:type="dxa"/>
              <w:bottom w:w="15" w:type="dxa"/>
              <w:right w:w="15" w:type="dxa"/>
            </w:tcMar>
            <w:vAlign w:val="center"/>
          </w:tcPr>
          <w:p/>
        </w:tc>
        <w:tc>
          <w:tcPr>
            <w:tcW w:w="57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3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3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 June 30,</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30" w:type="dxa"/>
              <w:left w:w="15" w:type="dxa"/>
              <w:bottom w:w="30" w:type="dxa"/>
              <w:right w:w="15" w:type="dxa"/>
            </w:tcMar>
            <w:vAlign w:val="bottom"/>
          </w:tcPr>
          <w:p>
            <w:pPr>
              <w:spacing w:before="100" w:after="0"/>
              <w:ind w:left="14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Cash provided by operating activities</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38"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6" w:id="321"/>
            <w:r>
              <w:rPr>
                <w:rFonts w:ascii="Arial" w:hAnsi="Arial"/>
                <w:b w:val="false"/>
                <w:i w:val="false"/>
                <w:color w:val="000000"/>
                <w:sz w:val="16"/>
              </w:rPr>
              <w:t>411.6</w:t>
            </w:r>
            <w:bookmarkEnd w:id="32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33"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7" w:id="322"/>
            <w:r>
              <w:rPr>
                <w:rFonts w:ascii="Arial" w:hAnsi="Arial"/>
                <w:b w:val="false"/>
                <w:i w:val="false"/>
                <w:color w:val="000000"/>
                <w:sz w:val="16"/>
              </w:rPr>
              <w:t>347.2</w:t>
            </w:r>
            <w:bookmarkEnd w:id="32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Adjustments to reconcile net income to cash provided by operating activities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Depreciation and amortization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8" w:id="323"/>
            <w:r>
              <w:rPr>
                <w:rFonts w:ascii="Arial" w:hAnsi="Arial"/>
                <w:b w:val="false"/>
                <w:i w:val="false"/>
                <w:color w:val="000000"/>
                <w:sz w:val="16"/>
              </w:rPr>
              <w:t>217.6</w:t>
            </w:r>
            <w:bookmarkEnd w:id="32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29" w:id="324"/>
            <w:r>
              <w:rPr>
                <w:rFonts w:ascii="Arial" w:hAnsi="Arial"/>
                <w:b w:val="false"/>
                <w:i w:val="false"/>
                <w:color w:val="000000"/>
                <w:sz w:val="16"/>
              </w:rPr>
              <w:t>191.6</w:t>
            </w:r>
            <w:bookmarkEnd w:id="32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
      <w:tr>
        <w:trPr/>
      </w:tr>
      <w:tr>
        <w:trPr/>
      </w:tr>
      <w:tr>
        <w:trPr/>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 net of dividends received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30" w:id="325"/>
            <w:r>
              <w:rPr>
                <w:rFonts w:ascii="Arial" w:hAnsi="Arial"/>
                <w:b w:val="false"/>
                <w:i w:val="false"/>
                <w:color w:val="000000"/>
                <w:sz w:val="16"/>
              </w:rPr>
              <w:t>11.3</w:t>
            </w:r>
            <w:bookmarkEnd w:id="32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1" w:id="326"/>
            <w:r>
              <w:rPr>
                <w:rFonts w:ascii="Arial" w:hAnsi="Arial"/>
                <w:b w:val="false"/>
                <w:i w:val="false"/>
                <w:color w:val="000000"/>
                <w:sz w:val="16"/>
              </w:rPr>
              <w:t>3.4</w:t>
            </w:r>
            <w:bookmarkEnd w:id="32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Gain on disposal of Measurement Solutions business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32" w:id="327"/>
            <w:r>
              <w:rPr>
                <w:rFonts w:ascii="Arial" w:hAnsi="Arial"/>
                <w:b w:val="false"/>
                <w:i w:val="false"/>
                <w:color w:val="000000"/>
                <w:sz w:val="16"/>
              </w:rPr>
              <w:t>—</w:t>
            </w:r>
            <w:bookmarkEnd w:id="32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3" w:id="328"/>
            <w:r>
              <w:rPr>
                <w:rFonts w:ascii="Arial" w:hAnsi="Arial"/>
                <w:b w:val="false"/>
                <w:i w:val="false"/>
                <w:color w:val="000000"/>
                <w:sz w:val="16"/>
              </w:rPr>
              <w:t>75.2</w:t>
            </w:r>
            <w:bookmarkEnd w:id="32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
      <w:tr>
        <w:trPr/>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Changes in operating assets and liabilities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Trade receivables, net and Contract assets,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4" w:id="329"/>
            <w:r>
              <w:rPr>
                <w:rFonts w:ascii="Arial" w:hAnsi="Arial"/>
                <w:b w:val="false"/>
                <w:i w:val="false"/>
                <w:color w:val="000000"/>
                <w:sz w:val="16"/>
              </w:rPr>
              <w:t>78.3</w:t>
            </w:r>
            <w:bookmarkEnd w:id="329"/>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5" w:id="330"/>
            <w:r>
              <w:rPr>
                <w:rFonts w:ascii="Arial" w:hAnsi="Arial"/>
                <w:b w:val="false"/>
                <w:i w:val="false"/>
                <w:color w:val="000000"/>
                <w:sz w:val="16"/>
              </w:rPr>
              <w:t>189.6</w:t>
            </w:r>
            <w:bookmarkEnd w:id="330"/>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Inventories, net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6" w:id="331"/>
            <w:r>
              <w:rPr>
                <w:rFonts w:ascii="Arial" w:hAnsi="Arial"/>
                <w:b w:val="false"/>
                <w:i w:val="false"/>
                <w:color w:val="000000"/>
                <w:sz w:val="16"/>
              </w:rPr>
              <w:t>90.6</w:t>
            </w:r>
            <w:bookmarkEnd w:id="33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37" w:id="332"/>
            <w:r>
              <w:rPr>
                <w:rFonts w:ascii="Arial" w:hAnsi="Arial"/>
                <w:b w:val="false"/>
                <w:i w:val="false"/>
                <w:color w:val="000000"/>
                <w:sz w:val="16"/>
              </w:rPr>
              <w:t>71.9</w:t>
            </w:r>
            <w:bookmarkEnd w:id="33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Accounts payable, trade and Contract liabilities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38" w:id="333"/>
            <w:r>
              <w:rPr>
                <w:rFonts w:ascii="Arial" w:hAnsi="Arial"/>
                <w:b w:val="false"/>
                <w:i w:val="false"/>
                <w:color w:val="000000"/>
                <w:sz w:val="16"/>
              </w:rPr>
              <w:t>176.4</w:t>
            </w:r>
            <w:bookmarkEnd w:id="33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39" w:id="334"/>
            <w:r>
              <w:rPr>
                <w:rFonts w:ascii="Arial" w:hAnsi="Arial"/>
                <w:b w:val="false"/>
                <w:i w:val="false"/>
                <w:color w:val="000000"/>
                <w:sz w:val="16"/>
              </w:rPr>
              <w:t>65.2</w:t>
            </w:r>
            <w:bookmarkEnd w:id="33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taxes payable, net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40" w:id="335"/>
            <w:r>
              <w:rPr>
                <w:rFonts w:ascii="Arial" w:hAnsi="Arial"/>
                <w:b w:val="false"/>
                <w:i w:val="false"/>
                <w:color w:val="000000"/>
                <w:sz w:val="16"/>
              </w:rPr>
              <w:t>5.2</w:t>
            </w:r>
            <w:bookmarkEnd w:id="33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41" w:id="336"/>
            <w:r>
              <w:rPr>
                <w:rFonts w:ascii="Arial" w:hAnsi="Arial"/>
                <w:b w:val="false"/>
                <w:i w:val="false"/>
                <w:color w:val="000000"/>
                <w:sz w:val="16"/>
              </w:rPr>
              <w:t>25.1</w:t>
            </w:r>
            <w:bookmarkEnd w:id="33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current assets and liabilities,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2" w:id="337"/>
            <w:r>
              <w:rPr>
                <w:rFonts w:ascii="Arial" w:hAnsi="Arial"/>
                <w:b w:val="false"/>
                <w:i w:val="false"/>
                <w:color w:val="000000"/>
                <w:sz w:val="16"/>
              </w:rPr>
              <w:t>18.7</w:t>
            </w:r>
            <w:bookmarkEnd w:id="33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43" w:id="338"/>
            <w:r>
              <w:rPr>
                <w:rFonts w:ascii="Arial" w:hAnsi="Arial"/>
                <w:b w:val="false"/>
                <w:i w:val="false"/>
                <w:color w:val="000000"/>
                <w:sz w:val="16"/>
              </w:rPr>
              <w:t>251.9</w:t>
            </w:r>
            <w:bookmarkEnd w:id="33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operating activities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4" w:id="339"/>
            <w:r>
              <w:rPr>
                <w:rFonts w:ascii="Arial" w:hAnsi="Arial"/>
                <w:b w:val="false"/>
                <w:i w:val="false"/>
                <w:color w:val="000000"/>
                <w:sz w:val="16"/>
              </w:rPr>
              <w:t>124.4</w:t>
            </w:r>
            <w:bookmarkEnd w:id="33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5" w:id="340"/>
            <w:r>
              <w:rPr>
                <w:rFonts w:ascii="Arial" w:hAnsi="Arial"/>
                <w:b w:val="false"/>
                <w:i w:val="false"/>
                <w:color w:val="000000"/>
                <w:sz w:val="16"/>
              </w:rPr>
              <w:t>117.3</w:t>
            </w:r>
            <w:bookmarkEnd w:id="34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Cash provided by operating activities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6" w:id="341"/>
            <w:r>
              <w:rPr>
                <w:rFonts w:ascii="Arial" w:hAnsi="Arial"/>
                <w:b w:val="false"/>
                <w:i w:val="false"/>
                <w:color w:val="000000"/>
                <w:sz w:val="16"/>
              </w:rPr>
              <w:t>785.9</w:t>
            </w:r>
            <w:bookmarkEnd w:id="34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47" w:id="342"/>
            <w:r>
              <w:rPr>
                <w:rFonts w:ascii="Arial" w:hAnsi="Arial"/>
                <w:b w:val="false"/>
                <w:i w:val="false"/>
                <w:color w:val="000000"/>
                <w:sz w:val="16"/>
              </w:rPr>
              <w:t>104.2</w:t>
            </w:r>
            <w:bookmarkEnd w:id="34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1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Cash provided (required) by investing activities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Capital expenditures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48" w:id="343"/>
            <w:r>
              <w:rPr>
                <w:rFonts w:ascii="Arial" w:hAnsi="Arial"/>
                <w:b w:val="false"/>
                <w:i w:val="false"/>
                <w:color w:val="000000"/>
                <w:sz w:val="16"/>
              </w:rPr>
              <w:t>145.4</w:t>
            </w:r>
            <w:bookmarkEnd w:id="343"/>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49" w:id="344"/>
            <w:r>
              <w:rPr>
                <w:rFonts w:ascii="Arial" w:hAnsi="Arial"/>
                <w:b w:val="false"/>
                <w:i w:val="false"/>
                <w:color w:val="000000"/>
                <w:sz w:val="16"/>
              </w:rPr>
              <w:t>102.8</w:t>
            </w:r>
            <w:bookmarkEnd w:id="34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Proceeds from sale of Measurement Solutions business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0" w:id="345"/>
            <w:r>
              <w:rPr>
                <w:rFonts w:ascii="Arial" w:hAnsi="Arial"/>
                <w:b w:val="false"/>
                <w:i w:val="false"/>
                <w:color w:val="000000"/>
                <w:sz w:val="16"/>
              </w:rPr>
              <w:t>—</w:t>
            </w:r>
            <w:bookmarkEnd w:id="34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1" w:id="346"/>
            <w:r>
              <w:rPr>
                <w:rFonts w:ascii="Arial" w:hAnsi="Arial"/>
                <w:b w:val="false"/>
                <w:i w:val="false"/>
                <w:color w:val="000000"/>
                <w:sz w:val="16"/>
              </w:rPr>
              <w:t>186.1</w:t>
            </w:r>
            <w:bookmarkEnd w:id="34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investing activities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2" w:id="347"/>
            <w:r>
              <w:rPr>
                <w:rFonts w:ascii="Arial" w:hAnsi="Arial"/>
                <w:b w:val="false"/>
                <w:i w:val="false"/>
                <w:color w:val="000000"/>
                <w:sz w:val="16"/>
              </w:rPr>
              <w:t>4.6</w:t>
            </w:r>
            <w:bookmarkEnd w:id="34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3" w:id="348"/>
            <w:r>
              <w:rPr>
                <w:rFonts w:ascii="Arial" w:hAnsi="Arial"/>
                <w:b w:val="false"/>
                <w:i w:val="false"/>
                <w:color w:val="000000"/>
                <w:sz w:val="16"/>
              </w:rPr>
              <w:t>3.8</w:t>
            </w:r>
            <w:bookmarkEnd w:id="34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Cash provided (required) by investing activities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54" w:id="349"/>
            <w:r>
              <w:rPr>
                <w:rFonts w:ascii="Arial" w:hAnsi="Arial"/>
                <w:b w:val="false"/>
                <w:i w:val="false"/>
                <w:color w:val="000000"/>
                <w:sz w:val="16"/>
              </w:rPr>
              <w:t>140.8</w:t>
            </w:r>
            <w:bookmarkEnd w:id="349"/>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55" w:id="350"/>
            <w:r>
              <w:rPr>
                <w:rFonts w:ascii="Arial" w:hAnsi="Arial"/>
                <w:b w:val="false"/>
                <w:i w:val="false"/>
                <w:color w:val="000000"/>
                <w:sz w:val="16"/>
              </w:rPr>
              <w:t>87.1</w:t>
            </w:r>
            <w:bookmarkEnd w:id="35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1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Cash required by financing activities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Repayments of current portion of long-term debt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56" w:id="351"/>
            <w:r>
              <w:rPr>
                <w:rFonts w:ascii="Arial" w:hAnsi="Arial"/>
                <w:b w:val="false"/>
                <w:i w:val="false"/>
                <w:color w:val="000000"/>
                <w:sz w:val="16"/>
              </w:rPr>
              <w:t>241.6</w:t>
            </w:r>
            <w:bookmarkEnd w:id="35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57" w:id="352"/>
            <w:r>
              <w:rPr>
                <w:rFonts w:ascii="Arial" w:hAnsi="Arial"/>
                <w:b w:val="false"/>
                <w:i w:val="false"/>
                <w:color w:val="000000"/>
                <w:sz w:val="16"/>
              </w:rPr>
              <w:t>65.4</w:t>
            </w:r>
            <w:bookmarkEnd w:id="35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
      <w:tr>
        <w:trPr/>
      </w:tr>
      <w:tr>
        <w:trPr/>
      </w:tr>
      <w:tr>
        <w:trPr/>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Share repurchases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58" w:id="353"/>
            <w:r>
              <w:rPr>
                <w:rFonts w:ascii="Arial" w:hAnsi="Arial"/>
                <w:b w:val="false"/>
                <w:i w:val="false"/>
                <w:color w:val="000000"/>
                <w:sz w:val="16"/>
              </w:rPr>
              <w:t>500.2</w:t>
            </w:r>
            <w:bookmarkEnd w:id="35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59" w:id="354"/>
            <w:r>
              <w:rPr>
                <w:rFonts w:ascii="Arial" w:hAnsi="Arial"/>
                <w:b w:val="false"/>
                <w:i w:val="false"/>
                <w:color w:val="000000"/>
                <w:sz w:val="16"/>
              </w:rPr>
              <w:t>250.1</w:t>
            </w:r>
            <w:bookmarkEnd w:id="35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Dividends paid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0" w:id="355"/>
            <w:r>
              <w:rPr>
                <w:rFonts w:ascii="Arial" w:hAnsi="Arial"/>
                <w:b w:val="false"/>
                <w:i w:val="false"/>
                <w:color w:val="000000"/>
                <w:sz w:val="16"/>
              </w:rPr>
              <w:t>41.6</w:t>
            </w:r>
            <w:bookmarkEnd w:id="35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1" w:id="356"/>
            <w:r>
              <w:rPr>
                <w:rFonts w:ascii="Arial" w:hAnsi="Arial"/>
                <w:b w:val="false"/>
                <w:i w:val="false"/>
                <w:color w:val="000000"/>
                <w:sz w:val="16"/>
              </w:rPr>
              <w:t>43.2</w:t>
            </w:r>
            <w:bookmarkEnd w:id="35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Payments related to taxes withheld on share-based compensation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2" w:id="357"/>
            <w:r>
              <w:rPr>
                <w:rFonts w:ascii="Arial" w:hAnsi="Arial"/>
                <w:b w:val="false"/>
                <w:i w:val="false"/>
                <w:color w:val="000000"/>
                <w:sz w:val="16"/>
              </w:rPr>
              <w:t>69.2</w:t>
            </w:r>
            <w:bookmarkEnd w:id="35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3" w:id="358"/>
            <w:r>
              <w:rPr>
                <w:rFonts w:ascii="Arial" w:hAnsi="Arial"/>
                <w:b w:val="false"/>
                <w:i w:val="false"/>
                <w:color w:val="000000"/>
                <w:sz w:val="16"/>
              </w:rPr>
              <w:t>49.7</w:t>
            </w:r>
            <w:bookmarkEnd w:id="35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
      <w:tr>
        <w:trPr/>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financing activities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4" w:id="359"/>
            <w:r>
              <w:rPr>
                <w:rFonts w:ascii="Arial" w:hAnsi="Arial"/>
                <w:b w:val="false"/>
                <w:i w:val="false"/>
                <w:color w:val="000000"/>
                <w:sz w:val="16"/>
              </w:rPr>
              <w:t>28.2</w:t>
            </w:r>
            <w:bookmarkEnd w:id="35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5" w:id="360"/>
            <w:r>
              <w:rPr>
                <w:rFonts w:ascii="Arial" w:hAnsi="Arial"/>
                <w:b w:val="false"/>
                <w:i w:val="false"/>
                <w:color w:val="000000"/>
                <w:sz w:val="16"/>
              </w:rPr>
              <w:t>9.5</w:t>
            </w:r>
            <w:bookmarkEnd w:id="36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Cash required by financing activities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6" w:id="361"/>
            <w:r>
              <w:rPr>
                <w:rFonts w:ascii="Arial" w:hAnsi="Arial"/>
                <w:b w:val="false"/>
                <w:i w:val="false"/>
                <w:color w:val="000000"/>
                <w:sz w:val="16"/>
              </w:rPr>
              <w:t>880.8</w:t>
            </w:r>
            <w:bookmarkEnd w:id="361"/>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7" w:id="362"/>
            <w:r>
              <w:rPr>
                <w:rFonts w:ascii="Arial" w:hAnsi="Arial"/>
                <w:b w:val="false"/>
                <w:i w:val="false"/>
                <w:color w:val="000000"/>
                <w:sz w:val="16"/>
              </w:rPr>
              <w:t>417.9</w:t>
            </w:r>
            <w:bookmarkEnd w:id="362"/>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Effect of changes in foreign exchange rates on cash and cash equivalents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68" w:id="363"/>
            <w:r>
              <w:rPr>
                <w:rFonts w:ascii="Arial" w:hAnsi="Arial"/>
                <w:b w:val="false"/>
                <w:i w:val="false"/>
                <w:color w:val="000000"/>
                <w:sz w:val="16"/>
              </w:rPr>
              <w:t>28.0</w:t>
            </w:r>
            <w:bookmarkEnd w:id="36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69" w:id="364"/>
            <w:r>
              <w:rPr>
                <w:rFonts w:ascii="Arial" w:hAnsi="Arial"/>
                <w:b w:val="false"/>
                <w:i w:val="false"/>
                <w:color w:val="000000"/>
                <w:sz w:val="16"/>
              </w:rPr>
              <w:t>16.9</w:t>
            </w:r>
            <w:bookmarkEnd w:id="364"/>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Change in cash and cash equivalents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70" w:id="365"/>
            <w:r>
              <w:rPr>
                <w:rFonts w:ascii="Arial" w:hAnsi="Arial"/>
                <w:b w:val="false"/>
                <w:i w:val="false"/>
                <w:color w:val="000000"/>
                <w:sz w:val="16"/>
              </w:rPr>
              <w:t>207.7</w:t>
            </w:r>
            <w:bookmarkEnd w:id="36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71" w:id="366"/>
            <w:r>
              <w:rPr>
                <w:rFonts w:ascii="Arial" w:hAnsi="Arial"/>
                <w:b w:val="false"/>
                <w:i w:val="false"/>
                <w:color w:val="000000"/>
                <w:sz w:val="16"/>
              </w:rPr>
              <w:t>243.5</w:t>
            </w:r>
            <w:bookmarkEnd w:id="36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and cash equivalents, beginning of period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2" w:id="367"/>
            <w:r>
              <w:rPr>
                <w:rFonts w:ascii="Arial" w:hAnsi="Arial"/>
                <w:b w:val="false"/>
                <w:i w:val="false"/>
                <w:color w:val="000000"/>
                <w:sz w:val="16"/>
              </w:rPr>
              <w:t>1,157.7</w:t>
            </w:r>
            <w:bookmarkEnd w:id="36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3" w:id="368"/>
            <w:r>
              <w:rPr>
                <w:rFonts w:ascii="Arial" w:hAnsi="Arial"/>
                <w:b w:val="false"/>
                <w:i w:val="false"/>
                <w:color w:val="000000"/>
                <w:sz w:val="16"/>
              </w:rPr>
              <w:t>951.7</w:t>
            </w:r>
            <w:bookmarkEnd w:id="36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and cash equivalents, end of period</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3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4" w:id="369"/>
            <w:r>
              <w:rPr>
                <w:rFonts w:ascii="Arial" w:hAnsi="Arial"/>
                <w:b w:val="false"/>
                <w:i w:val="false"/>
                <w:color w:val="000000"/>
                <w:sz w:val="16"/>
              </w:rPr>
              <w:t>950.0</w:t>
            </w:r>
            <w:bookmarkEnd w:id="369"/>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3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5" w:id="370"/>
            <w:r>
              <w:rPr>
                <w:rFonts w:ascii="Arial" w:hAnsi="Arial"/>
                <w:b w:val="false"/>
                <w:i w:val="false"/>
                <w:color w:val="000000"/>
                <w:sz w:val="16"/>
              </w:rPr>
              <w:t>708.2</w:t>
            </w:r>
            <w:bookmarkEnd w:id="370"/>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The accompanying notes are an integral part of the condensed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7</w:t>
      </w:r>
      <w:r>
        <w:rPr>
          <w:rFonts w:ascii="Times New Roman" w:hAnsi="Times New Roman"/>
          <w:b w:val="false"/>
          <w:i w:val="false"/>
          <w:color w:val="000000"/>
          <w:sz w:val="22"/>
        </w:rPr>
        <w:t xml:space="preserve"> </w:t>
      </w:r>
    </w:p>
    <w:p>
      <w:pPr>
        <w:spacing w:before="0" w:after="0"/>
        <w:ind w:left="120"/>
        <w:jc w:val="left"/>
      </w:pPr>
    </w:p>
    <w:bookmarkStart w:name="if5bce3d3882148cf91b6563d87cc4db5_34" w:id="371"/>
    <w:p>
      <w:pPr>
        <w:spacing w:before="0" w:after="0"/>
        <w:ind w:left="120"/>
        <w:jc w:val="left"/>
      </w:pPr>
    </w:p>
    <w:bookmarkEnd w:id="371"/>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CONDENSED CONSOLIDATED STATEMENTS OF CHANGES IN STOCKHOLDERS’ EQUITY (UNAUDITED)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THREE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8"/>
        <w:gridCol w:w="3205"/>
        <w:gridCol w:w="580"/>
        <w:gridCol w:w="162"/>
        <w:gridCol w:w="914"/>
        <w:gridCol w:w="45"/>
        <w:gridCol w:w="40"/>
        <w:gridCol w:w="40"/>
        <w:gridCol w:w="40"/>
        <w:gridCol w:w="146"/>
        <w:gridCol w:w="1225"/>
        <w:gridCol w:w="40"/>
        <w:gridCol w:w="40"/>
        <w:gridCol w:w="40"/>
        <w:gridCol w:w="40"/>
        <w:gridCol w:w="173"/>
        <w:gridCol w:w="1230"/>
        <w:gridCol w:w="48"/>
        <w:gridCol w:w="40"/>
        <w:gridCol w:w="40"/>
        <w:gridCol w:w="40"/>
        <w:gridCol w:w="205"/>
        <w:gridCol w:w="1487"/>
        <w:gridCol w:w="57"/>
        <w:gridCol w:w="40"/>
        <w:gridCol w:w="40"/>
        <w:gridCol w:w="40"/>
        <w:gridCol w:w="227"/>
        <w:gridCol w:w="1049"/>
        <w:gridCol w:w="63"/>
        <w:gridCol w:w="40"/>
        <w:gridCol w:w="40"/>
        <w:gridCol w:w="40"/>
        <w:gridCol w:w="206"/>
        <w:gridCol w:w="1337"/>
        <w:gridCol w:w="57"/>
      </w:tblGrid>
      <w:tr>
        <w:trPr>
          <w:trHeight w:val="30" w:hRule="atLeast"/>
        </w:trPr>
        <w:tc>
          <w:tcPr>
            <w:tcW w:w="578" w:type="dxa"/>
            <w:tcBorders/>
            <w:tcMar>
              <w:top w:w="15" w:type="dxa"/>
              <w:left w:w="15" w:type="dxa"/>
              <w:bottom w:w="15" w:type="dxa"/>
              <w:right w:w="15" w:type="dxa"/>
            </w:tcMar>
            <w:vAlign w:val="center"/>
          </w:tcPr>
          <w:p/>
        </w:tc>
        <w:tc>
          <w:tcPr>
            <w:tcW w:w="3205" w:type="dxa"/>
            <w:tcBorders/>
            <w:tcMar>
              <w:top w:w="15" w:type="dxa"/>
              <w:left w:w="15" w:type="dxa"/>
              <w:bottom w:w="15" w:type="dxa"/>
              <w:right w:w="15" w:type="dxa"/>
            </w:tcMar>
            <w:vAlign w:val="center"/>
          </w:tcPr>
          <w:p/>
        </w:tc>
        <w:tc>
          <w:tcPr>
            <w:tcW w:w="580" w:type="dxa"/>
            <w:tcBorders/>
            <w:tcMar>
              <w:top w:w="15" w:type="dxa"/>
              <w:left w:w="15" w:type="dxa"/>
              <w:bottom w:w="15" w:type="dxa"/>
              <w:right w:w="15" w:type="dxa"/>
            </w:tcMar>
            <w:vAlign w:val="center"/>
          </w:tcPr>
          <w:p/>
        </w:tc>
        <w:tc>
          <w:tcPr>
            <w:tcW w:w="162" w:type="dxa"/>
            <w:tcBorders/>
            <w:tcMar>
              <w:top w:w="15" w:type="dxa"/>
              <w:left w:w="15" w:type="dxa"/>
              <w:bottom w:w="15" w:type="dxa"/>
              <w:right w:w="15" w:type="dxa"/>
            </w:tcMar>
            <w:vAlign w:val="center"/>
          </w:tcPr>
          <w:p/>
        </w:tc>
        <w:tc>
          <w:tcPr>
            <w:tcW w:w="914" w:type="dxa"/>
            <w:tcBorders/>
            <w:tcMar>
              <w:top w:w="15" w:type="dxa"/>
              <w:left w:w="15" w:type="dxa"/>
              <w:bottom w:w="15" w:type="dxa"/>
              <w:right w:w="15" w:type="dxa"/>
            </w:tcMar>
            <w:vAlign w:val="center"/>
          </w:tcPr>
          <w:p/>
        </w:tc>
        <w:tc>
          <w:tcPr>
            <w:tcW w:w="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2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73" w:type="dxa"/>
            <w:tcBorders/>
            <w:tcMar>
              <w:top w:w="15" w:type="dxa"/>
              <w:left w:w="15" w:type="dxa"/>
              <w:bottom w:w="15" w:type="dxa"/>
              <w:right w:w="15" w:type="dxa"/>
            </w:tcMar>
            <w:vAlign w:val="center"/>
          </w:tcPr>
          <w:p/>
        </w:tc>
        <w:tc>
          <w:tcPr>
            <w:tcW w:w="1230"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5" w:type="dxa"/>
            <w:tcBorders/>
            <w:tcMar>
              <w:top w:w="15" w:type="dxa"/>
              <w:left w:w="15" w:type="dxa"/>
              <w:bottom w:w="15" w:type="dxa"/>
              <w:right w:w="15" w:type="dxa"/>
            </w:tcMar>
            <w:vAlign w:val="center"/>
          </w:tcPr>
          <w:p/>
        </w:tc>
        <w:tc>
          <w:tcPr>
            <w:tcW w:w="1487"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049"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6" w:type="dxa"/>
            <w:tcBorders/>
            <w:tcMar>
              <w:top w:w="15" w:type="dxa"/>
              <w:left w:w="15" w:type="dxa"/>
              <w:bottom w:w="15" w:type="dxa"/>
              <w:right w:w="15" w:type="dxa"/>
            </w:tcMar>
            <w:vAlign w:val="center"/>
          </w:tcPr>
          <w:p/>
        </w:tc>
        <w:tc>
          <w:tcPr>
            <w:tcW w:w="1337"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r>
      <w:tr>
        <w:trPr>
          <w:trHeight w:val="141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Ordinary Shares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Capital in Excess of Par Value of Ordinary Shares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Accumulated Deficit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Accumulated Other Comprehensive Income (Loss)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Non-controlling Interest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Total Stockholders’ Equity</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March 31, 2025</w:t>
            </w:r>
            <w:r>
              <w:rPr>
                <w:rFonts w:ascii="Times New Roman" w:hAnsi="Times New Roman"/>
                <w:b w:val="false"/>
                <w:i w:val="false"/>
                <w:color w:val="000000"/>
                <w:sz w:val="22"/>
              </w:rPr>
              <w:t xml:space="preserve"> </w:t>
            </w:r>
          </w:p>
        </w:tc>
        <w:tc>
          <w:tcPr>
            <w:tcW w:w="16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6" w:id="372"/>
            <w:r>
              <w:rPr>
                <w:rFonts w:ascii="Arial" w:hAnsi="Arial"/>
                <w:b w:val="false"/>
                <w:i w:val="false"/>
                <w:color w:val="000000"/>
                <w:sz w:val="16"/>
              </w:rPr>
              <w:t>419.0</w:t>
            </w:r>
            <w:bookmarkEnd w:id="372"/>
            <w:r>
              <w:rPr>
                <w:rFonts w:ascii="Arial" w:hAnsi="Arial"/>
                <w:b w:val="false"/>
                <w:i w:val="false"/>
                <w:color w:val="000000"/>
                <w:sz w:val="16"/>
              </w:rPr>
              <w:t xml:space="preserve">   </w:t>
            </w:r>
          </w:p>
        </w:tc>
        <w:tc>
          <w:tcPr>
            <w:tcW w:w="45"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2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77" w:id="373"/>
            <w:r>
              <w:rPr>
                <w:rFonts w:ascii="Arial" w:hAnsi="Arial"/>
                <w:b w:val="false"/>
                <w:i w:val="false"/>
                <w:color w:val="000000"/>
                <w:sz w:val="16"/>
              </w:rPr>
              <w:t>8,419.7</w:t>
            </w:r>
            <w:bookmarkEnd w:id="37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78" w:id="374"/>
            <w:r>
              <w:rPr>
                <w:rFonts w:ascii="Arial" w:hAnsi="Arial"/>
                <w:b w:val="false"/>
                <w:i w:val="false"/>
                <w:color w:val="000000"/>
                <w:sz w:val="16"/>
              </w:rPr>
              <w:t>4,244.8</w:t>
            </w:r>
            <w:bookmarkEnd w:id="374"/>
            <w:r>
              <w:rPr>
                <w:rFonts w:ascii="Arial" w:hAnsi="Arial"/>
                <w:b w:val="false"/>
                <w:i w:val="false"/>
                <w:color w:val="000000"/>
                <w:sz w:val="16"/>
              </w:rPr>
              <w:t xml:space="preserve"> )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79" w:id="375"/>
            <w:r>
              <w:rPr>
                <w:rFonts w:ascii="Arial" w:hAnsi="Arial"/>
                <w:b w:val="false"/>
                <w:i w:val="false"/>
                <w:color w:val="000000"/>
                <w:sz w:val="16"/>
              </w:rPr>
              <w:t>1,522.8</w:t>
            </w:r>
            <w:bookmarkEnd w:id="375"/>
            <w:r>
              <w:rPr>
                <w:rFonts w:ascii="Arial" w:hAnsi="Arial"/>
                <w:b w:val="false"/>
                <w:i w:val="false"/>
                <w:color w:val="000000"/>
                <w:sz w:val="16"/>
              </w:rPr>
              <w:t xml:space="preserve"> ) </w:t>
            </w:r>
          </w:p>
        </w:tc>
        <w:tc>
          <w:tcPr>
            <w:tcW w:w="5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0" w:id="376"/>
            <w:r>
              <w:rPr>
                <w:rFonts w:ascii="Arial" w:hAnsi="Arial"/>
                <w:b w:val="false"/>
                <w:i w:val="false"/>
                <w:color w:val="000000"/>
                <w:sz w:val="16"/>
              </w:rPr>
              <w:t>45.9</w:t>
            </w:r>
            <w:bookmarkEnd w:id="376"/>
            <w:r>
              <w:rPr>
                <w:rFonts w:ascii="Arial" w:hAnsi="Arial"/>
                <w:b w:val="false"/>
                <w:i w:val="false"/>
                <w:color w:val="000000"/>
                <w:sz w:val="16"/>
              </w:rPr>
              <w:t xml:space="preserve">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1" w:id="377"/>
            <w:r>
              <w:rPr>
                <w:rFonts w:ascii="Arial" w:hAnsi="Arial"/>
                <w:b w:val="false"/>
                <w:i w:val="false"/>
                <w:color w:val="000000"/>
                <w:sz w:val="16"/>
              </w:rPr>
              <w:t>3,117.0</w:t>
            </w:r>
            <w:bookmarkEnd w:id="377"/>
            <w:r>
              <w:rPr>
                <w:rFonts w:ascii="Arial" w:hAnsi="Arial"/>
                <w:b w:val="false"/>
                <w:i w:val="false"/>
                <w:color w:val="000000"/>
                <w:sz w:val="16"/>
              </w:rPr>
              <w:t xml:space="preserve">   </w:t>
            </w:r>
          </w:p>
        </w:tc>
        <w:tc>
          <w:tcPr>
            <w:tcW w:w="57"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2" w:id="378"/>
            <w:r>
              <w:rPr>
                <w:rFonts w:ascii="Arial" w:hAnsi="Arial"/>
                <w:b w:val="false"/>
                <w:i w:val="false"/>
                <w:color w:val="000000"/>
                <w:sz w:val="16"/>
              </w:rPr>
              <w:t>269.5</w:t>
            </w:r>
            <w:bookmarkEnd w:id="378"/>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83" w:id="379"/>
            <w:r>
              <w:rPr>
                <w:rFonts w:ascii="Arial" w:hAnsi="Arial"/>
                <w:b w:val="false"/>
                <w:i w:val="false"/>
                <w:color w:val="000000"/>
                <w:sz w:val="16"/>
              </w:rPr>
              <w:t>1.2</w:t>
            </w:r>
            <w:bookmarkEnd w:id="379"/>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4" w:id="380"/>
            <w:r>
              <w:rPr>
                <w:rFonts w:ascii="Arial" w:hAnsi="Arial"/>
                <w:b w:val="false"/>
                <w:i w:val="false"/>
                <w:color w:val="000000"/>
                <w:sz w:val="16"/>
              </w:rPr>
              <w:t>268.3</w:t>
            </w:r>
            <w:bookmarkEnd w:id="380"/>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5" w:id="381"/>
            <w:r>
              <w:rPr>
                <w:rFonts w:ascii="Arial" w:hAnsi="Arial"/>
                <w:b w:val="false"/>
                <w:i w:val="false"/>
                <w:color w:val="000000"/>
                <w:sz w:val="16"/>
              </w:rPr>
              <w:t>175.7</w:t>
            </w:r>
            <w:bookmarkEnd w:id="381"/>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6" w:id="382"/>
            <w:r>
              <w:rPr>
                <w:rFonts w:ascii="Arial" w:hAnsi="Arial"/>
                <w:b w:val="false"/>
                <w:i w:val="false"/>
                <w:color w:val="000000"/>
                <w:sz w:val="16"/>
              </w:rPr>
              <w:t>0.2</w:t>
            </w:r>
            <w:bookmarkEnd w:id="382"/>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7" w:id="383"/>
            <w:r>
              <w:rPr>
                <w:rFonts w:ascii="Arial" w:hAnsi="Arial"/>
                <w:b w:val="false"/>
                <w:i w:val="false"/>
                <w:color w:val="000000"/>
                <w:sz w:val="16"/>
              </w:rPr>
              <w:t>175.9</w:t>
            </w:r>
            <w:bookmarkEnd w:id="383"/>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Issuance of ordinary shares, net of shares withheld for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88" w:id="384"/>
            <w:r>
              <w:rPr>
                <w:rFonts w:ascii="Arial" w:hAnsi="Arial"/>
                <w:b w:val="false"/>
                <w:i w:val="false"/>
                <w:color w:val="000000"/>
                <w:sz w:val="16"/>
              </w:rPr>
              <w:t>0.3</w:t>
            </w:r>
            <w:bookmarkEnd w:id="384"/>
            <w:r>
              <w:rPr>
                <w:rFonts w:ascii="Arial" w:hAnsi="Arial"/>
                <w:b w:val="false"/>
                <w:i w:val="false"/>
                <w:color w:val="000000"/>
                <w:sz w:val="16"/>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89" w:id="385"/>
            <w:r>
              <w:rPr>
                <w:rFonts w:ascii="Arial" w:hAnsi="Arial"/>
                <w:b w:val="false"/>
                <w:i w:val="false"/>
                <w:color w:val="000000"/>
                <w:sz w:val="16"/>
              </w:rPr>
              <w:t>7.3</w:t>
            </w:r>
            <w:bookmarkEnd w:id="38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90" w:id="386"/>
            <w:r>
              <w:rPr>
                <w:rFonts w:ascii="Arial" w:hAnsi="Arial"/>
                <w:b w:val="false"/>
                <w:i w:val="false"/>
                <w:color w:val="000000"/>
                <w:sz w:val="16"/>
              </w:rPr>
              <w:t>7.0</w:t>
            </w:r>
            <w:bookmarkEnd w:id="386"/>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Share-based compensation</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1" w:id="387"/>
            <w:r>
              <w:rPr>
                <w:rFonts w:ascii="Arial" w:hAnsi="Arial"/>
                <w:b w:val="false"/>
                <w:i w:val="false"/>
                <w:color w:val="000000"/>
                <w:sz w:val="16"/>
              </w:rPr>
              <w:t>17.4</w:t>
            </w:r>
            <w:bookmarkEnd w:id="38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2" w:id="388"/>
            <w:r>
              <w:rPr>
                <w:rFonts w:ascii="Arial" w:hAnsi="Arial"/>
                <w:b w:val="false"/>
                <w:i w:val="false"/>
                <w:color w:val="000000"/>
                <w:sz w:val="16"/>
              </w:rPr>
              <w:t>17.4</w:t>
            </w:r>
            <w:bookmarkEnd w:id="388"/>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Shares repurchased and cancelled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93" w:id="389"/>
            <w:r>
              <w:rPr>
                <w:rFonts w:ascii="Arial" w:hAnsi="Arial"/>
                <w:b w:val="false"/>
                <w:i w:val="false"/>
                <w:color w:val="000000"/>
                <w:sz w:val="16"/>
              </w:rPr>
              <w:t>8.4</w:t>
            </w:r>
            <w:bookmarkEnd w:id="389"/>
            <w:r>
              <w:rPr>
                <w:rFonts w:ascii="Arial" w:hAnsi="Arial"/>
                <w:b w:val="false"/>
                <w:i w:val="false"/>
                <w:color w:val="000000"/>
                <w:sz w:val="16"/>
              </w:rPr>
              <w:t xml:space="preserve"> )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94" w:id="390"/>
            <w:r>
              <w:rPr>
                <w:rFonts w:ascii="Arial" w:hAnsi="Arial"/>
                <w:b w:val="false"/>
                <w:i w:val="false"/>
                <w:color w:val="000000"/>
                <w:sz w:val="16"/>
              </w:rPr>
              <w:t>169.2</w:t>
            </w:r>
            <w:bookmarkEnd w:id="390"/>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95" w:id="391"/>
            <w:r>
              <w:rPr>
                <w:rFonts w:ascii="Arial" w:hAnsi="Arial"/>
                <w:b w:val="false"/>
                <w:i w:val="false"/>
                <w:color w:val="000000"/>
                <w:sz w:val="16"/>
              </w:rPr>
              <w:t>72.6</w:t>
            </w:r>
            <w:bookmarkEnd w:id="391"/>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396" w:id="392"/>
            <w:r>
              <w:rPr>
                <w:rFonts w:ascii="Arial" w:hAnsi="Arial"/>
                <w:b w:val="false"/>
                <w:i w:val="false"/>
                <w:color w:val="000000"/>
                <w:sz w:val="16"/>
              </w:rPr>
              <w:t>250.2</w:t>
            </w:r>
            <w:bookmarkEnd w:id="392"/>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Proceeds from exercise of stock options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7" w:id="393"/>
            <w:r>
              <w:rPr>
                <w:rFonts w:ascii="Arial" w:hAnsi="Arial"/>
                <w:b w:val="false"/>
                <w:i w:val="false"/>
                <w:color w:val="000000"/>
                <w:sz w:val="16"/>
              </w:rPr>
              <w:t>0.1</w:t>
            </w:r>
            <w:bookmarkEnd w:id="393"/>
            <w:r>
              <w:rPr>
                <w:rFonts w:ascii="Arial" w:hAnsi="Arial"/>
                <w:b w:val="false"/>
                <w:i w:val="false"/>
                <w:color w:val="000000"/>
                <w:sz w:val="16"/>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8" w:id="394"/>
            <w:r>
              <w:rPr>
                <w:rFonts w:ascii="Arial" w:hAnsi="Arial"/>
                <w:b w:val="false"/>
                <w:i w:val="false"/>
                <w:color w:val="000000"/>
                <w:sz w:val="16"/>
              </w:rPr>
              <w:t>0.6</w:t>
            </w:r>
            <w:bookmarkEnd w:id="39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399" w:id="395"/>
            <w:r>
              <w:rPr>
                <w:rFonts w:ascii="Arial" w:hAnsi="Arial"/>
                <w:b w:val="false"/>
                <w:i w:val="false"/>
                <w:color w:val="000000"/>
                <w:sz w:val="16"/>
              </w:rPr>
              <w:t>0.7</w:t>
            </w:r>
            <w:bookmarkEnd w:id="395"/>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Dividends declared and paid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00" w:id="396"/>
            <w:r>
              <w:rPr>
                <w:rFonts w:ascii="Arial" w:hAnsi="Arial"/>
                <w:b w:val="false"/>
                <w:i w:val="false"/>
                <w:color w:val="000000"/>
                <w:sz w:val="16"/>
              </w:rPr>
              <w:t>20.6</w:t>
            </w:r>
            <w:bookmarkEnd w:id="396"/>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1" w:id="397"/>
            <w:r>
              <w:rPr>
                <w:rFonts w:ascii="Arial" w:hAnsi="Arial"/>
                <w:b w:val="false"/>
                <w:i w:val="false"/>
                <w:color w:val="000000"/>
                <w:sz w:val="16"/>
              </w:rPr>
              <w:t>—</w:t>
            </w:r>
            <w:bookmarkEnd w:id="397"/>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02" w:id="398"/>
            <w:r>
              <w:rPr>
                <w:rFonts w:ascii="Arial" w:hAnsi="Arial"/>
                <w:b w:val="false"/>
                <w:i w:val="false"/>
                <w:color w:val="000000"/>
                <w:sz w:val="16"/>
              </w:rPr>
              <w:t>20.6</w:t>
            </w:r>
            <w:bookmarkEnd w:id="398"/>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3" w:id="399"/>
            <w:r>
              <w:rPr>
                <w:rFonts w:ascii="Arial" w:hAnsi="Arial"/>
                <w:b w:val="false"/>
                <w:i w:val="false"/>
                <w:color w:val="000000"/>
                <w:sz w:val="16"/>
              </w:rPr>
              <w:t>0.1</w:t>
            </w:r>
            <w:bookmarkEnd w:id="39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04" w:id="400"/>
            <w:r>
              <w:rPr>
                <w:rFonts w:ascii="Arial" w:hAnsi="Arial"/>
                <w:b w:val="false"/>
                <w:i w:val="false"/>
                <w:color w:val="000000"/>
                <w:sz w:val="16"/>
              </w:rPr>
              <w:t>5.1</w:t>
            </w:r>
            <w:bookmarkEnd w:id="400"/>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5" w:id="401"/>
            <w:r>
              <w:rPr>
                <w:rFonts w:ascii="Arial" w:hAnsi="Arial"/>
                <w:b w:val="false"/>
                <w:i w:val="false"/>
                <w:color w:val="000000"/>
                <w:sz w:val="16"/>
              </w:rPr>
              <w:t>0.1</w:t>
            </w:r>
            <w:bookmarkEnd w:id="401"/>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06" w:id="402"/>
            <w:r>
              <w:rPr>
                <w:rFonts w:ascii="Arial" w:hAnsi="Arial"/>
                <w:b w:val="false"/>
                <w:i w:val="false"/>
                <w:color w:val="000000"/>
                <w:sz w:val="16"/>
              </w:rPr>
              <w:t>4.9</w:t>
            </w:r>
            <w:bookmarkEnd w:id="402"/>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June 30, 2025</w:t>
            </w:r>
            <w:r>
              <w:rPr>
                <w:rFonts w:ascii="Times New Roman" w:hAnsi="Times New Roman"/>
                <w:b w:val="false"/>
                <w:i w:val="false"/>
                <w:color w:val="000000"/>
                <w:sz w:val="22"/>
              </w:rPr>
              <w:t xml:space="preserve"> </w:t>
            </w:r>
          </w:p>
        </w:tc>
        <w:tc>
          <w:tcPr>
            <w:tcW w:w="162"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4"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7" w:id="403"/>
            <w:r>
              <w:rPr>
                <w:rFonts w:ascii="Arial" w:hAnsi="Arial"/>
                <w:b w:val="false"/>
                <w:i w:val="false"/>
                <w:color w:val="000000"/>
                <w:sz w:val="16"/>
              </w:rPr>
              <w:t>411.0</w:t>
            </w:r>
            <w:bookmarkEnd w:id="403"/>
            <w:r>
              <w:rPr>
                <w:rFonts w:ascii="Arial" w:hAnsi="Arial"/>
                <w:b w:val="false"/>
                <w:i w:val="false"/>
                <w:color w:val="000000"/>
                <w:sz w:val="16"/>
              </w:rPr>
              <w:t xml:space="preserve">   </w:t>
            </w:r>
          </w:p>
        </w:tc>
        <w:tc>
          <w:tcPr>
            <w:tcW w:w="45"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25"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08" w:id="404"/>
            <w:r>
              <w:rPr>
                <w:rFonts w:ascii="Arial" w:hAnsi="Arial"/>
                <w:b w:val="false"/>
                <w:i w:val="false"/>
                <w:color w:val="000000"/>
                <w:sz w:val="16"/>
              </w:rPr>
              <w:t>8,261.3</w:t>
            </w:r>
            <w:bookmarkEnd w:id="40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0"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09" w:id="405"/>
            <w:r>
              <w:rPr>
                <w:rFonts w:ascii="Arial" w:hAnsi="Arial"/>
                <w:b w:val="false"/>
                <w:i w:val="false"/>
                <w:color w:val="000000"/>
                <w:sz w:val="16"/>
              </w:rPr>
              <w:t>4,073.6</w:t>
            </w:r>
            <w:bookmarkEnd w:id="405"/>
            <w:r>
              <w:rPr>
                <w:rFonts w:ascii="Arial" w:hAnsi="Arial"/>
                <w:b w:val="false"/>
                <w:i w:val="false"/>
                <w:color w:val="000000"/>
                <w:sz w:val="16"/>
              </w:rPr>
              <w:t xml:space="preserve"> ) </w:t>
            </w:r>
          </w:p>
        </w:tc>
        <w:tc>
          <w:tcPr>
            <w:tcW w:w="48"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10" w:id="406"/>
            <w:r>
              <w:rPr>
                <w:rFonts w:ascii="Arial" w:hAnsi="Arial"/>
                <w:b w:val="false"/>
                <w:i w:val="false"/>
                <w:color w:val="000000"/>
                <w:sz w:val="16"/>
              </w:rPr>
              <w:t>1,347.1</w:t>
            </w:r>
            <w:bookmarkEnd w:id="406"/>
            <w:r>
              <w:rPr>
                <w:rFonts w:ascii="Arial" w:hAnsi="Arial"/>
                <w:b w:val="false"/>
                <w:i w:val="false"/>
                <w:color w:val="000000"/>
                <w:sz w:val="16"/>
              </w:rPr>
              <w:t xml:space="preserve"> ) </w:t>
            </w:r>
          </w:p>
        </w:tc>
        <w:tc>
          <w:tcPr>
            <w:tcW w:w="57"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1" w:id="407"/>
            <w:r>
              <w:rPr>
                <w:rFonts w:ascii="Arial" w:hAnsi="Arial"/>
                <w:b w:val="false"/>
                <w:i w:val="false"/>
                <w:color w:val="000000"/>
                <w:sz w:val="16"/>
              </w:rPr>
              <w:t>45.0</w:t>
            </w:r>
            <w:bookmarkEnd w:id="407"/>
            <w:r>
              <w:rPr>
                <w:rFonts w:ascii="Arial" w:hAnsi="Arial"/>
                <w:b w:val="false"/>
                <w:i w:val="false"/>
                <w:color w:val="000000"/>
                <w:sz w:val="16"/>
              </w:rPr>
              <w:t xml:space="preserve">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2" w:id="408"/>
            <w:r>
              <w:rPr>
                <w:rFonts w:ascii="Arial" w:hAnsi="Arial"/>
                <w:b w:val="false"/>
                <w:i w:val="false"/>
                <w:color w:val="000000"/>
                <w:sz w:val="16"/>
              </w:rPr>
              <w:t>3,296.6</w:t>
            </w:r>
            <w:bookmarkEnd w:id="408"/>
            <w:r>
              <w:rPr>
                <w:rFonts w:ascii="Arial" w:hAnsi="Arial"/>
                <w:b w:val="false"/>
                <w:i w:val="false"/>
                <w:color w:val="000000"/>
                <w:sz w:val="16"/>
              </w:rPr>
              <w:t xml:space="preserve">   </w:t>
            </w:r>
          </w:p>
        </w:tc>
        <w:tc>
          <w:tcPr>
            <w:tcW w:w="57" w:type="dxa"/>
            <w:tcBorders>
              <w:top w:val="single" w:color="000000" w:sz="11"/>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March 31, 2024</w:t>
            </w:r>
            <w:r>
              <w:rPr>
                <w:rFonts w:ascii="Times New Roman" w:hAnsi="Times New Roman"/>
                <w:b w:val="false"/>
                <w:i w:val="false"/>
                <w:color w:val="000000"/>
                <w:sz w:val="22"/>
              </w:rPr>
              <w:t xml:space="preserve"> </w:t>
            </w:r>
          </w:p>
        </w:tc>
        <w:tc>
          <w:tcPr>
            <w:tcW w:w="162"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3" w:id="409"/>
            <w:r>
              <w:rPr>
                <w:rFonts w:ascii="Arial" w:hAnsi="Arial"/>
                <w:b w:val="false"/>
                <w:i w:val="false"/>
                <w:color w:val="000000"/>
                <w:sz w:val="16"/>
              </w:rPr>
              <w:t>430.9</w:t>
            </w:r>
            <w:bookmarkEnd w:id="409"/>
            <w:r>
              <w:rPr>
                <w:rFonts w:ascii="Arial" w:hAnsi="Arial"/>
                <w:b w:val="false"/>
                <w:i w:val="false"/>
                <w:color w:val="000000"/>
                <w:sz w:val="16"/>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25"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4" w:id="410"/>
            <w:r>
              <w:rPr>
                <w:rFonts w:ascii="Arial" w:hAnsi="Arial"/>
                <w:b w:val="false"/>
                <w:i w:val="false"/>
                <w:color w:val="000000"/>
                <w:sz w:val="16"/>
              </w:rPr>
              <w:t>8,774.3</w:t>
            </w:r>
            <w:bookmarkEnd w:id="41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15" w:id="411"/>
            <w:r>
              <w:rPr>
                <w:rFonts w:ascii="Arial" w:hAnsi="Arial"/>
                <w:b w:val="false"/>
                <w:i w:val="false"/>
                <w:color w:val="000000"/>
                <w:sz w:val="16"/>
              </w:rPr>
              <w:t>4,872.5</w:t>
            </w:r>
            <w:bookmarkEnd w:id="411"/>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16" w:id="412"/>
            <w:r>
              <w:rPr>
                <w:rFonts w:ascii="Arial" w:hAnsi="Arial"/>
                <w:b w:val="false"/>
                <w:i w:val="false"/>
                <w:color w:val="000000"/>
                <w:sz w:val="16"/>
              </w:rPr>
              <w:t>1,326.8</w:t>
            </w:r>
            <w:bookmarkEnd w:id="412"/>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7" w:id="413"/>
            <w:r>
              <w:rPr>
                <w:rFonts w:ascii="Arial" w:hAnsi="Arial"/>
                <w:b w:val="false"/>
                <w:i w:val="false"/>
                <w:color w:val="000000"/>
                <w:sz w:val="16"/>
              </w:rPr>
              <w:t>39.3</w:t>
            </w:r>
            <w:bookmarkEnd w:id="413"/>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8" w:id="414"/>
            <w:r>
              <w:rPr>
                <w:rFonts w:ascii="Arial" w:hAnsi="Arial"/>
                <w:b w:val="false"/>
                <w:i w:val="false"/>
                <w:color w:val="000000"/>
                <w:sz w:val="16"/>
              </w:rPr>
              <w:t>3,045.2</w:t>
            </w:r>
            <w:bookmarkEnd w:id="414"/>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(loss)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19" w:id="415"/>
            <w:r>
              <w:rPr>
                <w:rFonts w:ascii="Arial" w:hAnsi="Arial"/>
                <w:b w:val="false"/>
                <w:i w:val="false"/>
                <w:color w:val="000000"/>
                <w:sz w:val="16"/>
              </w:rPr>
              <w:t>186.5</w:t>
            </w:r>
            <w:bookmarkEnd w:id="415"/>
            <w:r>
              <w:rPr>
                <w:rFonts w:ascii="Arial" w:hAnsi="Arial"/>
                <w:b w:val="false"/>
                <w:i w:val="false"/>
                <w:color w:val="000000"/>
                <w:sz w:val="16"/>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20" w:id="416"/>
            <w:r>
              <w:rPr>
                <w:rFonts w:ascii="Arial" w:hAnsi="Arial"/>
                <w:b w:val="false"/>
                <w:i w:val="false"/>
                <w:color w:val="000000"/>
                <w:sz w:val="16"/>
              </w:rPr>
              <w:t>0.2</w:t>
            </w:r>
            <w:bookmarkEnd w:id="416"/>
            <w:r>
              <w:rPr>
                <w:rFonts w:ascii="Arial" w:hAnsi="Arial"/>
                <w:b w:val="false"/>
                <w:i w:val="false"/>
                <w:color w:val="000000"/>
                <w:sz w:val="16"/>
              </w:rPr>
              <w:t xml:space="preserve"> )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1" w:id="417"/>
            <w:r>
              <w:rPr>
                <w:rFonts w:ascii="Arial" w:hAnsi="Arial"/>
                <w:b w:val="false"/>
                <w:i w:val="false"/>
                <w:color w:val="000000"/>
                <w:sz w:val="16"/>
              </w:rPr>
              <w:t>186.3</w:t>
            </w:r>
            <w:bookmarkEnd w:id="417"/>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22" w:id="418"/>
            <w:r>
              <w:rPr>
                <w:rFonts w:ascii="Arial" w:hAnsi="Arial"/>
                <w:b w:val="false"/>
                <w:i w:val="false"/>
                <w:color w:val="000000"/>
                <w:sz w:val="16"/>
              </w:rPr>
              <w:t>111.5</w:t>
            </w:r>
            <w:bookmarkEnd w:id="418"/>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23" w:id="419"/>
            <w:r>
              <w:rPr>
                <w:rFonts w:ascii="Arial" w:hAnsi="Arial"/>
                <w:b w:val="false"/>
                <w:i w:val="false"/>
                <w:color w:val="000000"/>
                <w:sz w:val="16"/>
              </w:rPr>
              <w:t>0.1</w:t>
            </w:r>
            <w:bookmarkEnd w:id="419"/>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24" w:id="420"/>
            <w:r>
              <w:rPr>
                <w:rFonts w:ascii="Arial" w:hAnsi="Arial"/>
                <w:b w:val="false"/>
                <w:i w:val="false"/>
                <w:color w:val="000000"/>
                <w:sz w:val="16"/>
              </w:rPr>
              <w:t>111.6</w:t>
            </w:r>
            <w:bookmarkEnd w:id="420"/>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Issuance of ordinary shares, net of shares withheld for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5" w:id="421"/>
            <w:r>
              <w:rPr>
                <w:rFonts w:ascii="Arial" w:hAnsi="Arial"/>
                <w:b w:val="false"/>
                <w:i w:val="false"/>
                <w:color w:val="000000"/>
                <w:sz w:val="16"/>
              </w:rPr>
              <w:t>1.5</w:t>
            </w:r>
            <w:bookmarkEnd w:id="421"/>
            <w:r>
              <w:rPr>
                <w:rFonts w:ascii="Arial" w:hAnsi="Arial"/>
                <w:b w:val="false"/>
                <w:i w:val="false"/>
                <w:color w:val="000000"/>
                <w:sz w:val="16"/>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6" w:id="422"/>
            <w:r>
              <w:rPr>
                <w:rFonts w:ascii="Arial" w:hAnsi="Arial"/>
                <w:b w:val="false"/>
                <w:i w:val="false"/>
                <w:color w:val="000000"/>
                <w:sz w:val="16"/>
              </w:rPr>
              <w:t>1.5</w:t>
            </w:r>
            <w:bookmarkEnd w:id="422"/>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Share-based compensation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7" w:id="423"/>
            <w:r>
              <w:rPr>
                <w:rFonts w:ascii="Arial" w:hAnsi="Arial"/>
                <w:b w:val="false"/>
                <w:i w:val="false"/>
                <w:color w:val="000000"/>
                <w:sz w:val="16"/>
              </w:rPr>
              <w:t>12.7</w:t>
            </w:r>
            <w:bookmarkEnd w:id="42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28" w:id="424"/>
            <w:r>
              <w:rPr>
                <w:rFonts w:ascii="Arial" w:hAnsi="Arial"/>
                <w:b w:val="false"/>
                <w:i w:val="false"/>
                <w:color w:val="000000"/>
                <w:sz w:val="16"/>
              </w:rPr>
              <w:t>12.7</w:t>
            </w:r>
            <w:bookmarkEnd w:id="424"/>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Shares repurchased and cancelled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29" w:id="425"/>
            <w:r>
              <w:rPr>
                <w:rFonts w:ascii="Arial" w:hAnsi="Arial"/>
                <w:b w:val="false"/>
                <w:i w:val="false"/>
                <w:color w:val="000000"/>
                <w:sz w:val="16"/>
              </w:rPr>
              <w:t>3.9</w:t>
            </w:r>
            <w:bookmarkEnd w:id="425"/>
            <w:r>
              <w:rPr>
                <w:rFonts w:ascii="Arial" w:hAnsi="Arial"/>
                <w:b w:val="false"/>
                <w:i w:val="false"/>
                <w:color w:val="000000"/>
                <w:sz w:val="16"/>
              </w:rPr>
              <w:t xml:space="preserve"> )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0" w:id="426"/>
            <w:r>
              <w:rPr>
                <w:rFonts w:ascii="Arial" w:hAnsi="Arial"/>
                <w:b w:val="false"/>
                <w:i w:val="false"/>
                <w:color w:val="000000"/>
                <w:sz w:val="16"/>
              </w:rPr>
              <w:t>80.0</w:t>
            </w:r>
            <w:bookmarkEnd w:id="42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1" w:id="427"/>
            <w:r>
              <w:rPr>
                <w:rFonts w:ascii="Arial" w:hAnsi="Arial"/>
                <w:b w:val="false"/>
                <w:i w:val="false"/>
                <w:color w:val="000000"/>
                <w:sz w:val="16"/>
              </w:rPr>
              <w:t>16.2</w:t>
            </w:r>
            <w:bookmarkEnd w:id="427"/>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2" w:id="428"/>
            <w:r>
              <w:rPr>
                <w:rFonts w:ascii="Arial" w:hAnsi="Arial"/>
                <w:b w:val="false"/>
                <w:i w:val="false"/>
                <w:color w:val="000000"/>
                <w:sz w:val="16"/>
              </w:rPr>
              <w:t>100.1</w:t>
            </w:r>
            <w:bookmarkEnd w:id="428"/>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Dividends declared and paid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3" w:id="429"/>
            <w:r>
              <w:rPr>
                <w:rFonts w:ascii="Arial" w:hAnsi="Arial"/>
                <w:b w:val="false"/>
                <w:i w:val="false"/>
                <w:color w:val="000000"/>
                <w:sz w:val="16"/>
              </w:rPr>
              <w:t>21.5</w:t>
            </w:r>
            <w:bookmarkEnd w:id="429"/>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4" w:id="430"/>
            <w:r>
              <w:rPr>
                <w:rFonts w:ascii="Arial" w:hAnsi="Arial"/>
                <w:b w:val="false"/>
                <w:i w:val="false"/>
                <w:color w:val="000000"/>
                <w:sz w:val="16"/>
              </w:rPr>
              <w:t>1.9</w:t>
            </w:r>
            <w:bookmarkEnd w:id="430"/>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5" w:id="431"/>
            <w:r>
              <w:rPr>
                <w:rFonts w:ascii="Arial" w:hAnsi="Arial"/>
                <w:b w:val="false"/>
                <w:i w:val="false"/>
                <w:color w:val="000000"/>
                <w:sz w:val="16"/>
              </w:rPr>
              <w:t>23.4</w:t>
            </w:r>
            <w:bookmarkEnd w:id="431"/>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36" w:id="432"/>
            <w:r>
              <w:rPr>
                <w:rFonts w:ascii="Arial" w:hAnsi="Arial"/>
                <w:b w:val="false"/>
                <w:i w:val="false"/>
                <w:color w:val="000000"/>
                <w:sz w:val="16"/>
              </w:rPr>
              <w:t>1.8</w:t>
            </w:r>
            <w:bookmarkEnd w:id="43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7" w:id="433"/>
            <w:r>
              <w:rPr>
                <w:rFonts w:ascii="Arial" w:hAnsi="Arial"/>
                <w:b w:val="false"/>
                <w:i w:val="false"/>
                <w:color w:val="000000"/>
                <w:sz w:val="16"/>
              </w:rPr>
              <w:t>2.9</w:t>
            </w:r>
            <w:bookmarkEnd w:id="433"/>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38" w:id="434"/>
            <w:r>
              <w:rPr>
                <w:rFonts w:ascii="Arial" w:hAnsi="Arial"/>
                <w:b w:val="false"/>
                <w:i w:val="false"/>
                <w:color w:val="000000"/>
                <w:sz w:val="16"/>
              </w:rPr>
              <w:t>0.1</w:t>
            </w:r>
            <w:bookmarkEnd w:id="434"/>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39" w:id="435"/>
            <w:r>
              <w:rPr>
                <w:rFonts w:ascii="Arial" w:hAnsi="Arial"/>
                <w:b w:val="false"/>
                <w:i w:val="false"/>
                <w:color w:val="000000"/>
                <w:sz w:val="16"/>
              </w:rPr>
              <w:t>1.0</w:t>
            </w:r>
            <w:bookmarkEnd w:id="435"/>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June 30, 2024</w:t>
            </w:r>
            <w:r>
              <w:rPr>
                <w:rFonts w:ascii="Times New Roman" w:hAnsi="Times New Roman"/>
                <w:b w:val="false"/>
                <w:i w:val="false"/>
                <w:color w:val="000000"/>
                <w:sz w:val="22"/>
              </w:rPr>
              <w:t xml:space="preserve"> </w:t>
            </w:r>
          </w:p>
        </w:tc>
        <w:tc>
          <w:tcPr>
            <w:tcW w:w="16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1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0" w:id="436"/>
            <w:r>
              <w:rPr>
                <w:rFonts w:ascii="Arial" w:hAnsi="Arial"/>
                <w:b w:val="false"/>
                <w:i w:val="false"/>
                <w:color w:val="000000"/>
                <w:sz w:val="16"/>
              </w:rPr>
              <w:t>428.5</w:t>
            </w:r>
            <w:bookmarkEnd w:id="436"/>
            <w:r>
              <w:rPr>
                <w:rFonts w:ascii="Arial" w:hAnsi="Arial"/>
                <w:b w:val="false"/>
                <w:i w:val="false"/>
                <w:color w:val="000000"/>
                <w:sz w:val="16"/>
              </w:rPr>
              <w:t xml:space="preserve">   </w:t>
            </w:r>
          </w:p>
        </w:tc>
        <w:tc>
          <w:tcPr>
            <w:tcW w:w="45"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2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1" w:id="437"/>
            <w:r>
              <w:rPr>
                <w:rFonts w:ascii="Arial" w:hAnsi="Arial"/>
                <w:b w:val="false"/>
                <w:i w:val="false"/>
                <w:color w:val="000000"/>
                <w:sz w:val="16"/>
              </w:rPr>
              <w:t>8,708.8</w:t>
            </w:r>
            <w:bookmarkEnd w:id="437"/>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3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42" w:id="438"/>
            <w:r>
              <w:rPr>
                <w:rFonts w:ascii="Arial" w:hAnsi="Arial"/>
                <w:b w:val="false"/>
                <w:i w:val="false"/>
                <w:color w:val="000000"/>
                <w:sz w:val="16"/>
              </w:rPr>
              <w:t>4,726.6</w:t>
            </w:r>
            <w:bookmarkEnd w:id="438"/>
            <w:r>
              <w:rPr>
                <w:rFonts w:ascii="Arial" w:hAnsi="Arial"/>
                <w:b w:val="false"/>
                <w:i w:val="false"/>
                <w:color w:val="000000"/>
                <w:sz w:val="16"/>
              </w:rPr>
              <w:t xml:space="preserve"> ) </w:t>
            </w:r>
          </w:p>
        </w:tc>
        <w:tc>
          <w:tcPr>
            <w:tcW w:w="48"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43" w:id="439"/>
            <w:r>
              <w:rPr>
                <w:rFonts w:ascii="Arial" w:hAnsi="Arial"/>
                <w:b w:val="false"/>
                <w:i w:val="false"/>
                <w:color w:val="000000"/>
                <w:sz w:val="16"/>
              </w:rPr>
              <w:t>1,438.3</w:t>
            </w:r>
            <w:bookmarkEnd w:id="439"/>
            <w:r>
              <w:rPr>
                <w:rFonts w:ascii="Arial" w:hAnsi="Arial"/>
                <w:b w:val="false"/>
                <w:i w:val="false"/>
                <w:color w:val="000000"/>
                <w:sz w:val="16"/>
              </w:rPr>
              <w:t xml:space="preserve"> ) </w:t>
            </w:r>
          </w:p>
        </w:tc>
        <w:tc>
          <w:tcPr>
            <w:tcW w:w="57"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4" w:id="440"/>
            <w:r>
              <w:rPr>
                <w:rFonts w:ascii="Arial" w:hAnsi="Arial"/>
                <w:b w:val="false"/>
                <w:i w:val="false"/>
                <w:color w:val="000000"/>
                <w:sz w:val="16"/>
              </w:rPr>
              <w:t>37.2</w:t>
            </w:r>
            <w:bookmarkEnd w:id="440"/>
            <w:r>
              <w:rPr>
                <w:rFonts w:ascii="Arial" w:hAnsi="Arial"/>
                <w:b w:val="false"/>
                <w:i w:val="false"/>
                <w:color w:val="000000"/>
                <w:sz w:val="16"/>
              </w:rPr>
              <w:t xml:space="preserve">   </w:t>
            </w:r>
          </w:p>
        </w:tc>
        <w:tc>
          <w:tcPr>
            <w:tcW w:w="63"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5" w:id="441"/>
            <w:r>
              <w:rPr>
                <w:rFonts w:ascii="Arial" w:hAnsi="Arial"/>
                <w:b w:val="false"/>
                <w:i w:val="false"/>
                <w:color w:val="000000"/>
                <w:sz w:val="16"/>
              </w:rPr>
              <w:t>3,009.6</w:t>
            </w:r>
            <w:bookmarkEnd w:id="441"/>
            <w:r>
              <w:rPr>
                <w:rFonts w:ascii="Arial" w:hAnsi="Arial"/>
                <w:b w:val="false"/>
                <w:i w:val="false"/>
                <w:color w:val="000000"/>
                <w:sz w:val="16"/>
              </w:rPr>
              <w:t xml:space="preserve">   </w:t>
            </w:r>
          </w:p>
        </w:tc>
        <w:tc>
          <w:tcPr>
            <w:tcW w:w="57"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8</w:t>
      </w:r>
      <w:r>
        <w:rPr>
          <w:rFonts w:ascii="Times New Roman" w:hAnsi="Times New Roman"/>
          <w:b w:val="false"/>
          <w:i w:val="false"/>
          <w:color w:val="000000"/>
          <w:sz w:val="22"/>
        </w:rPr>
        <w:t xml:space="preserve"> </w:t>
      </w:r>
    </w:p>
    <w:p>
      <w:pPr>
        <w:spacing w:before="0" w:after="0"/>
        <w:ind w:left="120"/>
        <w:jc w:val="left"/>
      </w:pPr>
    </w:p>
    <w:bookmarkStart w:name="if5bce3d3882148cf91b6563d87cc4db5_37" w:id="442"/>
    <w:p>
      <w:pPr>
        <w:spacing w:before="0" w:after="0"/>
        <w:ind w:left="120"/>
        <w:jc w:val="left"/>
      </w:pPr>
    </w:p>
    <w:bookmarkEnd w:id="442"/>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8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CONDENSED CONSOLIDATED STATEMENTS OF CHANGES IN STOCKHOLDERS’ EQUITY (UNAUDITED)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18"/>
        </w:rPr>
        <w:t>SIX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8"/>
        <w:gridCol w:w="2956"/>
        <w:gridCol w:w="581"/>
        <w:gridCol w:w="162"/>
        <w:gridCol w:w="902"/>
        <w:gridCol w:w="45"/>
        <w:gridCol w:w="40"/>
        <w:gridCol w:w="40"/>
        <w:gridCol w:w="40"/>
        <w:gridCol w:w="205"/>
        <w:gridCol w:w="1326"/>
        <w:gridCol w:w="57"/>
        <w:gridCol w:w="40"/>
        <w:gridCol w:w="40"/>
        <w:gridCol w:w="40"/>
        <w:gridCol w:w="173"/>
        <w:gridCol w:w="1319"/>
        <w:gridCol w:w="48"/>
        <w:gridCol w:w="40"/>
        <w:gridCol w:w="40"/>
        <w:gridCol w:w="40"/>
        <w:gridCol w:w="205"/>
        <w:gridCol w:w="1482"/>
        <w:gridCol w:w="57"/>
        <w:gridCol w:w="40"/>
        <w:gridCol w:w="40"/>
        <w:gridCol w:w="40"/>
        <w:gridCol w:w="227"/>
        <w:gridCol w:w="1036"/>
        <w:gridCol w:w="63"/>
        <w:gridCol w:w="40"/>
        <w:gridCol w:w="40"/>
        <w:gridCol w:w="40"/>
        <w:gridCol w:w="206"/>
        <w:gridCol w:w="1329"/>
        <w:gridCol w:w="57"/>
      </w:tblGrid>
      <w:tr>
        <w:trPr>
          <w:trHeight w:val="30" w:hRule="atLeast"/>
        </w:trPr>
        <w:tc>
          <w:tcPr>
            <w:tcW w:w="578" w:type="dxa"/>
            <w:tcBorders/>
            <w:tcMar>
              <w:top w:w="15" w:type="dxa"/>
              <w:left w:w="15" w:type="dxa"/>
              <w:bottom w:w="15" w:type="dxa"/>
              <w:right w:w="15" w:type="dxa"/>
            </w:tcMar>
            <w:vAlign w:val="center"/>
          </w:tcPr>
          <w:p/>
        </w:tc>
        <w:tc>
          <w:tcPr>
            <w:tcW w:w="2956" w:type="dxa"/>
            <w:tcBorders/>
            <w:tcMar>
              <w:top w:w="15" w:type="dxa"/>
              <w:left w:w="15" w:type="dxa"/>
              <w:bottom w:w="15" w:type="dxa"/>
              <w:right w:w="15" w:type="dxa"/>
            </w:tcMar>
            <w:vAlign w:val="center"/>
          </w:tcPr>
          <w:p/>
        </w:tc>
        <w:tc>
          <w:tcPr>
            <w:tcW w:w="581" w:type="dxa"/>
            <w:tcBorders/>
            <w:tcMar>
              <w:top w:w="15" w:type="dxa"/>
              <w:left w:w="15" w:type="dxa"/>
              <w:bottom w:w="15" w:type="dxa"/>
              <w:right w:w="15" w:type="dxa"/>
            </w:tcMar>
            <w:vAlign w:val="center"/>
          </w:tcPr>
          <w:p/>
        </w:tc>
        <w:tc>
          <w:tcPr>
            <w:tcW w:w="162" w:type="dxa"/>
            <w:tcBorders/>
            <w:tcMar>
              <w:top w:w="15" w:type="dxa"/>
              <w:left w:w="15" w:type="dxa"/>
              <w:bottom w:w="15" w:type="dxa"/>
              <w:right w:w="15" w:type="dxa"/>
            </w:tcMar>
            <w:vAlign w:val="center"/>
          </w:tcPr>
          <w:p/>
        </w:tc>
        <w:tc>
          <w:tcPr>
            <w:tcW w:w="902" w:type="dxa"/>
            <w:tcBorders/>
            <w:tcMar>
              <w:top w:w="15" w:type="dxa"/>
              <w:left w:w="15" w:type="dxa"/>
              <w:bottom w:w="15" w:type="dxa"/>
              <w:right w:w="15" w:type="dxa"/>
            </w:tcMar>
            <w:vAlign w:val="center"/>
          </w:tcPr>
          <w:p/>
        </w:tc>
        <w:tc>
          <w:tcPr>
            <w:tcW w:w="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5" w:type="dxa"/>
            <w:tcBorders/>
            <w:tcMar>
              <w:top w:w="15" w:type="dxa"/>
              <w:left w:w="15" w:type="dxa"/>
              <w:bottom w:w="15" w:type="dxa"/>
              <w:right w:w="15" w:type="dxa"/>
            </w:tcMar>
            <w:vAlign w:val="center"/>
          </w:tcPr>
          <w:p/>
        </w:tc>
        <w:tc>
          <w:tcPr>
            <w:tcW w:w="1326"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73" w:type="dxa"/>
            <w:tcBorders/>
            <w:tcMar>
              <w:top w:w="15" w:type="dxa"/>
              <w:left w:w="15" w:type="dxa"/>
              <w:bottom w:w="15" w:type="dxa"/>
              <w:right w:w="15" w:type="dxa"/>
            </w:tcMar>
            <w:vAlign w:val="center"/>
          </w:tcPr>
          <w:p/>
        </w:tc>
        <w:tc>
          <w:tcPr>
            <w:tcW w:w="1319"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5" w:type="dxa"/>
            <w:tcBorders/>
            <w:tcMar>
              <w:top w:w="15" w:type="dxa"/>
              <w:left w:w="15" w:type="dxa"/>
              <w:bottom w:w="15" w:type="dxa"/>
              <w:right w:w="15" w:type="dxa"/>
            </w:tcMar>
            <w:vAlign w:val="center"/>
          </w:tcPr>
          <w:p/>
        </w:tc>
        <w:tc>
          <w:tcPr>
            <w:tcW w:w="1482"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036"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6" w:type="dxa"/>
            <w:tcBorders/>
            <w:tcMar>
              <w:top w:w="15" w:type="dxa"/>
              <w:left w:w="15" w:type="dxa"/>
              <w:bottom w:w="15" w:type="dxa"/>
              <w:right w:w="15" w:type="dxa"/>
            </w:tcMar>
            <w:vAlign w:val="center"/>
          </w:tcPr>
          <w:p/>
        </w:tc>
        <w:tc>
          <w:tcPr>
            <w:tcW w:w="1329"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r>
      <w:tr>
        <w:trPr>
          <w:trHeight w:val="172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Ordinary Shares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Capital in </w:t>
            </w:r>
            <w:r>
              <w:br/>
            </w:r>
            <w:r>
              <w:rPr>
                <w:rFonts w:ascii="Arial" w:hAnsi="Arial"/>
                <w:b/>
                <w:i w:val="false"/>
                <w:color w:val="000000"/>
                <w:sz w:val="16"/>
              </w:rPr>
              <w:t xml:space="preserve"> Excess of Par </w:t>
            </w:r>
            <w:r>
              <w:br/>
            </w:r>
            <w:r>
              <w:rPr>
                <w:rFonts w:ascii="Arial" w:hAnsi="Arial"/>
                <w:b/>
                <w:i w:val="false"/>
                <w:color w:val="000000"/>
                <w:sz w:val="16"/>
              </w:rPr>
              <w:t xml:space="preserve"> Value of </w:t>
            </w:r>
            <w:r>
              <w:br/>
            </w:r>
            <w:r>
              <w:rPr>
                <w:rFonts w:ascii="Arial" w:hAnsi="Arial"/>
                <w:b/>
                <w:i w:val="false"/>
                <w:color w:val="000000"/>
                <w:sz w:val="16"/>
              </w:rPr>
              <w:t xml:space="preserve"> Ordinary Shares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Accumulated Deficit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Accumulated Other Comprehensive Income (Loss)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Non-controlling </w:t>
            </w:r>
            <w:r>
              <w:br/>
            </w:r>
            <w:r>
              <w:rPr>
                <w:rFonts w:ascii="Arial" w:hAnsi="Arial"/>
                <w:b/>
                <w:i w:val="false"/>
                <w:color w:val="000000"/>
                <w:sz w:val="16"/>
              </w:rPr>
              <w:t xml:space="preserve"> Interest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Total </w:t>
            </w:r>
            <w:r>
              <w:br/>
            </w:r>
            <w:r>
              <w:rPr>
                <w:rFonts w:ascii="Arial" w:hAnsi="Arial"/>
                <w:b/>
                <w:i w:val="false"/>
                <w:color w:val="000000"/>
                <w:sz w:val="16"/>
              </w:rPr>
              <w:t xml:space="preserve"> Stockholders’ </w:t>
            </w:r>
            <w:r>
              <w:br/>
            </w:r>
            <w:r>
              <w:rPr>
                <w:rFonts w:ascii="Arial" w:hAnsi="Arial"/>
                <w:b/>
                <w:i w:val="false"/>
                <w:color w:val="000000"/>
                <w:sz w:val="16"/>
              </w:rPr>
              <w:t xml:space="preserve"> Equity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December 31, 2024</w:t>
            </w:r>
            <w:r>
              <w:rPr>
                <w:rFonts w:ascii="Times New Roman" w:hAnsi="Times New Roman"/>
                <w:b w:val="false"/>
                <w:i w:val="false"/>
                <w:color w:val="000000"/>
                <w:sz w:val="22"/>
              </w:rPr>
              <w:t xml:space="preserve"> </w:t>
            </w:r>
          </w:p>
        </w:tc>
        <w:tc>
          <w:tcPr>
            <w:tcW w:w="16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6" w:id="443"/>
            <w:r>
              <w:rPr>
                <w:rFonts w:ascii="Arial" w:hAnsi="Arial"/>
                <w:b w:val="false"/>
                <w:i w:val="false"/>
                <w:color w:val="000000"/>
                <w:sz w:val="16"/>
              </w:rPr>
              <w:t>423.0</w:t>
            </w:r>
            <w:bookmarkEnd w:id="443"/>
            <w:r>
              <w:rPr>
                <w:rFonts w:ascii="Arial" w:hAnsi="Arial"/>
                <w:b w:val="false"/>
                <w:i w:val="false"/>
                <w:color w:val="000000"/>
                <w:sz w:val="16"/>
              </w:rPr>
              <w:t xml:space="preserve">   </w:t>
            </w:r>
          </w:p>
        </w:tc>
        <w:tc>
          <w:tcPr>
            <w:tcW w:w="45"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47" w:id="444"/>
            <w:r>
              <w:rPr>
                <w:rFonts w:ascii="Arial" w:hAnsi="Arial"/>
                <w:b w:val="false"/>
                <w:i w:val="false"/>
                <w:color w:val="000000"/>
                <w:sz w:val="16"/>
              </w:rPr>
              <w:t>8,653.4</w:t>
            </w:r>
            <w:bookmarkEnd w:id="444"/>
            <w:r>
              <w:rPr>
                <w:rFonts w:ascii="Arial" w:hAnsi="Arial"/>
                <w:b w:val="false"/>
                <w:i w:val="false"/>
                <w:color w:val="000000"/>
                <w:sz w:val="16"/>
              </w:rPr>
              <w:t xml:space="preserve">   </w:t>
            </w:r>
          </w:p>
        </w:tc>
        <w:tc>
          <w:tcPr>
            <w:tcW w:w="5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48" w:id="445"/>
            <w:r>
              <w:rPr>
                <w:rFonts w:ascii="Arial" w:hAnsi="Arial"/>
                <w:b w:val="false"/>
                <w:i w:val="false"/>
                <w:color w:val="000000"/>
                <w:sz w:val="16"/>
              </w:rPr>
              <w:t>4,309.8</w:t>
            </w:r>
            <w:bookmarkEnd w:id="445"/>
            <w:r>
              <w:rPr>
                <w:rFonts w:ascii="Arial" w:hAnsi="Arial"/>
                <w:b w:val="false"/>
                <w:i w:val="false"/>
                <w:color w:val="000000"/>
                <w:sz w:val="16"/>
              </w:rPr>
              <w:t xml:space="preserve"> )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49" w:id="446"/>
            <w:r>
              <w:rPr>
                <w:rFonts w:ascii="Arial" w:hAnsi="Arial"/>
                <w:b w:val="false"/>
                <w:i w:val="false"/>
                <w:color w:val="000000"/>
                <w:sz w:val="16"/>
              </w:rPr>
              <w:t>1,672.8</w:t>
            </w:r>
            <w:bookmarkEnd w:id="446"/>
            <w:r>
              <w:rPr>
                <w:rFonts w:ascii="Arial" w:hAnsi="Arial"/>
                <w:b w:val="false"/>
                <w:i w:val="false"/>
                <w:color w:val="000000"/>
                <w:sz w:val="16"/>
              </w:rPr>
              <w:t xml:space="preserve"> ) </w:t>
            </w:r>
          </w:p>
        </w:tc>
        <w:tc>
          <w:tcPr>
            <w:tcW w:w="5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0" w:id="447"/>
            <w:r>
              <w:rPr>
                <w:rFonts w:ascii="Arial" w:hAnsi="Arial"/>
                <w:b w:val="false"/>
                <w:i w:val="false"/>
                <w:color w:val="000000"/>
                <w:sz w:val="16"/>
              </w:rPr>
              <w:t>44.6</w:t>
            </w:r>
            <w:bookmarkEnd w:id="447"/>
            <w:r>
              <w:rPr>
                <w:rFonts w:ascii="Arial" w:hAnsi="Arial"/>
                <w:b w:val="false"/>
                <w:i w:val="false"/>
                <w:color w:val="000000"/>
                <w:sz w:val="16"/>
              </w:rPr>
              <w:t xml:space="preserve">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1" w:id="448"/>
            <w:r>
              <w:rPr>
                <w:rFonts w:ascii="Arial" w:hAnsi="Arial"/>
                <w:b w:val="false"/>
                <w:i w:val="false"/>
                <w:color w:val="000000"/>
                <w:sz w:val="16"/>
              </w:rPr>
              <w:t>3,138.4</w:t>
            </w:r>
            <w:bookmarkEnd w:id="448"/>
            <w:r>
              <w:rPr>
                <w:rFonts w:ascii="Arial" w:hAnsi="Arial"/>
                <w:b w:val="false"/>
                <w:i w:val="false"/>
                <w:color w:val="000000"/>
                <w:sz w:val="16"/>
              </w:rPr>
              <w:t xml:space="preserve">   </w:t>
            </w:r>
          </w:p>
        </w:tc>
        <w:tc>
          <w:tcPr>
            <w:tcW w:w="57"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2" w:id="449"/>
            <w:r>
              <w:rPr>
                <w:rFonts w:ascii="Arial" w:hAnsi="Arial"/>
                <w:b w:val="false"/>
                <w:i w:val="false"/>
                <w:color w:val="000000"/>
                <w:sz w:val="16"/>
              </w:rPr>
              <w:t>411.5</w:t>
            </w:r>
            <w:bookmarkEnd w:id="449"/>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3" w:id="450"/>
            <w:r>
              <w:rPr>
                <w:rFonts w:ascii="Arial" w:hAnsi="Arial"/>
                <w:b w:val="false"/>
                <w:i w:val="false"/>
                <w:color w:val="000000"/>
                <w:sz w:val="16"/>
              </w:rPr>
              <w:t>0.1</w:t>
            </w:r>
            <w:bookmarkEnd w:id="450"/>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4" w:id="451"/>
            <w:r>
              <w:rPr>
                <w:rFonts w:ascii="Arial" w:hAnsi="Arial"/>
                <w:b w:val="false"/>
                <w:i w:val="false"/>
                <w:color w:val="000000"/>
                <w:sz w:val="16"/>
              </w:rPr>
              <w:t>411.6</w:t>
            </w:r>
            <w:bookmarkEnd w:id="451"/>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5" w:id="452"/>
            <w:r>
              <w:rPr>
                <w:rFonts w:ascii="Arial" w:hAnsi="Arial"/>
                <w:b w:val="false"/>
                <w:i w:val="false"/>
                <w:color w:val="000000"/>
                <w:sz w:val="16"/>
              </w:rPr>
              <w:t>325.7</w:t>
            </w:r>
            <w:bookmarkEnd w:id="452"/>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6" w:id="453"/>
            <w:r>
              <w:rPr>
                <w:rFonts w:ascii="Arial" w:hAnsi="Arial"/>
                <w:b w:val="false"/>
                <w:i w:val="false"/>
                <w:color w:val="000000"/>
                <w:sz w:val="16"/>
              </w:rPr>
              <w:t>0.3</w:t>
            </w:r>
            <w:bookmarkEnd w:id="453"/>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7" w:id="454"/>
            <w:r>
              <w:rPr>
                <w:rFonts w:ascii="Arial" w:hAnsi="Arial"/>
                <w:b w:val="false"/>
                <w:i w:val="false"/>
                <w:color w:val="000000"/>
                <w:sz w:val="16"/>
              </w:rPr>
              <w:t>326.0</w:t>
            </w:r>
            <w:bookmarkEnd w:id="454"/>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Issuance of ordinary shares, net of shares withheld for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58" w:id="455"/>
            <w:r>
              <w:rPr>
                <w:rFonts w:ascii="Arial" w:hAnsi="Arial"/>
                <w:b w:val="false"/>
                <w:i w:val="false"/>
                <w:color w:val="000000"/>
                <w:sz w:val="16"/>
              </w:rPr>
              <w:t>5.2</w:t>
            </w:r>
            <w:bookmarkEnd w:id="455"/>
            <w:r>
              <w:rPr>
                <w:rFonts w:ascii="Arial" w:hAnsi="Arial"/>
                <w:b w:val="false"/>
                <w:i w:val="false"/>
                <w:color w:val="000000"/>
                <w:sz w:val="16"/>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59" w:id="456"/>
            <w:r>
              <w:rPr>
                <w:rFonts w:ascii="Arial" w:hAnsi="Arial"/>
                <w:b w:val="false"/>
                <w:i w:val="false"/>
                <w:color w:val="000000"/>
                <w:sz w:val="16"/>
              </w:rPr>
              <w:t>74.4</w:t>
            </w:r>
            <w:bookmarkEnd w:id="456"/>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60" w:id="457"/>
            <w:r>
              <w:rPr>
                <w:rFonts w:ascii="Arial" w:hAnsi="Arial"/>
                <w:b w:val="false"/>
                <w:i w:val="false"/>
                <w:color w:val="000000"/>
                <w:sz w:val="16"/>
              </w:rPr>
              <w:t>69.2</w:t>
            </w:r>
            <w:bookmarkEnd w:id="457"/>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Share-based compensation</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1" w:id="458"/>
            <w:r>
              <w:rPr>
                <w:rFonts w:ascii="Arial" w:hAnsi="Arial"/>
                <w:b w:val="false"/>
                <w:i w:val="false"/>
                <w:color w:val="000000"/>
                <w:sz w:val="16"/>
              </w:rPr>
              <w:t>31.5</w:t>
            </w:r>
            <w:bookmarkEnd w:id="458"/>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2" w:id="459"/>
            <w:r>
              <w:rPr>
                <w:rFonts w:ascii="Arial" w:hAnsi="Arial"/>
                <w:b w:val="false"/>
                <w:i w:val="false"/>
                <w:color w:val="000000"/>
                <w:sz w:val="16"/>
              </w:rPr>
              <w:t>31.5</w:t>
            </w:r>
            <w:bookmarkEnd w:id="459"/>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Shares repurchased and cancelled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63" w:id="460"/>
            <w:r>
              <w:rPr>
                <w:rFonts w:ascii="Arial" w:hAnsi="Arial"/>
                <w:b w:val="false"/>
                <w:i w:val="false"/>
                <w:color w:val="000000"/>
                <w:sz w:val="16"/>
              </w:rPr>
              <w:t>17.3</w:t>
            </w:r>
            <w:bookmarkEnd w:id="460"/>
            <w:r>
              <w:rPr>
                <w:rFonts w:ascii="Arial" w:hAnsi="Arial"/>
                <w:b w:val="false"/>
                <w:i w:val="false"/>
                <w:color w:val="000000"/>
                <w:sz w:val="16"/>
              </w:rPr>
              <w:t xml:space="preserve"> )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64" w:id="461"/>
            <w:r>
              <w:rPr>
                <w:rFonts w:ascii="Arial" w:hAnsi="Arial"/>
                <w:b w:val="false"/>
                <w:i w:val="false"/>
                <w:color w:val="000000"/>
                <w:sz w:val="16"/>
              </w:rPr>
              <w:t>351.8</w:t>
            </w:r>
            <w:bookmarkEnd w:id="461"/>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65" w:id="462"/>
            <w:r>
              <w:rPr>
                <w:rFonts w:ascii="Arial" w:hAnsi="Arial"/>
                <w:b w:val="false"/>
                <w:i w:val="false"/>
                <w:color w:val="000000"/>
                <w:sz w:val="16"/>
              </w:rPr>
              <w:t>131.2</w:t>
            </w:r>
            <w:bookmarkEnd w:id="462"/>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66" w:id="463"/>
            <w:r>
              <w:rPr>
                <w:rFonts w:ascii="Arial" w:hAnsi="Arial"/>
                <w:b w:val="false"/>
                <w:i w:val="false"/>
                <w:color w:val="000000"/>
                <w:sz w:val="16"/>
              </w:rPr>
              <w:t>500.3</w:t>
            </w:r>
            <w:bookmarkEnd w:id="463"/>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Proceeds from exercise of stock options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7" w:id="464"/>
            <w:r>
              <w:rPr>
                <w:rFonts w:ascii="Arial" w:hAnsi="Arial"/>
                <w:b w:val="false"/>
                <w:i w:val="false"/>
                <w:color w:val="000000"/>
                <w:sz w:val="16"/>
              </w:rPr>
              <w:t>0.1</w:t>
            </w:r>
            <w:bookmarkEnd w:id="464"/>
            <w:r>
              <w:rPr>
                <w:rFonts w:ascii="Arial" w:hAnsi="Arial"/>
                <w:b w:val="false"/>
                <w:i w:val="false"/>
                <w:color w:val="000000"/>
                <w:sz w:val="16"/>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8" w:id="465"/>
            <w:r>
              <w:rPr>
                <w:rFonts w:ascii="Arial" w:hAnsi="Arial"/>
                <w:b w:val="false"/>
                <w:i w:val="false"/>
                <w:color w:val="000000"/>
                <w:sz w:val="16"/>
              </w:rPr>
              <w:t>2.6</w:t>
            </w:r>
            <w:bookmarkEnd w:id="465"/>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69" w:id="466"/>
            <w:r>
              <w:rPr>
                <w:rFonts w:ascii="Arial" w:hAnsi="Arial"/>
                <w:b w:val="false"/>
                <w:i w:val="false"/>
                <w:color w:val="000000"/>
                <w:sz w:val="16"/>
              </w:rPr>
              <w:t>2.7</w:t>
            </w:r>
            <w:bookmarkEnd w:id="466"/>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Dividends declared and paid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0" w:id="467"/>
            <w:r>
              <w:rPr>
                <w:rFonts w:ascii="Arial" w:hAnsi="Arial"/>
                <w:b w:val="false"/>
                <w:i w:val="false"/>
                <w:color w:val="000000"/>
                <w:sz w:val="16"/>
              </w:rPr>
              <w:t>41.6</w:t>
            </w:r>
            <w:bookmarkEnd w:id="467"/>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1" w:id="468"/>
            <w:r>
              <w:rPr>
                <w:rFonts w:ascii="Arial" w:hAnsi="Arial"/>
                <w:b w:val="false"/>
                <w:i w:val="false"/>
                <w:color w:val="000000"/>
                <w:sz w:val="16"/>
              </w:rPr>
              <w:t>—</w:t>
            </w:r>
            <w:bookmarkEnd w:id="468"/>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2" w:id="469"/>
            <w:r>
              <w:rPr>
                <w:rFonts w:ascii="Arial" w:hAnsi="Arial"/>
                <w:b w:val="false"/>
                <w:i w:val="false"/>
                <w:color w:val="000000"/>
                <w:sz w:val="16"/>
              </w:rPr>
              <w:t>41.6</w:t>
            </w:r>
            <w:bookmarkEnd w:id="469"/>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3" w:id="470"/>
            <w:r>
              <w:rPr>
                <w:rFonts w:ascii="Arial" w:hAnsi="Arial"/>
                <w:b w:val="false"/>
                <w:i w:val="false"/>
                <w:color w:val="000000"/>
                <w:sz w:val="16"/>
              </w:rPr>
              <w:t>2.5</w:t>
            </w:r>
            <w:bookmarkEnd w:id="470"/>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4" w:id="471"/>
            <w:r>
              <w:rPr>
                <w:rFonts w:ascii="Arial" w:hAnsi="Arial"/>
                <w:b w:val="false"/>
                <w:i w:val="false"/>
                <w:color w:val="000000"/>
                <w:sz w:val="16"/>
              </w:rPr>
              <w:t>—</w:t>
            </w:r>
            <w:bookmarkEnd w:id="471"/>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5" w:id="472"/>
            <w:r>
              <w:rPr>
                <w:rFonts w:ascii="Arial" w:hAnsi="Arial"/>
                <w:b w:val="false"/>
                <w:i w:val="false"/>
                <w:color w:val="000000"/>
                <w:sz w:val="16"/>
              </w:rPr>
              <w:t>2.5</w:t>
            </w:r>
            <w:bookmarkEnd w:id="472"/>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June 30, 2025</w:t>
            </w:r>
            <w:r>
              <w:rPr>
                <w:rFonts w:ascii="Times New Roman" w:hAnsi="Times New Roman"/>
                <w:b w:val="false"/>
                <w:i w:val="false"/>
                <w:color w:val="000000"/>
                <w:sz w:val="22"/>
              </w:rPr>
              <w:t xml:space="preserve"> </w:t>
            </w:r>
          </w:p>
        </w:tc>
        <w:tc>
          <w:tcPr>
            <w:tcW w:w="162"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2"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6" w:id="473"/>
            <w:r>
              <w:rPr>
                <w:rFonts w:ascii="Arial" w:hAnsi="Arial"/>
                <w:b w:val="false"/>
                <w:i w:val="false"/>
                <w:color w:val="000000"/>
                <w:sz w:val="16"/>
              </w:rPr>
              <w:t>411.0</w:t>
            </w:r>
            <w:bookmarkEnd w:id="473"/>
            <w:r>
              <w:rPr>
                <w:rFonts w:ascii="Arial" w:hAnsi="Arial"/>
                <w:b w:val="false"/>
                <w:i w:val="false"/>
                <w:color w:val="000000"/>
                <w:sz w:val="16"/>
              </w:rPr>
              <w:t xml:space="preserve">   </w:t>
            </w:r>
          </w:p>
        </w:tc>
        <w:tc>
          <w:tcPr>
            <w:tcW w:w="45"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6"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77" w:id="474"/>
            <w:r>
              <w:rPr>
                <w:rFonts w:ascii="Arial" w:hAnsi="Arial"/>
                <w:b w:val="false"/>
                <w:i w:val="false"/>
                <w:color w:val="000000"/>
                <w:sz w:val="16"/>
              </w:rPr>
              <w:t>8,261.3</w:t>
            </w:r>
            <w:bookmarkEnd w:id="474"/>
            <w:r>
              <w:rPr>
                <w:rFonts w:ascii="Arial" w:hAnsi="Arial"/>
                <w:b w:val="false"/>
                <w:i w:val="false"/>
                <w:color w:val="000000"/>
                <w:sz w:val="16"/>
              </w:rPr>
              <w:t xml:space="preserve">   </w:t>
            </w:r>
          </w:p>
        </w:tc>
        <w:tc>
          <w:tcPr>
            <w:tcW w:w="57"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8" w:id="475"/>
            <w:r>
              <w:rPr>
                <w:rFonts w:ascii="Arial" w:hAnsi="Arial"/>
                <w:b w:val="false"/>
                <w:i w:val="false"/>
                <w:color w:val="000000"/>
                <w:sz w:val="16"/>
              </w:rPr>
              <w:t>4,073.6</w:t>
            </w:r>
            <w:bookmarkEnd w:id="475"/>
            <w:r>
              <w:rPr>
                <w:rFonts w:ascii="Arial" w:hAnsi="Arial"/>
                <w:b w:val="false"/>
                <w:i w:val="false"/>
                <w:color w:val="000000"/>
                <w:sz w:val="16"/>
              </w:rPr>
              <w:t xml:space="preserve"> ) </w:t>
            </w:r>
          </w:p>
        </w:tc>
        <w:tc>
          <w:tcPr>
            <w:tcW w:w="48"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2"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79" w:id="476"/>
            <w:r>
              <w:rPr>
                <w:rFonts w:ascii="Arial" w:hAnsi="Arial"/>
                <w:b w:val="false"/>
                <w:i w:val="false"/>
                <w:color w:val="000000"/>
                <w:sz w:val="16"/>
              </w:rPr>
              <w:t>1,347.1</w:t>
            </w:r>
            <w:bookmarkEnd w:id="476"/>
            <w:r>
              <w:rPr>
                <w:rFonts w:ascii="Arial" w:hAnsi="Arial"/>
                <w:b w:val="false"/>
                <w:i w:val="false"/>
                <w:color w:val="000000"/>
                <w:sz w:val="16"/>
              </w:rPr>
              <w:t xml:space="preserve"> ) </w:t>
            </w:r>
          </w:p>
        </w:tc>
        <w:tc>
          <w:tcPr>
            <w:tcW w:w="57"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6"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0" w:id="477"/>
            <w:r>
              <w:rPr>
                <w:rFonts w:ascii="Arial" w:hAnsi="Arial"/>
                <w:b w:val="false"/>
                <w:i w:val="false"/>
                <w:color w:val="000000"/>
                <w:sz w:val="16"/>
              </w:rPr>
              <w:t>45.0</w:t>
            </w:r>
            <w:bookmarkEnd w:id="477"/>
            <w:r>
              <w:rPr>
                <w:rFonts w:ascii="Arial" w:hAnsi="Arial"/>
                <w:b w:val="false"/>
                <w:i w:val="false"/>
                <w:color w:val="000000"/>
                <w:sz w:val="16"/>
              </w:rPr>
              <w:t xml:space="preserve">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9"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1" w:id="478"/>
            <w:r>
              <w:rPr>
                <w:rFonts w:ascii="Arial" w:hAnsi="Arial"/>
                <w:b w:val="false"/>
                <w:i w:val="false"/>
                <w:color w:val="000000"/>
                <w:sz w:val="16"/>
              </w:rPr>
              <w:t>3,296.6</w:t>
            </w:r>
            <w:bookmarkEnd w:id="478"/>
            <w:r>
              <w:rPr>
                <w:rFonts w:ascii="Arial" w:hAnsi="Arial"/>
                <w:b w:val="false"/>
                <w:i w:val="false"/>
                <w:color w:val="000000"/>
                <w:sz w:val="16"/>
              </w:rPr>
              <w:t xml:space="preserve">   </w:t>
            </w:r>
          </w:p>
        </w:tc>
        <w:tc>
          <w:tcPr>
            <w:tcW w:w="57" w:type="dxa"/>
            <w:tcBorders>
              <w:top w:val="single" w:color="000000" w:sz="11"/>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December 31, 2023</w:t>
            </w:r>
            <w:r>
              <w:rPr>
                <w:rFonts w:ascii="Times New Roman" w:hAnsi="Times New Roman"/>
                <w:b w:val="false"/>
                <w:i w:val="false"/>
                <w:color w:val="000000"/>
                <w:sz w:val="22"/>
              </w:rPr>
              <w:t xml:space="preserve"> </w:t>
            </w:r>
          </w:p>
        </w:tc>
        <w:tc>
          <w:tcPr>
            <w:tcW w:w="162"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2" w:id="479"/>
            <w:r>
              <w:rPr>
                <w:rFonts w:ascii="Arial" w:hAnsi="Arial"/>
                <w:b w:val="false"/>
                <w:i w:val="false"/>
                <w:color w:val="000000"/>
                <w:sz w:val="16"/>
              </w:rPr>
              <w:t>432.9</w:t>
            </w:r>
            <w:bookmarkEnd w:id="479"/>
            <w:r>
              <w:rPr>
                <w:rFonts w:ascii="Arial" w:hAnsi="Arial"/>
                <w:b w:val="false"/>
                <w:i w:val="false"/>
                <w:color w:val="000000"/>
                <w:sz w:val="16"/>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3" w:id="480"/>
            <w:r>
              <w:rPr>
                <w:rFonts w:ascii="Arial" w:hAnsi="Arial"/>
                <w:b w:val="false"/>
                <w:i w:val="false"/>
                <w:color w:val="000000"/>
                <w:sz w:val="16"/>
              </w:rPr>
              <w:t>8,938.9</w:t>
            </w:r>
            <w:bookmarkEnd w:id="480"/>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84" w:id="481"/>
            <w:r>
              <w:rPr>
                <w:rFonts w:ascii="Arial" w:hAnsi="Arial"/>
                <w:b w:val="false"/>
                <w:i w:val="false"/>
                <w:color w:val="000000"/>
                <w:sz w:val="16"/>
              </w:rPr>
              <w:t>4,993.1</w:t>
            </w:r>
            <w:bookmarkEnd w:id="481"/>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85" w:id="482"/>
            <w:r>
              <w:rPr>
                <w:rFonts w:ascii="Arial" w:hAnsi="Arial"/>
                <w:b w:val="false"/>
                <w:i w:val="false"/>
                <w:color w:val="000000"/>
                <w:sz w:val="16"/>
              </w:rPr>
              <w:t>1,242.0</w:t>
            </w:r>
            <w:bookmarkEnd w:id="482"/>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6" w:id="483"/>
            <w:r>
              <w:rPr>
                <w:rFonts w:ascii="Arial" w:hAnsi="Arial"/>
                <w:b w:val="false"/>
                <w:i w:val="false"/>
                <w:color w:val="000000"/>
                <w:sz w:val="16"/>
              </w:rPr>
              <w:t>35.4</w:t>
            </w:r>
            <w:bookmarkEnd w:id="483"/>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7" w:id="484"/>
            <w:r>
              <w:rPr>
                <w:rFonts w:ascii="Arial" w:hAnsi="Arial"/>
                <w:b w:val="false"/>
                <w:i w:val="false"/>
                <w:color w:val="000000"/>
                <w:sz w:val="16"/>
              </w:rPr>
              <w:t>3,172.1</w:t>
            </w:r>
            <w:bookmarkEnd w:id="484"/>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8" w:id="485"/>
            <w:r>
              <w:rPr>
                <w:rFonts w:ascii="Arial" w:hAnsi="Arial"/>
                <w:b w:val="false"/>
                <w:i w:val="false"/>
                <w:color w:val="000000"/>
                <w:sz w:val="16"/>
              </w:rPr>
              <w:t>343.6</w:t>
            </w:r>
            <w:bookmarkEnd w:id="485"/>
            <w:r>
              <w:rPr>
                <w:rFonts w:ascii="Arial" w:hAnsi="Arial"/>
                <w:b w:val="false"/>
                <w:i w:val="false"/>
                <w:color w:val="000000"/>
                <w:sz w:val="16"/>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89" w:id="486"/>
            <w:r>
              <w:rPr>
                <w:rFonts w:ascii="Arial" w:hAnsi="Arial"/>
                <w:b w:val="false"/>
                <w:i w:val="false"/>
                <w:color w:val="000000"/>
                <w:sz w:val="16"/>
              </w:rPr>
              <w:t>3.6</w:t>
            </w:r>
            <w:bookmarkEnd w:id="486"/>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0" w:id="487"/>
            <w:r>
              <w:rPr>
                <w:rFonts w:ascii="Arial" w:hAnsi="Arial"/>
                <w:b w:val="false"/>
                <w:i w:val="false"/>
                <w:color w:val="000000"/>
                <w:sz w:val="16"/>
              </w:rPr>
              <w:t>347.2</w:t>
            </w:r>
            <w:bookmarkEnd w:id="487"/>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1" w:id="488"/>
            <w:r>
              <w:rPr>
                <w:rFonts w:ascii="Arial" w:hAnsi="Arial"/>
                <w:b w:val="false"/>
                <w:i w:val="false"/>
                <w:color w:val="000000"/>
                <w:sz w:val="16"/>
              </w:rPr>
              <w:t>196.3</w:t>
            </w:r>
            <w:bookmarkEnd w:id="488"/>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2" w:id="489"/>
            <w:r>
              <w:rPr>
                <w:rFonts w:ascii="Arial" w:hAnsi="Arial"/>
                <w:b w:val="false"/>
                <w:i w:val="false"/>
                <w:color w:val="000000"/>
                <w:sz w:val="16"/>
              </w:rPr>
              <w:t>196.3</w:t>
            </w:r>
            <w:bookmarkEnd w:id="489"/>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Issuance of ordinary shares, net of shares withheld for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3" w:id="490"/>
            <w:r>
              <w:rPr>
                <w:rFonts w:ascii="Arial" w:hAnsi="Arial"/>
                <w:b w:val="false"/>
                <w:i w:val="false"/>
                <w:color w:val="000000"/>
                <w:sz w:val="16"/>
              </w:rPr>
              <w:t>5.8</w:t>
            </w:r>
            <w:bookmarkEnd w:id="490"/>
            <w:r>
              <w:rPr>
                <w:rFonts w:ascii="Arial" w:hAnsi="Arial"/>
                <w:b w:val="false"/>
                <w:i w:val="false"/>
                <w:color w:val="000000"/>
                <w:sz w:val="16"/>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4" w:id="491"/>
            <w:r>
              <w:rPr>
                <w:rFonts w:ascii="Arial" w:hAnsi="Arial"/>
                <w:b w:val="false"/>
                <w:i w:val="false"/>
                <w:color w:val="000000"/>
                <w:sz w:val="16"/>
              </w:rPr>
              <w:t>54.0</w:t>
            </w:r>
            <w:bookmarkEnd w:id="491"/>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5" w:id="492"/>
            <w:r>
              <w:rPr>
                <w:rFonts w:ascii="Arial" w:hAnsi="Arial"/>
                <w:b w:val="false"/>
                <w:i w:val="false"/>
                <w:color w:val="000000"/>
                <w:sz w:val="16"/>
              </w:rPr>
              <w:t>48.2</w:t>
            </w:r>
            <w:bookmarkEnd w:id="492"/>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Share-based compensation</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6" w:id="493"/>
            <w:r>
              <w:rPr>
                <w:rFonts w:ascii="Arial" w:hAnsi="Arial"/>
                <w:b w:val="false"/>
                <w:i w:val="false"/>
                <w:color w:val="000000"/>
                <w:sz w:val="16"/>
              </w:rPr>
              <w:t>31.2</w:t>
            </w:r>
            <w:bookmarkEnd w:id="493"/>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497" w:id="494"/>
            <w:r>
              <w:rPr>
                <w:rFonts w:ascii="Arial" w:hAnsi="Arial"/>
                <w:b w:val="false"/>
                <w:i w:val="false"/>
                <w:color w:val="000000"/>
                <w:sz w:val="16"/>
              </w:rPr>
              <w:t>31.2</w:t>
            </w:r>
            <w:bookmarkEnd w:id="494"/>
            <w:r>
              <w:rPr>
                <w:rFonts w:ascii="Arial" w:hAnsi="Arial"/>
                <w:b w:val="false"/>
                <w:i w:val="false"/>
                <w:color w:val="000000"/>
                <w:sz w:val="16"/>
              </w:rPr>
              <w:t xml:space="preserve">   </w:t>
            </w:r>
          </w:p>
        </w:tc>
        <w:tc>
          <w:tcPr>
            <w:tcW w:w="57"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Shares repurchased and cancelled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8" w:id="495"/>
            <w:r>
              <w:rPr>
                <w:rFonts w:ascii="Arial" w:hAnsi="Arial"/>
                <w:b w:val="false"/>
                <w:i w:val="false"/>
                <w:color w:val="000000"/>
                <w:sz w:val="16"/>
              </w:rPr>
              <w:t>10.2</w:t>
            </w:r>
            <w:bookmarkEnd w:id="495"/>
            <w:r>
              <w:rPr>
                <w:rFonts w:ascii="Arial" w:hAnsi="Arial"/>
                <w:b w:val="false"/>
                <w:i w:val="false"/>
                <w:color w:val="000000"/>
                <w:sz w:val="16"/>
              </w:rPr>
              <w:t xml:space="preserve"> )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499" w:id="496"/>
            <w:r>
              <w:rPr>
                <w:rFonts w:ascii="Arial" w:hAnsi="Arial"/>
                <w:b w:val="false"/>
                <w:i w:val="false"/>
                <w:color w:val="000000"/>
                <w:sz w:val="16"/>
              </w:rPr>
              <w:t>209.0</w:t>
            </w:r>
            <w:bookmarkEnd w:id="496"/>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0" w:id="497"/>
            <w:r>
              <w:rPr>
                <w:rFonts w:ascii="Arial" w:hAnsi="Arial"/>
                <w:b w:val="false"/>
                <w:i w:val="false"/>
                <w:color w:val="000000"/>
                <w:sz w:val="16"/>
              </w:rPr>
              <w:t>31.0</w:t>
            </w:r>
            <w:bookmarkEnd w:id="497"/>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1" w:id="498"/>
            <w:r>
              <w:rPr>
                <w:rFonts w:ascii="Arial" w:hAnsi="Arial"/>
                <w:b w:val="false"/>
                <w:i w:val="false"/>
                <w:color w:val="000000"/>
                <w:sz w:val="16"/>
              </w:rPr>
              <w:t>250.2</w:t>
            </w:r>
            <w:bookmarkEnd w:id="498"/>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Dividends declared and paid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2" w:id="499"/>
            <w:r>
              <w:rPr>
                <w:rFonts w:ascii="Arial" w:hAnsi="Arial"/>
                <w:b w:val="false"/>
                <w:i w:val="false"/>
                <w:color w:val="000000"/>
                <w:sz w:val="16"/>
              </w:rPr>
              <w:t>43.2</w:t>
            </w:r>
            <w:bookmarkEnd w:id="499"/>
            <w:r>
              <w:rPr>
                <w:rFonts w:ascii="Arial" w:hAnsi="Arial"/>
                <w:b w:val="false"/>
                <w:i w:val="false"/>
                <w:color w:val="000000"/>
                <w:sz w:val="16"/>
              </w:rPr>
              <w:t xml:space="preserve"> )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3" w:id="500"/>
            <w:r>
              <w:rPr>
                <w:rFonts w:ascii="Arial" w:hAnsi="Arial"/>
                <w:b w:val="false"/>
                <w:i w:val="false"/>
                <w:color w:val="000000"/>
                <w:sz w:val="16"/>
              </w:rPr>
              <w:t>1.9</w:t>
            </w:r>
            <w:bookmarkEnd w:id="500"/>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4" w:id="501"/>
            <w:r>
              <w:rPr>
                <w:rFonts w:ascii="Arial" w:hAnsi="Arial"/>
                <w:b w:val="false"/>
                <w:i w:val="false"/>
                <w:color w:val="000000"/>
                <w:sz w:val="16"/>
              </w:rPr>
              <w:t>45.1</w:t>
            </w:r>
            <w:bookmarkEnd w:id="501"/>
            <w:r>
              <w:rPr>
                <w:rFonts w:ascii="Arial" w:hAnsi="Arial"/>
                <w:b w:val="false"/>
                <w:i w:val="false"/>
                <w:color w:val="000000"/>
                <w:sz w:val="16"/>
              </w:rPr>
              <w:t xml:space="preserve"> ) </w:t>
            </w:r>
          </w:p>
        </w:tc>
        <w:tc>
          <w:tcPr>
            <w:tcW w:w="5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16"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5"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05" w:id="502"/>
            <w:r>
              <w:rPr>
                <w:rFonts w:ascii="Arial" w:hAnsi="Arial"/>
                <w:b w:val="false"/>
                <w:i w:val="false"/>
                <w:color w:val="000000"/>
                <w:sz w:val="16"/>
              </w:rPr>
              <w:t>1.7</w:t>
            </w:r>
            <w:bookmarkEnd w:id="502"/>
            <w:r>
              <w:rPr>
                <w:rFonts w:ascii="Arial" w:hAnsi="Arial"/>
                <w:b w:val="false"/>
                <w:i w:val="false"/>
                <w:color w:val="000000"/>
                <w:sz w:val="16"/>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6" w:id="503"/>
            <w:r>
              <w:rPr>
                <w:rFonts w:ascii="Arial" w:hAnsi="Arial"/>
                <w:b w:val="false"/>
                <w:i w:val="false"/>
                <w:color w:val="000000"/>
                <w:sz w:val="16"/>
              </w:rPr>
              <w:t>2.9</w:t>
            </w:r>
            <w:bookmarkEnd w:id="503"/>
            <w:r>
              <w:rPr>
                <w:rFonts w:ascii="Arial" w:hAnsi="Arial"/>
                <w:b w:val="false"/>
                <w:i w:val="false"/>
                <w:color w:val="000000"/>
                <w:sz w:val="16"/>
              </w:rPr>
              <w:t xml:space="preserve"> ) </w:t>
            </w:r>
          </w:p>
        </w:tc>
        <w:tc>
          <w:tcPr>
            <w:tcW w:w="4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5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07" w:id="504"/>
            <w:r>
              <w:rPr>
                <w:rFonts w:ascii="Arial" w:hAnsi="Arial"/>
                <w:b w:val="false"/>
                <w:i w:val="false"/>
                <w:color w:val="000000"/>
                <w:sz w:val="16"/>
              </w:rPr>
              <w:t>0.1</w:t>
            </w:r>
            <w:bookmarkEnd w:id="504"/>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08" w:id="505"/>
            <w:r>
              <w:rPr>
                <w:rFonts w:ascii="Arial" w:hAnsi="Arial"/>
                <w:b w:val="false"/>
                <w:i w:val="false"/>
                <w:color w:val="000000"/>
                <w:sz w:val="16"/>
              </w:rPr>
              <w:t>1.1</w:t>
            </w:r>
            <w:bookmarkEnd w:id="505"/>
            <w:r>
              <w:rPr>
                <w:rFonts w:ascii="Arial" w:hAnsi="Arial"/>
                <w:b w:val="false"/>
                <w:i w:val="false"/>
                <w:color w:val="000000"/>
                <w:sz w:val="16"/>
              </w:rPr>
              <w:t xml:space="preserve"> ) </w:t>
            </w:r>
          </w:p>
        </w:tc>
        <w:tc>
          <w:tcPr>
            <w:tcW w:w="57"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Balance as of June 30, 2024</w:t>
            </w:r>
            <w:r>
              <w:rPr>
                <w:rFonts w:ascii="Times New Roman" w:hAnsi="Times New Roman"/>
                <w:b w:val="false"/>
                <w:i w:val="false"/>
                <w:color w:val="000000"/>
                <w:sz w:val="22"/>
              </w:rPr>
              <w:t xml:space="preserve"> </w:t>
            </w:r>
          </w:p>
        </w:tc>
        <w:tc>
          <w:tcPr>
            <w:tcW w:w="16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0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09" w:id="506"/>
            <w:r>
              <w:rPr>
                <w:rFonts w:ascii="Arial" w:hAnsi="Arial"/>
                <w:b w:val="false"/>
                <w:i w:val="false"/>
                <w:color w:val="000000"/>
                <w:sz w:val="16"/>
              </w:rPr>
              <w:t>428.5</w:t>
            </w:r>
            <w:bookmarkEnd w:id="506"/>
            <w:r>
              <w:rPr>
                <w:rFonts w:ascii="Arial" w:hAnsi="Arial"/>
                <w:b w:val="false"/>
                <w:i w:val="false"/>
                <w:color w:val="000000"/>
                <w:sz w:val="16"/>
              </w:rPr>
              <w:t xml:space="preserve">   </w:t>
            </w:r>
          </w:p>
        </w:tc>
        <w:tc>
          <w:tcPr>
            <w:tcW w:w="45"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10" w:id="507"/>
            <w:r>
              <w:rPr>
                <w:rFonts w:ascii="Arial" w:hAnsi="Arial"/>
                <w:b w:val="false"/>
                <w:i w:val="false"/>
                <w:color w:val="000000"/>
                <w:sz w:val="16"/>
              </w:rPr>
              <w:t>8,708.8</w:t>
            </w:r>
            <w:bookmarkEnd w:id="507"/>
            <w:r>
              <w:rPr>
                <w:rFonts w:ascii="Arial" w:hAnsi="Arial"/>
                <w:b w:val="false"/>
                <w:i w:val="false"/>
                <w:color w:val="000000"/>
                <w:sz w:val="16"/>
              </w:rPr>
              <w:t xml:space="preserve">   </w:t>
            </w:r>
          </w:p>
        </w:tc>
        <w:tc>
          <w:tcPr>
            <w:tcW w:w="57"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11" w:id="508"/>
            <w:r>
              <w:rPr>
                <w:rFonts w:ascii="Arial" w:hAnsi="Arial"/>
                <w:b w:val="false"/>
                <w:i w:val="false"/>
                <w:color w:val="000000"/>
                <w:sz w:val="16"/>
              </w:rPr>
              <w:t>4,726.6</w:t>
            </w:r>
            <w:bookmarkEnd w:id="508"/>
            <w:r>
              <w:rPr>
                <w:rFonts w:ascii="Arial" w:hAnsi="Arial"/>
                <w:b w:val="false"/>
                <w:i w:val="false"/>
                <w:color w:val="000000"/>
                <w:sz w:val="16"/>
              </w:rPr>
              <w:t xml:space="preserve"> ) </w:t>
            </w:r>
          </w:p>
        </w:tc>
        <w:tc>
          <w:tcPr>
            <w:tcW w:w="48"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8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512" w:id="509"/>
            <w:r>
              <w:rPr>
                <w:rFonts w:ascii="Arial" w:hAnsi="Arial"/>
                <w:b w:val="false"/>
                <w:i w:val="false"/>
                <w:color w:val="000000"/>
                <w:sz w:val="16"/>
              </w:rPr>
              <w:t>1,438.3</w:t>
            </w:r>
            <w:bookmarkEnd w:id="509"/>
            <w:r>
              <w:rPr>
                <w:rFonts w:ascii="Arial" w:hAnsi="Arial"/>
                <w:b w:val="false"/>
                <w:i w:val="false"/>
                <w:color w:val="000000"/>
                <w:sz w:val="16"/>
              </w:rPr>
              <w:t xml:space="preserve"> ) </w:t>
            </w:r>
          </w:p>
        </w:tc>
        <w:tc>
          <w:tcPr>
            <w:tcW w:w="57"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2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13" w:id="510"/>
            <w:r>
              <w:rPr>
                <w:rFonts w:ascii="Arial" w:hAnsi="Arial"/>
                <w:b w:val="false"/>
                <w:i w:val="false"/>
                <w:color w:val="000000"/>
                <w:sz w:val="16"/>
              </w:rPr>
              <w:t>37.2</w:t>
            </w:r>
            <w:bookmarkEnd w:id="510"/>
            <w:r>
              <w:rPr>
                <w:rFonts w:ascii="Arial" w:hAnsi="Arial"/>
                <w:b w:val="false"/>
                <w:i w:val="false"/>
                <w:color w:val="000000"/>
                <w:sz w:val="16"/>
              </w:rPr>
              <w:t xml:space="preserve">   </w:t>
            </w:r>
          </w:p>
        </w:tc>
        <w:tc>
          <w:tcPr>
            <w:tcW w:w="63"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14" w:id="511"/>
            <w:r>
              <w:rPr>
                <w:rFonts w:ascii="Arial" w:hAnsi="Arial"/>
                <w:b w:val="false"/>
                <w:i w:val="false"/>
                <w:color w:val="000000"/>
                <w:sz w:val="16"/>
              </w:rPr>
              <w:t>3,009.6</w:t>
            </w:r>
            <w:bookmarkEnd w:id="511"/>
            <w:r>
              <w:rPr>
                <w:rFonts w:ascii="Arial" w:hAnsi="Arial"/>
                <w:b w:val="false"/>
                <w:i w:val="false"/>
                <w:color w:val="000000"/>
                <w:sz w:val="16"/>
              </w:rPr>
              <w:t xml:space="preserve">   </w:t>
            </w:r>
          </w:p>
        </w:tc>
        <w:tc>
          <w:tcPr>
            <w:tcW w:w="57"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16"/>
        </w:rPr>
        <w:t>The accompanying notes are an integral part of the condensed consolidated financial statements.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9</w:t>
      </w:r>
      <w:r>
        <w:rPr>
          <w:rFonts w:ascii="Times New Roman" w:hAnsi="Times New Roman"/>
          <w:b w:val="false"/>
          <w:i w:val="false"/>
          <w:color w:val="000000"/>
          <w:sz w:val="22"/>
        </w:rPr>
        <w:t xml:space="preserve"> </w:t>
      </w:r>
    </w:p>
    <w:p>
      <w:pPr>
        <w:spacing w:before="0" w:after="0"/>
        <w:ind w:left="120"/>
        <w:jc w:val="left"/>
      </w:pPr>
    </w:p>
    <w:bookmarkStart w:name="if5bce3d3882148cf91b6563d87cc4db5_40" w:id="512"/>
    <w:p>
      <w:pPr>
        <w:spacing w:before="0" w:after="0"/>
        <w:ind w:left="120"/>
        <w:jc w:val="left"/>
      </w:pPr>
    </w:p>
    <w:bookmarkEnd w:id="512"/>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TECHNIPFMC PLC AND CONSOLIDATED SUBSIDIARIES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NOTES TO CONDENSED CONSOLIDATED FINANCIAL STATEMENTS (UNAUDITED)</w:t>
      </w:r>
      <w:r>
        <w:rPr>
          <w:rFonts w:ascii="Times New Roman" w:hAnsi="Times New Roman"/>
          <w:b w:val="false"/>
          <w:i w:val="false"/>
          <w:color w:val="000000"/>
          <w:sz w:val="22"/>
        </w:rPr>
        <w:t xml:space="preserve"> </w:t>
      </w:r>
    </w:p>
    <w:p>
      <w:pPr>
        <w:spacing w:before="0" w:after="0"/>
        <w:ind w:left="120"/>
        <w:jc w:val="left"/>
      </w:pPr>
    </w:p>
    <w:bookmarkStart w:name="if5bce3d3882148cf91b6563d87cc4db5_43" w:id="513"/>
    <w:p>
      <w:pPr>
        <w:spacing w:before="0" w:after="0"/>
        <w:ind w:left="120"/>
        <w:jc w:val="left"/>
      </w:pPr>
    </w:p>
    <w:bookmarkEnd w:id="513"/>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 </w:t>
      </w:r>
      <w:bookmarkStart w:name="f-515" w:id="514"/>
      <w:r>
        <w:rPr>
          <w:rFonts w:ascii="Arial" w:hAnsi="Arial"/>
          <w:b/>
          <w:i w:val="false"/>
          <w:color w:val="000000"/>
          <w:sz w:val="20"/>
        </w:rPr>
        <w:t>BASIS OF PRESENTATION AND SUMMARY OF SIGNIFICANT ACCOUNTING POLICIES</w:t>
      </w:r>
      <w:bookmarkEnd w:id="514"/>
      <w:r>
        <w:rPr>
          <w:rFonts w:ascii="Arial" w:hAnsi="Arial"/>
          <w:b/>
          <w:i w:val="false"/>
          <w:color w:val="000000"/>
          <w:sz w:val="20"/>
        </w:rPr>
        <w:t xml:space="preserve"> </w:t>
      </w:r>
    </w:p>
    <w:p>
      <w:pPr>
        <w:spacing w:before="0" w:after="0"/>
        <w:ind w:left="120"/>
        <w:jc w:val="left"/>
      </w:pPr>
      <w:bookmarkStart w:name="f-516" w:id="515"/>
      <w:bookmarkEnd w:id="515"/>
      <w:bookmarkStart w:name="f-515-1" w:id="516"/>
      <w:bookmarkEnd w:id="51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accompanying unaudited condensed consolidated financial statements of TechnipFMC plc and its consolidated subsidiaries (“TechnipFMC,” the “Company,” “we,” “us,” or “our”) have been prepared in accordance with United States generally accepted accounting principles (“GAAP”) and the rules and regulations of the Securities and Exchange Commission (“SEC”) pertaining to interim financial information. As permitted under those rules, certain footnotes or other financial information that are normally required by GAAP have been condensed or omitted. These unaudited condensed consolidated financial statements should be read together with our audited consolidated financial statements contained in our Annual Report on Form 10-K (“Form 10-K”) for the year ended December 31, 2024.</w:t>
      </w:r>
      <w:r>
        <w:rPr>
          <w:rFonts w:ascii="Times New Roman" w:hAnsi="Times New Roman"/>
          <w:b w:val="false"/>
          <w:i w:val="false"/>
          <w:color w:val="000000"/>
          <w:sz w:val="22"/>
        </w:rPr>
        <w:t xml:space="preserve"> </w:t>
      </w:r>
    </w:p>
    <w:p>
      <w:pPr>
        <w:spacing w:before="0" w:after="0"/>
        <w:ind w:left="120"/>
        <w:jc w:val="left"/>
      </w:pPr>
      <w:bookmarkStart w:name="f-515-1" w:id="517"/>
      <w:bookmarkEnd w:id="51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accounting policies are in accordance with GAAP. The preparation of financial statements in conformity with these accounting principles requires us to make estimates and assumptions that affect the reported amounts of assets and liabilities at the date of the financial statements and the reported amounts of revenue and expenses during the reporting period. Ultimate results could differ from our estimates.</w:t>
      </w:r>
      <w:r>
        <w:rPr>
          <w:rFonts w:ascii="Times New Roman" w:hAnsi="Times New Roman"/>
          <w:b w:val="false"/>
          <w:i w:val="false"/>
          <w:color w:val="000000"/>
          <w:sz w:val="22"/>
        </w:rPr>
        <w:t xml:space="preserve"> </w:t>
      </w:r>
    </w:p>
    <w:p>
      <w:pPr>
        <w:spacing w:before="0" w:after="0"/>
        <w:ind w:left="120"/>
        <w:jc w:val="left"/>
      </w:pPr>
      <w:bookmarkStart w:name="f-515-1" w:id="518"/>
      <w:bookmarkEnd w:id="51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the opinion of management, the accompanying unaudited condensed consolidated financial statements reflect all adjustments, consisting of normal recurring adjustments necessary for a fair statement of our financial condition and operating results as of and for the periods presented. Revenue, expenses, assets, and liabilities can vary during each quarter of the year. Therefore, the results and trends in these condensed consolidated financial statements may not be representative of the results that may be expected for the year ending December 31, 2025.</w:t>
      </w:r>
      <w:r>
        <w:rPr>
          <w:rFonts w:ascii="Times New Roman" w:hAnsi="Times New Roman"/>
          <w:b w:val="false"/>
          <w:i w:val="false"/>
          <w:color w:val="000000"/>
          <w:sz w:val="22"/>
        </w:rPr>
        <w:t xml:space="preserve"> </w:t>
      </w:r>
    </w:p>
    <w:p>
      <w:pPr>
        <w:spacing w:before="0" w:after="0"/>
        <w:ind w:left="120"/>
        <w:jc w:val="left"/>
      </w:pPr>
      <w:bookmarkStart w:name="f-515-1" w:id="519"/>
      <w:bookmarkEnd w:id="51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Certain prior period amounts have been reclassified to conform to the current period’s presentation.</w:t>
      </w:r>
      <w:r>
        <w:rPr>
          <w:rFonts w:ascii="Times New Roman" w:hAnsi="Times New Roman"/>
          <w:b w:val="false"/>
          <w:i w:val="false"/>
          <w:color w:val="000000"/>
          <w:sz w:val="22"/>
        </w:rPr>
        <w:t xml:space="preserve"> </w:t>
      </w:r>
    </w:p>
    <w:p>
      <w:pPr>
        <w:spacing w:before="0" w:after="0"/>
        <w:ind w:left="120"/>
        <w:jc w:val="left"/>
      </w:pPr>
      <w:bookmarkStart w:name="f-515-1" w:id="520"/>
      <w:bookmarkEnd w:id="520"/>
      <w:bookmarkStart w:name="f-516" w:id="521"/>
      <w:bookmarkEnd w:id="521"/>
    </w:p>
    <w:bookmarkStart w:name="if5bce3d3882148cf91b6563d87cc4db5_46" w:id="522"/>
    <w:p>
      <w:pPr>
        <w:spacing w:before="0" w:after="0"/>
        <w:ind w:left="120"/>
        <w:jc w:val="left"/>
      </w:pPr>
    </w:p>
    <w:bookmarkEnd w:id="522"/>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2. </w:t>
      </w:r>
      <w:bookmarkStart w:name="f-517" w:id="523"/>
      <w:r>
        <w:rPr>
          <w:rFonts w:ascii="Arial" w:hAnsi="Arial"/>
          <w:b/>
          <w:i w:val="false"/>
          <w:color w:val="000000"/>
          <w:sz w:val="20"/>
        </w:rPr>
        <w:t>NEW ACCOUNTING STANDARDS</w:t>
      </w:r>
      <w:bookmarkEnd w:id="523"/>
      <w:r>
        <w:rPr>
          <w:rFonts w:ascii="Arial" w:hAnsi="Arial"/>
          <w:b/>
          <w:i w:val="false"/>
          <w:color w:val="000000"/>
          <w:sz w:val="20"/>
        </w:rPr>
        <w:t xml:space="preserve"> </w:t>
      </w:r>
    </w:p>
    <w:p>
      <w:pPr>
        <w:spacing w:before="0" w:after="0"/>
        <w:ind w:left="120"/>
        <w:jc w:val="left"/>
      </w:pPr>
      <w:bookmarkStart w:name="f-518" w:id="524"/>
      <w:bookmarkEnd w:id="524"/>
      <w:bookmarkStart w:name="f-517-1" w:id="525"/>
      <w:bookmarkEnd w:id="525"/>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Recently Issued Accounting Standards under GAAP</w:t>
      </w:r>
      <w:r>
        <w:rPr>
          <w:rFonts w:ascii="Times New Roman" w:hAnsi="Times New Roman"/>
          <w:b w:val="false"/>
          <w:i w:val="false"/>
          <w:color w:val="000000"/>
          <w:sz w:val="22"/>
        </w:rPr>
        <w:t xml:space="preserve"> </w:t>
      </w:r>
    </w:p>
    <w:p>
      <w:pPr>
        <w:spacing w:before="0" w:after="0"/>
        <w:ind w:left="120"/>
        <w:jc w:val="left"/>
      </w:pPr>
      <w:bookmarkStart w:name="f-517-1" w:id="526"/>
      <w:bookmarkEnd w:id="52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December 2023, the Financial Accounting Standards Board (“FASB") issued ASU 2023-09, “Improvements to Income Tax Disclosures,” which requires significant additional disclosures about income taxes, primarily focused on the disclosure of income taxes paid and the rate reconciliation table. The new guidance will be applied prospectively and is effective in the 2025 annual period and in 2026 for interim periods, with early adoption permitted. We are currently evaluating the impact of this standard on the related disclosures.</w:t>
      </w:r>
      <w:r>
        <w:rPr>
          <w:rFonts w:ascii="Times New Roman" w:hAnsi="Times New Roman"/>
          <w:b w:val="false"/>
          <w:i w:val="false"/>
          <w:color w:val="000000"/>
          <w:sz w:val="22"/>
        </w:rPr>
        <w:t xml:space="preserve"> </w:t>
      </w:r>
    </w:p>
    <w:p>
      <w:pPr>
        <w:spacing w:before="0" w:after="0"/>
        <w:ind w:left="120"/>
        <w:jc w:val="left"/>
      </w:pPr>
      <w:bookmarkStart w:name="f-517-1" w:id="527"/>
      <w:bookmarkEnd w:id="52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November 2024, the FASB issued ASU 2024-03, “Disaggregation of Income Statement Expenses,” which requires public business entities to provide disaggregated disclosures of income statement expenses in the footnotes. This includes detailed breakdowns of expenses such as purchases of inventory, employee compensation, depreciation, and intangible asset amortization included in each relevant expense caption. The new guidance will be applied prospectively (with retrospective application permitted) and is effective in the 2027 annual period and in 2028 for interim periods, with early adoption permitted. We are currently evaluating the impact of this standard on the related disclosures.</w:t>
      </w:r>
      <w:r>
        <w:rPr>
          <w:rFonts w:ascii="Times New Roman" w:hAnsi="Times New Roman"/>
          <w:b w:val="false"/>
          <w:i w:val="false"/>
          <w:color w:val="000000"/>
          <w:sz w:val="22"/>
        </w:rPr>
        <w:t xml:space="preserve"> </w:t>
      </w:r>
    </w:p>
    <w:p>
      <w:pPr>
        <w:spacing w:before="0" w:after="0"/>
        <w:ind w:left="120"/>
        <w:jc w:val="left"/>
      </w:pPr>
      <w:bookmarkStart w:name="f-517-1" w:id="528"/>
      <w:bookmarkEnd w:id="52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assessed ASUs and disclosure requirements not listed above and determined that they either were not applicable or were not expected to have a material impact on our</w:t>
      </w:r>
      <w:r>
        <w:rPr>
          <w:rFonts w:ascii="Times New Roman" w:hAnsi="Times New Roman"/>
          <w:b w:val="false"/>
          <w:i w:val="false"/>
          <w:color w:val="000000"/>
          <w:sz w:val="22"/>
        </w:rPr>
        <w:t xml:space="preserve"> </w:t>
      </w:r>
      <w:r>
        <w:rPr>
          <w:rFonts w:ascii="Arial" w:hAnsi="Arial"/>
          <w:b w:val="false"/>
          <w:i w:val="false"/>
          <w:color w:val="000000"/>
          <w:sz w:val="20"/>
        </w:rPr>
        <w:t>financial statements.</w:t>
      </w:r>
      <w:r>
        <w:rPr>
          <w:rFonts w:ascii="Times New Roman" w:hAnsi="Times New Roman"/>
          <w:b w:val="false"/>
          <w:i w:val="false"/>
          <w:color w:val="000000"/>
          <w:sz w:val="22"/>
        </w:rPr>
        <w:t xml:space="preserve"> </w:t>
      </w:r>
    </w:p>
    <w:p>
      <w:pPr>
        <w:spacing w:before="0" w:after="0"/>
        <w:ind w:left="120"/>
        <w:jc w:val="left"/>
      </w:pPr>
      <w:bookmarkStart w:name="f-517-1" w:id="529"/>
      <w:bookmarkEnd w:id="529"/>
      <w:bookmarkStart w:name="f-518" w:id="530"/>
      <w:bookmarkEnd w:id="530"/>
    </w:p>
    <w:bookmarkStart w:name="if5bce3d3882148cf91b6563d87cc4db5_52" w:id="531"/>
    <w:p>
      <w:pPr>
        <w:spacing w:before="0" w:after="0"/>
        <w:ind w:left="120"/>
        <w:jc w:val="left"/>
      </w:pPr>
    </w:p>
    <w:bookmarkEnd w:id="531"/>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3. </w:t>
      </w:r>
      <w:bookmarkStart w:name="f-519" w:id="532"/>
      <w:r>
        <w:rPr>
          <w:rFonts w:ascii="Arial" w:hAnsi="Arial"/>
          <w:b/>
          <w:i w:val="false"/>
          <w:color w:val="000000"/>
          <w:sz w:val="20"/>
        </w:rPr>
        <w:t>REVENUE</w:t>
      </w:r>
      <w:bookmarkEnd w:id="532"/>
      <w:r>
        <w:rPr>
          <w:rFonts w:ascii="Arial" w:hAnsi="Arial"/>
          <w:b/>
          <w:i w:val="false"/>
          <w:color w:val="000000"/>
          <w:sz w:val="20"/>
        </w:rPr>
        <w:t xml:space="preserve"> </w:t>
      </w:r>
    </w:p>
    <w:p>
      <w:pPr>
        <w:spacing w:before="0" w:after="0"/>
        <w:ind w:left="120"/>
        <w:jc w:val="left"/>
      </w:pPr>
      <w:bookmarkStart w:name="f-519-1" w:id="533"/>
      <w:bookmarkEnd w:id="53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majority of our revenue is from long-term contracts associated with designing and manufacturing products and systems and providing services to customers involved in the exploration and production of oil and natural gas.</w:t>
      </w:r>
      <w:r>
        <w:rPr>
          <w:rFonts w:ascii="Times New Roman" w:hAnsi="Times New Roman"/>
          <w:b w:val="false"/>
          <w:i w:val="false"/>
          <w:color w:val="000000"/>
          <w:sz w:val="22"/>
        </w:rPr>
        <w:t xml:space="preserve"> </w:t>
      </w:r>
    </w:p>
    <w:p>
      <w:pPr>
        <w:spacing w:before="0" w:after="0"/>
        <w:ind w:left="120"/>
        <w:jc w:val="left"/>
      </w:pPr>
      <w:bookmarkStart w:name="f-519-1" w:id="534"/>
      <w:bookmarkEnd w:id="534"/>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Disaggregation of Revenue</w:t>
      </w:r>
      <w:r>
        <w:rPr>
          <w:rFonts w:ascii="Times New Roman" w:hAnsi="Times New Roman"/>
          <w:b w:val="false"/>
          <w:i w:val="false"/>
          <w:color w:val="000000"/>
          <w:sz w:val="22"/>
        </w:rPr>
        <w:t xml:space="preserve"> </w:t>
      </w:r>
    </w:p>
    <w:p>
      <w:pPr>
        <w:spacing w:before="0" w:after="0"/>
        <w:ind w:left="120"/>
        <w:jc w:val="left"/>
      </w:pPr>
      <w:bookmarkStart w:name="f-519-1" w:id="535"/>
      <w:bookmarkEnd w:id="53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Revenues are disaggregated by geographic location and contract types.</w:t>
      </w:r>
      <w:r>
        <w:rPr>
          <w:rFonts w:ascii="Times New Roman" w:hAnsi="Times New Roman"/>
          <w:b w:val="false"/>
          <w:i w:val="false"/>
          <w:color w:val="000000"/>
          <w:sz w:val="22"/>
        </w:rPr>
        <w:t xml:space="preserve"> </w:t>
      </w:r>
    </w:p>
    <w:p>
      <w:pPr>
        <w:spacing w:before="0" w:after="0"/>
        <w:ind w:left="120"/>
        <w:jc w:val="left"/>
      </w:pPr>
      <w:bookmarkStart w:name="f-519-1" w:id="536"/>
      <w:bookmarkEnd w:id="536"/>
      <w:bookmarkStart w:name="f-520" w:id="537"/>
      <w:bookmarkEnd w:id="53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tables present total revenue by geography for each reportable segment for the three and six months ended June 30, 2025 and 2024:</w:t>
      </w:r>
      <w:r>
        <w:rPr>
          <w:rFonts w:ascii="Times New Roman" w:hAnsi="Times New Roman"/>
          <w:b w:val="false"/>
          <w:i w:val="false"/>
          <w:color w:val="000000"/>
          <w:sz w:val="22"/>
        </w:rPr>
        <w:t xml:space="preserve"> </w:t>
      </w:r>
    </w:p>
    <w:p>
      <w:pPr>
        <w:spacing w:before="0" w:after="0"/>
        <w:ind w:left="120"/>
        <w:jc w:val="left"/>
      </w:pPr>
      <w:bookmarkStart w:name="f-520" w:id="538"/>
      <w:bookmarkEnd w:id="538"/>
      <w:bookmarkStart w:name="f-519-1" w:id="539"/>
      <w:bookmarkEnd w:id="539"/>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520-1" w:id="540"/>
      <w:bookmarkEnd w:id="540"/>
      <w:bookmarkStart w:name="f-519-2" w:id="541"/>
      <w:bookmarkEnd w:id="541"/>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10"/>
        <w:gridCol w:w="6386"/>
        <w:gridCol w:w="310"/>
        <w:gridCol w:w="146"/>
        <w:gridCol w:w="1308"/>
        <w:gridCol w:w="40"/>
        <w:gridCol w:w="40"/>
        <w:gridCol w:w="40"/>
        <w:gridCol w:w="40"/>
        <w:gridCol w:w="232"/>
        <w:gridCol w:w="1344"/>
        <w:gridCol w:w="64"/>
        <w:gridCol w:w="40"/>
        <w:gridCol w:w="40"/>
        <w:gridCol w:w="40"/>
        <w:gridCol w:w="146"/>
        <w:gridCol w:w="1308"/>
        <w:gridCol w:w="40"/>
        <w:gridCol w:w="40"/>
        <w:gridCol w:w="40"/>
        <w:gridCol w:w="40"/>
        <w:gridCol w:w="232"/>
        <w:gridCol w:w="1344"/>
        <w:gridCol w:w="64"/>
      </w:tblGrid>
      <w:tr>
        <w:trPr>
          <w:trHeight w:val="30" w:hRule="atLeast"/>
        </w:trPr>
        <w:tc>
          <w:tcPr>
            <w:tcW w:w="310" w:type="dxa"/>
            <w:tcBorders/>
            <w:tcMar>
              <w:top w:w="15" w:type="dxa"/>
              <w:left w:w="15" w:type="dxa"/>
              <w:bottom w:w="15" w:type="dxa"/>
              <w:right w:w="15" w:type="dxa"/>
            </w:tcMar>
            <w:vAlign w:val="center"/>
          </w:tcPr>
          <w:p/>
        </w:tc>
        <w:tc>
          <w:tcPr>
            <w:tcW w:w="6386" w:type="dxa"/>
            <w:tcBorders/>
            <w:tcMar>
              <w:top w:w="15" w:type="dxa"/>
              <w:left w:w="15" w:type="dxa"/>
              <w:bottom w:w="15" w:type="dxa"/>
              <w:right w:w="15" w:type="dxa"/>
            </w:tcMar>
            <w:vAlign w:val="center"/>
          </w:tcPr>
          <w:p/>
        </w:tc>
        <w:tc>
          <w:tcPr>
            <w:tcW w:w="31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Reportable Segments</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Latin America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1" w:id="542"/>
            <w:r>
              <w:rPr>
                <w:rFonts w:ascii="Arial" w:hAnsi="Arial"/>
                <w:b w:val="false"/>
                <w:i w:val="false"/>
                <w:color w:val="000000"/>
                <w:sz w:val="16"/>
              </w:rPr>
              <w:t>854.7</w:t>
            </w:r>
            <w:bookmarkEnd w:id="54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2" w:id="543"/>
            <w:r>
              <w:rPr>
                <w:rFonts w:ascii="Arial" w:hAnsi="Arial"/>
                <w:b w:val="false"/>
                <w:i w:val="false"/>
                <w:color w:val="000000"/>
                <w:sz w:val="16"/>
              </w:rPr>
              <w:t>25.1</w:t>
            </w:r>
            <w:bookmarkEnd w:id="543"/>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3" w:id="544"/>
            <w:r>
              <w:rPr>
                <w:rFonts w:ascii="Arial" w:hAnsi="Arial"/>
                <w:b w:val="false"/>
                <w:i w:val="false"/>
                <w:color w:val="000000"/>
                <w:sz w:val="16"/>
              </w:rPr>
              <w:t>583.6</w:t>
            </w:r>
            <w:bookmarkEnd w:id="54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4" w:id="545"/>
            <w:r>
              <w:rPr>
                <w:rFonts w:ascii="Arial" w:hAnsi="Arial"/>
                <w:b w:val="false"/>
                <w:i w:val="false"/>
                <w:color w:val="000000"/>
                <w:sz w:val="16"/>
              </w:rPr>
              <w:t>28.3</w:t>
            </w:r>
            <w:bookmarkEnd w:id="545"/>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Europe and Central Asia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5" w:id="546"/>
            <w:r>
              <w:rPr>
                <w:rFonts w:ascii="Arial" w:hAnsi="Arial"/>
                <w:b w:val="false"/>
                <w:i w:val="false"/>
                <w:color w:val="000000"/>
                <w:sz w:val="16"/>
              </w:rPr>
              <w:t>671.3</w:t>
            </w:r>
            <w:bookmarkEnd w:id="54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6" w:id="547"/>
            <w:r>
              <w:rPr>
                <w:rFonts w:ascii="Arial" w:hAnsi="Arial"/>
                <w:b w:val="false"/>
                <w:i w:val="false"/>
                <w:color w:val="000000"/>
                <w:sz w:val="16"/>
              </w:rPr>
              <w:t>30.6</w:t>
            </w:r>
            <w:bookmarkEnd w:id="547"/>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7" w:id="548"/>
            <w:r>
              <w:rPr>
                <w:rFonts w:ascii="Arial" w:hAnsi="Arial"/>
                <w:b w:val="false"/>
                <w:i w:val="false"/>
                <w:color w:val="000000"/>
                <w:sz w:val="16"/>
              </w:rPr>
              <w:t>626.3</w:t>
            </w:r>
            <w:bookmarkEnd w:id="54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8" w:id="549"/>
            <w:r>
              <w:rPr>
                <w:rFonts w:ascii="Arial" w:hAnsi="Arial"/>
                <w:b w:val="false"/>
                <w:i w:val="false"/>
                <w:color w:val="000000"/>
                <w:sz w:val="16"/>
              </w:rPr>
              <w:t>27.5</w:t>
            </w:r>
            <w:bookmarkEnd w:id="549"/>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North America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29" w:id="550"/>
            <w:r>
              <w:rPr>
                <w:rFonts w:ascii="Arial" w:hAnsi="Arial"/>
                <w:b w:val="false"/>
                <w:i w:val="false"/>
                <w:color w:val="000000"/>
                <w:sz w:val="16"/>
              </w:rPr>
              <w:t>250.1</w:t>
            </w:r>
            <w:bookmarkEnd w:id="55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0" w:id="551"/>
            <w:r>
              <w:rPr>
                <w:rFonts w:ascii="Arial" w:hAnsi="Arial"/>
                <w:b w:val="false"/>
                <w:i w:val="false"/>
                <w:color w:val="000000"/>
                <w:sz w:val="16"/>
              </w:rPr>
              <w:t>109.8</w:t>
            </w:r>
            <w:bookmarkEnd w:id="551"/>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1" w:id="552"/>
            <w:r>
              <w:rPr>
                <w:rFonts w:ascii="Arial" w:hAnsi="Arial"/>
                <w:b w:val="false"/>
                <w:i w:val="false"/>
                <w:color w:val="000000"/>
                <w:sz w:val="16"/>
              </w:rPr>
              <w:t>449.2</w:t>
            </w:r>
            <w:bookmarkEnd w:id="55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2" w:id="553"/>
            <w:r>
              <w:rPr>
                <w:rFonts w:ascii="Arial" w:hAnsi="Arial"/>
                <w:b w:val="false"/>
                <w:i w:val="false"/>
                <w:color w:val="000000"/>
                <w:sz w:val="16"/>
              </w:rPr>
              <w:t>123.7</w:t>
            </w:r>
            <w:bookmarkEnd w:id="553"/>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Africa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3" w:id="554"/>
            <w:r>
              <w:rPr>
                <w:rFonts w:ascii="Arial" w:hAnsi="Arial"/>
                <w:b w:val="false"/>
                <w:i w:val="false"/>
                <w:color w:val="000000"/>
                <w:sz w:val="16"/>
              </w:rPr>
              <w:t>247.7</w:t>
            </w:r>
            <w:bookmarkEnd w:id="55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4" w:id="555"/>
            <w:r>
              <w:rPr>
                <w:rFonts w:ascii="Arial" w:hAnsi="Arial"/>
                <w:b w:val="false"/>
                <w:i w:val="false"/>
                <w:color w:val="000000"/>
                <w:sz w:val="16"/>
              </w:rPr>
              <w:t>14.0</w:t>
            </w:r>
            <w:bookmarkEnd w:id="555"/>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5" w:id="556"/>
            <w:r>
              <w:rPr>
                <w:rFonts w:ascii="Arial" w:hAnsi="Arial"/>
                <w:b w:val="false"/>
                <w:i w:val="false"/>
                <w:color w:val="000000"/>
                <w:sz w:val="16"/>
              </w:rPr>
              <w:t>221.0</w:t>
            </w:r>
            <w:bookmarkEnd w:id="55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6" w:id="557"/>
            <w:r>
              <w:rPr>
                <w:rFonts w:ascii="Arial" w:hAnsi="Arial"/>
                <w:b w:val="false"/>
                <w:i w:val="false"/>
                <w:color w:val="000000"/>
                <w:sz w:val="16"/>
              </w:rPr>
              <w:t>14.9</w:t>
            </w:r>
            <w:bookmarkEnd w:id="557"/>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Asia Pacific</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7" w:id="558"/>
            <w:r>
              <w:rPr>
                <w:rFonts w:ascii="Arial" w:hAnsi="Arial"/>
                <w:b w:val="false"/>
                <w:i w:val="false"/>
                <w:color w:val="000000"/>
                <w:sz w:val="16"/>
              </w:rPr>
              <w:t>115.2</w:t>
            </w:r>
            <w:bookmarkEnd w:id="55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8" w:id="559"/>
            <w:r>
              <w:rPr>
                <w:rFonts w:ascii="Arial" w:hAnsi="Arial"/>
                <w:b w:val="false"/>
                <w:i w:val="false"/>
                <w:color w:val="000000"/>
                <w:sz w:val="16"/>
              </w:rPr>
              <w:t>21.0</w:t>
            </w:r>
            <w:bookmarkEnd w:id="559"/>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39" w:id="560"/>
            <w:r>
              <w:rPr>
                <w:rFonts w:ascii="Arial" w:hAnsi="Arial"/>
                <w:b w:val="false"/>
                <w:i w:val="false"/>
                <w:color w:val="000000"/>
                <w:sz w:val="16"/>
              </w:rPr>
              <w:t>123.9</w:t>
            </w:r>
            <w:bookmarkEnd w:id="56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0" w:id="561"/>
            <w:r>
              <w:rPr>
                <w:rFonts w:ascii="Arial" w:hAnsi="Arial"/>
                <w:b w:val="false"/>
                <w:i w:val="false"/>
                <w:color w:val="000000"/>
                <w:sz w:val="16"/>
              </w:rPr>
              <w:t>20.4</w:t>
            </w:r>
            <w:bookmarkEnd w:id="561"/>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Middle East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1" w:id="562"/>
            <w:r>
              <w:rPr>
                <w:rFonts w:ascii="Arial" w:hAnsi="Arial"/>
                <w:b w:val="false"/>
                <w:i w:val="false"/>
                <w:color w:val="000000"/>
                <w:sz w:val="16"/>
              </w:rPr>
              <w:t>77.3</w:t>
            </w:r>
            <w:bookmarkEnd w:id="56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2" w:id="563"/>
            <w:r>
              <w:rPr>
                <w:rFonts w:ascii="Arial" w:hAnsi="Arial"/>
                <w:b w:val="false"/>
                <w:i w:val="false"/>
                <w:color w:val="000000"/>
                <w:sz w:val="16"/>
              </w:rPr>
              <w:t>117.9</w:t>
            </w:r>
            <w:bookmarkEnd w:id="563"/>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3" w:id="564"/>
            <w:r>
              <w:rPr>
                <w:rFonts w:ascii="Arial" w:hAnsi="Arial"/>
                <w:b w:val="false"/>
                <w:i w:val="false"/>
                <w:color w:val="000000"/>
                <w:sz w:val="16"/>
              </w:rPr>
              <w:t>5.1</w:t>
            </w:r>
            <w:bookmarkEnd w:id="56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4" w:id="565"/>
            <w:r>
              <w:rPr>
                <w:rFonts w:ascii="Arial" w:hAnsi="Arial"/>
                <w:b w:val="false"/>
                <w:i w:val="false"/>
                <w:color w:val="000000"/>
                <w:sz w:val="16"/>
              </w:rPr>
              <w:t>101.7</w:t>
            </w:r>
            <w:bookmarkEnd w:id="565"/>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5" w:id="566"/>
            <w:r>
              <w:rPr>
                <w:rFonts w:ascii="Arial" w:hAnsi="Arial"/>
                <w:b w:val="false"/>
                <w:i w:val="false"/>
                <w:color w:val="000000"/>
                <w:sz w:val="16"/>
              </w:rPr>
              <w:t>2,216.3</w:t>
            </w:r>
            <w:bookmarkEnd w:id="566"/>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6" w:id="567"/>
            <w:r>
              <w:rPr>
                <w:rFonts w:ascii="Arial" w:hAnsi="Arial"/>
                <w:b w:val="false"/>
                <w:i w:val="false"/>
                <w:color w:val="000000"/>
                <w:sz w:val="16"/>
              </w:rPr>
              <w:t>318.4</w:t>
            </w:r>
            <w:bookmarkEnd w:id="567"/>
            <w:r>
              <w:rPr>
                <w:rFonts w:ascii="Arial" w:hAnsi="Arial"/>
                <w:b w:val="false"/>
                <w:i w:val="false"/>
                <w:color w:val="000000"/>
                <w:sz w:val="16"/>
              </w:rPr>
              <w:t xml:space="preserve">   </w:t>
            </w:r>
          </w:p>
        </w:tc>
        <w:tc>
          <w:tcPr>
            <w:tcW w:w="64"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7" w:id="568"/>
            <w:r>
              <w:rPr>
                <w:rFonts w:ascii="Arial" w:hAnsi="Arial"/>
                <w:b w:val="false"/>
                <w:i w:val="false"/>
                <w:color w:val="000000"/>
                <w:sz w:val="16"/>
              </w:rPr>
              <w:t>2,009.1</w:t>
            </w:r>
            <w:bookmarkEnd w:id="568"/>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8" w:id="569"/>
            <w:r>
              <w:rPr>
                <w:rFonts w:ascii="Arial" w:hAnsi="Arial"/>
                <w:b w:val="false"/>
                <w:i w:val="false"/>
                <w:color w:val="000000"/>
                <w:sz w:val="16"/>
              </w:rPr>
              <w:t>316.5</w:t>
            </w:r>
            <w:bookmarkEnd w:id="569"/>
            <w:r>
              <w:rPr>
                <w:rFonts w:ascii="Arial" w:hAnsi="Arial"/>
                <w:b w:val="false"/>
                <w:i w:val="false"/>
                <w:color w:val="000000"/>
                <w:sz w:val="16"/>
              </w:rPr>
              <w:t xml:space="preserve">   </w:t>
            </w:r>
          </w:p>
        </w:tc>
        <w:tc>
          <w:tcPr>
            <w:tcW w:w="64"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519-2" w:id="570"/>
      <w:bookmarkEnd w:id="570"/>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10"/>
        <w:gridCol w:w="6386"/>
        <w:gridCol w:w="310"/>
        <w:gridCol w:w="146"/>
        <w:gridCol w:w="1308"/>
        <w:gridCol w:w="40"/>
        <w:gridCol w:w="40"/>
        <w:gridCol w:w="40"/>
        <w:gridCol w:w="40"/>
        <w:gridCol w:w="232"/>
        <w:gridCol w:w="1344"/>
        <w:gridCol w:w="64"/>
        <w:gridCol w:w="40"/>
        <w:gridCol w:w="40"/>
        <w:gridCol w:w="40"/>
        <w:gridCol w:w="146"/>
        <w:gridCol w:w="1308"/>
        <w:gridCol w:w="40"/>
        <w:gridCol w:w="40"/>
        <w:gridCol w:w="40"/>
        <w:gridCol w:w="40"/>
        <w:gridCol w:w="232"/>
        <w:gridCol w:w="1344"/>
        <w:gridCol w:w="64"/>
      </w:tblGrid>
      <w:tr>
        <w:trPr>
          <w:trHeight w:val="30" w:hRule="atLeast"/>
        </w:trPr>
        <w:tc>
          <w:tcPr>
            <w:tcW w:w="310" w:type="dxa"/>
            <w:tcBorders/>
            <w:tcMar>
              <w:top w:w="15" w:type="dxa"/>
              <w:left w:w="15" w:type="dxa"/>
              <w:bottom w:w="15" w:type="dxa"/>
              <w:right w:w="15" w:type="dxa"/>
            </w:tcMar>
            <w:vAlign w:val="center"/>
          </w:tcPr>
          <w:p/>
        </w:tc>
        <w:tc>
          <w:tcPr>
            <w:tcW w:w="6386" w:type="dxa"/>
            <w:tcBorders/>
            <w:tcMar>
              <w:top w:w="15" w:type="dxa"/>
              <w:left w:w="15" w:type="dxa"/>
              <w:bottom w:w="15" w:type="dxa"/>
              <w:right w:w="15" w:type="dxa"/>
            </w:tcMar>
            <w:vAlign w:val="center"/>
          </w:tcPr>
          <w:p/>
        </w:tc>
        <w:tc>
          <w:tcPr>
            <w:tcW w:w="31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Reportable segments</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Latin America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49" w:id="571"/>
            <w:r>
              <w:rPr>
                <w:rFonts w:ascii="Arial" w:hAnsi="Arial"/>
                <w:b w:val="false"/>
                <w:i w:val="false"/>
                <w:color w:val="000000"/>
                <w:sz w:val="16"/>
              </w:rPr>
              <w:t>1,483.0</w:t>
            </w:r>
            <w:bookmarkEnd w:id="57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0" w:id="572"/>
            <w:r>
              <w:rPr>
                <w:rFonts w:ascii="Arial" w:hAnsi="Arial"/>
                <w:b w:val="false"/>
                <w:i w:val="false"/>
                <w:color w:val="000000"/>
                <w:sz w:val="16"/>
              </w:rPr>
              <w:t>45.7</w:t>
            </w:r>
            <w:bookmarkEnd w:id="572"/>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1" w:id="573"/>
            <w:r>
              <w:rPr>
                <w:rFonts w:ascii="Arial" w:hAnsi="Arial"/>
                <w:b w:val="false"/>
                <w:i w:val="false"/>
                <w:color w:val="000000"/>
                <w:sz w:val="16"/>
              </w:rPr>
              <w:t>1,260.4</w:t>
            </w:r>
            <w:bookmarkEnd w:id="57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2" w:id="574"/>
            <w:r>
              <w:rPr>
                <w:rFonts w:ascii="Arial" w:hAnsi="Arial"/>
                <w:b w:val="false"/>
                <w:i w:val="false"/>
                <w:color w:val="000000"/>
                <w:sz w:val="16"/>
              </w:rPr>
              <w:t>53.6</w:t>
            </w:r>
            <w:bookmarkEnd w:id="574"/>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Europe and Central Asia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3" w:id="575"/>
            <w:r>
              <w:rPr>
                <w:rFonts w:ascii="Arial" w:hAnsi="Arial"/>
                <w:b w:val="false"/>
                <w:i w:val="false"/>
                <w:color w:val="000000"/>
                <w:sz w:val="16"/>
              </w:rPr>
              <w:t>1,153.0</w:t>
            </w:r>
            <w:bookmarkEnd w:id="57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4" w:id="576"/>
            <w:r>
              <w:rPr>
                <w:rFonts w:ascii="Arial" w:hAnsi="Arial"/>
                <w:b w:val="false"/>
                <w:i w:val="false"/>
                <w:color w:val="000000"/>
                <w:sz w:val="16"/>
              </w:rPr>
              <w:t>58.9</w:t>
            </w:r>
            <w:bookmarkEnd w:id="576"/>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5" w:id="577"/>
            <w:r>
              <w:rPr>
                <w:rFonts w:ascii="Arial" w:hAnsi="Arial"/>
                <w:b w:val="false"/>
                <w:i w:val="false"/>
                <w:color w:val="000000"/>
                <w:sz w:val="16"/>
              </w:rPr>
              <w:t>985.2</w:t>
            </w:r>
            <w:bookmarkEnd w:id="57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6" w:id="578"/>
            <w:r>
              <w:rPr>
                <w:rFonts w:ascii="Arial" w:hAnsi="Arial"/>
                <w:b w:val="false"/>
                <w:i w:val="false"/>
                <w:color w:val="000000"/>
                <w:sz w:val="16"/>
              </w:rPr>
              <w:t>64.2</w:t>
            </w:r>
            <w:bookmarkEnd w:id="578"/>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North America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7" w:id="579"/>
            <w:r>
              <w:rPr>
                <w:rFonts w:ascii="Arial" w:hAnsi="Arial"/>
                <w:b w:val="false"/>
                <w:i w:val="false"/>
                <w:color w:val="000000"/>
                <w:sz w:val="16"/>
              </w:rPr>
              <w:t>541.4</w:t>
            </w:r>
            <w:bookmarkEnd w:id="57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8" w:id="580"/>
            <w:r>
              <w:rPr>
                <w:rFonts w:ascii="Arial" w:hAnsi="Arial"/>
                <w:b w:val="false"/>
                <w:i w:val="false"/>
                <w:color w:val="000000"/>
                <w:sz w:val="16"/>
              </w:rPr>
              <w:t>226.1</w:t>
            </w:r>
            <w:bookmarkEnd w:id="580"/>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59" w:id="581"/>
            <w:r>
              <w:rPr>
                <w:rFonts w:ascii="Arial" w:hAnsi="Arial"/>
                <w:b w:val="false"/>
                <w:i w:val="false"/>
                <w:color w:val="000000"/>
                <w:sz w:val="16"/>
              </w:rPr>
              <w:t>766.2</w:t>
            </w:r>
            <w:bookmarkEnd w:id="58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0" w:id="582"/>
            <w:r>
              <w:rPr>
                <w:rFonts w:ascii="Arial" w:hAnsi="Arial"/>
                <w:b w:val="false"/>
                <w:i w:val="false"/>
                <w:color w:val="000000"/>
                <w:sz w:val="16"/>
              </w:rPr>
              <w:t>248.8</w:t>
            </w:r>
            <w:bookmarkEnd w:id="582"/>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Africa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1" w:id="583"/>
            <w:r>
              <w:rPr>
                <w:rFonts w:ascii="Arial" w:hAnsi="Arial"/>
                <w:b w:val="false"/>
                <w:i w:val="false"/>
                <w:color w:val="000000"/>
                <w:sz w:val="16"/>
              </w:rPr>
              <w:t>499.7</w:t>
            </w:r>
            <w:bookmarkEnd w:id="58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2" w:id="584"/>
            <w:r>
              <w:rPr>
                <w:rFonts w:ascii="Arial" w:hAnsi="Arial"/>
                <w:b w:val="false"/>
                <w:i w:val="false"/>
                <w:color w:val="000000"/>
                <w:sz w:val="16"/>
              </w:rPr>
              <w:t>21.5</w:t>
            </w:r>
            <w:bookmarkEnd w:id="584"/>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3" w:id="585"/>
            <w:r>
              <w:rPr>
                <w:rFonts w:ascii="Arial" w:hAnsi="Arial"/>
                <w:b w:val="false"/>
                <w:i w:val="false"/>
                <w:color w:val="000000"/>
                <w:sz w:val="16"/>
              </w:rPr>
              <w:t>516.7</w:t>
            </w:r>
            <w:bookmarkEnd w:id="58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4" w:id="586"/>
            <w:r>
              <w:rPr>
                <w:rFonts w:ascii="Arial" w:hAnsi="Arial"/>
                <w:b w:val="false"/>
                <w:i w:val="false"/>
                <w:color w:val="000000"/>
                <w:sz w:val="16"/>
              </w:rPr>
              <w:t>27.7</w:t>
            </w:r>
            <w:bookmarkEnd w:id="586"/>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Asia Pacific</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5" w:id="587"/>
            <w:r>
              <w:rPr>
                <w:rFonts w:ascii="Arial" w:hAnsi="Arial"/>
                <w:b w:val="false"/>
                <w:i w:val="false"/>
                <w:color w:val="000000"/>
                <w:sz w:val="16"/>
              </w:rPr>
              <w:t>365.7</w:t>
            </w:r>
            <w:bookmarkEnd w:id="58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6" w:id="588"/>
            <w:r>
              <w:rPr>
                <w:rFonts w:ascii="Arial" w:hAnsi="Arial"/>
                <w:b w:val="false"/>
                <w:i w:val="false"/>
                <w:color w:val="000000"/>
                <w:sz w:val="16"/>
              </w:rPr>
              <w:t>43.7</w:t>
            </w:r>
            <w:bookmarkEnd w:id="588"/>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7" w:id="589"/>
            <w:r>
              <w:rPr>
                <w:rFonts w:ascii="Arial" w:hAnsi="Arial"/>
                <w:b w:val="false"/>
                <w:i w:val="false"/>
                <w:color w:val="000000"/>
                <w:sz w:val="16"/>
              </w:rPr>
              <w:t>214.9</w:t>
            </w:r>
            <w:bookmarkEnd w:id="58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8" w:id="590"/>
            <w:r>
              <w:rPr>
                <w:rFonts w:ascii="Arial" w:hAnsi="Arial"/>
                <w:b w:val="false"/>
                <w:i w:val="false"/>
                <w:color w:val="000000"/>
                <w:sz w:val="16"/>
              </w:rPr>
              <w:t>43.6</w:t>
            </w:r>
            <w:bookmarkEnd w:id="590"/>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Middle East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69" w:id="591"/>
            <w:r>
              <w:rPr>
                <w:rFonts w:ascii="Arial" w:hAnsi="Arial"/>
                <w:b w:val="false"/>
                <w:i w:val="false"/>
                <w:color w:val="000000"/>
                <w:sz w:val="16"/>
              </w:rPr>
              <w:t>109.7</w:t>
            </w:r>
            <w:bookmarkEnd w:id="59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0" w:id="592"/>
            <w:r>
              <w:rPr>
                <w:rFonts w:ascii="Arial" w:hAnsi="Arial"/>
                <w:b w:val="false"/>
                <w:i w:val="false"/>
                <w:color w:val="000000"/>
                <w:sz w:val="16"/>
              </w:rPr>
              <w:t>219.9</w:t>
            </w:r>
            <w:bookmarkEnd w:id="592"/>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1" w:id="593"/>
            <w:r>
              <w:rPr>
                <w:rFonts w:ascii="Arial" w:hAnsi="Arial"/>
                <w:b w:val="false"/>
                <w:i w:val="false"/>
                <w:color w:val="000000"/>
                <w:sz w:val="16"/>
              </w:rPr>
              <w:t>0.5</w:t>
            </w:r>
            <w:bookmarkEnd w:id="59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2" w:id="594"/>
            <w:r>
              <w:rPr>
                <w:rFonts w:ascii="Arial" w:hAnsi="Arial"/>
                <w:b w:val="false"/>
                <w:i w:val="false"/>
                <w:color w:val="000000"/>
                <w:sz w:val="16"/>
              </w:rPr>
              <w:t>185.8</w:t>
            </w:r>
            <w:bookmarkEnd w:id="594"/>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3" w:id="595"/>
            <w:r>
              <w:rPr>
                <w:rFonts w:ascii="Arial" w:hAnsi="Arial"/>
                <w:b w:val="false"/>
                <w:i w:val="false"/>
                <w:color w:val="000000"/>
                <w:sz w:val="16"/>
              </w:rPr>
              <w:t>4,152.5</w:t>
            </w:r>
            <w:bookmarkEnd w:id="595"/>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4" w:id="596"/>
            <w:r>
              <w:rPr>
                <w:rFonts w:ascii="Arial" w:hAnsi="Arial"/>
                <w:b w:val="false"/>
                <w:i w:val="false"/>
                <w:color w:val="000000"/>
                <w:sz w:val="16"/>
              </w:rPr>
              <w:t>615.8</w:t>
            </w:r>
            <w:bookmarkEnd w:id="596"/>
            <w:r>
              <w:rPr>
                <w:rFonts w:ascii="Arial" w:hAnsi="Arial"/>
                <w:b w:val="false"/>
                <w:i w:val="false"/>
                <w:color w:val="000000"/>
                <w:sz w:val="16"/>
              </w:rPr>
              <w:t xml:space="preserve">   </w:t>
            </w:r>
          </w:p>
        </w:tc>
        <w:tc>
          <w:tcPr>
            <w:tcW w:w="64"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5" w:id="597"/>
            <w:r>
              <w:rPr>
                <w:rFonts w:ascii="Arial" w:hAnsi="Arial"/>
                <w:b w:val="false"/>
                <w:i w:val="false"/>
                <w:color w:val="000000"/>
                <w:sz w:val="16"/>
              </w:rPr>
              <w:t>3,743.9</w:t>
            </w:r>
            <w:bookmarkEnd w:id="597"/>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6" w:id="598"/>
            <w:r>
              <w:rPr>
                <w:rFonts w:ascii="Arial" w:hAnsi="Arial"/>
                <w:b w:val="false"/>
                <w:i w:val="false"/>
                <w:color w:val="000000"/>
                <w:sz w:val="16"/>
              </w:rPr>
              <w:t>623.7</w:t>
            </w:r>
            <w:bookmarkEnd w:id="598"/>
            <w:r>
              <w:rPr>
                <w:rFonts w:ascii="Arial" w:hAnsi="Arial"/>
                <w:b w:val="false"/>
                <w:i w:val="false"/>
                <w:color w:val="000000"/>
                <w:sz w:val="16"/>
              </w:rPr>
              <w:t xml:space="preserve">   </w:t>
            </w:r>
          </w:p>
        </w:tc>
        <w:tc>
          <w:tcPr>
            <w:tcW w:w="64"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519-2" w:id="599"/>
      <w:bookmarkEnd w:id="59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tables present total revenue by contract type for each reportable segment for the three and six months ended June 30, 2025 and 2024:</w:t>
      </w:r>
      <w:r>
        <w:rPr>
          <w:rFonts w:ascii="Times New Roman" w:hAnsi="Times New Roman"/>
          <w:b w:val="false"/>
          <w:i w:val="false"/>
          <w:color w:val="000000"/>
          <w:sz w:val="22"/>
        </w:rPr>
        <w:t xml:space="preserve"> </w:t>
      </w:r>
    </w:p>
    <w:p>
      <w:pPr>
        <w:spacing w:before="0" w:after="0"/>
        <w:ind w:left="120"/>
        <w:jc w:val="left"/>
      </w:pPr>
      <w:bookmarkStart w:name="f-519-2" w:id="600"/>
      <w:bookmarkEnd w:id="600"/>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10"/>
        <w:gridCol w:w="6386"/>
        <w:gridCol w:w="310"/>
        <w:gridCol w:w="146"/>
        <w:gridCol w:w="1308"/>
        <w:gridCol w:w="40"/>
        <w:gridCol w:w="40"/>
        <w:gridCol w:w="40"/>
        <w:gridCol w:w="40"/>
        <w:gridCol w:w="232"/>
        <w:gridCol w:w="1344"/>
        <w:gridCol w:w="64"/>
        <w:gridCol w:w="40"/>
        <w:gridCol w:w="40"/>
        <w:gridCol w:w="40"/>
        <w:gridCol w:w="146"/>
        <w:gridCol w:w="1308"/>
        <w:gridCol w:w="40"/>
        <w:gridCol w:w="40"/>
        <w:gridCol w:w="40"/>
        <w:gridCol w:w="40"/>
        <w:gridCol w:w="232"/>
        <w:gridCol w:w="1344"/>
        <w:gridCol w:w="64"/>
      </w:tblGrid>
      <w:tr>
        <w:trPr>
          <w:trHeight w:val="30" w:hRule="atLeast"/>
        </w:trPr>
        <w:tc>
          <w:tcPr>
            <w:tcW w:w="310" w:type="dxa"/>
            <w:tcBorders/>
            <w:tcMar>
              <w:top w:w="15" w:type="dxa"/>
              <w:left w:w="15" w:type="dxa"/>
              <w:bottom w:w="15" w:type="dxa"/>
              <w:right w:w="15" w:type="dxa"/>
            </w:tcMar>
            <w:vAlign w:val="center"/>
          </w:tcPr>
          <w:p/>
        </w:tc>
        <w:tc>
          <w:tcPr>
            <w:tcW w:w="6386" w:type="dxa"/>
            <w:tcBorders/>
            <w:tcMar>
              <w:top w:w="15" w:type="dxa"/>
              <w:left w:w="15" w:type="dxa"/>
              <w:bottom w:w="15" w:type="dxa"/>
              <w:right w:w="15" w:type="dxa"/>
            </w:tcMar>
            <w:vAlign w:val="center"/>
          </w:tcPr>
          <w:p/>
        </w:tc>
        <w:tc>
          <w:tcPr>
            <w:tcW w:w="31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Reportable Segments</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Services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7" w:id="601"/>
            <w:r>
              <w:rPr>
                <w:rFonts w:ascii="Arial" w:hAnsi="Arial"/>
                <w:b w:val="false"/>
                <w:i w:val="false"/>
                <w:color w:val="000000"/>
                <w:sz w:val="16"/>
              </w:rPr>
              <w:t>1,393.1</w:t>
            </w:r>
            <w:bookmarkEnd w:id="60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8" w:id="602"/>
            <w:r>
              <w:rPr>
                <w:rFonts w:ascii="Arial" w:hAnsi="Arial"/>
                <w:b w:val="false"/>
                <w:i w:val="false"/>
                <w:color w:val="000000"/>
                <w:sz w:val="16"/>
              </w:rPr>
              <w:t>66.8</w:t>
            </w:r>
            <w:bookmarkEnd w:id="602"/>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79" w:id="603"/>
            <w:r>
              <w:rPr>
                <w:rFonts w:ascii="Arial" w:hAnsi="Arial"/>
                <w:b w:val="false"/>
                <w:i w:val="false"/>
                <w:color w:val="000000"/>
                <w:sz w:val="16"/>
              </w:rPr>
              <w:t>1,355.3</w:t>
            </w:r>
            <w:bookmarkEnd w:id="60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0" w:id="604"/>
            <w:r>
              <w:rPr>
                <w:rFonts w:ascii="Arial" w:hAnsi="Arial"/>
                <w:b w:val="false"/>
                <w:i w:val="false"/>
                <w:color w:val="000000"/>
                <w:sz w:val="16"/>
              </w:rPr>
              <w:t>50.4</w:t>
            </w:r>
            <w:bookmarkEnd w:id="604"/>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Products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1" w:id="605"/>
            <w:r>
              <w:rPr>
                <w:rFonts w:ascii="Arial" w:hAnsi="Arial"/>
                <w:b w:val="false"/>
                <w:i w:val="false"/>
                <w:color w:val="000000"/>
                <w:sz w:val="16"/>
              </w:rPr>
              <w:t>794.8</w:t>
            </w:r>
            <w:bookmarkEnd w:id="60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2" w:id="606"/>
            <w:r>
              <w:rPr>
                <w:rFonts w:ascii="Arial" w:hAnsi="Arial"/>
                <w:b w:val="false"/>
                <w:i w:val="false"/>
                <w:color w:val="000000"/>
                <w:sz w:val="16"/>
              </w:rPr>
              <w:t>206.6</w:t>
            </w:r>
            <w:bookmarkEnd w:id="606"/>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3" w:id="607"/>
            <w:r>
              <w:rPr>
                <w:rFonts w:ascii="Arial" w:hAnsi="Arial"/>
                <w:b w:val="false"/>
                <w:i w:val="false"/>
                <w:color w:val="000000"/>
                <w:sz w:val="16"/>
              </w:rPr>
              <w:t>635.7</w:t>
            </w:r>
            <w:bookmarkEnd w:id="60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4" w:id="608"/>
            <w:r>
              <w:rPr>
                <w:rFonts w:ascii="Arial" w:hAnsi="Arial"/>
                <w:b w:val="false"/>
                <w:i w:val="false"/>
                <w:color w:val="000000"/>
                <w:sz w:val="16"/>
              </w:rPr>
              <w:t>224.5</w:t>
            </w:r>
            <w:bookmarkEnd w:id="608"/>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Lease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5" w:id="609"/>
            <w:r>
              <w:rPr>
                <w:rFonts w:ascii="Arial" w:hAnsi="Arial"/>
                <w:b w:val="false"/>
                <w:i w:val="false"/>
                <w:color w:val="000000"/>
                <w:sz w:val="16"/>
              </w:rPr>
              <w:t>28.4</w:t>
            </w:r>
            <w:bookmarkEnd w:id="60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6" w:id="610"/>
            <w:r>
              <w:rPr>
                <w:rFonts w:ascii="Arial" w:hAnsi="Arial"/>
                <w:b w:val="false"/>
                <w:i w:val="false"/>
                <w:color w:val="000000"/>
                <w:sz w:val="16"/>
              </w:rPr>
              <w:t>45.0</w:t>
            </w:r>
            <w:bookmarkEnd w:id="610"/>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7" w:id="611"/>
            <w:r>
              <w:rPr>
                <w:rFonts w:ascii="Arial" w:hAnsi="Arial"/>
                <w:b w:val="false"/>
                <w:i w:val="false"/>
                <w:color w:val="000000"/>
                <w:sz w:val="16"/>
              </w:rPr>
              <w:t>18.1</w:t>
            </w:r>
            <w:bookmarkEnd w:id="61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8" w:id="612"/>
            <w:r>
              <w:rPr>
                <w:rFonts w:ascii="Arial" w:hAnsi="Arial"/>
                <w:b w:val="false"/>
                <w:i w:val="false"/>
                <w:color w:val="000000"/>
                <w:sz w:val="16"/>
              </w:rPr>
              <w:t>41.6</w:t>
            </w:r>
            <w:bookmarkEnd w:id="612"/>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89" w:id="613"/>
            <w:r>
              <w:rPr>
                <w:rFonts w:ascii="Arial" w:hAnsi="Arial"/>
                <w:b w:val="false"/>
                <w:i w:val="false"/>
                <w:color w:val="000000"/>
                <w:sz w:val="16"/>
              </w:rPr>
              <w:t>2,216.3</w:t>
            </w:r>
            <w:bookmarkEnd w:id="613"/>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3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0" w:id="614"/>
            <w:r>
              <w:rPr>
                <w:rFonts w:ascii="Arial" w:hAnsi="Arial"/>
                <w:b w:val="false"/>
                <w:i w:val="false"/>
                <w:color w:val="000000"/>
                <w:sz w:val="16"/>
              </w:rPr>
              <w:t>318.4</w:t>
            </w:r>
            <w:bookmarkEnd w:id="614"/>
            <w:r>
              <w:rPr>
                <w:rFonts w:ascii="Arial" w:hAnsi="Arial"/>
                <w:b w:val="false"/>
                <w:i w:val="false"/>
                <w:color w:val="000000"/>
                <w:sz w:val="16"/>
              </w:rPr>
              <w:t xml:space="preserve">   </w:t>
            </w:r>
          </w:p>
        </w:tc>
        <w:tc>
          <w:tcPr>
            <w:tcW w:w="64"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1" w:id="615"/>
            <w:r>
              <w:rPr>
                <w:rFonts w:ascii="Arial" w:hAnsi="Arial"/>
                <w:b w:val="false"/>
                <w:i w:val="false"/>
                <w:color w:val="000000"/>
                <w:sz w:val="16"/>
              </w:rPr>
              <w:t>2,009.1</w:t>
            </w:r>
            <w:bookmarkEnd w:id="615"/>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3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2" w:id="616"/>
            <w:r>
              <w:rPr>
                <w:rFonts w:ascii="Arial" w:hAnsi="Arial"/>
                <w:b w:val="false"/>
                <w:i w:val="false"/>
                <w:color w:val="000000"/>
                <w:sz w:val="16"/>
              </w:rPr>
              <w:t>316.5</w:t>
            </w:r>
            <w:bookmarkEnd w:id="616"/>
            <w:r>
              <w:rPr>
                <w:rFonts w:ascii="Arial" w:hAnsi="Arial"/>
                <w:b w:val="false"/>
                <w:i w:val="false"/>
                <w:color w:val="000000"/>
                <w:sz w:val="16"/>
              </w:rPr>
              <w:t xml:space="preserve">   </w:t>
            </w:r>
          </w:p>
        </w:tc>
        <w:tc>
          <w:tcPr>
            <w:tcW w:w="64"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519-2" w:id="617"/>
      <w:bookmarkEnd w:id="617"/>
      <w:bookmarkStart w:name="f-520-1" w:id="618"/>
      <w:bookmarkEnd w:id="618"/>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11</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519-3" w:id="619"/>
      <w:bookmarkEnd w:id="619"/>
      <w:bookmarkStart w:name="f-520-2" w:id="620"/>
      <w:bookmarkEnd w:id="620"/>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10"/>
        <w:gridCol w:w="6386"/>
        <w:gridCol w:w="310"/>
        <w:gridCol w:w="146"/>
        <w:gridCol w:w="1308"/>
        <w:gridCol w:w="40"/>
        <w:gridCol w:w="40"/>
        <w:gridCol w:w="40"/>
        <w:gridCol w:w="40"/>
        <w:gridCol w:w="232"/>
        <w:gridCol w:w="1344"/>
        <w:gridCol w:w="64"/>
        <w:gridCol w:w="40"/>
        <w:gridCol w:w="40"/>
        <w:gridCol w:w="40"/>
        <w:gridCol w:w="146"/>
        <w:gridCol w:w="1308"/>
        <w:gridCol w:w="40"/>
        <w:gridCol w:w="40"/>
        <w:gridCol w:w="40"/>
        <w:gridCol w:w="40"/>
        <w:gridCol w:w="232"/>
        <w:gridCol w:w="1344"/>
        <w:gridCol w:w="64"/>
      </w:tblGrid>
      <w:tr>
        <w:trPr>
          <w:trHeight w:val="30" w:hRule="atLeast"/>
        </w:trPr>
        <w:tc>
          <w:tcPr>
            <w:tcW w:w="310" w:type="dxa"/>
            <w:tcBorders/>
            <w:tcMar>
              <w:top w:w="15" w:type="dxa"/>
              <w:left w:w="15" w:type="dxa"/>
              <w:bottom w:w="15" w:type="dxa"/>
              <w:right w:w="15" w:type="dxa"/>
            </w:tcMar>
            <w:vAlign w:val="center"/>
          </w:tcPr>
          <w:p/>
        </w:tc>
        <w:tc>
          <w:tcPr>
            <w:tcW w:w="6386" w:type="dxa"/>
            <w:tcBorders/>
            <w:tcMar>
              <w:top w:w="15" w:type="dxa"/>
              <w:left w:w="15" w:type="dxa"/>
              <w:bottom w:w="15" w:type="dxa"/>
              <w:right w:w="15" w:type="dxa"/>
            </w:tcMar>
            <w:vAlign w:val="center"/>
          </w:tcPr>
          <w:p/>
        </w:tc>
        <w:tc>
          <w:tcPr>
            <w:tcW w:w="31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32" w:type="dxa"/>
            <w:tcBorders/>
            <w:tcMar>
              <w:top w:w="15" w:type="dxa"/>
              <w:left w:w="15" w:type="dxa"/>
              <w:bottom w:w="15" w:type="dxa"/>
              <w:right w:w="15" w:type="dxa"/>
            </w:tcMar>
            <w:vAlign w:val="center"/>
          </w:tcPr>
          <w:p/>
        </w:tc>
        <w:tc>
          <w:tcPr>
            <w:tcW w:w="1344" w:type="dxa"/>
            <w:tcBorders/>
            <w:tcMar>
              <w:top w:w="15" w:type="dxa"/>
              <w:left w:w="15" w:type="dxa"/>
              <w:bottom w:w="15" w:type="dxa"/>
              <w:right w:w="15" w:type="dxa"/>
            </w:tcMar>
            <w:vAlign w:val="center"/>
          </w:tcPr>
          <w:p/>
        </w:tc>
        <w:tc>
          <w:tcPr>
            <w:tcW w:w="64"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Reportable segments</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Subsea</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Surface Technologies</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Services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3" w:id="621"/>
            <w:r>
              <w:rPr>
                <w:rFonts w:ascii="Arial" w:hAnsi="Arial"/>
                <w:b w:val="false"/>
                <w:i w:val="false"/>
                <w:color w:val="000000"/>
                <w:sz w:val="16"/>
              </w:rPr>
              <w:t>2,633.0</w:t>
            </w:r>
            <w:bookmarkEnd w:id="62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4" w:id="622"/>
            <w:r>
              <w:rPr>
                <w:rFonts w:ascii="Arial" w:hAnsi="Arial"/>
                <w:b w:val="false"/>
                <w:i w:val="false"/>
                <w:color w:val="000000"/>
                <w:sz w:val="16"/>
              </w:rPr>
              <w:t>130.9</w:t>
            </w:r>
            <w:bookmarkEnd w:id="622"/>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5" w:id="623"/>
            <w:r>
              <w:rPr>
                <w:rFonts w:ascii="Arial" w:hAnsi="Arial"/>
                <w:b w:val="false"/>
                <w:i w:val="false"/>
                <w:color w:val="000000"/>
                <w:sz w:val="16"/>
              </w:rPr>
              <w:t>2,472.8</w:t>
            </w:r>
            <w:bookmarkEnd w:id="62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3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6" w:id="624"/>
            <w:r>
              <w:rPr>
                <w:rFonts w:ascii="Arial" w:hAnsi="Arial"/>
                <w:b w:val="false"/>
                <w:i w:val="false"/>
                <w:color w:val="000000"/>
                <w:sz w:val="16"/>
              </w:rPr>
              <w:t>98.7</w:t>
            </w:r>
            <w:bookmarkEnd w:id="624"/>
            <w:r>
              <w:rPr>
                <w:rFonts w:ascii="Arial" w:hAnsi="Arial"/>
                <w:b w:val="false"/>
                <w:i w:val="false"/>
                <w:color w:val="000000"/>
                <w:sz w:val="16"/>
              </w:rPr>
              <w:t xml:space="preserve">   </w:t>
            </w:r>
          </w:p>
        </w:tc>
        <w:tc>
          <w:tcPr>
            <w:tcW w:w="64"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Products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7" w:id="625"/>
            <w:r>
              <w:rPr>
                <w:rFonts w:ascii="Arial" w:hAnsi="Arial"/>
                <w:b w:val="false"/>
                <w:i w:val="false"/>
                <w:color w:val="000000"/>
                <w:sz w:val="16"/>
              </w:rPr>
              <w:t>1,473.3</w:t>
            </w:r>
            <w:bookmarkEnd w:id="62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8" w:id="626"/>
            <w:r>
              <w:rPr>
                <w:rFonts w:ascii="Arial" w:hAnsi="Arial"/>
                <w:b w:val="false"/>
                <w:i w:val="false"/>
                <w:color w:val="000000"/>
                <w:sz w:val="16"/>
              </w:rPr>
              <w:t>396.3</w:t>
            </w:r>
            <w:bookmarkEnd w:id="626"/>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599" w:id="627"/>
            <w:r>
              <w:rPr>
                <w:rFonts w:ascii="Arial" w:hAnsi="Arial"/>
                <w:b w:val="false"/>
                <w:i w:val="false"/>
                <w:color w:val="000000"/>
                <w:sz w:val="16"/>
              </w:rPr>
              <w:t>1,233.3</w:t>
            </w:r>
            <w:bookmarkEnd w:id="62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0" w:id="628"/>
            <w:r>
              <w:rPr>
                <w:rFonts w:ascii="Arial" w:hAnsi="Arial"/>
                <w:b w:val="false"/>
                <w:i w:val="false"/>
                <w:color w:val="000000"/>
                <w:sz w:val="16"/>
              </w:rPr>
              <w:t>440.8</w:t>
            </w:r>
            <w:bookmarkEnd w:id="628"/>
            <w:r>
              <w:rPr>
                <w:rFonts w:ascii="Arial" w:hAnsi="Arial"/>
                <w:b w:val="false"/>
                <w:i w:val="false"/>
                <w:color w:val="000000"/>
                <w:sz w:val="16"/>
              </w:rPr>
              <w:t xml:space="preserve">   </w:t>
            </w:r>
          </w:p>
        </w:tc>
        <w:tc>
          <w:tcPr>
            <w:tcW w:w="64"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Lease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1" w:id="629"/>
            <w:r>
              <w:rPr>
                <w:rFonts w:ascii="Arial" w:hAnsi="Arial"/>
                <w:b w:val="false"/>
                <w:i w:val="false"/>
                <w:color w:val="000000"/>
                <w:sz w:val="16"/>
              </w:rPr>
              <w:t>46.2</w:t>
            </w:r>
            <w:bookmarkEnd w:id="62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2" w:id="630"/>
            <w:r>
              <w:rPr>
                <w:rFonts w:ascii="Arial" w:hAnsi="Arial"/>
                <w:b w:val="false"/>
                <w:i w:val="false"/>
                <w:color w:val="000000"/>
                <w:sz w:val="16"/>
              </w:rPr>
              <w:t>88.6</w:t>
            </w:r>
            <w:bookmarkEnd w:id="630"/>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3" w:id="631"/>
            <w:r>
              <w:rPr>
                <w:rFonts w:ascii="Arial" w:hAnsi="Arial"/>
                <w:b w:val="false"/>
                <w:i w:val="false"/>
                <w:color w:val="000000"/>
                <w:sz w:val="16"/>
              </w:rPr>
              <w:t>37.8</w:t>
            </w:r>
            <w:bookmarkEnd w:id="63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4" w:id="632"/>
            <w:r>
              <w:rPr>
                <w:rFonts w:ascii="Arial" w:hAnsi="Arial"/>
                <w:b w:val="false"/>
                <w:i w:val="false"/>
                <w:color w:val="000000"/>
                <w:sz w:val="16"/>
              </w:rPr>
              <w:t>84.2</w:t>
            </w:r>
            <w:bookmarkEnd w:id="632"/>
            <w:r>
              <w:rPr>
                <w:rFonts w:ascii="Arial" w:hAnsi="Arial"/>
                <w:b w:val="false"/>
                <w:i w:val="false"/>
                <w:color w:val="000000"/>
                <w:sz w:val="16"/>
              </w:rPr>
              <w:t xml:space="preserve">   </w:t>
            </w:r>
          </w:p>
        </w:tc>
        <w:tc>
          <w:tcPr>
            <w:tcW w:w="64"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revenue</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5" w:id="633"/>
            <w:r>
              <w:rPr>
                <w:rFonts w:ascii="Arial" w:hAnsi="Arial"/>
                <w:b w:val="false"/>
                <w:i w:val="false"/>
                <w:color w:val="000000"/>
                <w:sz w:val="16"/>
              </w:rPr>
              <w:t>4,152.5</w:t>
            </w:r>
            <w:bookmarkEnd w:id="633"/>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3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6" w:id="634"/>
            <w:r>
              <w:rPr>
                <w:rFonts w:ascii="Arial" w:hAnsi="Arial"/>
                <w:b w:val="false"/>
                <w:i w:val="false"/>
                <w:color w:val="000000"/>
                <w:sz w:val="16"/>
              </w:rPr>
              <w:t>615.8</w:t>
            </w:r>
            <w:bookmarkEnd w:id="634"/>
            <w:r>
              <w:rPr>
                <w:rFonts w:ascii="Arial" w:hAnsi="Arial"/>
                <w:b w:val="false"/>
                <w:i w:val="false"/>
                <w:color w:val="000000"/>
                <w:sz w:val="16"/>
              </w:rPr>
              <w:t xml:space="preserve">   </w:t>
            </w:r>
          </w:p>
        </w:tc>
        <w:tc>
          <w:tcPr>
            <w:tcW w:w="64"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7" w:id="635"/>
            <w:r>
              <w:rPr>
                <w:rFonts w:ascii="Arial" w:hAnsi="Arial"/>
                <w:b w:val="false"/>
                <w:i w:val="false"/>
                <w:color w:val="000000"/>
                <w:sz w:val="16"/>
              </w:rPr>
              <w:t>3,743.9</w:t>
            </w:r>
            <w:bookmarkEnd w:id="635"/>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3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4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08" w:id="636"/>
            <w:r>
              <w:rPr>
                <w:rFonts w:ascii="Arial" w:hAnsi="Arial"/>
                <w:b w:val="false"/>
                <w:i w:val="false"/>
                <w:color w:val="000000"/>
                <w:sz w:val="16"/>
              </w:rPr>
              <w:t>623.7</w:t>
            </w:r>
            <w:bookmarkEnd w:id="636"/>
            <w:r>
              <w:rPr>
                <w:rFonts w:ascii="Arial" w:hAnsi="Arial"/>
                <w:b w:val="false"/>
                <w:i w:val="false"/>
                <w:color w:val="000000"/>
                <w:sz w:val="16"/>
              </w:rPr>
              <w:t xml:space="preserve">   </w:t>
            </w:r>
          </w:p>
        </w:tc>
        <w:tc>
          <w:tcPr>
            <w:tcW w:w="64"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520-2" w:id="637"/>
      <w:bookmarkEnd w:id="637"/>
      <w:bookmarkStart w:name="f-519-3" w:id="638"/>
      <w:bookmarkEnd w:id="638"/>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Contract Balances</w:t>
      </w:r>
      <w:r>
        <w:rPr>
          <w:rFonts w:ascii="Times New Roman" w:hAnsi="Times New Roman"/>
          <w:b w:val="false"/>
          <w:i w:val="false"/>
          <w:color w:val="000000"/>
          <w:sz w:val="22"/>
        </w:rPr>
        <w:t xml:space="preserve"> </w:t>
      </w:r>
    </w:p>
    <w:p>
      <w:pPr>
        <w:spacing w:before="0" w:after="0"/>
        <w:ind w:left="120"/>
        <w:jc w:val="left"/>
      </w:pPr>
      <w:bookmarkStart w:name="f-519-3" w:id="639"/>
      <w:bookmarkEnd w:id="63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timing of revenue recognition, billings, and cash collections results in billed accounts receivable, costs, and estimated earnings in excess of billings on uncompleted contracts (contract assets), and billings in excess of costs and estimated earnings on uncompleted contracts (contract liabilities) in the condensed consolidated balance sheets. Any expected contract losses are recorded in the period in which they become probable.</w:t>
      </w:r>
      <w:r>
        <w:rPr>
          <w:rFonts w:ascii="Times New Roman" w:hAnsi="Times New Roman"/>
          <w:b w:val="false"/>
          <w:i w:val="false"/>
          <w:color w:val="000000"/>
          <w:sz w:val="22"/>
        </w:rPr>
        <w:t xml:space="preserve"> </w:t>
      </w:r>
    </w:p>
    <w:p>
      <w:pPr>
        <w:spacing w:before="0" w:after="0"/>
        <w:ind w:left="120"/>
        <w:jc w:val="left"/>
      </w:pPr>
      <w:bookmarkStart w:name="f-519-3" w:id="640"/>
      <w:bookmarkEnd w:id="640"/>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Contract Assets -</w:t>
      </w:r>
      <w:r>
        <w:rPr>
          <w:rFonts w:ascii="Times New Roman" w:hAnsi="Times New Roman"/>
          <w:b w:val="false"/>
          <w:i w:val="false"/>
          <w:color w:val="000000"/>
          <w:sz w:val="22"/>
        </w:rPr>
        <w:t xml:space="preserve"> </w:t>
      </w:r>
      <w:r>
        <w:rPr>
          <w:rFonts w:ascii="Arial" w:hAnsi="Arial"/>
          <w:b w:val="false"/>
          <w:i w:val="false"/>
          <w:color w:val="000000"/>
          <w:sz w:val="20"/>
        </w:rPr>
        <w:t>Contract assets</w:t>
      </w:r>
      <w:r>
        <w:rPr>
          <w:rFonts w:ascii="Times New Roman" w:hAnsi="Times New Roman"/>
          <w:b w:val="false"/>
          <w:i w:val="false"/>
          <w:color w:val="000000"/>
          <w:sz w:val="22"/>
        </w:rPr>
        <w:t xml:space="preserve"> </w:t>
      </w:r>
      <w:r>
        <w:rPr>
          <w:rFonts w:ascii="Arial" w:hAnsi="Arial"/>
          <w:b w:val="false"/>
          <w:i w:val="false"/>
          <w:color w:val="000000"/>
          <w:sz w:val="20"/>
        </w:rPr>
        <w:t>include unbilled amounts typically resulting from sales under long-term contracts when revenue is recognized over time and revenue recognized exceeds the amount billed to the customer, and right to payment is not just subject to the passage of time. Amounts may not exceed their net realizable value. Costs and estimated earnings in excess of billings on uncompleted contracts are generally classified as current.</w:t>
      </w:r>
      <w:r>
        <w:rPr>
          <w:rFonts w:ascii="Times New Roman" w:hAnsi="Times New Roman"/>
          <w:b w:val="false"/>
          <w:i w:val="false"/>
          <w:color w:val="000000"/>
          <w:sz w:val="22"/>
        </w:rPr>
        <w:t xml:space="preserve"> </w:t>
      </w:r>
    </w:p>
    <w:p>
      <w:pPr>
        <w:spacing w:before="0" w:after="0"/>
        <w:ind w:left="120"/>
        <w:jc w:val="left"/>
      </w:pPr>
      <w:bookmarkStart w:name="f-519-3" w:id="641"/>
      <w:bookmarkEnd w:id="641"/>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Contract Liabilities -</w:t>
      </w:r>
      <w:r>
        <w:rPr>
          <w:rFonts w:ascii="Times New Roman" w:hAnsi="Times New Roman"/>
          <w:b w:val="false"/>
          <w:i w:val="false"/>
          <w:color w:val="000000"/>
          <w:sz w:val="22"/>
        </w:rPr>
        <w:t xml:space="preserve"> </w:t>
      </w:r>
      <w:r>
        <w:rPr>
          <w:rFonts w:ascii="Arial" w:hAnsi="Arial"/>
          <w:b w:val="false"/>
          <w:i w:val="false"/>
          <w:color w:val="000000"/>
          <w:sz w:val="20"/>
        </w:rPr>
        <w:t>We sometimes receive advances or deposits from our customers, before revenue is recognized, resulting in contract liabilities.</w:t>
      </w:r>
      <w:r>
        <w:rPr>
          <w:rFonts w:ascii="Times New Roman" w:hAnsi="Times New Roman"/>
          <w:b w:val="false"/>
          <w:i w:val="false"/>
          <w:color w:val="000000"/>
          <w:sz w:val="22"/>
        </w:rPr>
        <w:t xml:space="preserve"> </w:t>
      </w:r>
    </w:p>
    <w:p>
      <w:pPr>
        <w:spacing w:before="0" w:after="0"/>
        <w:ind w:left="120"/>
        <w:jc w:val="left"/>
      </w:pPr>
      <w:bookmarkStart w:name="f-519-3" w:id="642"/>
      <w:bookmarkEnd w:id="642"/>
      <w:bookmarkStart w:name="f-609" w:id="643"/>
      <w:bookmarkEnd w:id="64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provides information about net contract liabilities as of June 30, 2025 and December 31, 2024:</w:t>
      </w:r>
      <w:r>
        <w:rPr>
          <w:rFonts w:ascii="Times New Roman" w:hAnsi="Times New Roman"/>
          <w:b w:val="false"/>
          <w:i w:val="false"/>
          <w:color w:val="000000"/>
          <w:sz w:val="22"/>
        </w:rPr>
        <w:t xml:space="preserve"> </w:t>
      </w:r>
    </w:p>
    <w:p>
      <w:pPr>
        <w:spacing w:before="0" w:after="0"/>
        <w:ind w:left="120"/>
        <w:jc w:val="left"/>
      </w:pPr>
      <w:bookmarkStart w:name="f-609" w:id="644"/>
      <w:bookmarkEnd w:id="644"/>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20"/>
        <w:gridCol w:w="8896"/>
        <w:gridCol w:w="324"/>
        <w:gridCol w:w="40"/>
        <w:gridCol w:w="40"/>
        <w:gridCol w:w="40"/>
        <w:gridCol w:w="146"/>
        <w:gridCol w:w="1728"/>
        <w:gridCol w:w="40"/>
        <w:gridCol w:w="40"/>
        <w:gridCol w:w="40"/>
        <w:gridCol w:w="40"/>
        <w:gridCol w:w="160"/>
        <w:gridCol w:w="1738"/>
        <w:gridCol w:w="42"/>
      </w:tblGrid>
      <w:tr>
        <w:trPr>
          <w:trHeight w:val="30" w:hRule="atLeast"/>
        </w:trPr>
        <w:tc>
          <w:tcPr>
            <w:tcW w:w="320" w:type="dxa"/>
            <w:tcBorders/>
            <w:tcMar>
              <w:top w:w="15" w:type="dxa"/>
              <w:left w:w="15" w:type="dxa"/>
              <w:bottom w:w="15" w:type="dxa"/>
              <w:right w:w="15" w:type="dxa"/>
            </w:tcMar>
            <w:vAlign w:val="center"/>
          </w:tcPr>
          <w:p/>
        </w:tc>
        <w:tc>
          <w:tcPr>
            <w:tcW w:w="8896" w:type="dxa"/>
            <w:tcBorders/>
            <w:tcMar>
              <w:top w:w="15" w:type="dxa"/>
              <w:left w:w="15" w:type="dxa"/>
              <w:bottom w:w="15" w:type="dxa"/>
              <w:right w:w="15" w:type="dxa"/>
            </w:tcMar>
            <w:vAlign w:val="center"/>
          </w:tcPr>
          <w:p/>
        </w:tc>
        <w:tc>
          <w:tcPr>
            <w:tcW w:w="32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72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60" w:type="dxa"/>
            <w:tcBorders/>
            <w:tcMar>
              <w:top w:w="15" w:type="dxa"/>
              <w:left w:w="15" w:type="dxa"/>
              <w:bottom w:w="15" w:type="dxa"/>
              <w:right w:w="15" w:type="dxa"/>
            </w:tcMar>
            <w:vAlign w:val="center"/>
          </w:tcPr>
          <w:p/>
        </w:tc>
        <w:tc>
          <w:tcPr>
            <w:tcW w:w="1738"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Contract assets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2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10" w:id="645"/>
            <w:r>
              <w:rPr>
                <w:rFonts w:ascii="Arial" w:hAnsi="Arial"/>
                <w:b w:val="false"/>
                <w:i w:val="false"/>
                <w:color w:val="000000"/>
                <w:sz w:val="16"/>
              </w:rPr>
              <w:t>1,112.3</w:t>
            </w:r>
            <w:bookmarkEnd w:id="64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0"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3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11" w:id="646"/>
            <w:r>
              <w:rPr>
                <w:rFonts w:ascii="Arial" w:hAnsi="Arial"/>
                <w:b w:val="false"/>
                <w:i w:val="false"/>
                <w:color w:val="000000"/>
                <w:sz w:val="16"/>
              </w:rPr>
              <w:t>967.7</w:t>
            </w:r>
            <w:bookmarkEnd w:id="646"/>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Contract liabilities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612" w:id="647"/>
            <w:r>
              <w:rPr>
                <w:rFonts w:ascii="Arial" w:hAnsi="Arial"/>
                <w:b w:val="false"/>
                <w:i w:val="false"/>
                <w:color w:val="000000"/>
                <w:sz w:val="16"/>
              </w:rPr>
              <w:t>2,060.3</w:t>
            </w:r>
            <w:bookmarkEnd w:id="64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613" w:id="648"/>
            <w:r>
              <w:rPr>
                <w:rFonts w:ascii="Arial" w:hAnsi="Arial"/>
                <w:b w:val="false"/>
                <w:i w:val="false"/>
                <w:color w:val="000000"/>
                <w:sz w:val="16"/>
              </w:rPr>
              <w:t>1,786.6</w:t>
            </w:r>
            <w:bookmarkEnd w:id="648"/>
            <w:r>
              <w:rPr>
                <w:rFonts w:ascii="Arial" w:hAnsi="Arial"/>
                <w:b w:val="false"/>
                <w:i w:val="false"/>
                <w:color w:val="000000"/>
                <w:sz w:val="16"/>
              </w:rPr>
              <w:t xml:space="preserve"> ) </w:t>
            </w:r>
          </w:p>
        </w:tc>
        <w:tc>
          <w:tcPr>
            <w:tcW w:w="42"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contract liabilities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2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614" w:id="649"/>
            <w:r>
              <w:rPr>
                <w:rFonts w:ascii="Arial" w:hAnsi="Arial"/>
                <w:b w:val="false"/>
                <w:i w:val="false"/>
                <w:color w:val="000000"/>
                <w:sz w:val="16"/>
              </w:rPr>
              <w:t>948.0</w:t>
            </w:r>
            <w:bookmarkEnd w:id="649"/>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3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615" w:id="650"/>
            <w:r>
              <w:rPr>
                <w:rFonts w:ascii="Arial" w:hAnsi="Arial"/>
                <w:b w:val="false"/>
                <w:i w:val="false"/>
                <w:color w:val="000000"/>
                <w:sz w:val="16"/>
              </w:rPr>
              <w:t>818.9</w:t>
            </w:r>
            <w:bookmarkEnd w:id="650"/>
            <w:r>
              <w:rPr>
                <w:rFonts w:ascii="Arial" w:hAnsi="Arial"/>
                <w:b w:val="false"/>
                <w:i w:val="false"/>
                <w:color w:val="000000"/>
                <w:sz w:val="16"/>
              </w:rPr>
              <w:t xml:space="preserve"> ) </w:t>
            </w:r>
          </w:p>
        </w:tc>
        <w:tc>
          <w:tcPr>
            <w:tcW w:w="42"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609" w:id="651"/>
      <w:bookmarkEnd w:id="651"/>
      <w:bookmarkStart w:name="f-519-3" w:id="652"/>
      <w:bookmarkEnd w:id="65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increase in our contract assets from December 31, 2024 to June 30, 2025 was primarily due to the timing of project milestones.</w:t>
      </w:r>
      <w:r>
        <w:rPr>
          <w:rFonts w:ascii="Times New Roman" w:hAnsi="Times New Roman"/>
          <w:b w:val="false"/>
          <w:i w:val="false"/>
          <w:color w:val="000000"/>
          <w:sz w:val="22"/>
        </w:rPr>
        <w:t xml:space="preserve"> </w:t>
      </w:r>
    </w:p>
    <w:p>
      <w:pPr>
        <w:spacing w:before="0" w:after="0"/>
        <w:ind w:left="120"/>
        <w:jc w:val="left"/>
      </w:pPr>
      <w:bookmarkStart w:name="f-519-3" w:id="653"/>
      <w:bookmarkEnd w:id="65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increase in our contract liabilities was primarily driven from an overall portfolio and client mix enabling an acceleration of client cash payments in advance.</w:t>
      </w:r>
      <w:r>
        <w:rPr>
          <w:rFonts w:ascii="Times New Roman" w:hAnsi="Times New Roman"/>
          <w:b w:val="false"/>
          <w:i w:val="false"/>
          <w:color w:val="000000"/>
          <w:sz w:val="22"/>
        </w:rPr>
        <w:t xml:space="preserve"> </w:t>
      </w:r>
    </w:p>
    <w:p>
      <w:pPr>
        <w:spacing w:before="0" w:after="0"/>
        <w:ind w:left="120"/>
        <w:jc w:val="left"/>
      </w:pPr>
      <w:bookmarkStart w:name="f-519-3" w:id="654"/>
      <w:bookmarkEnd w:id="654"/>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order to determine revenue recognized in the period from contract liabilities, we first allocate revenue to the individual contract liability balance outstanding at the beginning of the period until the revenue exceeds that balance. Any subsequent revenue we recognize increases the contract asset balance. Revenue recognized for the</w:t>
      </w:r>
      <w:r>
        <w:rPr>
          <w:rFonts w:ascii="Times New Roman" w:hAnsi="Times New Roman"/>
          <w:b w:val="false"/>
          <w:i w:val="false"/>
          <w:color w:val="000000"/>
          <w:sz w:val="22"/>
        </w:rPr>
        <w:t xml:space="preserve"> </w:t>
      </w:r>
    </w:p>
    <w:p>
      <w:pPr>
        <w:spacing w:before="0" w:after="0"/>
        <w:ind w:left="120"/>
        <w:jc w:val="left"/>
      </w:pPr>
      <w:bookmarkStart w:name="f-519-3" w:id="655"/>
      <w:bookmarkEnd w:id="65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three months ended June 30, 2025 and 2024 that was included in the contract liabilities balance as of December 31, 2024 and 2023 was $ </w:t>
      </w:r>
      <w:bookmarkStart w:name="f-616" w:id="656"/>
      <w:r>
        <w:rPr>
          <w:rFonts w:ascii="Arial" w:hAnsi="Arial"/>
          <w:b w:val="false"/>
          <w:i w:val="false"/>
          <w:color w:val="000000"/>
          <w:sz w:val="20"/>
        </w:rPr>
        <w:t>340.8</w:t>
      </w:r>
      <w:bookmarkEnd w:id="656"/>
      <w:r>
        <w:rPr>
          <w:rFonts w:ascii="Arial" w:hAnsi="Arial"/>
          <w:b w:val="false"/>
          <w:i w:val="false"/>
          <w:color w:val="000000"/>
          <w:sz w:val="20"/>
        </w:rPr>
        <w:t xml:space="preserve"> million and $ </w:t>
      </w:r>
      <w:bookmarkStart w:name="f-617" w:id="657"/>
      <w:r>
        <w:rPr>
          <w:rFonts w:ascii="Arial" w:hAnsi="Arial"/>
          <w:b w:val="false"/>
          <w:i w:val="false"/>
          <w:color w:val="000000"/>
          <w:sz w:val="20"/>
        </w:rPr>
        <w:t>368.6</w:t>
      </w:r>
      <w:bookmarkEnd w:id="657"/>
      <w:r>
        <w:rPr>
          <w:rFonts w:ascii="Arial" w:hAnsi="Arial"/>
          <w:b w:val="false"/>
          <w:i w:val="false"/>
          <w:color w:val="000000"/>
          <w:sz w:val="20"/>
        </w:rPr>
        <w:t xml:space="preserve"> million, respectively, and $ </w:t>
      </w:r>
      <w:bookmarkStart w:name="f-618" w:id="658"/>
      <w:r>
        <w:rPr>
          <w:rFonts w:ascii="Arial" w:hAnsi="Arial"/>
          <w:b w:val="false"/>
          <w:i w:val="false"/>
          <w:color w:val="000000"/>
          <w:sz w:val="20"/>
        </w:rPr>
        <w:t>950.0</w:t>
      </w:r>
      <w:bookmarkEnd w:id="658"/>
      <w:r>
        <w:rPr>
          <w:rFonts w:ascii="Arial" w:hAnsi="Arial"/>
          <w:b w:val="false"/>
          <w:i w:val="false"/>
          <w:color w:val="000000"/>
          <w:sz w:val="20"/>
        </w:rPr>
        <w:t xml:space="preserve"> million and $ </w:t>
      </w:r>
      <w:bookmarkStart w:name="f-619" w:id="659"/>
      <w:r>
        <w:rPr>
          <w:rFonts w:ascii="Arial" w:hAnsi="Arial"/>
          <w:b w:val="false"/>
          <w:i w:val="false"/>
          <w:color w:val="000000"/>
          <w:sz w:val="20"/>
        </w:rPr>
        <w:t>848.2</w:t>
      </w:r>
      <w:bookmarkEnd w:id="659"/>
      <w:r>
        <w:rPr>
          <w:rFonts w:ascii="Arial" w:hAnsi="Arial"/>
          <w:b w:val="false"/>
          <w:i w:val="false"/>
          <w:color w:val="000000"/>
          <w:sz w:val="20"/>
        </w:rPr>
        <w:t xml:space="preserve"> million for the six months ended June 30, 2025 and 2024, respectively. </w:t>
      </w:r>
    </w:p>
    <w:p>
      <w:pPr>
        <w:spacing w:before="0" w:after="0"/>
        <w:ind w:left="120"/>
        <w:jc w:val="left"/>
      </w:pPr>
      <w:bookmarkStart w:name="f-519-3" w:id="660"/>
      <w:bookmarkEnd w:id="66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Net revenue recognized from our performance obligations satisfied or partially satisfied in previous periods had a favorable impact of $ </w:t>
      </w:r>
      <w:bookmarkStart w:name="f-620" w:id="661"/>
      <w:r>
        <w:rPr>
          <w:rFonts w:ascii="Arial" w:hAnsi="Arial"/>
          <w:b w:val="false"/>
          <w:i w:val="false"/>
          <w:color w:val="000000"/>
          <w:sz w:val="20"/>
        </w:rPr>
        <w:t>51.7</w:t>
      </w:r>
      <w:bookmarkEnd w:id="661"/>
      <w:r>
        <w:rPr>
          <w:rFonts w:ascii="Arial" w:hAnsi="Arial"/>
          <w:b w:val="false"/>
          <w:i w:val="false"/>
          <w:color w:val="000000"/>
          <w:sz w:val="20"/>
        </w:rPr>
        <w:t xml:space="preserve"> million and $ </w:t>
      </w:r>
      <w:bookmarkStart w:name="f-621" w:id="662"/>
      <w:r>
        <w:rPr>
          <w:rFonts w:ascii="Arial" w:hAnsi="Arial"/>
          <w:b w:val="false"/>
          <w:i w:val="false"/>
          <w:color w:val="000000"/>
          <w:sz w:val="20"/>
        </w:rPr>
        <w:t>16.2</w:t>
      </w:r>
      <w:bookmarkEnd w:id="662"/>
      <w:r>
        <w:rPr>
          <w:rFonts w:ascii="Arial" w:hAnsi="Arial"/>
          <w:b w:val="false"/>
          <w:i w:val="false"/>
          <w:color w:val="000000"/>
          <w:sz w:val="20"/>
        </w:rPr>
        <w:t xml:space="preserve"> million for the three months ended June 30, 2025 and 2024, respectively. For the six months ended June 30, 2025 and 2024 we had a favorable impact of $ </w:t>
      </w:r>
      <w:bookmarkStart w:name="f-622" w:id="663"/>
      <w:r>
        <w:rPr>
          <w:rFonts w:ascii="Arial" w:hAnsi="Arial"/>
          <w:b w:val="false"/>
          <w:i w:val="false"/>
          <w:color w:val="000000"/>
          <w:sz w:val="20"/>
        </w:rPr>
        <w:t>71.1</w:t>
      </w:r>
      <w:bookmarkEnd w:id="663"/>
      <w:r>
        <w:rPr>
          <w:rFonts w:ascii="Arial" w:hAnsi="Arial"/>
          <w:b w:val="false"/>
          <w:i w:val="false"/>
          <w:color w:val="000000"/>
          <w:sz w:val="20"/>
        </w:rPr>
        <w:t xml:space="preserve"> million and $ </w:t>
      </w:r>
      <w:bookmarkStart w:name="f-623" w:id="664"/>
      <w:r>
        <w:rPr>
          <w:rFonts w:ascii="Arial" w:hAnsi="Arial"/>
          <w:b w:val="false"/>
          <w:i w:val="false"/>
          <w:color w:val="000000"/>
          <w:sz w:val="20"/>
        </w:rPr>
        <w:t>16.8</w:t>
      </w:r>
      <w:bookmarkEnd w:id="664"/>
      <w:r>
        <w:rPr>
          <w:rFonts w:ascii="Arial" w:hAnsi="Arial"/>
          <w:b w:val="false"/>
          <w:i w:val="false"/>
          <w:color w:val="000000"/>
          <w:sz w:val="20"/>
        </w:rPr>
        <w:t xml:space="preserve"> million, respectively. </w:t>
      </w:r>
    </w:p>
    <w:p>
      <w:pPr>
        <w:spacing w:before="0" w:after="0"/>
        <w:ind w:left="120"/>
        <w:jc w:val="left"/>
      </w:pPr>
      <w:bookmarkStart w:name="f-519-3" w:id="665"/>
      <w:bookmarkEnd w:id="66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shd w:fill="ffffff"/>
        </w:rPr>
        <w:t>For</w:t>
      </w:r>
      <w:r>
        <w:rPr>
          <w:rFonts w:ascii="Times New Roman" w:hAnsi="Times New Roman"/>
          <w:b w:val="false"/>
          <w:i w:val="false"/>
          <w:color w:val="000000"/>
          <w:sz w:val="22"/>
        </w:rPr>
        <w:t xml:space="preserve"> </w:t>
      </w:r>
      <w:r>
        <w:rPr>
          <w:rFonts w:ascii="Arial" w:hAnsi="Arial"/>
          <w:b w:val="false"/>
          <w:i w:val="false"/>
          <w:color w:val="000000"/>
          <w:sz w:val="20"/>
        </w:rPr>
        <w:t xml:space="preserve">the three and six months ended June 30, 2025, there were no projects with individually material impacts. One project was materially and favorably impacted for the three and six months ended June 30, 2024 by $ </w:t>
      </w:r>
      <w:bookmarkStart w:name="f-624" w:id="666"/>
      <w:r>
        <w:rPr>
          <w:rFonts w:ascii="Arial" w:hAnsi="Arial"/>
          <w:b w:val="false"/>
          <w:i w:val="false"/>
          <w:color w:val="000000"/>
          <w:sz w:val="20"/>
        </w:rPr>
        <w:t>62.8</w:t>
      </w:r>
      <w:bookmarkEnd w:id="666"/>
      <w:r>
        <w:rPr>
          <w:rFonts w:ascii="Arial" w:hAnsi="Arial"/>
          <w:b w:val="false"/>
          <w:i w:val="false"/>
          <w:color w:val="000000"/>
          <w:sz w:val="20"/>
        </w:rPr>
        <w:t xml:space="preserve">  million and $ </w:t>
      </w:r>
      <w:bookmarkStart w:name="f-625" w:id="667"/>
      <w:r>
        <w:rPr>
          <w:rFonts w:ascii="Arial" w:hAnsi="Arial"/>
          <w:b w:val="false"/>
          <w:i w:val="false"/>
          <w:color w:val="000000"/>
          <w:sz w:val="20"/>
        </w:rPr>
        <w:t>86.3</w:t>
      </w:r>
      <w:bookmarkEnd w:id="667"/>
      <w:r>
        <w:rPr>
          <w:rFonts w:ascii="Arial" w:hAnsi="Arial"/>
          <w:b w:val="false"/>
          <w:i w:val="false"/>
          <w:color w:val="000000"/>
          <w:sz w:val="20"/>
        </w:rPr>
        <w:t xml:space="preserve">  million, respectively, as a result of improved performance in the delivery and was offset by individually immaterial net negative impacts of $ </w:t>
      </w:r>
      <w:bookmarkStart w:name="f-626" w:id="668"/>
      <w:r>
        <w:rPr>
          <w:rFonts w:ascii="Arial" w:hAnsi="Arial"/>
          <w:b w:val="false"/>
          <w:i w:val="false"/>
          <w:color w:val="000000"/>
          <w:sz w:val="20"/>
        </w:rPr>
        <w:t>46.6</w:t>
      </w:r>
      <w:bookmarkEnd w:id="668"/>
      <w:r>
        <w:rPr>
          <w:rFonts w:ascii="Arial" w:hAnsi="Arial"/>
          <w:b w:val="false"/>
          <w:i w:val="false"/>
          <w:color w:val="000000"/>
          <w:sz w:val="20"/>
        </w:rPr>
        <w:t xml:space="preserve">  million and $ </w:t>
      </w:r>
      <w:bookmarkStart w:name="f-627" w:id="669"/>
      <w:r>
        <w:rPr>
          <w:rFonts w:ascii="Arial" w:hAnsi="Arial"/>
          <w:b w:val="false"/>
          <w:i w:val="false"/>
          <w:color w:val="000000"/>
          <w:sz w:val="20"/>
        </w:rPr>
        <w:t>69.5</w:t>
      </w:r>
      <w:bookmarkEnd w:id="669"/>
      <w:r>
        <w:rPr>
          <w:rFonts w:ascii="Arial" w:hAnsi="Arial"/>
          <w:b w:val="false"/>
          <w:i w:val="false"/>
          <w:color w:val="000000"/>
          <w:sz w:val="20"/>
        </w:rPr>
        <w:t xml:space="preserve"> million, respectively. </w:t>
      </w:r>
    </w:p>
    <w:p>
      <w:pPr>
        <w:spacing w:before="0" w:after="0"/>
        <w:ind w:left="120"/>
        <w:jc w:val="left"/>
      </w:pPr>
      <w:bookmarkStart w:name="f-519-3" w:id="670"/>
      <w:bookmarkEnd w:id="670"/>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519-4" w:id="671"/>
      <w:bookmarkEnd w:id="671"/>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Transaction Price Allocated to the Remaining Unsatisfied Performance Obligations</w:t>
      </w:r>
      <w:r>
        <w:rPr>
          <w:rFonts w:ascii="Times New Roman" w:hAnsi="Times New Roman"/>
          <w:b w:val="false"/>
          <w:i w:val="false"/>
          <w:color w:val="000000"/>
          <w:sz w:val="22"/>
        </w:rPr>
        <w:t xml:space="preserve"> </w:t>
      </w:r>
    </w:p>
    <w:p>
      <w:pPr>
        <w:spacing w:before="0" w:after="0"/>
        <w:ind w:left="120"/>
        <w:jc w:val="left"/>
      </w:pPr>
      <w:bookmarkStart w:name="f-519-4" w:id="672"/>
      <w:bookmarkEnd w:id="67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Remaining unsatisfied performance obligations (or “order backlog”) represent the transaction price for products and services for which we have a material right, but work has not been performed. The transaction price of the order backlog includes the base transaction price, variable consideration, and changes in transaction price. The order backlog table does not include contracts for which we recognize revenue at the amount to which we have the right to invoice for services performed. The transaction price of order backlog related to unfilled, confirmed customer orders is estimated at each reporting date. As of June 30, 2025, the aggregate amount of the transaction price allocated to order backlog was $ </w:t>
      </w:r>
      <w:bookmarkStart w:name="f-628" w:id="673"/>
      <w:r>
        <w:rPr>
          <w:rFonts w:ascii="Arial" w:hAnsi="Arial"/>
          <w:b w:val="false"/>
          <w:i w:val="false"/>
          <w:color w:val="000000"/>
          <w:sz w:val="20"/>
        </w:rPr>
        <w:t>16.6</w:t>
      </w:r>
      <w:bookmarkEnd w:id="673"/>
      <w:r>
        <w:rPr>
          <w:rFonts w:ascii="Arial" w:hAnsi="Arial"/>
          <w:b w:val="false"/>
          <w:i w:val="false"/>
          <w:color w:val="000000"/>
          <w:sz w:val="20"/>
        </w:rPr>
        <w:t xml:space="preserve"> billion. TechnipFMC expects to recognize revenue on approximately </w:t>
      </w:r>
      <w:bookmarkStart w:name="f-629" w:id="674"/>
      <w:r>
        <w:rPr>
          <w:rFonts w:ascii="Arial" w:hAnsi="Arial"/>
          <w:b w:val="false"/>
          <w:i w:val="false"/>
          <w:color w:val="000000"/>
          <w:sz w:val="20"/>
        </w:rPr>
        <w:t>22.7</w:t>
      </w:r>
      <w:bookmarkEnd w:id="674"/>
      <w:r>
        <w:rPr>
          <w:rFonts w:ascii="Arial" w:hAnsi="Arial"/>
          <w:b w:val="false"/>
          <w:i w:val="false"/>
          <w:color w:val="000000"/>
          <w:sz w:val="20"/>
        </w:rPr>
        <w:t xml:space="preserve"> % of the order backlog through 2025 and </w:t>
      </w:r>
      <w:bookmarkStart w:name="f-630" w:id="675"/>
      <w:r>
        <w:rPr>
          <w:rFonts w:ascii="Arial" w:hAnsi="Arial"/>
          <w:b w:val="false"/>
          <w:i w:val="false"/>
          <w:color w:val="000000"/>
          <w:sz w:val="20"/>
        </w:rPr>
        <w:t>77.3</w:t>
      </w:r>
      <w:bookmarkEnd w:id="675"/>
      <w:r>
        <w:rPr>
          <w:rFonts w:ascii="Arial" w:hAnsi="Arial"/>
          <w:b w:val="false"/>
          <w:i w:val="false"/>
          <w:color w:val="000000"/>
          <w:sz w:val="20"/>
        </w:rPr>
        <w:t xml:space="preserve"> % thereafter. </w:t>
      </w:r>
    </w:p>
    <w:p>
      <w:pPr>
        <w:spacing w:before="0" w:after="0"/>
        <w:ind w:left="120"/>
        <w:jc w:val="left"/>
      </w:pPr>
      <w:bookmarkStart w:name="f-519-4" w:id="676"/>
      <w:bookmarkEnd w:id="676"/>
      <w:bookmarkStart w:name="f-631" w:id="677"/>
      <w:bookmarkEnd w:id="67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details the order backlog for each business segment as of June 30, 2025:</w:t>
      </w:r>
      <w:r>
        <w:rPr>
          <w:rFonts w:ascii="Times New Roman" w:hAnsi="Times New Roman"/>
          <w:b w:val="false"/>
          <w:i w:val="false"/>
          <w:color w:val="000000"/>
          <w:sz w:val="22"/>
        </w:rPr>
        <w:t xml:space="preserve"> </w:t>
      </w:r>
    </w:p>
    <w:p>
      <w:pPr>
        <w:spacing w:before="0" w:after="0"/>
        <w:ind w:left="120"/>
        <w:jc w:val="left"/>
      </w:pPr>
      <w:bookmarkStart w:name="f-631" w:id="678"/>
      <w:bookmarkEnd w:id="678"/>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6357"/>
        <w:gridCol w:w="441"/>
        <w:gridCol w:w="146"/>
        <w:gridCol w:w="1317"/>
        <w:gridCol w:w="40"/>
        <w:gridCol w:w="40"/>
        <w:gridCol w:w="40"/>
        <w:gridCol w:w="40"/>
        <w:gridCol w:w="146"/>
        <w:gridCol w:w="1317"/>
        <w:gridCol w:w="40"/>
        <w:gridCol w:w="40"/>
        <w:gridCol w:w="40"/>
        <w:gridCol w:w="40"/>
        <w:gridCol w:w="148"/>
        <w:gridCol w:w="1331"/>
        <w:gridCol w:w="41"/>
        <w:gridCol w:w="40"/>
        <w:gridCol w:w="40"/>
        <w:gridCol w:w="40"/>
        <w:gridCol w:w="146"/>
        <w:gridCol w:w="1325"/>
        <w:gridCol w:w="40"/>
      </w:tblGrid>
      <w:tr>
        <w:trPr>
          <w:trHeight w:val="30" w:hRule="atLeast"/>
        </w:trPr>
        <w:tc>
          <w:tcPr>
            <w:tcW w:w="439" w:type="dxa"/>
            <w:tcBorders/>
            <w:tcMar>
              <w:top w:w="15" w:type="dxa"/>
              <w:left w:w="15" w:type="dxa"/>
              <w:bottom w:w="15" w:type="dxa"/>
              <w:right w:w="15" w:type="dxa"/>
            </w:tcMar>
            <w:vAlign w:val="center"/>
          </w:tcPr>
          <w:p/>
        </w:tc>
        <w:tc>
          <w:tcPr>
            <w:tcW w:w="6357"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8" w:type="dxa"/>
            <w:tcBorders/>
            <w:tcMar>
              <w:top w:w="15" w:type="dxa"/>
              <w:left w:w="15" w:type="dxa"/>
              <w:bottom w:w="15" w:type="dxa"/>
              <w:right w:w="15" w:type="dxa"/>
            </w:tcMar>
            <w:vAlign w:val="center"/>
          </w:tcPr>
          <w:p/>
        </w:tc>
        <w:tc>
          <w:tcPr>
            <w:tcW w:w="1331" w:type="dxa"/>
            <w:tcBorders/>
            <w:tcMar>
              <w:top w:w="15" w:type="dxa"/>
              <w:left w:w="15" w:type="dxa"/>
              <w:bottom w:w="15" w:type="dxa"/>
              <w:right w:w="15" w:type="dxa"/>
            </w:tcMar>
            <w:vAlign w:val="center"/>
          </w:tcPr>
          <w:p/>
        </w:tc>
        <w:tc>
          <w:tcPr>
            <w:tcW w:w="4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2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2026</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Thereafter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Total</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2" w:id="679"/>
            <w:r>
              <w:rPr>
                <w:rFonts w:ascii="Arial" w:hAnsi="Arial"/>
                <w:b w:val="false"/>
                <w:i w:val="false"/>
                <w:color w:val="000000"/>
                <w:sz w:val="16"/>
              </w:rPr>
              <w:t>3,470.7</w:t>
            </w:r>
            <w:bookmarkEnd w:id="67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3" w:id="680"/>
            <w:r>
              <w:rPr>
                <w:rFonts w:ascii="Arial" w:hAnsi="Arial"/>
                <w:b w:val="false"/>
                <w:i w:val="false"/>
                <w:color w:val="000000"/>
                <w:sz w:val="16"/>
              </w:rPr>
              <w:t>4,803.4</w:t>
            </w:r>
            <w:bookmarkEnd w:id="68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4" w:id="681"/>
            <w:r>
              <w:rPr>
                <w:rFonts w:ascii="Arial" w:hAnsi="Arial"/>
                <w:b w:val="false"/>
                <w:i w:val="false"/>
                <w:color w:val="000000"/>
                <w:sz w:val="16"/>
              </w:rPr>
              <w:t>7,535.9</w:t>
            </w:r>
            <w:bookmarkEnd w:id="681"/>
            <w:r>
              <w:rPr>
                <w:rFonts w:ascii="Arial" w:hAnsi="Arial"/>
                <w:b w:val="false"/>
                <w:i w:val="false"/>
                <w:color w:val="000000"/>
                <w:sz w:val="16"/>
              </w:rPr>
              <w:t xml:space="preserve">   </w:t>
            </w:r>
          </w:p>
        </w:tc>
        <w:tc>
          <w:tcPr>
            <w:tcW w:w="41"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5" w:id="682"/>
            <w:r>
              <w:rPr>
                <w:rFonts w:ascii="Arial" w:hAnsi="Arial"/>
                <w:b w:val="false"/>
                <w:i w:val="false"/>
                <w:color w:val="000000"/>
                <w:sz w:val="16"/>
              </w:rPr>
              <w:t>15,810.0</w:t>
            </w:r>
            <w:bookmarkEnd w:id="68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6" w:id="683"/>
            <w:r>
              <w:rPr>
                <w:rFonts w:ascii="Arial" w:hAnsi="Arial"/>
                <w:b w:val="false"/>
                <w:i w:val="false"/>
                <w:color w:val="000000"/>
                <w:sz w:val="16"/>
              </w:rPr>
              <w:t>310.2</w:t>
            </w:r>
            <w:bookmarkEnd w:id="68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7" w:id="684"/>
            <w:r>
              <w:rPr>
                <w:rFonts w:ascii="Arial" w:hAnsi="Arial"/>
                <w:b w:val="false"/>
                <w:i w:val="false"/>
                <w:color w:val="000000"/>
                <w:sz w:val="16"/>
              </w:rPr>
              <w:t>263.2</w:t>
            </w:r>
            <w:bookmarkEnd w:id="68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8" w:id="685"/>
            <w:r>
              <w:rPr>
                <w:rFonts w:ascii="Arial" w:hAnsi="Arial"/>
                <w:b w:val="false"/>
                <w:i w:val="false"/>
                <w:color w:val="000000"/>
                <w:sz w:val="16"/>
              </w:rPr>
              <w:t>262.5</w:t>
            </w:r>
            <w:bookmarkEnd w:id="685"/>
            <w:r>
              <w:rPr>
                <w:rFonts w:ascii="Arial" w:hAnsi="Arial"/>
                <w:b w:val="false"/>
                <w:i w:val="false"/>
                <w:color w:val="000000"/>
                <w:sz w:val="16"/>
              </w:rPr>
              <w:t xml:space="preserve">   </w:t>
            </w:r>
          </w:p>
        </w:tc>
        <w:tc>
          <w:tcPr>
            <w:tcW w:w="41"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39" w:id="686"/>
            <w:r>
              <w:rPr>
                <w:rFonts w:ascii="Arial" w:hAnsi="Arial"/>
                <w:b w:val="false"/>
                <w:i w:val="false"/>
                <w:color w:val="000000"/>
                <w:sz w:val="16"/>
              </w:rPr>
              <w:t>835.9</w:t>
            </w:r>
            <w:bookmarkEnd w:id="68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order backlog</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0" w:id="687"/>
            <w:r>
              <w:rPr>
                <w:rFonts w:ascii="Arial" w:hAnsi="Arial"/>
                <w:b w:val="false"/>
                <w:i w:val="false"/>
                <w:color w:val="000000"/>
                <w:sz w:val="16"/>
              </w:rPr>
              <w:t>3,780.9</w:t>
            </w:r>
            <w:bookmarkEnd w:id="687"/>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1" w:id="688"/>
            <w:r>
              <w:rPr>
                <w:rFonts w:ascii="Arial" w:hAnsi="Arial"/>
                <w:b w:val="false"/>
                <w:i w:val="false"/>
                <w:color w:val="000000"/>
                <w:sz w:val="16"/>
              </w:rPr>
              <w:t>5,066.6</w:t>
            </w:r>
            <w:bookmarkEnd w:id="688"/>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2" w:id="689"/>
            <w:r>
              <w:rPr>
                <w:rFonts w:ascii="Arial" w:hAnsi="Arial"/>
                <w:b w:val="false"/>
                <w:i w:val="false"/>
                <w:color w:val="000000"/>
                <w:sz w:val="16"/>
              </w:rPr>
              <w:t>7,798.4</w:t>
            </w:r>
            <w:bookmarkEnd w:id="689"/>
            <w:r>
              <w:rPr>
                <w:rFonts w:ascii="Arial" w:hAnsi="Arial"/>
                <w:b w:val="false"/>
                <w:i w:val="false"/>
                <w:color w:val="000000"/>
                <w:sz w:val="16"/>
              </w:rPr>
              <w:t xml:space="preserve">   </w:t>
            </w:r>
          </w:p>
        </w:tc>
        <w:tc>
          <w:tcPr>
            <w:tcW w:w="41"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43" w:id="690"/>
            <w:r>
              <w:rPr>
                <w:rFonts w:ascii="Arial" w:hAnsi="Arial"/>
                <w:b w:val="false"/>
                <w:i w:val="false"/>
                <w:color w:val="000000"/>
                <w:sz w:val="16"/>
              </w:rPr>
              <w:t>16,645.9</w:t>
            </w:r>
            <w:bookmarkEnd w:id="690"/>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631" w:id="691"/>
      <w:bookmarkEnd w:id="691"/>
      <w:bookmarkStart w:name="f-519-4" w:id="692"/>
      <w:bookmarkEnd w:id="692"/>
    </w:p>
    <w:bookmarkStart w:name="if5bce3d3882148cf91b6563d87cc4db5_61" w:id="693"/>
    <w:p>
      <w:pPr>
        <w:spacing w:before="0" w:after="0"/>
        <w:ind w:left="120"/>
        <w:jc w:val="left"/>
      </w:pPr>
    </w:p>
    <w:bookmarkEnd w:id="693"/>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4. </w:t>
      </w:r>
      <w:bookmarkStart w:name="f-653" w:id="694"/>
      <w:r>
        <w:rPr>
          <w:rFonts w:ascii="Arial" w:hAnsi="Arial"/>
          <w:b/>
          <w:i w:val="false"/>
          <w:color w:val="000000"/>
          <w:sz w:val="20"/>
        </w:rPr>
        <w:t>BUSINESS SEGMENTS</w:t>
      </w:r>
      <w:bookmarkEnd w:id="694"/>
      <w:r>
        <w:rPr>
          <w:rFonts w:ascii="Arial" w:hAnsi="Arial"/>
          <w:b/>
          <w:i w:val="false"/>
          <w:color w:val="000000"/>
          <w:sz w:val="20"/>
        </w:rPr>
        <w:t xml:space="preserve"> </w:t>
      </w:r>
    </w:p>
    <w:p>
      <w:pPr>
        <w:spacing w:before="0" w:after="0"/>
        <w:ind w:left="120"/>
        <w:jc w:val="left"/>
      </w:pPr>
      <w:bookmarkStart w:name="f-653-1" w:id="695"/>
      <w:bookmarkEnd w:id="69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Management’s determination of our reporting segments was made on the basis of our strategic priorities within each segment and the differences in the products and services we provide, which corresponds to the manner in which our Chair and Chief Executive Officer, as our chief operating decision maker, reviews and evaluates operating performance and allocates resources. We operate under </w:t>
      </w:r>
      <w:bookmarkStart w:name="f-654" w:id="696"/>
      <w:r>
        <w:rPr>
          <w:rFonts w:ascii="Arial" w:hAnsi="Arial"/>
          <w:b w:val="false"/>
          <w:i w:val="false"/>
          <w:color w:val="000000"/>
          <w:sz w:val="20"/>
        </w:rPr>
        <w:t>two</w:t>
      </w:r>
      <w:bookmarkEnd w:id="696"/>
      <w:r>
        <w:rPr>
          <w:rFonts w:ascii="Arial" w:hAnsi="Arial"/>
          <w:b w:val="false"/>
          <w:i w:val="false"/>
          <w:color w:val="000000"/>
          <w:sz w:val="20"/>
        </w:rPr>
        <w:t xml:space="preserve"> reporting segments, Subsea and Surface Technologies: </w:t>
      </w:r>
    </w:p>
    <w:p>
      <w:pPr>
        <w:spacing w:before="0" w:after="0"/>
        <w:ind w:left="120"/>
        <w:jc w:val="left"/>
      </w:pPr>
      <w:bookmarkStart w:name="f-653-1" w:id="697"/>
      <w:bookmarkEnd w:id="697"/>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color w:val="000000"/>
          <w:sz w:val="20"/>
        </w:rPr>
        <w:t>Subsea -</w:t>
      </w:r>
      <w:r>
        <w:rPr>
          <w:rFonts w:ascii="Times New Roman" w:hAnsi="Times New Roman"/>
          <w:b w:val="false"/>
          <w:i w:val="false"/>
          <w:color w:val="000000"/>
          <w:sz w:val="22"/>
        </w:rPr>
        <w:t xml:space="preserve"> </w:t>
      </w:r>
      <w:r>
        <w:rPr>
          <w:rFonts w:ascii="Arial" w:hAnsi="Arial"/>
          <w:b w:val="false"/>
          <w:i w:val="false"/>
          <w:color w:val="000000"/>
          <w:sz w:val="20"/>
        </w:rPr>
        <w:t>designs and manufactures products and systems, performs engineering, procurement, and project management, and provides services used by oil and gas companies involved in offshore exploration and production of oil and natural gas.</w:t>
      </w:r>
      <w:r>
        <w:rPr>
          <w:rFonts w:ascii="Times New Roman" w:hAnsi="Times New Roman"/>
          <w:b w:val="false"/>
          <w:i w:val="false"/>
          <w:color w:val="000000"/>
          <w:sz w:val="22"/>
        </w:rPr>
        <w:t xml:space="preserve"> </w:t>
      </w:r>
    </w:p>
    <w:p>
      <w:pPr>
        <w:spacing w:before="0" w:after="0"/>
        <w:ind w:left="120"/>
        <w:jc w:val="left"/>
      </w:pPr>
      <w:bookmarkStart w:name="f-653-1" w:id="698"/>
      <w:bookmarkEnd w:id="698"/>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color w:val="000000"/>
          <w:sz w:val="20"/>
        </w:rPr>
        <w:t>•</w:t>
      </w:r>
      <w:r>
        <w:rPr>
          <w:rFonts w:ascii="Times New Roman" w:hAnsi="Times New Roman"/>
          <w:b w:val="false"/>
          <w:i w:val="false"/>
          <w:color w:val="000000"/>
          <w:sz w:val="22"/>
        </w:rPr>
        <w:t xml:space="preserve"> </w:t>
      </w:r>
      <w:r>
        <w:rPr>
          <w:rFonts w:ascii="Arial" w:hAnsi="Arial"/>
          <w:b w:val="false"/>
          <w:i/>
          <w:color w:val="000000"/>
          <w:sz w:val="20"/>
        </w:rPr>
        <w:t>Surface Technologies</w:t>
      </w:r>
      <w:r>
        <w:rPr>
          <w:rFonts w:ascii="Times New Roman" w:hAnsi="Times New Roman"/>
          <w:b w:val="false"/>
          <w:i w:val="false"/>
          <w:color w:val="000000"/>
          <w:sz w:val="22"/>
        </w:rPr>
        <w:t xml:space="preserve"> </w:t>
      </w:r>
      <w:r>
        <w:rPr>
          <w:rFonts w:ascii="Arial" w:hAnsi="Arial"/>
          <w:b w:val="false"/>
          <w:i w:val="false"/>
          <w:color w:val="000000"/>
          <w:sz w:val="20"/>
        </w:rPr>
        <w:t>- designs, manufactures, and supplies technologically advanced wellhead systems and pressure control products used in well completion and stimulation activities for oilfield service companies. We also provide installation, flowback and other services for exploration and production companies.</w:t>
      </w:r>
      <w:r>
        <w:rPr>
          <w:rFonts w:ascii="Times New Roman" w:hAnsi="Times New Roman"/>
          <w:b w:val="false"/>
          <w:i w:val="false"/>
          <w:color w:val="000000"/>
          <w:sz w:val="22"/>
        </w:rPr>
        <w:t xml:space="preserve"> </w:t>
      </w:r>
    </w:p>
    <w:p>
      <w:pPr>
        <w:spacing w:before="0" w:after="0"/>
        <w:ind w:left="120"/>
        <w:jc w:val="left"/>
      </w:pPr>
      <w:bookmarkStart w:name="f-653-1" w:id="699"/>
      <w:bookmarkEnd w:id="69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Segment operating profit is defined as total segment revenue less segment operating expenses. Income from equity method investments is included in segment operating profit. The following items have been excluded in computing segment operating profit: corporate staff expense, foreign exchange gains (losses), net interest income (expense), and income taxes.</w:t>
      </w:r>
      <w:r>
        <w:rPr>
          <w:rFonts w:ascii="Times New Roman" w:hAnsi="Times New Roman"/>
          <w:b w:val="false"/>
          <w:i w:val="false"/>
          <w:color w:val="000000"/>
          <w:sz w:val="22"/>
        </w:rPr>
        <w:t xml:space="preserve"> </w:t>
      </w:r>
    </w:p>
    <w:p>
      <w:pPr>
        <w:spacing w:before="0" w:after="0"/>
        <w:ind w:left="120"/>
        <w:jc w:val="left"/>
      </w:pPr>
      <w:bookmarkStart w:name="f-653-1" w:id="700"/>
      <w:bookmarkEnd w:id="700"/>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653-2" w:id="701"/>
      <w:bookmarkEnd w:id="701"/>
      <w:bookmarkStart w:name="f-655" w:id="702"/>
      <w:bookmarkEnd w:id="70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presents financial information of our business segments:</w:t>
      </w:r>
      <w:r>
        <w:rPr>
          <w:rFonts w:ascii="Times New Roman" w:hAnsi="Times New Roman"/>
          <w:b w:val="false"/>
          <w:i w:val="false"/>
          <w:color w:val="000000"/>
          <w:sz w:val="22"/>
        </w:rPr>
        <w:t xml:space="preserve"> </w:t>
      </w:r>
    </w:p>
    <w:p>
      <w:pPr>
        <w:spacing w:before="0" w:after="0"/>
        <w:ind w:left="120"/>
        <w:jc w:val="left"/>
      </w:pPr>
      <w:bookmarkStart w:name="f-655" w:id="703"/>
      <w:bookmarkEnd w:id="703"/>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02"/>
        <w:gridCol w:w="5615"/>
        <w:gridCol w:w="611"/>
        <w:gridCol w:w="146"/>
        <w:gridCol w:w="1425"/>
        <w:gridCol w:w="40"/>
        <w:gridCol w:w="40"/>
        <w:gridCol w:w="40"/>
        <w:gridCol w:w="40"/>
        <w:gridCol w:w="146"/>
        <w:gridCol w:w="1425"/>
        <w:gridCol w:w="40"/>
        <w:gridCol w:w="40"/>
        <w:gridCol w:w="40"/>
        <w:gridCol w:w="40"/>
        <w:gridCol w:w="146"/>
        <w:gridCol w:w="1426"/>
        <w:gridCol w:w="40"/>
        <w:gridCol w:w="40"/>
        <w:gridCol w:w="40"/>
        <w:gridCol w:w="40"/>
        <w:gridCol w:w="146"/>
        <w:gridCol w:w="1426"/>
        <w:gridCol w:w="40"/>
      </w:tblGrid>
      <w:tr>
        <w:trPr>
          <w:trHeight w:val="30" w:hRule="atLeast"/>
        </w:trPr>
        <w:tc>
          <w:tcPr>
            <w:tcW w:w="602" w:type="dxa"/>
            <w:tcBorders/>
            <w:tcMar>
              <w:top w:w="15" w:type="dxa"/>
              <w:left w:w="15" w:type="dxa"/>
              <w:bottom w:w="15" w:type="dxa"/>
              <w:right w:w="15" w:type="dxa"/>
            </w:tcMar>
            <w:vAlign w:val="center"/>
          </w:tcPr>
          <w:p/>
        </w:tc>
        <w:tc>
          <w:tcPr>
            <w:tcW w:w="5615" w:type="dxa"/>
            <w:tcBorders/>
            <w:tcMar>
              <w:top w:w="15" w:type="dxa"/>
              <w:left w:w="15" w:type="dxa"/>
              <w:bottom w:w="15" w:type="dxa"/>
              <w:right w:w="15" w:type="dxa"/>
            </w:tcMar>
            <w:vAlign w:val="center"/>
          </w:tcPr>
          <w:p/>
        </w:tc>
        <w:tc>
          <w:tcPr>
            <w:tcW w:w="61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2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Segment revenue</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5"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6" w:id="704"/>
            <w:r>
              <w:rPr>
                <w:rFonts w:ascii="Arial" w:hAnsi="Arial"/>
                <w:b w:val="false"/>
                <w:i w:val="false"/>
                <w:color w:val="000000"/>
                <w:sz w:val="16"/>
              </w:rPr>
              <w:t>2,216.3</w:t>
            </w:r>
            <w:bookmarkEnd w:id="70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5"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7" w:id="705"/>
            <w:r>
              <w:rPr>
                <w:rFonts w:ascii="Arial" w:hAnsi="Arial"/>
                <w:b w:val="false"/>
                <w:i w:val="false"/>
                <w:color w:val="000000"/>
                <w:sz w:val="16"/>
              </w:rPr>
              <w:t>2,009.1</w:t>
            </w:r>
            <w:bookmarkEnd w:id="70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8" w:id="706"/>
            <w:r>
              <w:rPr>
                <w:rFonts w:ascii="Arial" w:hAnsi="Arial"/>
                <w:b w:val="false"/>
                <w:i w:val="false"/>
                <w:color w:val="000000"/>
                <w:sz w:val="16"/>
              </w:rPr>
              <w:t>4,152.5</w:t>
            </w:r>
            <w:bookmarkEnd w:id="70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59" w:id="707"/>
            <w:r>
              <w:rPr>
                <w:rFonts w:ascii="Arial" w:hAnsi="Arial"/>
                <w:b w:val="false"/>
                <w:i w:val="false"/>
                <w:color w:val="000000"/>
                <w:sz w:val="16"/>
              </w:rPr>
              <w:t>3,743.9</w:t>
            </w:r>
            <w:bookmarkEnd w:id="70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0" w:id="708"/>
            <w:r>
              <w:rPr>
                <w:rFonts w:ascii="Arial" w:hAnsi="Arial"/>
                <w:b w:val="false"/>
                <w:i w:val="false"/>
                <w:color w:val="000000"/>
                <w:sz w:val="16"/>
              </w:rPr>
              <w:t>318.4</w:t>
            </w:r>
            <w:bookmarkEnd w:id="70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1" w:id="709"/>
            <w:r>
              <w:rPr>
                <w:rFonts w:ascii="Arial" w:hAnsi="Arial"/>
                <w:b w:val="false"/>
                <w:i w:val="false"/>
                <w:color w:val="000000"/>
                <w:sz w:val="16"/>
              </w:rPr>
              <w:t>316.5</w:t>
            </w:r>
            <w:bookmarkEnd w:id="70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2" w:id="710"/>
            <w:r>
              <w:rPr>
                <w:rFonts w:ascii="Arial" w:hAnsi="Arial"/>
                <w:b w:val="false"/>
                <w:i w:val="false"/>
                <w:color w:val="000000"/>
                <w:sz w:val="16"/>
              </w:rPr>
              <w:t>615.8</w:t>
            </w:r>
            <w:bookmarkEnd w:id="71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3" w:id="711"/>
            <w:r>
              <w:rPr>
                <w:rFonts w:ascii="Arial" w:hAnsi="Arial"/>
                <w:b w:val="false"/>
                <w:i w:val="false"/>
                <w:color w:val="000000"/>
                <w:sz w:val="16"/>
              </w:rPr>
              <w:t>623.7</w:t>
            </w:r>
            <w:bookmarkEnd w:id="71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segment revenue</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4" w:id="712"/>
            <w:r>
              <w:rPr>
                <w:rFonts w:ascii="Arial" w:hAnsi="Arial"/>
                <w:b w:val="false"/>
                <w:i w:val="false"/>
                <w:color w:val="000000"/>
                <w:sz w:val="16"/>
              </w:rPr>
              <w:t>2,534.7</w:t>
            </w:r>
            <w:bookmarkEnd w:id="71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5" w:id="713"/>
            <w:r>
              <w:rPr>
                <w:rFonts w:ascii="Arial" w:hAnsi="Arial"/>
                <w:b w:val="false"/>
                <w:i w:val="false"/>
                <w:color w:val="000000"/>
                <w:sz w:val="16"/>
              </w:rPr>
              <w:t>2,325.6</w:t>
            </w:r>
            <w:bookmarkEnd w:id="713"/>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6" w:id="714"/>
            <w:r>
              <w:rPr>
                <w:rFonts w:ascii="Arial" w:hAnsi="Arial"/>
                <w:b w:val="false"/>
                <w:i w:val="false"/>
                <w:color w:val="000000"/>
                <w:sz w:val="16"/>
              </w:rPr>
              <w:t>4,768.3</w:t>
            </w:r>
            <w:bookmarkEnd w:id="71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7" w:id="715"/>
            <w:r>
              <w:rPr>
                <w:rFonts w:ascii="Arial" w:hAnsi="Arial"/>
                <w:b w:val="false"/>
                <w:i w:val="false"/>
                <w:color w:val="000000"/>
                <w:sz w:val="16"/>
              </w:rPr>
              <w:t>4,367.6</w:t>
            </w:r>
            <w:bookmarkEnd w:id="715"/>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color w:val="000000"/>
                <w:sz w:val="16"/>
              </w:rPr>
              <w:t>Segment cost of sales</w:t>
            </w:r>
            <w:r>
              <w:rPr>
                <w:rFonts w:ascii="Times New Roman" w:hAnsi="Times New Roman"/>
                <w:b w:val="false"/>
                <w:i w:val="false"/>
                <w:color w:val="000000"/>
                <w:sz w:val="22"/>
              </w:rPr>
              <w:t xml:space="preserve"> </w:t>
            </w:r>
            <w:r>
              <w:rPr>
                <w:rFonts w:ascii="Arial" w:hAnsi="Arial"/>
                <w:b w:val="false"/>
                <w:i/>
                <w:color w:val="000000"/>
                <w:sz w:val="10"/>
              </w:rPr>
              <w:t>(a)</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8" w:id="716"/>
            <w:r>
              <w:rPr>
                <w:rFonts w:ascii="Arial" w:hAnsi="Arial"/>
                <w:b w:val="false"/>
                <w:i w:val="false"/>
                <w:color w:val="000000"/>
                <w:sz w:val="16"/>
              </w:rPr>
              <w:t>1,700.8</w:t>
            </w:r>
            <w:bookmarkEnd w:id="71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69" w:id="717"/>
            <w:r>
              <w:rPr>
                <w:rFonts w:ascii="Arial" w:hAnsi="Arial"/>
                <w:b w:val="false"/>
                <w:i w:val="false"/>
                <w:color w:val="000000"/>
                <w:sz w:val="16"/>
              </w:rPr>
              <w:t>1,581.2</w:t>
            </w:r>
            <w:bookmarkEnd w:id="71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0" w:id="718"/>
            <w:r>
              <w:rPr>
                <w:rFonts w:ascii="Arial" w:hAnsi="Arial"/>
                <w:b w:val="false"/>
                <w:i w:val="false"/>
                <w:color w:val="000000"/>
                <w:sz w:val="16"/>
              </w:rPr>
              <w:t>3,240.7</w:t>
            </w:r>
            <w:bookmarkEnd w:id="71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1" w:id="719"/>
            <w:r>
              <w:rPr>
                <w:rFonts w:ascii="Arial" w:hAnsi="Arial"/>
                <w:b w:val="false"/>
                <w:i w:val="false"/>
                <w:color w:val="000000"/>
                <w:sz w:val="16"/>
              </w:rPr>
              <w:t>3,041.1</w:t>
            </w:r>
            <w:bookmarkEnd w:id="71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2" w:id="720"/>
            <w:r>
              <w:rPr>
                <w:rFonts w:ascii="Arial" w:hAnsi="Arial"/>
                <w:b w:val="false"/>
                <w:i w:val="false"/>
                <w:color w:val="000000"/>
                <w:sz w:val="16"/>
              </w:rPr>
              <w:t>247.4</w:t>
            </w:r>
            <w:bookmarkEnd w:id="72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3" w:id="721"/>
            <w:r>
              <w:rPr>
                <w:rFonts w:ascii="Arial" w:hAnsi="Arial"/>
                <w:b w:val="false"/>
                <w:i w:val="false"/>
                <w:color w:val="000000"/>
                <w:sz w:val="16"/>
              </w:rPr>
              <w:t>251.3</w:t>
            </w:r>
            <w:bookmarkEnd w:id="72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4" w:id="722"/>
            <w:r>
              <w:rPr>
                <w:rFonts w:ascii="Arial" w:hAnsi="Arial"/>
                <w:b w:val="false"/>
                <w:i w:val="false"/>
                <w:color w:val="000000"/>
                <w:sz w:val="16"/>
              </w:rPr>
              <w:t>484.0</w:t>
            </w:r>
            <w:bookmarkEnd w:id="72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5" w:id="723"/>
            <w:r>
              <w:rPr>
                <w:rFonts w:ascii="Arial" w:hAnsi="Arial"/>
                <w:b w:val="false"/>
                <w:i w:val="false"/>
                <w:color w:val="000000"/>
                <w:sz w:val="16"/>
              </w:rPr>
              <w:t>497.6</w:t>
            </w:r>
            <w:bookmarkEnd w:id="72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segment cost of sales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6" w:id="724"/>
            <w:r>
              <w:rPr>
                <w:rFonts w:ascii="Arial" w:hAnsi="Arial"/>
                <w:b w:val="false"/>
                <w:i w:val="false"/>
                <w:color w:val="000000"/>
                <w:sz w:val="16"/>
              </w:rPr>
              <w:t>1,948.2</w:t>
            </w:r>
            <w:bookmarkEnd w:id="72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7" w:id="725"/>
            <w:r>
              <w:rPr>
                <w:rFonts w:ascii="Arial" w:hAnsi="Arial"/>
                <w:b w:val="false"/>
                <w:i w:val="false"/>
                <w:color w:val="000000"/>
                <w:sz w:val="16"/>
              </w:rPr>
              <w:t>1,832.5</w:t>
            </w:r>
            <w:bookmarkEnd w:id="72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8" w:id="726"/>
            <w:r>
              <w:rPr>
                <w:rFonts w:ascii="Arial" w:hAnsi="Arial"/>
                <w:b w:val="false"/>
                <w:i w:val="false"/>
                <w:color w:val="000000"/>
                <w:sz w:val="16"/>
              </w:rPr>
              <w:t>3,724.7</w:t>
            </w:r>
            <w:bookmarkEnd w:id="726"/>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79" w:id="727"/>
            <w:r>
              <w:rPr>
                <w:rFonts w:ascii="Arial" w:hAnsi="Arial"/>
                <w:b w:val="false"/>
                <w:i w:val="false"/>
                <w:color w:val="000000"/>
                <w:sz w:val="16"/>
              </w:rPr>
              <w:t>3,538.7</w:t>
            </w:r>
            <w:bookmarkEnd w:id="72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color w:val="000000"/>
                <w:sz w:val="16"/>
              </w:rPr>
              <w:t>Other segment items</w:t>
            </w:r>
            <w:r>
              <w:rPr>
                <w:rFonts w:ascii="Times New Roman" w:hAnsi="Times New Roman"/>
                <w:b w:val="false"/>
                <w:i w:val="false"/>
                <w:color w:val="000000"/>
                <w:sz w:val="22"/>
              </w:rPr>
              <w:t xml:space="preserve"> </w:t>
            </w:r>
            <w:r>
              <w:rPr>
                <w:rFonts w:ascii="Arial" w:hAnsi="Arial"/>
                <w:b w:val="false"/>
                <w:i/>
                <w:color w:val="000000"/>
                <w:sz w:val="10"/>
              </w:rPr>
              <w:t>(b)</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0" w:id="728"/>
            <w:r>
              <w:rPr>
                <w:rFonts w:ascii="Arial" w:hAnsi="Arial"/>
                <w:b w:val="false"/>
                <w:i w:val="false"/>
                <w:color w:val="000000"/>
                <w:sz w:val="16"/>
              </w:rPr>
              <w:t>135.2</w:t>
            </w:r>
            <w:bookmarkEnd w:id="72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1" w:id="729"/>
            <w:r>
              <w:rPr>
                <w:rFonts w:ascii="Arial" w:hAnsi="Arial"/>
                <w:b w:val="false"/>
                <w:i w:val="false"/>
                <w:color w:val="000000"/>
                <w:sz w:val="16"/>
              </w:rPr>
              <w:t>150.2</w:t>
            </w:r>
            <w:bookmarkEnd w:id="72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2" w:id="730"/>
            <w:r>
              <w:rPr>
                <w:rFonts w:ascii="Arial" w:hAnsi="Arial"/>
                <w:b w:val="false"/>
                <w:i w:val="false"/>
                <w:color w:val="000000"/>
                <w:sz w:val="16"/>
              </w:rPr>
              <w:t>283.6</w:t>
            </w:r>
            <w:bookmarkEnd w:id="73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3" w:id="731"/>
            <w:r>
              <w:rPr>
                <w:rFonts w:ascii="Arial" w:hAnsi="Arial"/>
                <w:b w:val="false"/>
                <w:i w:val="false"/>
                <w:color w:val="000000"/>
                <w:sz w:val="16"/>
              </w:rPr>
              <w:t>268.5</w:t>
            </w:r>
            <w:bookmarkEnd w:id="73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r>
              <w:rPr>
                <w:rFonts w:ascii="Arial" w:hAnsi="Arial"/>
                <w:b w:val="false"/>
                <w:i w:val="false"/>
                <w:color w:val="000000"/>
                <w:sz w:val="10"/>
              </w:rPr>
              <w:t>(c)</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4" w:id="732"/>
            <w:r>
              <w:rPr>
                <w:rFonts w:ascii="Arial" w:hAnsi="Arial"/>
                <w:b w:val="false"/>
                <w:i w:val="false"/>
                <w:color w:val="000000"/>
                <w:sz w:val="16"/>
              </w:rPr>
              <w:t>47.6</w:t>
            </w:r>
            <w:bookmarkEnd w:id="73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5" w:id="733"/>
            <w:r>
              <w:rPr>
                <w:rFonts w:ascii="Arial" w:hAnsi="Arial"/>
                <w:b w:val="false"/>
                <w:i w:val="false"/>
                <w:color w:val="000000"/>
                <w:sz w:val="16"/>
              </w:rPr>
              <w:t>34.6</w:t>
            </w:r>
            <w:bookmarkEnd w:id="73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6" w:id="734"/>
            <w:r>
              <w:rPr>
                <w:rFonts w:ascii="Arial" w:hAnsi="Arial"/>
                <w:b w:val="false"/>
                <w:i w:val="false"/>
                <w:color w:val="000000"/>
                <w:sz w:val="16"/>
              </w:rPr>
              <w:t>78.2</w:t>
            </w:r>
            <w:bookmarkEnd w:id="73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687" w:id="735"/>
            <w:r>
              <w:rPr>
                <w:rFonts w:ascii="Arial" w:hAnsi="Arial"/>
                <w:b w:val="false"/>
                <w:i w:val="false"/>
                <w:color w:val="000000"/>
                <w:sz w:val="16"/>
              </w:rPr>
              <w:t>7.9</w:t>
            </w:r>
            <w:bookmarkEnd w:id="73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other segment items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8" w:id="736"/>
            <w:r>
              <w:rPr>
                <w:rFonts w:ascii="Arial" w:hAnsi="Arial"/>
                <w:b w:val="false"/>
                <w:i w:val="false"/>
                <w:color w:val="000000"/>
                <w:sz w:val="16"/>
              </w:rPr>
              <w:t>182.8</w:t>
            </w:r>
            <w:bookmarkEnd w:id="736"/>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89" w:id="737"/>
            <w:r>
              <w:rPr>
                <w:rFonts w:ascii="Arial" w:hAnsi="Arial"/>
                <w:b w:val="false"/>
                <w:i w:val="false"/>
                <w:color w:val="000000"/>
                <w:sz w:val="16"/>
              </w:rPr>
              <w:t>184.8</w:t>
            </w:r>
            <w:bookmarkEnd w:id="737"/>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0" w:id="738"/>
            <w:r>
              <w:rPr>
                <w:rFonts w:ascii="Arial" w:hAnsi="Arial"/>
                <w:b w:val="false"/>
                <w:i w:val="false"/>
                <w:color w:val="000000"/>
                <w:sz w:val="16"/>
              </w:rPr>
              <w:t>361.8</w:t>
            </w:r>
            <w:bookmarkEnd w:id="73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1" w:id="739"/>
            <w:r>
              <w:rPr>
                <w:rFonts w:ascii="Arial" w:hAnsi="Arial"/>
                <w:b w:val="false"/>
                <w:i w:val="false"/>
                <w:color w:val="000000"/>
                <w:sz w:val="16"/>
              </w:rPr>
              <w:t>260.6</w:t>
            </w:r>
            <w:bookmarkEnd w:id="73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Segment operating profit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2" w:id="740"/>
            <w:r>
              <w:rPr>
                <w:rFonts w:ascii="Arial" w:hAnsi="Arial"/>
                <w:b w:val="false"/>
                <w:i w:val="false"/>
                <w:color w:val="000000"/>
                <w:sz w:val="16"/>
              </w:rPr>
              <w:t>380.3</w:t>
            </w:r>
            <w:bookmarkEnd w:id="74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3" w:id="741"/>
            <w:r>
              <w:rPr>
                <w:rFonts w:ascii="Arial" w:hAnsi="Arial"/>
                <w:b w:val="false"/>
                <w:i w:val="false"/>
                <w:color w:val="000000"/>
                <w:sz w:val="16"/>
              </w:rPr>
              <w:t>277.7</w:t>
            </w:r>
            <w:bookmarkEnd w:id="74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4" w:id="742"/>
            <w:r>
              <w:rPr>
                <w:rFonts w:ascii="Arial" w:hAnsi="Arial"/>
                <w:b w:val="false"/>
                <w:i w:val="false"/>
                <w:color w:val="000000"/>
                <w:sz w:val="16"/>
              </w:rPr>
              <w:t>628.2</w:t>
            </w:r>
            <w:bookmarkEnd w:id="74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5" w:id="743"/>
            <w:r>
              <w:rPr>
                <w:rFonts w:ascii="Arial" w:hAnsi="Arial"/>
                <w:b w:val="false"/>
                <w:i w:val="false"/>
                <w:color w:val="000000"/>
                <w:sz w:val="16"/>
              </w:rPr>
              <w:t>434.3</w:t>
            </w:r>
            <w:bookmarkEnd w:id="74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r>
              <w:rPr>
                <w:rFonts w:ascii="Arial" w:hAnsi="Arial"/>
                <w:b/>
                <w:i w:val="false"/>
                <w:color w:val="000000"/>
                <w:sz w:val="10"/>
              </w:rPr>
              <w:t>(c)</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6" w:id="744"/>
            <w:r>
              <w:rPr>
                <w:rFonts w:ascii="Arial" w:hAnsi="Arial"/>
                <w:b w:val="false"/>
                <w:i w:val="false"/>
                <w:color w:val="000000"/>
                <w:sz w:val="16"/>
              </w:rPr>
              <w:t>23.4</w:t>
            </w:r>
            <w:bookmarkEnd w:id="74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7" w:id="745"/>
            <w:r>
              <w:rPr>
                <w:rFonts w:ascii="Arial" w:hAnsi="Arial"/>
                <w:b w:val="false"/>
                <w:i w:val="false"/>
                <w:color w:val="000000"/>
                <w:sz w:val="16"/>
              </w:rPr>
              <w:t>30.6</w:t>
            </w:r>
            <w:bookmarkEnd w:id="74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8" w:id="746"/>
            <w:r>
              <w:rPr>
                <w:rFonts w:ascii="Arial" w:hAnsi="Arial"/>
                <w:b w:val="false"/>
                <w:i w:val="false"/>
                <w:color w:val="000000"/>
                <w:sz w:val="16"/>
              </w:rPr>
              <w:t>53.6</w:t>
            </w:r>
            <w:bookmarkEnd w:id="74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699" w:id="747"/>
            <w:r>
              <w:rPr>
                <w:rFonts w:ascii="Arial" w:hAnsi="Arial"/>
                <w:b w:val="false"/>
                <w:i w:val="false"/>
                <w:color w:val="000000"/>
                <w:sz w:val="16"/>
              </w:rPr>
              <w:t>134.0</w:t>
            </w:r>
            <w:bookmarkEnd w:id="74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segment operating profit</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0" w:id="748"/>
            <w:r>
              <w:rPr>
                <w:rFonts w:ascii="Arial" w:hAnsi="Arial"/>
                <w:b w:val="false"/>
                <w:i w:val="false"/>
                <w:color w:val="000000"/>
                <w:sz w:val="16"/>
              </w:rPr>
              <w:t>403.7</w:t>
            </w:r>
            <w:bookmarkEnd w:id="74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1" w:id="749"/>
            <w:r>
              <w:rPr>
                <w:rFonts w:ascii="Arial" w:hAnsi="Arial"/>
                <w:b w:val="false"/>
                <w:i w:val="false"/>
                <w:color w:val="000000"/>
                <w:sz w:val="16"/>
              </w:rPr>
              <w:t>308.3</w:t>
            </w:r>
            <w:bookmarkEnd w:id="74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2" w:id="750"/>
            <w:r>
              <w:rPr>
                <w:rFonts w:ascii="Arial" w:hAnsi="Arial"/>
                <w:b w:val="false"/>
                <w:i w:val="false"/>
                <w:color w:val="000000"/>
                <w:sz w:val="16"/>
              </w:rPr>
              <w:t>681.8</w:t>
            </w:r>
            <w:bookmarkEnd w:id="75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03" w:id="751"/>
            <w:r>
              <w:rPr>
                <w:rFonts w:ascii="Arial" w:hAnsi="Arial"/>
                <w:b w:val="false"/>
                <w:i w:val="false"/>
                <w:color w:val="000000"/>
                <w:sz w:val="16"/>
              </w:rPr>
              <w:t>568.3</w:t>
            </w:r>
            <w:bookmarkEnd w:id="75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Corporate items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Corporate expens</w:t>
            </w:r>
            <w:r>
              <w:rPr>
                <w:rFonts w:ascii="Times New Roman" w:hAnsi="Times New Roman"/>
                <w:b w:val="false"/>
                <w:i w:val="false"/>
                <w:color w:val="000000"/>
                <w:sz w:val="22"/>
              </w:rPr>
              <w:t xml:space="preserve"> </w:t>
            </w:r>
            <w:r>
              <w:rPr>
                <w:rFonts w:ascii="Arial" w:hAnsi="Arial"/>
                <w:b w:val="false"/>
                <w:i w:val="false"/>
                <w:color w:val="000000"/>
                <w:sz w:val="16"/>
                <w:shd w:fill="ffffff"/>
              </w:rPr>
              <w:t>e</w:t>
            </w:r>
            <w:r>
              <w:rPr>
                <w:rFonts w:ascii="Times New Roman" w:hAnsi="Times New Roman"/>
                <w:b w:val="false"/>
                <w:i w:val="false"/>
                <w:color w:val="000000"/>
                <w:sz w:val="22"/>
              </w:rPr>
              <w:t xml:space="preserve"> </w:t>
            </w:r>
            <w:r>
              <w:rPr>
                <w:rFonts w:ascii="Arial" w:hAnsi="Arial"/>
                <w:b/>
                <w:i w:val="false"/>
                <w:color w:val="000000"/>
                <w:sz w:val="10"/>
                <w:shd w:fill="ffffff"/>
              </w:rPr>
              <w:t>(d)</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4" w:id="752"/>
            <w:r>
              <w:rPr>
                <w:rFonts w:ascii="Arial" w:hAnsi="Arial"/>
                <w:b w:val="false"/>
                <w:i w:val="false"/>
                <w:color w:val="000000"/>
                <w:sz w:val="16"/>
              </w:rPr>
              <w:t>26.6</w:t>
            </w:r>
            <w:bookmarkEnd w:id="752"/>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5" w:id="753"/>
            <w:r>
              <w:rPr>
                <w:rFonts w:ascii="Arial" w:hAnsi="Arial"/>
                <w:b w:val="false"/>
                <w:i w:val="false"/>
                <w:color w:val="000000"/>
                <w:sz w:val="16"/>
              </w:rPr>
              <w:t>23.7</w:t>
            </w:r>
            <w:bookmarkEnd w:id="75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6" w:id="754"/>
            <w:r>
              <w:rPr>
                <w:rFonts w:ascii="Arial" w:hAnsi="Arial"/>
                <w:b w:val="false"/>
                <w:i w:val="false"/>
                <w:color w:val="000000"/>
                <w:sz w:val="16"/>
              </w:rPr>
              <w:t>52.4</w:t>
            </w:r>
            <w:bookmarkEnd w:id="754"/>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7" w:id="755"/>
            <w:r>
              <w:rPr>
                <w:rFonts w:ascii="Arial" w:hAnsi="Arial"/>
                <w:b w:val="false"/>
                <w:i w:val="false"/>
                <w:color w:val="000000"/>
                <w:sz w:val="16"/>
              </w:rPr>
              <w:t>55.9</w:t>
            </w:r>
            <w:bookmarkEnd w:id="75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interest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8" w:id="756"/>
            <w:r>
              <w:rPr>
                <w:rFonts w:ascii="Arial" w:hAnsi="Arial"/>
                <w:b w:val="false"/>
                <w:i w:val="false"/>
                <w:color w:val="000000"/>
                <w:sz w:val="16"/>
              </w:rPr>
              <w:t>14.4</w:t>
            </w:r>
            <w:bookmarkEnd w:id="75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09" w:id="757"/>
            <w:r>
              <w:rPr>
                <w:rFonts w:ascii="Arial" w:hAnsi="Arial"/>
                <w:b w:val="false"/>
                <w:i w:val="false"/>
                <w:color w:val="000000"/>
                <w:sz w:val="16"/>
              </w:rPr>
              <w:t>21.4</w:t>
            </w:r>
            <w:bookmarkEnd w:id="757"/>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0" w:id="758"/>
            <w:r>
              <w:rPr>
                <w:rFonts w:ascii="Arial" w:hAnsi="Arial"/>
                <w:b w:val="false"/>
                <w:i w:val="false"/>
                <w:color w:val="000000"/>
                <w:sz w:val="16"/>
              </w:rPr>
              <w:t>24.3</w:t>
            </w:r>
            <w:bookmarkEnd w:id="75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1" w:id="759"/>
            <w:r>
              <w:rPr>
                <w:rFonts w:ascii="Arial" w:hAnsi="Arial"/>
                <w:b w:val="false"/>
                <w:i w:val="false"/>
                <w:color w:val="000000"/>
                <w:sz w:val="16"/>
              </w:rPr>
              <w:t>34.1</w:t>
            </w:r>
            <w:bookmarkEnd w:id="75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Foreign exchange gain (losses),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12" w:id="760"/>
            <w:r>
              <w:rPr>
                <w:rFonts w:ascii="Arial" w:hAnsi="Arial"/>
                <w:b w:val="false"/>
                <w:i w:val="false"/>
                <w:color w:val="000000"/>
                <w:sz w:val="16"/>
              </w:rPr>
              <w:t>12.1</w:t>
            </w:r>
            <w:bookmarkEnd w:id="76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3" w:id="761"/>
            <w:r>
              <w:rPr>
                <w:rFonts w:ascii="Arial" w:hAnsi="Arial"/>
                <w:b w:val="false"/>
                <w:i w:val="false"/>
                <w:color w:val="000000"/>
                <w:sz w:val="16"/>
              </w:rPr>
              <w:t>17.7</w:t>
            </w:r>
            <w:bookmarkEnd w:id="761"/>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14" w:id="762"/>
            <w:r>
              <w:rPr>
                <w:rFonts w:ascii="Arial" w:hAnsi="Arial"/>
                <w:b w:val="false"/>
                <w:i w:val="false"/>
                <w:color w:val="000000"/>
                <w:sz w:val="16"/>
              </w:rPr>
              <w:t>—</w:t>
            </w:r>
            <w:bookmarkEnd w:id="76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5" w:id="763"/>
            <w:r>
              <w:rPr>
                <w:rFonts w:ascii="Arial" w:hAnsi="Arial"/>
                <w:b w:val="false"/>
                <w:i w:val="false"/>
                <w:color w:val="000000"/>
                <w:sz w:val="16"/>
              </w:rPr>
              <w:t>22.2</w:t>
            </w:r>
            <w:bookmarkEnd w:id="76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r>
      <w:tr>
        <w:trPr>
          <w:trHeight w:val="345" w:hRule="atLeast"/>
        </w:trPr>
        <w:tc>
          <w:tcPr>
            <w:tcW w:w="0" w:type="auto"/>
            <w:gridSpan w:val="3"/>
            <w:tcBorders/>
            <w:shd w:fill="ccee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corporate items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6" w:id="764"/>
            <w:r>
              <w:rPr>
                <w:rFonts w:ascii="Arial" w:hAnsi="Arial"/>
                <w:b w:val="false"/>
                <w:i w:val="false"/>
                <w:color w:val="000000"/>
                <w:sz w:val="16"/>
              </w:rPr>
              <w:t>28.9</w:t>
            </w:r>
            <w:bookmarkEnd w:id="764"/>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7" w:id="765"/>
            <w:r>
              <w:rPr>
                <w:rFonts w:ascii="Arial" w:hAnsi="Arial"/>
                <w:b w:val="false"/>
                <w:i w:val="false"/>
                <w:color w:val="000000"/>
                <w:sz w:val="16"/>
              </w:rPr>
              <w:t>62.8</w:t>
            </w:r>
            <w:bookmarkEnd w:id="765"/>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8" w:id="766"/>
            <w:r>
              <w:rPr>
                <w:rFonts w:ascii="Arial" w:hAnsi="Arial"/>
                <w:b w:val="false"/>
                <w:i w:val="false"/>
                <w:color w:val="000000"/>
                <w:sz w:val="16"/>
              </w:rPr>
              <w:t>76.7</w:t>
            </w:r>
            <w:bookmarkEnd w:id="76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719" w:id="767"/>
            <w:r>
              <w:rPr>
                <w:rFonts w:ascii="Arial" w:hAnsi="Arial"/>
                <w:b w:val="false"/>
                <w:i w:val="false"/>
                <w:color w:val="000000"/>
                <w:sz w:val="16"/>
              </w:rPr>
              <w:t>112.2</w:t>
            </w:r>
            <w:bookmarkEnd w:id="767"/>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pBdr>
                <w:left w:space="27"/>
              </w:pBdr>
              <w:spacing w:before="0" w:after="0"/>
              <w:ind w:left="86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r>
              <w:rPr>
                <w:rFonts w:ascii="Arial" w:hAnsi="Arial"/>
                <w:b/>
                <w:i w:val="false"/>
                <w:color w:val="000000"/>
                <w:sz w:val="10"/>
              </w:rPr>
              <w:t>(e)</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0" w:id="768"/>
            <w:r>
              <w:rPr>
                <w:rFonts w:ascii="Arial" w:hAnsi="Arial"/>
                <w:b w:val="false"/>
                <w:i w:val="false"/>
                <w:color w:val="000000"/>
                <w:sz w:val="16"/>
              </w:rPr>
              <w:t>374.8</w:t>
            </w:r>
            <w:bookmarkEnd w:id="768"/>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1" w:id="769"/>
            <w:r>
              <w:rPr>
                <w:rFonts w:ascii="Arial" w:hAnsi="Arial"/>
                <w:b w:val="false"/>
                <w:i w:val="false"/>
                <w:color w:val="000000"/>
                <w:sz w:val="16"/>
              </w:rPr>
              <w:t>245.5</w:t>
            </w:r>
            <w:bookmarkEnd w:id="769"/>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2" w:id="770"/>
            <w:r>
              <w:rPr>
                <w:rFonts w:ascii="Arial" w:hAnsi="Arial"/>
                <w:b w:val="false"/>
                <w:i w:val="false"/>
                <w:color w:val="000000"/>
                <w:sz w:val="16"/>
              </w:rPr>
              <w:t>605.1</w:t>
            </w:r>
            <w:bookmarkEnd w:id="770"/>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2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3" w:id="771"/>
            <w:r>
              <w:rPr>
                <w:rFonts w:ascii="Arial" w:hAnsi="Arial"/>
                <w:b w:val="false"/>
                <w:i w:val="false"/>
                <w:color w:val="000000"/>
                <w:sz w:val="16"/>
              </w:rPr>
              <w:t>456.1</w:t>
            </w:r>
            <w:bookmarkEnd w:id="771"/>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655" w:id="772"/>
      <w:bookmarkEnd w:id="772"/>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r>
        <w:rPr>
          <w:rFonts w:ascii="Arial" w:hAnsi="Arial"/>
          <w:b w:val="false"/>
          <w:i w:val="false"/>
          <w:color w:val="000000"/>
          <w:sz w:val="16"/>
        </w:rPr>
        <w:t>These significant expenses are easily computable from profit measures that are regularly provided to the chief operating decision maker.</w:t>
      </w:r>
      <w:r>
        <w:rPr>
          <w:rFonts w:ascii="Times New Roman" w:hAnsi="Times New Roman"/>
          <w:b w:val="false"/>
          <w:i w:val="false"/>
          <w:color w:val="000000"/>
          <w:sz w:val="22"/>
        </w:rPr>
        <w:t xml:space="preserve"> </w:t>
      </w:r>
    </w:p>
    <w:p>
      <w:pPr>
        <w:spacing w:before="0" w:after="0"/>
        <w:ind w:left="120"/>
        <w:jc w:val="left"/>
      </w:pPr>
      <w:bookmarkStart w:name="f-655" w:id="773"/>
      <w:bookmarkEnd w:id="773"/>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(b)</w:t>
      </w:r>
      <w:r>
        <w:rPr>
          <w:rFonts w:ascii="Times New Roman" w:hAnsi="Times New Roman"/>
          <w:b w:val="false"/>
          <w:i w:val="false"/>
          <w:color w:val="000000"/>
          <w:sz w:val="22"/>
        </w:rPr>
        <w:t xml:space="preserve"> </w:t>
      </w:r>
      <w:r>
        <w:rPr>
          <w:rFonts w:ascii="Arial" w:hAnsi="Arial"/>
          <w:b w:val="false"/>
          <w:i w:val="false"/>
          <w:color w:val="000000"/>
          <w:sz w:val="16"/>
        </w:rPr>
        <w:t>Other segment items include selling, general and administrative expense, research and development expense, income (loss) from equity affiliates and restructuring, impairment and other expenses.</w:t>
      </w:r>
      <w:r>
        <w:rPr>
          <w:rFonts w:ascii="Times New Roman" w:hAnsi="Times New Roman"/>
          <w:b w:val="false"/>
          <w:i w:val="false"/>
          <w:color w:val="000000"/>
          <w:sz w:val="22"/>
        </w:rPr>
        <w:t xml:space="preserve"> </w:t>
      </w:r>
    </w:p>
    <w:p>
      <w:pPr>
        <w:spacing w:before="0" w:after="0"/>
        <w:ind w:left="120"/>
        <w:jc w:val="left"/>
      </w:pPr>
      <w:bookmarkStart w:name="f-655" w:id="774"/>
      <w:bookmarkEnd w:id="774"/>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(c)</w:t>
      </w:r>
      <w:r>
        <w:rPr>
          <w:rFonts w:ascii="Times New Roman" w:hAnsi="Times New Roman"/>
          <w:b w:val="false"/>
          <w:i w:val="false"/>
          <w:color w:val="000000"/>
          <w:sz w:val="22"/>
        </w:rPr>
        <w:t xml:space="preserve"> </w:t>
      </w:r>
      <w:r>
        <w:rPr>
          <w:rFonts w:ascii="Arial" w:hAnsi="Arial"/>
          <w:b w:val="false"/>
          <w:i w:val="false"/>
          <w:color w:val="000000"/>
          <w:sz w:val="16"/>
        </w:rPr>
        <w:t xml:space="preserve">Includes the gain on disposal of the Company’s Measurement Solutions Business for the six months ended June 30, 2024, see </w:t>
      </w:r>
      <w:hyperlink w:anchor="if5bce3d3882148cf91b6563d87cc4db5_136">
        <w:r>
          <w:rPr>
            <w:rFonts w:ascii="Arial" w:hAnsi="Arial"/>
            <w:b w:val="false"/>
            <w:i w:val="false"/>
            <w:color w:val="000000"/>
            <w:sz w:val="16"/>
          </w:rPr>
          <w:t>Note 18</w:t>
        </w:r>
      </w:hyperlink>
      <w:r>
        <w:rPr>
          <w:rFonts w:ascii="Arial" w:hAnsi="Arial"/>
          <w:b w:val="false"/>
          <w:i w:val="false"/>
          <w:color w:val="000000"/>
          <w:sz w:val="16"/>
        </w:rPr>
        <w:t xml:space="preserve"> for additional details. </w:t>
      </w:r>
    </w:p>
    <w:p>
      <w:pPr>
        <w:spacing w:before="0" w:after="0"/>
        <w:ind w:left="120"/>
        <w:jc w:val="left"/>
      </w:pPr>
      <w:bookmarkStart w:name="f-655" w:id="775"/>
      <w:bookmarkEnd w:id="775"/>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(d)</w:t>
      </w:r>
      <w:r>
        <w:rPr>
          <w:rFonts w:ascii="Times New Roman" w:hAnsi="Times New Roman"/>
          <w:b w:val="false"/>
          <w:i w:val="false"/>
          <w:color w:val="000000"/>
          <w:sz w:val="22"/>
        </w:rPr>
        <w:t xml:space="preserve"> </w:t>
      </w:r>
      <w:r>
        <w:rPr>
          <w:rFonts w:ascii="Arial" w:hAnsi="Arial"/>
          <w:b w:val="false"/>
          <w:i w:val="false"/>
          <w:color w:val="000000"/>
          <w:sz w:val="16"/>
        </w:rPr>
        <w:t>Corporate expense primarily includes corporate staff expenses, share-based compensation expenses, and other employee benefits.</w:t>
      </w:r>
      <w:r>
        <w:rPr>
          <w:rFonts w:ascii="Times New Roman" w:hAnsi="Times New Roman"/>
          <w:b w:val="false"/>
          <w:i w:val="false"/>
          <w:color w:val="000000"/>
          <w:sz w:val="22"/>
        </w:rPr>
        <w:t xml:space="preserve"> </w:t>
      </w:r>
    </w:p>
    <w:p>
      <w:pPr>
        <w:spacing w:before="0" w:after="0"/>
        <w:ind w:left="120"/>
        <w:jc w:val="left"/>
      </w:pPr>
      <w:bookmarkStart w:name="f-655" w:id="776"/>
      <w:bookmarkEnd w:id="776"/>
      <w:bookmarkStart w:name="f-653-2" w:id="777"/>
      <w:bookmarkEnd w:id="777"/>
    </w:p>
    <w:p>
      <w:pPr>
        <w:pBdr>
          <w:left w:space="13"/>
        </w:pBdr>
        <w:spacing w:before="0" w:after="180"/>
        <w:ind w:left="480"/>
        <w:jc w:val="left"/>
      </w:pPr>
      <w:r>
        <w:rPr>
          <w:rFonts w:ascii="Times New Roman" w:hAnsi="Times New Roman"/>
          <w:b w:val="false"/>
          <w:i w:val="false"/>
          <w:color w:val="000000"/>
          <w:sz w:val="22"/>
        </w:rPr>
        <w:t xml:space="preserve"> </w:t>
      </w:r>
      <w:bookmarkStart w:name="f-655-1" w:id="778"/>
      <w:bookmarkEnd w:id="778"/>
      <w:r>
        <w:rPr>
          <w:rFonts w:ascii="Arial" w:hAnsi="Arial"/>
          <w:b w:val="false"/>
          <w:i w:val="false"/>
          <w:color w:val="000000"/>
          <w:sz w:val="16"/>
        </w:rPr>
        <w:t>(e)</w:t>
      </w:r>
      <w:bookmarkStart w:name="f-655-1" w:id="779"/>
      <w:r>
        <w:rPr>
          <w:rFonts w:ascii="Times New Roman" w:hAnsi="Times New Roman"/>
          <w:b w:val="false"/>
          <w:i w:val="false"/>
          <w:color w:val="000000"/>
          <w:sz w:val="22"/>
        </w:rPr>
        <w:t xml:space="preserve"> </w:t>
      </w:r>
      <w:bookmarkEnd w:id="779"/>
      <w:bookmarkStart w:name="f-655-2" w:id="780"/>
      <w:r>
        <w:rPr>
          <w:rFonts w:ascii="Arial" w:hAnsi="Arial"/>
          <w:b w:val="false"/>
          <w:i w:val="false"/>
          <w:color w:val="000000"/>
          <w:sz w:val="16"/>
        </w:rPr>
        <w:t>Includes amounts attributable to non-controlling interests.</w:t>
      </w:r>
      <w:bookmarkEnd w:id="780"/>
      <w:r>
        <w:rPr>
          <w:rFonts w:ascii="Arial" w:hAnsi="Arial"/>
          <w:b w:val="false"/>
          <w:i w:val="false"/>
          <w:color w:val="000000"/>
          <w:sz w:val="16"/>
        </w:rPr>
        <w:t xml:space="preserve"> </w:t>
      </w:r>
    </w:p>
    <w:p>
      <w:pPr>
        <w:spacing w:before="0" w:after="0"/>
        <w:ind w:left="120"/>
        <w:jc w:val="left"/>
      </w:pPr>
      <w:bookmarkStart w:name="f-653-2" w:id="781"/>
      <w:bookmarkEnd w:id="781"/>
      <w:bookmarkStart w:name="f-724" w:id="782"/>
      <w:bookmarkEnd w:id="78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shd w:fill="ffffff"/>
        </w:rPr>
        <w:t>Segment assets were as follows:</w:t>
      </w:r>
      <w:r>
        <w:rPr>
          <w:rFonts w:ascii="Times New Roman" w:hAnsi="Times New Roman"/>
          <w:b w:val="false"/>
          <w:i w:val="false"/>
          <w:color w:val="000000"/>
          <w:sz w:val="22"/>
        </w:rPr>
        <w:t xml:space="preserve"> </w:t>
      </w:r>
    </w:p>
    <w:p>
      <w:pPr>
        <w:spacing w:before="0" w:after="0"/>
        <w:ind w:left="120"/>
        <w:jc w:val="left"/>
      </w:pPr>
      <w:bookmarkStart w:name="f-724" w:id="783"/>
      <w:bookmarkEnd w:id="783"/>
    </w:p>
    <w:p>
      <w:pPr>
        <w:spacing w:before="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8565"/>
        <w:gridCol w:w="441"/>
        <w:gridCol w:w="146"/>
        <w:gridCol w:w="1711"/>
        <w:gridCol w:w="40"/>
        <w:gridCol w:w="40"/>
        <w:gridCol w:w="40"/>
        <w:gridCol w:w="40"/>
        <w:gridCol w:w="155"/>
        <w:gridCol w:w="1974"/>
        <w:gridCol w:w="43"/>
      </w:tblGrid>
      <w:tr>
        <w:trPr>
          <w:trHeight w:val="30" w:hRule="atLeast"/>
        </w:trPr>
        <w:tc>
          <w:tcPr>
            <w:tcW w:w="439" w:type="dxa"/>
            <w:tcBorders/>
            <w:tcMar>
              <w:top w:w="15" w:type="dxa"/>
              <w:left w:w="15" w:type="dxa"/>
              <w:bottom w:w="15" w:type="dxa"/>
              <w:right w:w="15" w:type="dxa"/>
            </w:tcMar>
            <w:vAlign w:val="center"/>
          </w:tcPr>
          <w:p/>
        </w:tc>
        <w:tc>
          <w:tcPr>
            <w:tcW w:w="8565"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7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974"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Segment assets</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5" w:id="784"/>
            <w:r>
              <w:rPr>
                <w:rFonts w:ascii="Arial" w:hAnsi="Arial"/>
                <w:b w:val="false"/>
                <w:i w:val="false"/>
                <w:color w:val="000000"/>
                <w:sz w:val="16"/>
              </w:rPr>
              <w:t>7,173.5</w:t>
            </w:r>
            <w:bookmarkEnd w:id="78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5"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97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6" w:id="785"/>
            <w:r>
              <w:rPr>
                <w:rFonts w:ascii="Arial" w:hAnsi="Arial"/>
                <w:b w:val="false"/>
                <w:i w:val="false"/>
                <w:color w:val="000000"/>
                <w:sz w:val="16"/>
              </w:rPr>
              <w:t>6,894.0</w:t>
            </w:r>
            <w:bookmarkEnd w:id="785"/>
            <w:r>
              <w:rPr>
                <w:rFonts w:ascii="Arial" w:hAnsi="Arial"/>
                <w:b w:val="false"/>
                <w:i w:val="false"/>
                <w:color w:val="000000"/>
                <w:sz w:val="16"/>
              </w:rPr>
              <w:t xml:space="preserve">   </w:t>
            </w:r>
          </w:p>
        </w:tc>
        <w:tc>
          <w:tcPr>
            <w:tcW w:w="43"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7" w:id="786"/>
            <w:r>
              <w:rPr>
                <w:rFonts w:ascii="Arial" w:hAnsi="Arial"/>
                <w:b w:val="false"/>
                <w:i w:val="false"/>
                <w:color w:val="000000"/>
                <w:sz w:val="16"/>
              </w:rPr>
              <w:t>1,220.3</w:t>
            </w:r>
            <w:bookmarkEnd w:id="78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8" w:id="787"/>
            <w:r>
              <w:rPr>
                <w:rFonts w:ascii="Arial" w:hAnsi="Arial"/>
                <w:b w:val="false"/>
                <w:i w:val="false"/>
                <w:color w:val="000000"/>
                <w:sz w:val="16"/>
              </w:rPr>
              <w:t>1,208.3</w:t>
            </w:r>
            <w:bookmarkEnd w:id="787"/>
            <w:r>
              <w:rPr>
                <w:rFonts w:ascii="Arial" w:hAnsi="Arial"/>
                <w:b w:val="false"/>
                <w:i w:val="false"/>
                <w:color w:val="000000"/>
                <w:sz w:val="16"/>
              </w:rPr>
              <w:t xml:space="preserve">   </w:t>
            </w:r>
          </w:p>
        </w:tc>
        <w:tc>
          <w:tcPr>
            <w:tcW w:w="43" w:type="dxa"/>
            <w:tcBorders/>
            <w:shd w:fill="cceeff"/>
            <w:tcMar>
              <w:top w:w="30" w:type="dxa"/>
              <w:left w:w="15" w:type="dxa"/>
              <w:bottom w:w="30" w:type="dxa"/>
              <w:right w:w="15" w:type="dxa"/>
            </w:tcMar>
            <w:vAlign w:val="bottom"/>
          </w:tcPr>
          <w:p/>
        </w:tc>
      </w:tr>
      <w:tr>
        <w:trPr>
          <w:trHeight w:val="405" w:hRule="atLeast"/>
        </w:trPr>
        <w:tc>
          <w:tcPr>
            <w:tcW w:w="0" w:type="auto"/>
            <w:gridSpan w:val="3"/>
            <w:tcBorders/>
            <w:shd w:fill="ffffff"/>
            <w:tcMar>
              <w:top w:w="30" w:type="dxa"/>
              <w:left w:w="10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segment assets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29" w:id="788"/>
            <w:r>
              <w:rPr>
                <w:rFonts w:ascii="Arial" w:hAnsi="Arial"/>
                <w:b w:val="false"/>
                <w:i w:val="false"/>
                <w:color w:val="000000"/>
                <w:sz w:val="16"/>
              </w:rPr>
              <w:t>8,393.8</w:t>
            </w:r>
            <w:bookmarkEnd w:id="78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0" w:id="789"/>
            <w:r>
              <w:rPr>
                <w:rFonts w:ascii="Arial" w:hAnsi="Arial"/>
                <w:b w:val="false"/>
                <w:i w:val="false"/>
                <w:color w:val="000000"/>
                <w:sz w:val="16"/>
              </w:rPr>
              <w:t>8,102.3</w:t>
            </w:r>
            <w:bookmarkEnd w:id="789"/>
            <w:r>
              <w:rPr>
                <w:rFonts w:ascii="Arial" w:hAnsi="Arial"/>
                <w:b w:val="false"/>
                <w:i w:val="false"/>
                <w:color w:val="000000"/>
                <w:sz w:val="16"/>
              </w:rPr>
              <w:t xml:space="preserve">   </w:t>
            </w:r>
          </w:p>
        </w:tc>
        <w:tc>
          <w:tcPr>
            <w:tcW w:w="43"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Corporate</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1" w:id="790"/>
            <w:r>
              <w:rPr>
                <w:rFonts w:ascii="Arial" w:hAnsi="Arial"/>
                <w:b w:val="false"/>
                <w:i w:val="false"/>
                <w:color w:val="000000"/>
                <w:sz w:val="16"/>
              </w:rPr>
              <w:t>1,688.1</w:t>
            </w:r>
            <w:bookmarkEnd w:id="79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2" w:id="791"/>
            <w:r>
              <w:rPr>
                <w:rFonts w:ascii="Arial" w:hAnsi="Arial"/>
                <w:b w:val="false"/>
                <w:i w:val="false"/>
                <w:color w:val="000000"/>
                <w:sz w:val="16"/>
              </w:rPr>
              <w:t>1,766.9</w:t>
            </w:r>
            <w:bookmarkEnd w:id="791"/>
            <w:r>
              <w:rPr>
                <w:rFonts w:ascii="Arial" w:hAnsi="Arial"/>
                <w:b w:val="false"/>
                <w:i w:val="false"/>
                <w:color w:val="000000"/>
                <w:sz w:val="16"/>
              </w:rPr>
              <w:t xml:space="preserve">   </w:t>
            </w:r>
          </w:p>
        </w:tc>
        <w:tc>
          <w:tcPr>
            <w:tcW w:w="43"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assets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1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3" w:id="792"/>
            <w:r>
              <w:rPr>
                <w:rFonts w:ascii="Arial" w:hAnsi="Arial"/>
                <w:b w:val="false"/>
                <w:i w:val="false"/>
                <w:color w:val="000000"/>
                <w:sz w:val="16"/>
              </w:rPr>
              <w:t>10,081.9</w:t>
            </w:r>
            <w:bookmarkEnd w:id="792"/>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97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4" w:id="793"/>
            <w:r>
              <w:rPr>
                <w:rFonts w:ascii="Arial" w:hAnsi="Arial"/>
                <w:b w:val="false"/>
                <w:i w:val="false"/>
                <w:color w:val="000000"/>
                <w:sz w:val="16"/>
              </w:rPr>
              <w:t>9,869.2</w:t>
            </w:r>
            <w:bookmarkEnd w:id="793"/>
            <w:r>
              <w:rPr>
                <w:rFonts w:ascii="Arial" w:hAnsi="Arial"/>
                <w:b w:val="false"/>
                <w:i w:val="false"/>
                <w:color w:val="000000"/>
                <w:sz w:val="16"/>
              </w:rPr>
              <w:t xml:space="preserve">   </w:t>
            </w:r>
          </w:p>
        </w:tc>
        <w:tc>
          <w:tcPr>
            <w:tcW w:w="43"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724" w:id="794"/>
      <w:bookmarkEnd w:id="794"/>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val="false"/>
          <w:color w:val="000000"/>
          <w:sz w:val="16"/>
          <w:shd w:fill="ffffff"/>
        </w:rPr>
        <w:t>(a)</w:t>
      </w:r>
      <w:r>
        <w:rPr>
          <w:rFonts w:ascii="Times New Roman" w:hAnsi="Times New Roman"/>
          <w:b w:val="false"/>
          <w:i w:val="false"/>
          <w:color w:val="000000"/>
          <w:sz w:val="22"/>
        </w:rPr>
        <w:t xml:space="preserve"> </w:t>
      </w:r>
      <w:r>
        <w:rPr>
          <w:rFonts w:ascii="Arial" w:hAnsi="Arial"/>
          <w:b w:val="false"/>
          <w:i w:val="false"/>
          <w:color w:val="000000"/>
          <w:sz w:val="16"/>
        </w:rPr>
        <w:t>Corporate includes cash, deferred income tax balances, property, plant and equipment intangible assets, assets not associated with a specific segment, pension assets, and the fair value of derivative financial instruments.</w:t>
      </w:r>
      <w:r>
        <w:rPr>
          <w:rFonts w:ascii="Times New Roman" w:hAnsi="Times New Roman"/>
          <w:b w:val="false"/>
          <w:i w:val="false"/>
          <w:color w:val="000000"/>
          <w:sz w:val="22"/>
        </w:rPr>
        <w:t xml:space="preserve"> </w:t>
      </w:r>
    </w:p>
    <w:p>
      <w:pPr>
        <w:spacing w:before="0" w:after="0"/>
        <w:ind w:left="120"/>
        <w:jc w:val="left"/>
      </w:pPr>
      <w:bookmarkStart w:name="f-724" w:id="795"/>
      <w:bookmarkEnd w:id="795"/>
      <w:bookmarkStart w:name="f-653-2" w:id="796"/>
      <w:bookmarkEnd w:id="796"/>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735" w:id="797"/>
      <w:bookmarkEnd w:id="797"/>
      <w:bookmarkStart w:name="f-653-3" w:id="798"/>
      <w:bookmarkEnd w:id="79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business segment information is as follows:</w:t>
      </w:r>
      <w:r>
        <w:rPr>
          <w:rFonts w:ascii="Times New Roman" w:hAnsi="Times New Roman"/>
          <w:b w:val="false"/>
          <w:i w:val="false"/>
          <w:color w:val="000000"/>
          <w:sz w:val="22"/>
        </w:rPr>
        <w:t xml:space="preserve"> </w:t>
      </w:r>
    </w:p>
    <w:p>
      <w:pPr>
        <w:spacing w:before="0" w:after="0"/>
        <w:ind w:left="120"/>
        <w:jc w:val="left"/>
      </w:pPr>
      <w:bookmarkStart w:name="f-653-3" w:id="799"/>
      <w:bookmarkEnd w:id="799"/>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4407"/>
        <w:gridCol w:w="441"/>
        <w:gridCol w:w="176"/>
        <w:gridCol w:w="1049"/>
        <w:gridCol w:w="48"/>
        <w:gridCol w:w="48"/>
        <w:gridCol w:w="48"/>
        <w:gridCol w:w="48"/>
        <w:gridCol w:w="176"/>
        <w:gridCol w:w="1049"/>
        <w:gridCol w:w="48"/>
        <w:gridCol w:w="48"/>
        <w:gridCol w:w="49"/>
        <w:gridCol w:w="49"/>
        <w:gridCol w:w="146"/>
        <w:gridCol w:w="1045"/>
        <w:gridCol w:w="40"/>
        <w:gridCol w:w="40"/>
        <w:gridCol w:w="40"/>
        <w:gridCol w:w="40"/>
        <w:gridCol w:w="146"/>
        <w:gridCol w:w="1030"/>
        <w:gridCol w:w="40"/>
        <w:gridCol w:w="40"/>
        <w:gridCol w:w="40"/>
        <w:gridCol w:w="40"/>
        <w:gridCol w:w="207"/>
        <w:gridCol w:w="1063"/>
        <w:gridCol w:w="56"/>
        <w:gridCol w:w="56"/>
        <w:gridCol w:w="56"/>
        <w:gridCol w:w="57"/>
        <w:gridCol w:w="208"/>
        <w:gridCol w:w="1063"/>
        <w:gridCol w:w="58"/>
      </w:tblGrid>
      <w:tr>
        <w:trPr>
          <w:trHeight w:val="30" w:hRule="atLeast"/>
        </w:trPr>
        <w:tc>
          <w:tcPr>
            <w:tcW w:w="439" w:type="dxa"/>
            <w:tcBorders/>
            <w:tcMar>
              <w:top w:w="15" w:type="dxa"/>
              <w:left w:w="15" w:type="dxa"/>
              <w:bottom w:w="15" w:type="dxa"/>
              <w:right w:w="15" w:type="dxa"/>
            </w:tcMar>
            <w:vAlign w:val="center"/>
          </w:tcPr>
          <w:p/>
        </w:tc>
        <w:tc>
          <w:tcPr>
            <w:tcW w:w="4407"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76" w:type="dxa"/>
            <w:tcBorders/>
            <w:tcMar>
              <w:top w:w="15" w:type="dxa"/>
              <w:left w:w="15" w:type="dxa"/>
              <w:bottom w:w="15" w:type="dxa"/>
              <w:right w:w="15" w:type="dxa"/>
            </w:tcMar>
            <w:vAlign w:val="center"/>
          </w:tcPr>
          <w:p/>
        </w:tc>
        <w:tc>
          <w:tcPr>
            <w:tcW w:w="1049"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176" w:type="dxa"/>
            <w:tcBorders/>
            <w:tcMar>
              <w:top w:w="15" w:type="dxa"/>
              <w:left w:w="15" w:type="dxa"/>
              <w:bottom w:w="15" w:type="dxa"/>
              <w:right w:w="15" w:type="dxa"/>
            </w:tcMar>
            <w:vAlign w:val="center"/>
          </w:tcPr>
          <w:p/>
        </w:tc>
        <w:tc>
          <w:tcPr>
            <w:tcW w:w="1049"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c>
          <w:tcPr>
            <w:tcW w:w="49" w:type="dxa"/>
            <w:tcBorders/>
            <w:tcMar>
              <w:top w:w="15" w:type="dxa"/>
              <w:left w:w="15" w:type="dxa"/>
              <w:bottom w:w="15" w:type="dxa"/>
              <w:right w:w="15" w:type="dxa"/>
            </w:tcMar>
            <w:vAlign w:val="center"/>
          </w:tcPr>
          <w:p/>
        </w:tc>
        <w:tc>
          <w:tcPr>
            <w:tcW w:w="49"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3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7" w:type="dxa"/>
            <w:tcBorders/>
            <w:tcMar>
              <w:top w:w="15" w:type="dxa"/>
              <w:left w:w="15" w:type="dxa"/>
              <w:bottom w:w="15" w:type="dxa"/>
              <w:right w:w="15" w:type="dxa"/>
            </w:tcMar>
            <w:vAlign w:val="center"/>
          </w:tcPr>
          <w:p/>
        </w:tc>
        <w:tc>
          <w:tcPr>
            <w:tcW w:w="1063"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208" w:type="dxa"/>
            <w:tcBorders/>
            <w:tcMar>
              <w:top w:w="15" w:type="dxa"/>
              <w:left w:w="15" w:type="dxa"/>
              <w:bottom w:w="15" w:type="dxa"/>
              <w:right w:w="15" w:type="dxa"/>
            </w:tcMar>
            <w:vAlign w:val="center"/>
          </w:tcPr>
          <w:p/>
        </w:tc>
        <w:tc>
          <w:tcPr>
            <w:tcW w:w="1063"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r>
      <w:tr>
        <w:trPr>
          <w:trHeight w:val="600" w:hRule="atLeast"/>
        </w:trPr>
        <w:tc>
          <w:tcPr>
            <w:tcW w:w="0" w:type="auto"/>
            <w:gridSpan w:val="3"/>
            <w:tcBorders/>
            <w:tcMar>
              <w:top w:w="15" w:type="dxa"/>
              <w:left w:w="15" w:type="dxa"/>
              <w:bottom w:w="15" w:type="dxa"/>
              <w:right w:w="15" w:type="dxa"/>
            </w:tcMar>
            <w:vAlign w:val="center"/>
          </w:tcPr>
          <w:p/>
        </w:tc>
        <w:tc>
          <w:tcPr>
            <w:tcW w:w="0" w:type="auto"/>
            <w:gridSpan w:val="12"/>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Capital Expenditures</w:t>
            </w:r>
            <w:r>
              <w:rPr>
                <w:rFonts w:ascii="Times New Roman" w:hAnsi="Times New Roman"/>
                <w:b w:val="false"/>
                <w:i w:val="false"/>
                <w:color w:val="000000"/>
                <w:sz w:val="22"/>
              </w:rPr>
              <w:t xml:space="preserve"> </w:t>
            </w:r>
          </w:p>
        </w:tc>
        <w:tc>
          <w:tcPr>
            <w:tcW w:w="0" w:type="auto"/>
            <w:gridSpan w:val="12"/>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Depreciation and </w:t>
            </w:r>
            <w:r>
              <w:br/>
            </w:r>
            <w:r>
              <w:rPr>
                <w:rFonts w:ascii="Arial" w:hAnsi="Arial"/>
                <w:b/>
                <w:i w:val="false"/>
                <w:color w:val="000000"/>
                <w:sz w:val="16"/>
              </w:rPr>
              <w:t xml:space="preserve"> Amortization </w:t>
            </w:r>
          </w:p>
        </w:tc>
        <w:tc>
          <w:tcPr>
            <w:tcW w:w="0" w:type="auto"/>
            <w:gridSpan w:val="9"/>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Research and </w:t>
            </w:r>
            <w:r>
              <w:br/>
            </w:r>
            <w:r>
              <w:rPr>
                <w:rFonts w:ascii="Arial" w:hAnsi="Arial"/>
                <w:b/>
                <w:i w:val="false"/>
                <w:color w:val="000000"/>
                <w:sz w:val="16"/>
              </w:rPr>
              <w:t xml:space="preserve"> Development Expense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3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 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7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6" w:id="800"/>
            <w:r>
              <w:rPr>
                <w:rFonts w:ascii="Arial" w:hAnsi="Arial"/>
                <w:b w:val="false"/>
                <w:i w:val="false"/>
                <w:color w:val="000000"/>
                <w:sz w:val="16"/>
              </w:rPr>
              <w:t>54.3</w:t>
            </w:r>
            <w:bookmarkEnd w:id="800"/>
            <w:r>
              <w:rPr>
                <w:rFonts w:ascii="Arial" w:hAnsi="Arial"/>
                <w:b w:val="false"/>
                <w:i w:val="false"/>
                <w:color w:val="000000"/>
                <w:sz w:val="16"/>
              </w:rPr>
              <w:t xml:space="preserve">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7" w:id="801"/>
            <w:r>
              <w:rPr>
                <w:rFonts w:ascii="Arial" w:hAnsi="Arial"/>
                <w:b w:val="false"/>
                <w:i w:val="false"/>
                <w:color w:val="000000"/>
                <w:sz w:val="16"/>
              </w:rPr>
              <w:t>44.4</w:t>
            </w:r>
            <w:bookmarkEnd w:id="801"/>
            <w:r>
              <w:rPr>
                <w:rFonts w:ascii="Arial" w:hAnsi="Arial"/>
                <w:b w:val="false"/>
                <w:i w:val="false"/>
                <w:color w:val="000000"/>
                <w:sz w:val="16"/>
              </w:rPr>
              <w:t xml:space="preserve">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8" w:id="802"/>
            <w:r>
              <w:rPr>
                <w:rFonts w:ascii="Arial" w:hAnsi="Arial"/>
                <w:b w:val="false"/>
                <w:i w:val="false"/>
                <w:color w:val="000000"/>
                <w:sz w:val="16"/>
              </w:rPr>
              <w:t>104.4</w:t>
            </w:r>
            <w:bookmarkEnd w:id="80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39" w:id="803"/>
            <w:r>
              <w:rPr>
                <w:rFonts w:ascii="Arial" w:hAnsi="Arial"/>
                <w:b w:val="false"/>
                <w:i w:val="false"/>
                <w:color w:val="000000"/>
                <w:sz w:val="16"/>
              </w:rPr>
              <w:t>79.0</w:t>
            </w:r>
            <w:bookmarkEnd w:id="80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0" w:id="804"/>
            <w:r>
              <w:rPr>
                <w:rFonts w:ascii="Arial" w:hAnsi="Arial"/>
                <w:b w:val="false"/>
                <w:i w:val="false"/>
                <w:color w:val="000000"/>
                <w:sz w:val="16"/>
              </w:rPr>
              <w:t>12.8</w:t>
            </w:r>
            <w:bookmarkEnd w:id="804"/>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1" w:id="805"/>
            <w:r>
              <w:rPr>
                <w:rFonts w:ascii="Arial" w:hAnsi="Arial"/>
                <w:b w:val="false"/>
                <w:i w:val="false"/>
                <w:color w:val="000000"/>
                <w:sz w:val="16"/>
              </w:rPr>
              <w:t>13.3</w:t>
            </w:r>
            <w:bookmarkEnd w:id="805"/>
            <w:r>
              <w:rPr>
                <w:rFonts w:ascii="Arial" w:hAnsi="Arial"/>
                <w:b w:val="false"/>
                <w:i w:val="false"/>
                <w:color w:val="000000"/>
                <w:sz w:val="16"/>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2" w:id="806"/>
            <w:r>
              <w:rPr>
                <w:rFonts w:ascii="Arial" w:hAnsi="Arial"/>
                <w:b w:val="false"/>
                <w:i w:val="false"/>
                <w:color w:val="000000"/>
                <w:sz w:val="16"/>
              </w:rPr>
              <w:t>14.4</w:t>
            </w:r>
            <w:bookmarkEnd w:id="806"/>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3" w:id="807"/>
            <w:r>
              <w:rPr>
                <w:rFonts w:ascii="Arial" w:hAnsi="Arial"/>
                <w:b w:val="false"/>
                <w:i w:val="false"/>
                <w:color w:val="000000"/>
                <w:sz w:val="16"/>
              </w:rPr>
              <w:t>6.5</w:t>
            </w:r>
            <w:bookmarkEnd w:id="807"/>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4" w:id="808"/>
            <w:r>
              <w:rPr>
                <w:rFonts w:ascii="Arial" w:hAnsi="Arial"/>
                <w:b w:val="false"/>
                <w:i w:val="false"/>
                <w:color w:val="000000"/>
                <w:sz w:val="16"/>
              </w:rPr>
              <w:t>10.7</w:t>
            </w:r>
            <w:bookmarkEnd w:id="80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5" w:id="809"/>
            <w:r>
              <w:rPr>
                <w:rFonts w:ascii="Arial" w:hAnsi="Arial"/>
                <w:b w:val="false"/>
                <w:i w:val="false"/>
                <w:color w:val="000000"/>
                <w:sz w:val="16"/>
              </w:rPr>
              <w:t>12.8</w:t>
            </w:r>
            <w:bookmarkEnd w:id="80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6" w:id="810"/>
            <w:r>
              <w:rPr>
                <w:rFonts w:ascii="Arial" w:hAnsi="Arial"/>
                <w:b w:val="false"/>
                <w:i w:val="false"/>
                <w:color w:val="000000"/>
                <w:sz w:val="16"/>
              </w:rPr>
              <w:t>1.3</w:t>
            </w:r>
            <w:bookmarkEnd w:id="810"/>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7" w:id="811"/>
            <w:r>
              <w:rPr>
                <w:rFonts w:ascii="Arial" w:hAnsi="Arial"/>
                <w:b w:val="false"/>
                <w:i w:val="false"/>
                <w:color w:val="000000"/>
                <w:sz w:val="16"/>
              </w:rPr>
              <w:t>1.9</w:t>
            </w:r>
            <w:bookmarkEnd w:id="811"/>
            <w:r>
              <w:rPr>
                <w:rFonts w:ascii="Arial" w:hAnsi="Arial"/>
                <w:b w:val="false"/>
                <w:i w:val="false"/>
                <w:color w:val="000000"/>
                <w:sz w:val="16"/>
              </w:rPr>
              <w:t xml:space="preserve">   </w:t>
            </w:r>
          </w:p>
        </w:tc>
        <w:tc>
          <w:tcPr>
            <w:tcW w:w="58"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0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Subtotal</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8" w:id="812"/>
            <w:r>
              <w:rPr>
                <w:rFonts w:ascii="Arial" w:hAnsi="Arial"/>
                <w:b w:val="false"/>
                <w:i w:val="false"/>
                <w:color w:val="000000"/>
                <w:sz w:val="16"/>
              </w:rPr>
              <w:t>68.7</w:t>
            </w:r>
            <w:bookmarkEnd w:id="812"/>
            <w:r>
              <w:rPr>
                <w:rFonts w:ascii="Arial" w:hAnsi="Arial"/>
                <w:b w:val="false"/>
                <w:i w:val="false"/>
                <w:color w:val="000000"/>
                <w:sz w:val="16"/>
              </w:rPr>
              <w:t xml:space="preserve">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49" w:id="813"/>
            <w:r>
              <w:rPr>
                <w:rFonts w:ascii="Arial" w:hAnsi="Arial"/>
                <w:b w:val="false"/>
                <w:i w:val="false"/>
                <w:color w:val="000000"/>
                <w:sz w:val="16"/>
              </w:rPr>
              <w:t>50.9</w:t>
            </w:r>
            <w:bookmarkEnd w:id="813"/>
            <w:r>
              <w:rPr>
                <w:rFonts w:ascii="Arial" w:hAnsi="Arial"/>
                <w:b w:val="false"/>
                <w:i w:val="false"/>
                <w:color w:val="000000"/>
                <w:sz w:val="16"/>
              </w:rPr>
              <w:t xml:space="preserve">   </w:t>
            </w:r>
          </w:p>
        </w:tc>
        <w:tc>
          <w:tcPr>
            <w:tcW w:w="4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0" w:id="814"/>
            <w:r>
              <w:rPr>
                <w:rFonts w:ascii="Arial" w:hAnsi="Arial"/>
                <w:b w:val="false"/>
                <w:i w:val="false"/>
                <w:color w:val="000000"/>
                <w:sz w:val="16"/>
              </w:rPr>
              <w:t>115.1</w:t>
            </w:r>
            <w:bookmarkEnd w:id="81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1" w:id="815"/>
            <w:r>
              <w:rPr>
                <w:rFonts w:ascii="Arial" w:hAnsi="Arial"/>
                <w:b w:val="false"/>
                <w:i w:val="false"/>
                <w:color w:val="000000"/>
                <w:sz w:val="16"/>
              </w:rPr>
              <w:t>91.8</w:t>
            </w:r>
            <w:bookmarkEnd w:id="81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2" w:id="816"/>
            <w:r>
              <w:rPr>
                <w:rFonts w:ascii="Arial" w:hAnsi="Arial"/>
                <w:b w:val="false"/>
                <w:i w:val="false"/>
                <w:color w:val="000000"/>
                <w:sz w:val="16"/>
              </w:rPr>
              <w:t>14.1</w:t>
            </w:r>
            <w:bookmarkEnd w:id="816"/>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3" w:id="817"/>
            <w:r>
              <w:rPr>
                <w:rFonts w:ascii="Arial" w:hAnsi="Arial"/>
                <w:b w:val="false"/>
                <w:i w:val="false"/>
                <w:color w:val="000000"/>
                <w:sz w:val="16"/>
              </w:rPr>
              <w:t>15.2</w:t>
            </w:r>
            <w:bookmarkEnd w:id="817"/>
            <w:r>
              <w:rPr>
                <w:rFonts w:ascii="Arial" w:hAnsi="Arial"/>
                <w:b w:val="false"/>
                <w:i w:val="false"/>
                <w:color w:val="000000"/>
                <w:sz w:val="16"/>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Corporate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4" w:id="818"/>
            <w:r>
              <w:rPr>
                <w:rFonts w:ascii="Arial" w:hAnsi="Arial"/>
                <w:b w:val="false"/>
                <w:i w:val="false"/>
                <w:color w:val="000000"/>
                <w:sz w:val="16"/>
              </w:rPr>
              <w:t>14.9</w:t>
            </w:r>
            <w:bookmarkEnd w:id="818"/>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5" w:id="819"/>
            <w:r>
              <w:rPr>
                <w:rFonts w:ascii="Arial" w:hAnsi="Arial"/>
                <w:b w:val="false"/>
                <w:i w:val="false"/>
                <w:color w:val="000000"/>
                <w:sz w:val="16"/>
              </w:rPr>
              <w:t>—</w:t>
            </w:r>
            <w:bookmarkEnd w:id="819"/>
            <w:r>
              <w:rPr>
                <w:rFonts w:ascii="Arial" w:hAnsi="Arial"/>
                <w:b w:val="false"/>
                <w:i w:val="false"/>
                <w:color w:val="000000"/>
                <w:sz w:val="16"/>
              </w:rPr>
              <w:t xml:space="preserve">   </w:t>
            </w:r>
          </w:p>
        </w:tc>
        <w:tc>
          <w:tcPr>
            <w:tcW w:w="4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6" w:id="820"/>
            <w:r>
              <w:rPr>
                <w:rFonts w:ascii="Arial" w:hAnsi="Arial"/>
                <w:b w:val="false"/>
                <w:i w:val="false"/>
                <w:color w:val="000000"/>
                <w:sz w:val="16"/>
              </w:rPr>
              <w:t>0.1</w:t>
            </w:r>
            <w:bookmarkEnd w:id="82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7" w:id="821"/>
            <w:r>
              <w:rPr>
                <w:rFonts w:ascii="Arial" w:hAnsi="Arial"/>
                <w:b w:val="false"/>
                <w:i w:val="false"/>
                <w:color w:val="000000"/>
                <w:sz w:val="16"/>
              </w:rPr>
              <w:t>0.3</w:t>
            </w:r>
            <w:bookmarkEnd w:id="82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8" w:id="822"/>
            <w:r>
              <w:rPr>
                <w:rFonts w:ascii="Arial" w:hAnsi="Arial"/>
                <w:b w:val="false"/>
                <w:i w:val="false"/>
                <w:color w:val="000000"/>
                <w:sz w:val="16"/>
              </w:rPr>
              <w:t>—</w:t>
            </w:r>
            <w:bookmarkEnd w:id="822"/>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59" w:id="823"/>
            <w:r>
              <w:rPr>
                <w:rFonts w:ascii="Arial" w:hAnsi="Arial"/>
                <w:b w:val="false"/>
                <w:i w:val="false"/>
                <w:color w:val="000000"/>
                <w:sz w:val="16"/>
              </w:rPr>
              <w:t>—</w:t>
            </w:r>
            <w:bookmarkEnd w:id="823"/>
            <w:r>
              <w:rPr>
                <w:rFonts w:ascii="Arial" w:hAnsi="Arial"/>
                <w:b w:val="false"/>
                <w:i w:val="false"/>
                <w:color w:val="000000"/>
                <w:sz w:val="16"/>
              </w:rPr>
              <w:t xml:space="preserve">   </w:t>
            </w:r>
          </w:p>
        </w:tc>
        <w:tc>
          <w:tcPr>
            <w:tcW w:w="58"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w:t>
            </w:r>
            <w:r>
              <w:rPr>
                <w:rFonts w:ascii="Times New Roman" w:hAnsi="Times New Roman"/>
                <w:b w:val="false"/>
                <w:i w:val="false"/>
                <w:color w:val="000000"/>
                <w:sz w:val="22"/>
              </w:rPr>
              <w:t xml:space="preserve"> </w:t>
            </w:r>
          </w:p>
        </w:tc>
        <w:tc>
          <w:tcPr>
            <w:tcW w:w="17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0" w:id="824"/>
            <w:r>
              <w:rPr>
                <w:rFonts w:ascii="Arial" w:hAnsi="Arial"/>
                <w:b w:val="false"/>
                <w:i w:val="false"/>
                <w:color w:val="000000"/>
                <w:sz w:val="16"/>
              </w:rPr>
              <w:t>83.6</w:t>
            </w:r>
            <w:bookmarkEnd w:id="824"/>
            <w:r>
              <w:rPr>
                <w:rFonts w:ascii="Arial" w:hAnsi="Arial"/>
                <w:b w:val="false"/>
                <w:i w:val="false"/>
                <w:color w:val="000000"/>
                <w:sz w:val="16"/>
              </w:rPr>
              <w:t xml:space="preserve">   </w:t>
            </w:r>
          </w:p>
        </w:tc>
        <w:tc>
          <w:tcPr>
            <w:tcW w:w="48"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1" w:id="825"/>
            <w:r>
              <w:rPr>
                <w:rFonts w:ascii="Arial" w:hAnsi="Arial"/>
                <w:b w:val="false"/>
                <w:i w:val="false"/>
                <w:color w:val="000000"/>
                <w:sz w:val="16"/>
              </w:rPr>
              <w:t>50.9</w:t>
            </w:r>
            <w:bookmarkEnd w:id="825"/>
            <w:r>
              <w:rPr>
                <w:rFonts w:ascii="Arial" w:hAnsi="Arial"/>
                <w:b w:val="false"/>
                <w:i w:val="false"/>
                <w:color w:val="000000"/>
                <w:sz w:val="16"/>
              </w:rPr>
              <w:t xml:space="preserve">   </w:t>
            </w:r>
          </w:p>
        </w:tc>
        <w:tc>
          <w:tcPr>
            <w:tcW w:w="48"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2" w:id="826"/>
            <w:r>
              <w:rPr>
                <w:rFonts w:ascii="Arial" w:hAnsi="Arial"/>
                <w:b w:val="false"/>
                <w:i w:val="false"/>
                <w:color w:val="000000"/>
                <w:sz w:val="16"/>
              </w:rPr>
              <w:t>115.2</w:t>
            </w:r>
            <w:bookmarkEnd w:id="826"/>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3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3" w:id="827"/>
            <w:r>
              <w:rPr>
                <w:rFonts w:ascii="Arial" w:hAnsi="Arial"/>
                <w:b w:val="false"/>
                <w:i w:val="false"/>
                <w:color w:val="000000"/>
                <w:sz w:val="16"/>
              </w:rPr>
              <w:t>92.1</w:t>
            </w:r>
            <w:bookmarkEnd w:id="827"/>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4" w:id="828"/>
            <w:r>
              <w:rPr>
                <w:rFonts w:ascii="Arial" w:hAnsi="Arial"/>
                <w:b w:val="false"/>
                <w:i w:val="false"/>
                <w:color w:val="000000"/>
                <w:sz w:val="16"/>
              </w:rPr>
              <w:t>14.1</w:t>
            </w:r>
            <w:bookmarkEnd w:id="828"/>
            <w:r>
              <w:rPr>
                <w:rFonts w:ascii="Arial" w:hAnsi="Arial"/>
                <w:b w:val="false"/>
                <w:i w:val="false"/>
                <w:color w:val="000000"/>
                <w:sz w:val="16"/>
              </w:rPr>
              <w:t xml:space="preserve">   </w:t>
            </w:r>
          </w:p>
        </w:tc>
        <w:tc>
          <w:tcPr>
            <w:tcW w:w="56"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5" w:id="829"/>
            <w:r>
              <w:rPr>
                <w:rFonts w:ascii="Arial" w:hAnsi="Arial"/>
                <w:b w:val="false"/>
                <w:i w:val="false"/>
                <w:color w:val="000000"/>
                <w:sz w:val="16"/>
              </w:rPr>
              <w:t>15.2</w:t>
            </w:r>
            <w:bookmarkEnd w:id="829"/>
            <w:r>
              <w:rPr>
                <w:rFonts w:ascii="Arial" w:hAnsi="Arial"/>
                <w:b w:val="false"/>
                <w:i w:val="false"/>
                <w:color w:val="000000"/>
                <w:sz w:val="16"/>
              </w:rPr>
              <w:t xml:space="preserve">   </w:t>
            </w:r>
          </w:p>
        </w:tc>
        <w:tc>
          <w:tcPr>
            <w:tcW w:w="58"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653-3" w:id="830"/>
      <w:bookmarkEnd w:id="830"/>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653-3" w:id="831"/>
      <w:bookmarkEnd w:id="831"/>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4460"/>
        <w:gridCol w:w="441"/>
        <w:gridCol w:w="155"/>
        <w:gridCol w:w="1057"/>
        <w:gridCol w:w="42"/>
        <w:gridCol w:w="42"/>
        <w:gridCol w:w="42"/>
        <w:gridCol w:w="42"/>
        <w:gridCol w:w="156"/>
        <w:gridCol w:w="1058"/>
        <w:gridCol w:w="43"/>
        <w:gridCol w:w="43"/>
        <w:gridCol w:w="43"/>
        <w:gridCol w:w="43"/>
        <w:gridCol w:w="146"/>
        <w:gridCol w:w="1045"/>
        <w:gridCol w:w="40"/>
        <w:gridCol w:w="40"/>
        <w:gridCol w:w="40"/>
        <w:gridCol w:w="40"/>
        <w:gridCol w:w="146"/>
        <w:gridCol w:w="1041"/>
        <w:gridCol w:w="40"/>
        <w:gridCol w:w="40"/>
        <w:gridCol w:w="40"/>
        <w:gridCol w:w="40"/>
        <w:gridCol w:w="207"/>
        <w:gridCol w:w="1066"/>
        <w:gridCol w:w="56"/>
        <w:gridCol w:w="56"/>
        <w:gridCol w:w="56"/>
        <w:gridCol w:w="57"/>
        <w:gridCol w:w="208"/>
        <w:gridCol w:w="1066"/>
        <w:gridCol w:w="58"/>
      </w:tblGrid>
      <w:tr>
        <w:trPr>
          <w:trHeight w:val="30" w:hRule="atLeast"/>
        </w:trPr>
        <w:tc>
          <w:tcPr>
            <w:tcW w:w="439" w:type="dxa"/>
            <w:tcBorders/>
            <w:tcMar>
              <w:top w:w="15" w:type="dxa"/>
              <w:left w:w="15" w:type="dxa"/>
              <w:bottom w:w="15" w:type="dxa"/>
              <w:right w:w="15" w:type="dxa"/>
            </w:tcMar>
            <w:vAlign w:val="center"/>
          </w:tcPr>
          <w:p/>
        </w:tc>
        <w:tc>
          <w:tcPr>
            <w:tcW w:w="4460"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057"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c>
          <w:tcPr>
            <w:tcW w:w="42" w:type="dxa"/>
            <w:tcBorders/>
            <w:tcMar>
              <w:top w:w="15" w:type="dxa"/>
              <w:left w:w="15" w:type="dxa"/>
              <w:bottom w:w="15" w:type="dxa"/>
              <w:right w:w="15" w:type="dxa"/>
            </w:tcMar>
            <w:vAlign w:val="center"/>
          </w:tcPr>
          <w:p/>
        </w:tc>
        <w:tc>
          <w:tcPr>
            <w:tcW w:w="156" w:type="dxa"/>
            <w:tcBorders/>
            <w:tcMar>
              <w:top w:w="15" w:type="dxa"/>
              <w:left w:w="15" w:type="dxa"/>
              <w:bottom w:w="15" w:type="dxa"/>
              <w:right w:w="15" w:type="dxa"/>
            </w:tcMar>
            <w:vAlign w:val="center"/>
          </w:tcPr>
          <w:p/>
        </w:tc>
        <w:tc>
          <w:tcPr>
            <w:tcW w:w="1058"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4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7" w:type="dxa"/>
            <w:tcBorders/>
            <w:tcMar>
              <w:top w:w="15" w:type="dxa"/>
              <w:left w:w="15" w:type="dxa"/>
              <w:bottom w:w="15" w:type="dxa"/>
              <w:right w:w="15" w:type="dxa"/>
            </w:tcMar>
            <w:vAlign w:val="center"/>
          </w:tcPr>
          <w:p/>
        </w:tc>
        <w:tc>
          <w:tcPr>
            <w:tcW w:w="1066"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57" w:type="dxa"/>
            <w:tcBorders/>
            <w:tcMar>
              <w:top w:w="15" w:type="dxa"/>
              <w:left w:w="15" w:type="dxa"/>
              <w:bottom w:w="15" w:type="dxa"/>
              <w:right w:w="15" w:type="dxa"/>
            </w:tcMar>
            <w:vAlign w:val="center"/>
          </w:tcPr>
          <w:p/>
        </w:tc>
        <w:tc>
          <w:tcPr>
            <w:tcW w:w="208" w:type="dxa"/>
            <w:tcBorders/>
            <w:tcMar>
              <w:top w:w="15" w:type="dxa"/>
              <w:left w:w="15" w:type="dxa"/>
              <w:bottom w:w="15" w:type="dxa"/>
              <w:right w:w="15" w:type="dxa"/>
            </w:tcMar>
            <w:vAlign w:val="center"/>
          </w:tcPr>
          <w:p/>
        </w:tc>
        <w:tc>
          <w:tcPr>
            <w:tcW w:w="1066"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r>
      <w:tr>
        <w:trPr>
          <w:trHeight w:val="600" w:hRule="atLeast"/>
        </w:trPr>
        <w:tc>
          <w:tcPr>
            <w:tcW w:w="0" w:type="auto"/>
            <w:gridSpan w:val="3"/>
            <w:tcBorders/>
            <w:tcMar>
              <w:top w:w="15" w:type="dxa"/>
              <w:left w:w="15" w:type="dxa"/>
              <w:bottom w:w="15" w:type="dxa"/>
              <w:right w:w="15" w:type="dxa"/>
            </w:tcMar>
            <w:vAlign w:val="center"/>
          </w:tcPr>
          <w:p/>
        </w:tc>
        <w:tc>
          <w:tcPr>
            <w:tcW w:w="0" w:type="auto"/>
            <w:gridSpan w:val="12"/>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Capital Expenditures</w:t>
            </w:r>
            <w:r>
              <w:rPr>
                <w:rFonts w:ascii="Times New Roman" w:hAnsi="Times New Roman"/>
                <w:b w:val="false"/>
                <w:i w:val="false"/>
                <w:color w:val="000000"/>
                <w:sz w:val="22"/>
              </w:rPr>
              <w:t xml:space="preserve"> </w:t>
            </w:r>
          </w:p>
        </w:tc>
        <w:tc>
          <w:tcPr>
            <w:tcW w:w="0" w:type="auto"/>
            <w:gridSpan w:val="12"/>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Depreciation and </w:t>
            </w:r>
            <w:r>
              <w:br/>
            </w:r>
            <w:r>
              <w:rPr>
                <w:rFonts w:ascii="Arial" w:hAnsi="Arial"/>
                <w:b/>
                <w:i w:val="false"/>
                <w:color w:val="000000"/>
                <w:sz w:val="16"/>
              </w:rPr>
              <w:t xml:space="preserve"> Amortization </w:t>
            </w:r>
          </w:p>
        </w:tc>
        <w:tc>
          <w:tcPr>
            <w:tcW w:w="0" w:type="auto"/>
            <w:gridSpan w:val="9"/>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Research and </w:t>
            </w:r>
            <w:r>
              <w:br/>
            </w:r>
            <w:r>
              <w:rPr>
                <w:rFonts w:ascii="Arial" w:hAnsi="Arial"/>
                <w:b/>
                <w:i w:val="false"/>
                <w:color w:val="000000"/>
                <w:sz w:val="16"/>
              </w:rPr>
              <w:t xml:space="preserve"> Development Expense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0" w:type="auto"/>
            <w:gridSpan w:val="3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 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5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5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6" w:id="832"/>
            <w:r>
              <w:rPr>
                <w:rFonts w:ascii="Arial" w:hAnsi="Arial"/>
                <w:b w:val="false"/>
                <w:i w:val="false"/>
                <w:color w:val="000000"/>
                <w:sz w:val="16"/>
              </w:rPr>
              <w:t>105.9</w:t>
            </w:r>
            <w:bookmarkEnd w:id="832"/>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5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7" w:id="833"/>
            <w:r>
              <w:rPr>
                <w:rFonts w:ascii="Arial" w:hAnsi="Arial"/>
                <w:b w:val="false"/>
                <w:i w:val="false"/>
                <w:color w:val="000000"/>
                <w:sz w:val="16"/>
              </w:rPr>
              <w:t>88.1</w:t>
            </w:r>
            <w:bookmarkEnd w:id="833"/>
            <w:r>
              <w:rPr>
                <w:rFonts w:ascii="Arial" w:hAnsi="Arial"/>
                <w:b w:val="false"/>
                <w:i w:val="false"/>
                <w:color w:val="000000"/>
                <w:sz w:val="16"/>
              </w:rPr>
              <w:t xml:space="preserve">   </w:t>
            </w:r>
          </w:p>
        </w:tc>
        <w:tc>
          <w:tcPr>
            <w:tcW w:w="4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8" w:id="834"/>
            <w:r>
              <w:rPr>
                <w:rFonts w:ascii="Arial" w:hAnsi="Arial"/>
                <w:b w:val="false"/>
                <w:i w:val="false"/>
                <w:color w:val="000000"/>
                <w:sz w:val="16"/>
              </w:rPr>
              <w:t>190.9</w:t>
            </w:r>
            <w:bookmarkEnd w:id="83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69" w:id="835"/>
            <w:r>
              <w:rPr>
                <w:rFonts w:ascii="Arial" w:hAnsi="Arial"/>
                <w:b w:val="false"/>
                <w:i w:val="false"/>
                <w:color w:val="000000"/>
                <w:sz w:val="16"/>
              </w:rPr>
              <w:t>164.8</w:t>
            </w:r>
            <w:bookmarkEnd w:id="83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0" w:id="836"/>
            <w:r>
              <w:rPr>
                <w:rFonts w:ascii="Arial" w:hAnsi="Arial"/>
                <w:b w:val="false"/>
                <w:i w:val="false"/>
                <w:color w:val="000000"/>
                <w:sz w:val="16"/>
              </w:rPr>
              <w:t>31.1</w:t>
            </w:r>
            <w:bookmarkEnd w:id="836"/>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1" w:id="837"/>
            <w:r>
              <w:rPr>
                <w:rFonts w:ascii="Arial" w:hAnsi="Arial"/>
                <w:b w:val="false"/>
                <w:i w:val="false"/>
                <w:color w:val="000000"/>
                <w:sz w:val="16"/>
              </w:rPr>
              <w:t>29.2</w:t>
            </w:r>
            <w:bookmarkEnd w:id="837"/>
            <w:r>
              <w:rPr>
                <w:rFonts w:ascii="Arial" w:hAnsi="Arial"/>
                <w:b w:val="false"/>
                <w:i w:val="false"/>
                <w:color w:val="000000"/>
                <w:sz w:val="16"/>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2" w:id="838"/>
            <w:r>
              <w:rPr>
                <w:rFonts w:ascii="Arial" w:hAnsi="Arial"/>
                <w:b w:val="false"/>
                <w:i w:val="false"/>
                <w:color w:val="000000"/>
                <w:sz w:val="16"/>
              </w:rPr>
              <w:t>21.2</w:t>
            </w:r>
            <w:bookmarkEnd w:id="838"/>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3" w:id="839"/>
            <w:r>
              <w:rPr>
                <w:rFonts w:ascii="Arial" w:hAnsi="Arial"/>
                <w:b w:val="false"/>
                <w:i w:val="false"/>
                <w:color w:val="000000"/>
                <w:sz w:val="16"/>
              </w:rPr>
              <w:t>14.7</w:t>
            </w:r>
            <w:bookmarkEnd w:id="839"/>
            <w:r>
              <w:rPr>
                <w:rFonts w:ascii="Arial" w:hAnsi="Arial"/>
                <w:b w:val="false"/>
                <w:i w:val="false"/>
                <w:color w:val="000000"/>
                <w:sz w:val="16"/>
              </w:rPr>
              <w:t xml:space="preserve">   </w:t>
            </w:r>
          </w:p>
        </w:tc>
        <w:tc>
          <w:tcPr>
            <w:tcW w:w="4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4" w:id="840"/>
            <w:r>
              <w:rPr>
                <w:rFonts w:ascii="Arial" w:hAnsi="Arial"/>
                <w:b w:val="false"/>
                <w:i w:val="false"/>
                <w:color w:val="000000"/>
                <w:sz w:val="16"/>
              </w:rPr>
              <w:t>26.4</w:t>
            </w:r>
            <w:bookmarkEnd w:id="84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5" w:id="841"/>
            <w:r>
              <w:rPr>
                <w:rFonts w:ascii="Arial" w:hAnsi="Arial"/>
                <w:b w:val="false"/>
                <w:i w:val="false"/>
                <w:color w:val="000000"/>
                <w:sz w:val="16"/>
              </w:rPr>
              <w:t>26.2</w:t>
            </w:r>
            <w:bookmarkEnd w:id="84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6" w:id="842"/>
            <w:r>
              <w:rPr>
                <w:rFonts w:ascii="Arial" w:hAnsi="Arial"/>
                <w:b w:val="false"/>
                <w:i w:val="false"/>
                <w:color w:val="000000"/>
                <w:sz w:val="16"/>
              </w:rPr>
              <w:t>2.1</w:t>
            </w:r>
            <w:bookmarkEnd w:id="842"/>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7" w:id="843"/>
            <w:r>
              <w:rPr>
                <w:rFonts w:ascii="Arial" w:hAnsi="Arial"/>
                <w:b w:val="false"/>
                <w:i w:val="false"/>
                <w:color w:val="000000"/>
                <w:sz w:val="16"/>
              </w:rPr>
              <w:t>3.6</w:t>
            </w:r>
            <w:bookmarkEnd w:id="843"/>
            <w:r>
              <w:rPr>
                <w:rFonts w:ascii="Arial" w:hAnsi="Arial"/>
                <w:b w:val="false"/>
                <w:i w:val="false"/>
                <w:color w:val="000000"/>
                <w:sz w:val="16"/>
              </w:rPr>
              <w:t xml:space="preserve">   </w:t>
            </w:r>
          </w:p>
        </w:tc>
        <w:tc>
          <w:tcPr>
            <w:tcW w:w="58"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0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Subtotal</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8" w:id="844"/>
            <w:r>
              <w:rPr>
                <w:rFonts w:ascii="Arial" w:hAnsi="Arial"/>
                <w:b w:val="false"/>
                <w:i w:val="false"/>
                <w:color w:val="000000"/>
                <w:sz w:val="16"/>
              </w:rPr>
              <w:t>127.1</w:t>
            </w:r>
            <w:bookmarkEnd w:id="844"/>
            <w:r>
              <w:rPr>
                <w:rFonts w:ascii="Arial" w:hAnsi="Arial"/>
                <w:b w:val="false"/>
                <w:i w:val="false"/>
                <w:color w:val="000000"/>
                <w:sz w:val="16"/>
              </w:rPr>
              <w:t xml:space="preserve">   </w:t>
            </w:r>
          </w:p>
        </w:tc>
        <w:tc>
          <w:tcPr>
            <w:tcW w:w="4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79" w:id="845"/>
            <w:r>
              <w:rPr>
                <w:rFonts w:ascii="Arial" w:hAnsi="Arial"/>
                <w:b w:val="false"/>
                <w:i w:val="false"/>
                <w:color w:val="000000"/>
                <w:sz w:val="16"/>
              </w:rPr>
              <w:t>102.8</w:t>
            </w:r>
            <w:bookmarkEnd w:id="845"/>
            <w:r>
              <w:rPr>
                <w:rFonts w:ascii="Arial" w:hAnsi="Arial"/>
                <w:b w:val="false"/>
                <w:i w:val="false"/>
                <w:color w:val="000000"/>
                <w:sz w:val="16"/>
              </w:rPr>
              <w:t xml:space="preserve">   </w:t>
            </w:r>
          </w:p>
        </w:tc>
        <w:tc>
          <w:tcPr>
            <w:tcW w:w="4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0" w:id="846"/>
            <w:r>
              <w:rPr>
                <w:rFonts w:ascii="Arial" w:hAnsi="Arial"/>
                <w:b w:val="false"/>
                <w:i w:val="false"/>
                <w:color w:val="000000"/>
                <w:sz w:val="16"/>
              </w:rPr>
              <w:t>217.3</w:t>
            </w:r>
            <w:bookmarkEnd w:id="846"/>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1" w:id="847"/>
            <w:r>
              <w:rPr>
                <w:rFonts w:ascii="Arial" w:hAnsi="Arial"/>
                <w:b w:val="false"/>
                <w:i w:val="false"/>
                <w:color w:val="000000"/>
                <w:sz w:val="16"/>
              </w:rPr>
              <w:t>191.0</w:t>
            </w:r>
            <w:bookmarkEnd w:id="84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2" w:id="848"/>
            <w:r>
              <w:rPr>
                <w:rFonts w:ascii="Arial" w:hAnsi="Arial"/>
                <w:b w:val="false"/>
                <w:i w:val="false"/>
                <w:color w:val="000000"/>
                <w:sz w:val="16"/>
              </w:rPr>
              <w:t>33.2</w:t>
            </w:r>
            <w:bookmarkEnd w:id="848"/>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3" w:id="849"/>
            <w:r>
              <w:rPr>
                <w:rFonts w:ascii="Arial" w:hAnsi="Arial"/>
                <w:b w:val="false"/>
                <w:i w:val="false"/>
                <w:color w:val="000000"/>
                <w:sz w:val="16"/>
              </w:rPr>
              <w:t>32.8</w:t>
            </w:r>
            <w:bookmarkEnd w:id="849"/>
            <w:r>
              <w:rPr>
                <w:rFonts w:ascii="Arial" w:hAnsi="Arial"/>
                <w:b w:val="false"/>
                <w:i w:val="false"/>
                <w:color w:val="000000"/>
                <w:sz w:val="16"/>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Corporate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4" w:id="850"/>
            <w:r>
              <w:rPr>
                <w:rFonts w:ascii="Arial" w:hAnsi="Arial"/>
                <w:b w:val="false"/>
                <w:i w:val="false"/>
                <w:color w:val="000000"/>
                <w:sz w:val="16"/>
              </w:rPr>
              <w:t>18.3</w:t>
            </w:r>
            <w:bookmarkEnd w:id="850"/>
            <w:r>
              <w:rPr>
                <w:rFonts w:ascii="Arial" w:hAnsi="Arial"/>
                <w:b w:val="false"/>
                <w:i w:val="false"/>
                <w:color w:val="000000"/>
                <w:sz w:val="16"/>
              </w:rPr>
              <w:t xml:space="preserve">   </w:t>
            </w:r>
          </w:p>
        </w:tc>
        <w:tc>
          <w:tcPr>
            <w:tcW w:w="4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5" w:id="851"/>
            <w:r>
              <w:rPr>
                <w:rFonts w:ascii="Arial" w:hAnsi="Arial"/>
                <w:b w:val="false"/>
                <w:i w:val="false"/>
                <w:color w:val="000000"/>
                <w:sz w:val="16"/>
              </w:rPr>
              <w:t>—</w:t>
            </w:r>
            <w:bookmarkEnd w:id="851"/>
            <w:r>
              <w:rPr>
                <w:rFonts w:ascii="Arial" w:hAnsi="Arial"/>
                <w:b w:val="false"/>
                <w:i w:val="false"/>
                <w:color w:val="000000"/>
                <w:sz w:val="16"/>
              </w:rPr>
              <w:t xml:space="preserve">   </w:t>
            </w:r>
          </w:p>
        </w:tc>
        <w:tc>
          <w:tcPr>
            <w:tcW w:w="4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6" w:id="852"/>
            <w:r>
              <w:rPr>
                <w:rFonts w:ascii="Arial" w:hAnsi="Arial"/>
                <w:b w:val="false"/>
                <w:i w:val="false"/>
                <w:color w:val="000000"/>
                <w:sz w:val="16"/>
              </w:rPr>
              <w:t>0.3</w:t>
            </w:r>
            <w:bookmarkEnd w:id="85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7" w:id="853"/>
            <w:r>
              <w:rPr>
                <w:rFonts w:ascii="Arial" w:hAnsi="Arial"/>
                <w:b w:val="false"/>
                <w:i w:val="false"/>
                <w:color w:val="000000"/>
                <w:sz w:val="16"/>
              </w:rPr>
              <w:t>0.6</w:t>
            </w:r>
            <w:bookmarkEnd w:id="85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8" w:id="854"/>
            <w:r>
              <w:rPr>
                <w:rFonts w:ascii="Arial" w:hAnsi="Arial"/>
                <w:b w:val="false"/>
                <w:i w:val="false"/>
                <w:color w:val="000000"/>
                <w:sz w:val="16"/>
              </w:rPr>
              <w:t>—</w:t>
            </w:r>
            <w:bookmarkEnd w:id="854"/>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89" w:id="855"/>
            <w:r>
              <w:rPr>
                <w:rFonts w:ascii="Arial" w:hAnsi="Arial"/>
                <w:b w:val="false"/>
                <w:i w:val="false"/>
                <w:color w:val="000000"/>
                <w:sz w:val="16"/>
              </w:rPr>
              <w:t>—</w:t>
            </w:r>
            <w:bookmarkEnd w:id="855"/>
            <w:r>
              <w:rPr>
                <w:rFonts w:ascii="Arial" w:hAnsi="Arial"/>
                <w:b w:val="false"/>
                <w:i w:val="false"/>
                <w:color w:val="000000"/>
                <w:sz w:val="16"/>
              </w:rPr>
              <w:t xml:space="preserve">   </w:t>
            </w:r>
          </w:p>
        </w:tc>
        <w:tc>
          <w:tcPr>
            <w:tcW w:w="58"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w:t>
            </w:r>
            <w:r>
              <w:rPr>
                <w:rFonts w:ascii="Times New Roman" w:hAnsi="Times New Roman"/>
                <w:b w:val="false"/>
                <w:i w:val="false"/>
                <w:color w:val="000000"/>
                <w:sz w:val="22"/>
              </w:rPr>
              <w:t xml:space="preserve"> </w:t>
            </w:r>
          </w:p>
        </w:tc>
        <w:tc>
          <w:tcPr>
            <w:tcW w:w="15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5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0" w:id="856"/>
            <w:r>
              <w:rPr>
                <w:rFonts w:ascii="Arial" w:hAnsi="Arial"/>
                <w:b w:val="false"/>
                <w:i w:val="false"/>
                <w:color w:val="000000"/>
                <w:sz w:val="16"/>
              </w:rPr>
              <w:t>145.4</w:t>
            </w:r>
            <w:bookmarkEnd w:id="856"/>
            <w:r>
              <w:rPr>
                <w:rFonts w:ascii="Arial" w:hAnsi="Arial"/>
                <w:b w:val="false"/>
                <w:i w:val="false"/>
                <w:color w:val="000000"/>
                <w:sz w:val="16"/>
              </w:rPr>
              <w:t xml:space="preserve">   </w:t>
            </w:r>
          </w:p>
        </w:tc>
        <w:tc>
          <w:tcPr>
            <w:tcW w:w="42"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5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1" w:id="857"/>
            <w:r>
              <w:rPr>
                <w:rFonts w:ascii="Arial" w:hAnsi="Arial"/>
                <w:b w:val="false"/>
                <w:i w:val="false"/>
                <w:color w:val="000000"/>
                <w:sz w:val="16"/>
              </w:rPr>
              <w:t>102.8</w:t>
            </w:r>
            <w:bookmarkEnd w:id="857"/>
            <w:r>
              <w:rPr>
                <w:rFonts w:ascii="Arial" w:hAnsi="Arial"/>
                <w:b w:val="false"/>
                <w:i w:val="false"/>
                <w:color w:val="000000"/>
                <w:sz w:val="16"/>
              </w:rPr>
              <w:t xml:space="preserve">   </w:t>
            </w:r>
          </w:p>
        </w:tc>
        <w:tc>
          <w:tcPr>
            <w:tcW w:w="43"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2" w:id="858"/>
            <w:r>
              <w:rPr>
                <w:rFonts w:ascii="Arial" w:hAnsi="Arial"/>
                <w:b w:val="false"/>
                <w:i w:val="false"/>
                <w:color w:val="000000"/>
                <w:sz w:val="16"/>
              </w:rPr>
              <w:t>217.6</w:t>
            </w:r>
            <w:bookmarkEnd w:id="858"/>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4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3" w:id="859"/>
            <w:r>
              <w:rPr>
                <w:rFonts w:ascii="Arial" w:hAnsi="Arial"/>
                <w:b w:val="false"/>
                <w:i w:val="false"/>
                <w:color w:val="000000"/>
                <w:sz w:val="16"/>
              </w:rPr>
              <w:t>191.6</w:t>
            </w:r>
            <w:bookmarkEnd w:id="859"/>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4" w:id="860"/>
            <w:r>
              <w:rPr>
                <w:rFonts w:ascii="Arial" w:hAnsi="Arial"/>
                <w:b w:val="false"/>
                <w:i w:val="false"/>
                <w:color w:val="000000"/>
                <w:sz w:val="16"/>
              </w:rPr>
              <w:t>33.2</w:t>
            </w:r>
            <w:bookmarkEnd w:id="860"/>
            <w:r>
              <w:rPr>
                <w:rFonts w:ascii="Arial" w:hAnsi="Arial"/>
                <w:b w:val="false"/>
                <w:i w:val="false"/>
                <w:color w:val="000000"/>
                <w:sz w:val="16"/>
              </w:rPr>
              <w:t xml:space="preserve">   </w:t>
            </w:r>
          </w:p>
        </w:tc>
        <w:tc>
          <w:tcPr>
            <w:tcW w:w="56"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6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5" w:id="861"/>
            <w:r>
              <w:rPr>
                <w:rFonts w:ascii="Arial" w:hAnsi="Arial"/>
                <w:b w:val="false"/>
                <w:i w:val="false"/>
                <w:color w:val="000000"/>
                <w:sz w:val="16"/>
              </w:rPr>
              <w:t>32.8</w:t>
            </w:r>
            <w:bookmarkEnd w:id="861"/>
            <w:r>
              <w:rPr>
                <w:rFonts w:ascii="Arial" w:hAnsi="Arial"/>
                <w:b w:val="false"/>
                <w:i w:val="false"/>
                <w:color w:val="000000"/>
                <w:sz w:val="16"/>
              </w:rPr>
              <w:t xml:space="preserve">   </w:t>
            </w:r>
          </w:p>
        </w:tc>
        <w:tc>
          <w:tcPr>
            <w:tcW w:w="58"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653-3" w:id="862"/>
      <w:bookmarkEnd w:id="862"/>
      <w:bookmarkStart w:name="f-735" w:id="863"/>
      <w:bookmarkEnd w:id="863"/>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67" w:id="864"/>
    <w:p>
      <w:pPr>
        <w:spacing w:before="0" w:after="0"/>
        <w:ind w:left="120"/>
        <w:jc w:val="left"/>
      </w:pPr>
    </w:p>
    <w:bookmarkEnd w:id="864"/>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5. </w:t>
      </w:r>
      <w:bookmarkStart w:name="f-796" w:id="865"/>
      <w:r>
        <w:rPr>
          <w:rFonts w:ascii="Arial" w:hAnsi="Arial"/>
          <w:b/>
          <w:i w:val="false"/>
          <w:color w:val="000000"/>
          <w:sz w:val="20"/>
        </w:rPr>
        <w:t>EARNINGS PER SHARE</w:t>
      </w:r>
      <w:bookmarkEnd w:id="865"/>
      <w:r>
        <w:rPr>
          <w:rFonts w:ascii="Arial" w:hAnsi="Arial"/>
          <w:b/>
          <w:i w:val="false"/>
          <w:color w:val="000000"/>
          <w:sz w:val="20"/>
        </w:rPr>
        <w:t xml:space="preserve"> </w:t>
      </w:r>
    </w:p>
    <w:p>
      <w:pPr>
        <w:spacing w:before="0" w:after="0"/>
        <w:ind w:left="120"/>
        <w:jc w:val="left"/>
      </w:pPr>
      <w:bookmarkStart w:name="f-796-1" w:id="866"/>
      <w:bookmarkEnd w:id="866"/>
      <w:bookmarkStart w:name="f-797" w:id="867"/>
      <w:bookmarkEnd w:id="86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 reconciliation of the number of shares used for the basic and diluted earnings per share calculation was as follows:</w:t>
      </w:r>
      <w:r>
        <w:rPr>
          <w:rFonts w:ascii="Times New Roman" w:hAnsi="Times New Roman"/>
          <w:b w:val="false"/>
          <w:i w:val="false"/>
          <w:color w:val="000000"/>
          <w:sz w:val="22"/>
        </w:rPr>
        <w:t xml:space="preserve"> </w:t>
      </w:r>
    </w:p>
    <w:p>
      <w:pPr>
        <w:spacing w:before="0" w:after="0"/>
        <w:ind w:left="120"/>
        <w:jc w:val="left"/>
      </w:pPr>
      <w:bookmarkStart w:name="f-797" w:id="868"/>
      <w:bookmarkEnd w:id="868"/>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43"/>
        <w:gridCol w:w="6488"/>
        <w:gridCol w:w="445"/>
        <w:gridCol w:w="146"/>
        <w:gridCol w:w="1288"/>
        <w:gridCol w:w="40"/>
        <w:gridCol w:w="40"/>
        <w:gridCol w:w="40"/>
        <w:gridCol w:w="40"/>
        <w:gridCol w:w="146"/>
        <w:gridCol w:w="1288"/>
        <w:gridCol w:w="40"/>
        <w:gridCol w:w="40"/>
        <w:gridCol w:w="40"/>
        <w:gridCol w:w="40"/>
        <w:gridCol w:w="146"/>
        <w:gridCol w:w="1289"/>
        <w:gridCol w:w="40"/>
        <w:gridCol w:w="40"/>
        <w:gridCol w:w="40"/>
        <w:gridCol w:w="40"/>
        <w:gridCol w:w="146"/>
        <w:gridCol w:w="1289"/>
        <w:gridCol w:w="40"/>
      </w:tblGrid>
      <w:tr>
        <w:trPr>
          <w:trHeight w:val="30" w:hRule="atLeast"/>
        </w:trPr>
        <w:tc>
          <w:tcPr>
            <w:tcW w:w="443" w:type="dxa"/>
            <w:tcBorders/>
            <w:tcMar>
              <w:top w:w="15" w:type="dxa"/>
              <w:left w:w="15" w:type="dxa"/>
              <w:bottom w:w="15" w:type="dxa"/>
              <w:right w:w="15" w:type="dxa"/>
            </w:tcMar>
            <w:vAlign w:val="center"/>
          </w:tcPr>
          <w:p/>
        </w:tc>
        <w:tc>
          <w:tcPr>
            <w:tcW w:w="6488" w:type="dxa"/>
            <w:tcBorders/>
            <w:tcMar>
              <w:top w:w="15" w:type="dxa"/>
              <w:left w:w="15" w:type="dxa"/>
              <w:bottom w:w="15" w:type="dxa"/>
              <w:right w:w="15" w:type="dxa"/>
            </w:tcMar>
            <w:vAlign w:val="center"/>
          </w:tcPr>
          <w:p/>
        </w:tc>
        <w:tc>
          <w:tcPr>
            <w:tcW w:w="445"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attributable to TechnipFMC plc</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8" w:id="869"/>
            <w:r>
              <w:rPr>
                <w:rFonts w:ascii="Arial" w:hAnsi="Arial"/>
                <w:b w:val="false"/>
                <w:i w:val="false"/>
                <w:color w:val="000000"/>
                <w:sz w:val="16"/>
              </w:rPr>
              <w:t>269.5</w:t>
            </w:r>
            <w:bookmarkEnd w:id="86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799" w:id="870"/>
            <w:r>
              <w:rPr>
                <w:rFonts w:ascii="Arial" w:hAnsi="Arial"/>
                <w:b w:val="false"/>
                <w:i w:val="false"/>
                <w:color w:val="000000"/>
                <w:sz w:val="16"/>
              </w:rPr>
              <w:t>186.5</w:t>
            </w:r>
            <w:bookmarkEnd w:id="87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0" w:id="871"/>
            <w:r>
              <w:rPr>
                <w:rFonts w:ascii="Arial" w:hAnsi="Arial"/>
                <w:b w:val="false"/>
                <w:i w:val="false"/>
                <w:color w:val="000000"/>
                <w:sz w:val="16"/>
              </w:rPr>
              <w:t>411.5</w:t>
            </w:r>
            <w:bookmarkEnd w:id="87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1" w:id="872"/>
            <w:r>
              <w:rPr>
                <w:rFonts w:ascii="Arial" w:hAnsi="Arial"/>
                <w:b w:val="false"/>
                <w:i w:val="false"/>
                <w:color w:val="000000"/>
                <w:sz w:val="16"/>
              </w:rPr>
              <w:t>343.6</w:t>
            </w:r>
            <w:bookmarkEnd w:id="87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7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Weighted average number of shares outstanding</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2" w:id="873"/>
            <w:r>
              <w:rPr>
                <w:rFonts w:ascii="Arial" w:hAnsi="Arial"/>
                <w:b w:val="false"/>
                <w:i w:val="false"/>
                <w:color w:val="000000"/>
                <w:sz w:val="16"/>
              </w:rPr>
              <w:t>415.4</w:t>
            </w:r>
            <w:bookmarkEnd w:id="87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3" w:id="874"/>
            <w:r>
              <w:rPr>
                <w:rFonts w:ascii="Arial" w:hAnsi="Arial"/>
                <w:b w:val="false"/>
                <w:i w:val="false"/>
                <w:color w:val="000000"/>
                <w:sz w:val="16"/>
              </w:rPr>
              <w:t>430.2</w:t>
            </w:r>
            <w:bookmarkEnd w:id="87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4" w:id="875"/>
            <w:r>
              <w:rPr>
                <w:rFonts w:ascii="Arial" w:hAnsi="Arial"/>
                <w:b w:val="false"/>
                <w:i w:val="false"/>
                <w:color w:val="000000"/>
                <w:sz w:val="16"/>
              </w:rPr>
              <w:t>418.3</w:t>
            </w:r>
            <w:bookmarkEnd w:id="87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5" w:id="876"/>
            <w:r>
              <w:rPr>
                <w:rFonts w:ascii="Arial" w:hAnsi="Arial"/>
                <w:b w:val="false"/>
                <w:i w:val="false"/>
                <w:color w:val="000000"/>
                <w:sz w:val="16"/>
              </w:rPr>
              <w:t>431.9</w:t>
            </w:r>
            <w:bookmarkEnd w:id="87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r>
      <w:tr>
        <w:trPr/>
      </w:tr>
      <w:tr>
        <w:trPr/>
      </w:tr>
      <w:tr>
        <w:trPr/>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Dilutive effect of awards granted under our stock incentive plans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6" w:id="877"/>
            <w:r>
              <w:rPr>
                <w:rFonts w:ascii="Arial" w:hAnsi="Arial"/>
                <w:b w:val="false"/>
                <w:i w:val="false"/>
                <w:color w:val="000000"/>
                <w:sz w:val="16"/>
              </w:rPr>
              <w:t>5.1</w:t>
            </w:r>
            <w:bookmarkEnd w:id="87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7" w:id="878"/>
            <w:r>
              <w:rPr>
                <w:rFonts w:ascii="Arial" w:hAnsi="Arial"/>
                <w:b w:val="false"/>
                <w:i w:val="false"/>
                <w:color w:val="000000"/>
                <w:sz w:val="16"/>
              </w:rPr>
              <w:t>9.9</w:t>
            </w:r>
            <w:bookmarkEnd w:id="87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8" w:id="879"/>
            <w:r>
              <w:rPr>
                <w:rFonts w:ascii="Arial" w:hAnsi="Arial"/>
                <w:b w:val="false"/>
                <w:i w:val="false"/>
                <w:color w:val="000000"/>
                <w:sz w:val="16"/>
              </w:rPr>
              <w:t>7.9</w:t>
            </w:r>
            <w:bookmarkEnd w:id="87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09" w:id="880"/>
            <w:r>
              <w:rPr>
                <w:rFonts w:ascii="Arial" w:hAnsi="Arial"/>
                <w:b w:val="false"/>
                <w:i w:val="false"/>
                <w:color w:val="000000"/>
                <w:sz w:val="16"/>
              </w:rPr>
              <w:t>11.3</w:t>
            </w:r>
            <w:bookmarkEnd w:id="88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shares and dilutive securities</w:t>
            </w:r>
            <w:r>
              <w:rPr>
                <w:rFonts w:ascii="Times New Roman" w:hAnsi="Times New Roman"/>
                <w:b w:val="false"/>
                <w:i w:val="false"/>
                <w:color w:val="000000"/>
                <w:sz w:val="22"/>
              </w:rPr>
              <w:t xml:space="preserve"> </w:t>
            </w: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0" w:id="881"/>
            <w:r>
              <w:rPr>
                <w:rFonts w:ascii="Arial" w:hAnsi="Arial"/>
                <w:b w:val="false"/>
                <w:i w:val="false"/>
                <w:color w:val="000000"/>
                <w:sz w:val="16"/>
              </w:rPr>
              <w:t>420.5</w:t>
            </w:r>
            <w:bookmarkEnd w:id="881"/>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1" w:id="882"/>
            <w:r>
              <w:rPr>
                <w:rFonts w:ascii="Arial" w:hAnsi="Arial"/>
                <w:b w:val="false"/>
                <w:i w:val="false"/>
                <w:color w:val="000000"/>
                <w:sz w:val="16"/>
              </w:rPr>
              <w:t>440.1</w:t>
            </w:r>
            <w:bookmarkEnd w:id="882"/>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2" w:id="883"/>
            <w:r>
              <w:rPr>
                <w:rFonts w:ascii="Arial" w:hAnsi="Arial"/>
                <w:b w:val="false"/>
                <w:i w:val="false"/>
                <w:color w:val="000000"/>
                <w:sz w:val="16"/>
              </w:rPr>
              <w:t>426.2</w:t>
            </w:r>
            <w:bookmarkEnd w:id="883"/>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3" w:id="884"/>
            <w:r>
              <w:rPr>
                <w:rFonts w:ascii="Arial" w:hAnsi="Arial"/>
                <w:b w:val="false"/>
                <w:i w:val="false"/>
                <w:color w:val="000000"/>
                <w:sz w:val="16"/>
              </w:rPr>
              <w:t>443.2</w:t>
            </w:r>
            <w:bookmarkEnd w:id="884"/>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r>
        <w:trPr/>
      </w:tr>
      <w:tr>
        <w:trPr/>
      </w:tr>
      <w:tr>
        <w:trPr/>
      </w:tr>
      <w:tr>
        <w:trPr/>
      </w:tr>
      <w:tr>
        <w:trPr/>
      </w:tr>
      <w:tr>
        <w:trPr/>
      </w:tr>
      <w:tr>
        <w:trPr/>
      </w:tr>
      <w:tr>
        <w:trPr/>
      </w:tr>
      <w:tr>
        <w:trPr/>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797" w:id="885"/>
      <w:bookmarkEnd w:id="885"/>
      <w:bookmarkStart w:name="f-796-1" w:id="886"/>
      <w:bookmarkEnd w:id="88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For the three months ended June 30, 2025 and six months ended June 30, 2024, weighted average shares of </w:t>
      </w:r>
      <w:bookmarkStart w:name="f-814" w:id="887"/>
      <w:r>
        <w:rPr>
          <w:rFonts w:ascii="Arial" w:hAnsi="Arial"/>
          <w:b w:val="false"/>
          <w:i w:val="false"/>
          <w:color w:val="000000"/>
          <w:sz w:val="20"/>
        </w:rPr>
        <w:t>0.2</w:t>
      </w:r>
      <w:bookmarkEnd w:id="887"/>
      <w:r>
        <w:rPr>
          <w:rFonts w:ascii="Arial" w:hAnsi="Arial"/>
          <w:b w:val="false"/>
          <w:i w:val="false"/>
          <w:color w:val="000000"/>
          <w:sz w:val="20"/>
        </w:rPr>
        <w:t xml:space="preserve"> million and </w:t>
      </w:r>
      <w:bookmarkStart w:name="f-815" w:id="888"/>
      <w:r>
        <w:rPr>
          <w:rFonts w:ascii="Arial" w:hAnsi="Arial"/>
          <w:b w:val="false"/>
          <w:i w:val="false"/>
          <w:color w:val="000000"/>
          <w:sz w:val="20"/>
        </w:rPr>
        <w:t>0.4</w:t>
      </w:r>
      <w:bookmarkEnd w:id="888"/>
      <w:r>
        <w:rPr>
          <w:rFonts w:ascii="Arial" w:hAnsi="Arial"/>
          <w:b w:val="false"/>
          <w:i w:val="false"/>
          <w:color w:val="000000"/>
          <w:sz w:val="20"/>
        </w:rPr>
        <w:t xml:space="preserve"> million shares, respectively, were excluded from the calculation of diluted weighted average number of shares, because their effect would be anti-dilutive. </w:t>
      </w:r>
    </w:p>
    <w:p>
      <w:pPr>
        <w:spacing w:before="0" w:after="0"/>
        <w:ind w:left="120"/>
        <w:jc w:val="left"/>
      </w:pPr>
      <w:bookmarkStart w:name="f-796-1" w:id="889"/>
      <w:bookmarkEnd w:id="889"/>
    </w:p>
    <w:bookmarkStart w:name="if5bce3d3882148cf91b6563d87cc4db5_73" w:id="890"/>
    <w:p>
      <w:pPr>
        <w:spacing w:before="0" w:after="0"/>
        <w:ind w:left="120"/>
        <w:jc w:val="left"/>
      </w:pPr>
    </w:p>
    <w:bookmarkEnd w:id="890"/>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6. </w:t>
      </w:r>
      <w:bookmarkStart w:name="f-816" w:id="891"/>
      <w:r>
        <w:rPr>
          <w:rFonts w:ascii="Arial" w:hAnsi="Arial"/>
          <w:b/>
          <w:i w:val="false"/>
          <w:color w:val="000000"/>
          <w:sz w:val="20"/>
        </w:rPr>
        <w:t>RECEIVABLES</w:t>
      </w:r>
      <w:bookmarkEnd w:id="891"/>
      <w:r>
        <w:rPr>
          <w:rFonts w:ascii="Arial" w:hAnsi="Arial"/>
          <w:b/>
          <w:i w:val="false"/>
          <w:color w:val="000000"/>
          <w:sz w:val="20"/>
        </w:rPr>
        <w:t xml:space="preserve"> </w:t>
      </w:r>
    </w:p>
    <w:p>
      <w:pPr>
        <w:spacing w:before="0" w:after="0"/>
        <w:ind w:left="120"/>
        <w:jc w:val="left"/>
      </w:pPr>
      <w:bookmarkStart w:name="f-816-1" w:id="892"/>
      <w:bookmarkEnd w:id="89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manage our receivables portfolios using published default risk as a key credit quality indicator for our loans and receivables. Our loans receivables and other are related to sales of long-lived assets or businesses, loans to related parties for capital expenditure purposes, or security deposits for lease arrangements.</w:t>
      </w:r>
      <w:r>
        <w:rPr>
          <w:rFonts w:ascii="Times New Roman" w:hAnsi="Times New Roman"/>
          <w:b w:val="false"/>
          <w:i w:val="false"/>
          <w:color w:val="000000"/>
          <w:sz w:val="22"/>
        </w:rPr>
        <w:t xml:space="preserve"> </w:t>
      </w:r>
    </w:p>
    <w:p>
      <w:pPr>
        <w:spacing w:before="0" w:after="0"/>
        <w:ind w:left="120"/>
        <w:jc w:val="left"/>
      </w:pPr>
      <w:bookmarkStart w:name="f-816-1" w:id="893"/>
      <w:bookmarkEnd w:id="893"/>
      <w:bookmarkStart w:name="f-817" w:id="894"/>
      <w:bookmarkEnd w:id="89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table below summarizes the amortized cost basis of financial assets by years of origination and credit quality.</w:t>
      </w:r>
      <w:r>
        <w:rPr>
          <w:rFonts w:ascii="Times New Roman" w:hAnsi="Times New Roman"/>
          <w:b w:val="false"/>
          <w:i w:val="false"/>
          <w:color w:val="000000"/>
          <w:sz w:val="22"/>
        </w:rPr>
        <w:t xml:space="preserve"> </w:t>
      </w:r>
    </w:p>
    <w:p>
      <w:pPr>
        <w:spacing w:before="0" w:after="0"/>
        <w:ind w:left="120"/>
        <w:jc w:val="left"/>
      </w:pPr>
      <w:bookmarkStart w:name="f-817" w:id="895"/>
      <w:bookmarkEnd w:id="895"/>
      <w:bookmarkStart w:name="f-816-1" w:id="896"/>
      <w:bookmarkEnd w:id="896"/>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816-2" w:id="897"/>
      <w:bookmarkEnd w:id="897"/>
      <w:bookmarkStart w:name="f-817-1" w:id="898"/>
      <w:bookmarkEnd w:id="898"/>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6"/>
        <w:gridCol w:w="2013"/>
        <w:gridCol w:w="398"/>
        <w:gridCol w:w="246"/>
        <w:gridCol w:w="1170"/>
        <w:gridCol w:w="248"/>
        <w:gridCol w:w="40"/>
        <w:gridCol w:w="40"/>
        <w:gridCol w:w="40"/>
        <w:gridCol w:w="385"/>
        <w:gridCol w:w="1207"/>
        <w:gridCol w:w="385"/>
        <w:gridCol w:w="40"/>
        <w:gridCol w:w="40"/>
        <w:gridCol w:w="40"/>
        <w:gridCol w:w="146"/>
        <w:gridCol w:w="1286"/>
        <w:gridCol w:w="40"/>
        <w:gridCol w:w="40"/>
        <w:gridCol w:w="40"/>
        <w:gridCol w:w="40"/>
        <w:gridCol w:w="246"/>
        <w:gridCol w:w="1171"/>
        <w:gridCol w:w="248"/>
        <w:gridCol w:w="40"/>
        <w:gridCol w:w="40"/>
        <w:gridCol w:w="40"/>
        <w:gridCol w:w="385"/>
        <w:gridCol w:w="1207"/>
        <w:gridCol w:w="385"/>
        <w:gridCol w:w="40"/>
        <w:gridCol w:w="40"/>
        <w:gridCol w:w="40"/>
        <w:gridCol w:w="146"/>
        <w:gridCol w:w="1286"/>
        <w:gridCol w:w="40"/>
      </w:tblGrid>
      <w:tr>
        <w:trPr>
          <w:trHeight w:val="30" w:hRule="atLeast"/>
        </w:trPr>
        <w:tc>
          <w:tcPr>
            <w:tcW w:w="396" w:type="dxa"/>
            <w:tcBorders/>
            <w:tcMar>
              <w:top w:w="15" w:type="dxa"/>
              <w:left w:w="15" w:type="dxa"/>
              <w:bottom w:w="15" w:type="dxa"/>
              <w:right w:w="15" w:type="dxa"/>
            </w:tcMar>
            <w:vAlign w:val="center"/>
          </w:tcPr>
          <w:p/>
        </w:tc>
        <w:tc>
          <w:tcPr>
            <w:tcW w:w="2013" w:type="dxa"/>
            <w:tcBorders/>
            <w:tcMar>
              <w:top w:w="15" w:type="dxa"/>
              <w:left w:w="15" w:type="dxa"/>
              <w:bottom w:w="15" w:type="dxa"/>
              <w:right w:w="15" w:type="dxa"/>
            </w:tcMar>
            <w:vAlign w:val="center"/>
          </w:tcPr>
          <w:p/>
        </w:tc>
        <w:tc>
          <w:tcPr>
            <w:tcW w:w="398" w:type="dxa"/>
            <w:tcBorders/>
            <w:tcMar>
              <w:top w:w="15" w:type="dxa"/>
              <w:left w:w="15" w:type="dxa"/>
              <w:bottom w:w="15" w:type="dxa"/>
              <w:right w:w="15" w:type="dxa"/>
            </w:tcMar>
            <w:vAlign w:val="center"/>
          </w:tcPr>
          <w:p/>
        </w:tc>
        <w:tc>
          <w:tcPr>
            <w:tcW w:w="246" w:type="dxa"/>
            <w:tcBorders/>
            <w:tcMar>
              <w:top w:w="15" w:type="dxa"/>
              <w:left w:w="15" w:type="dxa"/>
              <w:bottom w:w="15" w:type="dxa"/>
              <w:right w:w="15" w:type="dxa"/>
            </w:tcMar>
            <w:vAlign w:val="center"/>
          </w:tcPr>
          <w:p/>
        </w:tc>
        <w:tc>
          <w:tcPr>
            <w:tcW w:w="1170" w:type="dxa"/>
            <w:tcBorders/>
            <w:tcMar>
              <w:top w:w="15" w:type="dxa"/>
              <w:left w:w="15" w:type="dxa"/>
              <w:bottom w:w="15" w:type="dxa"/>
              <w:right w:w="15" w:type="dxa"/>
            </w:tcMar>
            <w:vAlign w:val="center"/>
          </w:tcPr>
          <w:p/>
        </w:tc>
        <w:tc>
          <w:tcPr>
            <w:tcW w:w="2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85" w:type="dxa"/>
            <w:tcBorders/>
            <w:tcMar>
              <w:top w:w="15" w:type="dxa"/>
              <w:left w:w="15" w:type="dxa"/>
              <w:bottom w:w="15" w:type="dxa"/>
              <w:right w:w="15" w:type="dxa"/>
            </w:tcMar>
            <w:vAlign w:val="center"/>
          </w:tcPr>
          <w:p/>
        </w:tc>
        <w:tc>
          <w:tcPr>
            <w:tcW w:w="1207" w:type="dxa"/>
            <w:tcBorders/>
            <w:tcMar>
              <w:top w:w="15" w:type="dxa"/>
              <w:left w:w="15" w:type="dxa"/>
              <w:bottom w:w="15" w:type="dxa"/>
              <w:right w:w="15" w:type="dxa"/>
            </w:tcMar>
            <w:vAlign w:val="center"/>
          </w:tcPr>
          <w:p/>
        </w:tc>
        <w:tc>
          <w:tcPr>
            <w:tcW w:w="38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46" w:type="dxa"/>
            <w:tcBorders/>
            <w:tcMar>
              <w:top w:w="15" w:type="dxa"/>
              <w:left w:w="15" w:type="dxa"/>
              <w:bottom w:w="15" w:type="dxa"/>
              <w:right w:w="15" w:type="dxa"/>
            </w:tcMar>
            <w:vAlign w:val="center"/>
          </w:tcPr>
          <w:p/>
        </w:tc>
        <w:tc>
          <w:tcPr>
            <w:tcW w:w="1171" w:type="dxa"/>
            <w:tcBorders/>
            <w:tcMar>
              <w:top w:w="15" w:type="dxa"/>
              <w:left w:w="15" w:type="dxa"/>
              <w:bottom w:w="15" w:type="dxa"/>
              <w:right w:w="15" w:type="dxa"/>
            </w:tcMar>
            <w:vAlign w:val="center"/>
          </w:tcPr>
          <w:p/>
        </w:tc>
        <w:tc>
          <w:tcPr>
            <w:tcW w:w="2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85" w:type="dxa"/>
            <w:tcBorders/>
            <w:tcMar>
              <w:top w:w="15" w:type="dxa"/>
              <w:left w:w="15" w:type="dxa"/>
              <w:bottom w:w="15" w:type="dxa"/>
              <w:right w:w="15" w:type="dxa"/>
            </w:tcMar>
            <w:vAlign w:val="center"/>
          </w:tcPr>
          <w:p/>
        </w:tc>
        <w:tc>
          <w:tcPr>
            <w:tcW w:w="1207" w:type="dxa"/>
            <w:tcBorders/>
            <w:tcMar>
              <w:top w:w="15" w:type="dxa"/>
              <w:left w:w="15" w:type="dxa"/>
              <w:bottom w:w="15" w:type="dxa"/>
              <w:right w:w="15" w:type="dxa"/>
            </w:tcMar>
            <w:vAlign w:val="center"/>
          </w:tcPr>
          <w:p/>
        </w:tc>
        <w:tc>
          <w:tcPr>
            <w:tcW w:w="38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Credit rating</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of origination</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Balance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Credit rating</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Year of origination</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Balance</w:t>
            </w:r>
            <w:r>
              <w:rPr>
                <w:rFonts w:ascii="Times New Roman" w:hAnsi="Times New Roman"/>
                <w:b w:val="false"/>
                <w:i w:val="false"/>
                <w:color w:val="000000"/>
                <w:sz w:val="22"/>
              </w:rPr>
              <w:t xml:space="preserve"> </w:t>
            </w:r>
          </w:p>
        </w:tc>
      </w:tr>
      <w:tr>
        <w:trPr>
          <w:trHeight w:val="60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Loans receivables and other</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Moody’s rating Aa3 - Ba1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2022-2025</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8" w:id="899"/>
            <w:r>
              <w:rPr>
                <w:rFonts w:ascii="Arial" w:hAnsi="Arial"/>
                <w:b w:val="false"/>
                <w:i w:val="false"/>
                <w:color w:val="000000"/>
                <w:sz w:val="16"/>
              </w:rPr>
              <w:t>123.0</w:t>
            </w:r>
            <w:bookmarkEnd w:id="89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Moody’s rating A3 - Ba2</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2020-2023</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19" w:id="900"/>
            <w:r>
              <w:rPr>
                <w:rFonts w:ascii="Arial" w:hAnsi="Arial"/>
                <w:b w:val="false"/>
                <w:i w:val="false"/>
                <w:color w:val="000000"/>
                <w:sz w:val="16"/>
              </w:rPr>
              <w:t>127.6</w:t>
            </w:r>
            <w:bookmarkEnd w:id="90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financial assets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0" w:id="901"/>
            <w:r>
              <w:rPr>
                <w:rFonts w:ascii="Arial" w:hAnsi="Arial"/>
                <w:b w:val="false"/>
                <w:i w:val="false"/>
                <w:color w:val="000000"/>
                <w:sz w:val="16"/>
              </w:rPr>
              <w:t>123.0</w:t>
            </w:r>
            <w:bookmarkEnd w:id="901"/>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1" w:id="902"/>
            <w:r>
              <w:rPr>
                <w:rFonts w:ascii="Arial" w:hAnsi="Arial"/>
                <w:b w:val="false"/>
                <w:i w:val="false"/>
                <w:color w:val="000000"/>
                <w:sz w:val="16"/>
              </w:rPr>
              <w:t>127.6</w:t>
            </w:r>
            <w:bookmarkEnd w:id="902"/>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817-1" w:id="903"/>
      <w:bookmarkEnd w:id="903"/>
      <w:bookmarkStart w:name="f-816-2" w:id="904"/>
      <w:bookmarkEnd w:id="904"/>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Credit Losses</w:t>
      </w:r>
      <w:r>
        <w:rPr>
          <w:rFonts w:ascii="Times New Roman" w:hAnsi="Times New Roman"/>
          <w:b w:val="false"/>
          <w:i w:val="false"/>
          <w:color w:val="000000"/>
          <w:sz w:val="22"/>
        </w:rPr>
        <w:t xml:space="preserve"> </w:t>
      </w:r>
    </w:p>
    <w:p>
      <w:pPr>
        <w:spacing w:before="0" w:after="0"/>
        <w:ind w:left="120"/>
        <w:jc w:val="left"/>
      </w:pPr>
      <w:bookmarkStart w:name="f-816-2" w:id="905"/>
      <w:bookmarkEnd w:id="90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contract assets and trade receivables, we have elected to calculate an expected credit loss based on loss rates from historical data. We develop loss-rate statistics on the basis of the amount written-off over the life of the financial assets and contract assets and adjust these historical credit loss trends for forward-looking factors specific to the debtors and the economic environment to determine lifetime expected losses.</w:t>
      </w:r>
      <w:r>
        <w:rPr>
          <w:rFonts w:ascii="Times New Roman" w:hAnsi="Times New Roman"/>
          <w:b w:val="false"/>
          <w:i w:val="false"/>
          <w:color w:val="000000"/>
          <w:sz w:val="22"/>
        </w:rPr>
        <w:t xml:space="preserve"> </w:t>
      </w:r>
    </w:p>
    <w:p>
      <w:pPr>
        <w:spacing w:before="0" w:after="0"/>
        <w:ind w:left="120"/>
        <w:jc w:val="left"/>
      </w:pPr>
      <w:bookmarkStart w:name="f-816-2" w:id="906"/>
      <w:bookmarkEnd w:id="90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loans receivables and other securities at amortized cost, we evaluate whether these securities are considered to have low credit risk at the reporting date using available, reasonable, and supportable information.</w:t>
      </w:r>
      <w:r>
        <w:rPr>
          <w:rFonts w:ascii="Times New Roman" w:hAnsi="Times New Roman"/>
          <w:b w:val="false"/>
          <w:i w:val="false"/>
          <w:color w:val="000000"/>
          <w:sz w:val="22"/>
        </w:rPr>
        <w:t xml:space="preserve"> </w:t>
      </w:r>
    </w:p>
    <w:p>
      <w:pPr>
        <w:spacing w:before="0" w:after="0"/>
        <w:ind w:left="120"/>
        <w:jc w:val="left"/>
      </w:pPr>
      <w:bookmarkStart w:name="f-816-2" w:id="907"/>
      <w:bookmarkEnd w:id="907"/>
      <w:bookmarkStart w:name="f-822" w:id="908"/>
      <w:bookmarkEnd w:id="90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table below shows the roll-forward of allowance for credit losses as of June 30, 2025 and 2024, respectively.</w:t>
      </w:r>
      <w:r>
        <w:rPr>
          <w:rFonts w:ascii="Times New Roman" w:hAnsi="Times New Roman"/>
          <w:b w:val="false"/>
          <w:i w:val="false"/>
          <w:color w:val="000000"/>
          <w:sz w:val="22"/>
        </w:rPr>
        <w:t xml:space="preserve"> </w:t>
      </w:r>
    </w:p>
    <w:p>
      <w:pPr>
        <w:spacing w:before="0" w:after="0"/>
        <w:ind w:left="120"/>
        <w:jc w:val="left"/>
      </w:pPr>
      <w:bookmarkStart w:name="f-822" w:id="909"/>
      <w:bookmarkEnd w:id="909"/>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2"/>
        <w:gridCol w:w="6472"/>
        <w:gridCol w:w="435"/>
        <w:gridCol w:w="227"/>
        <w:gridCol w:w="1678"/>
        <w:gridCol w:w="63"/>
        <w:gridCol w:w="40"/>
        <w:gridCol w:w="40"/>
        <w:gridCol w:w="40"/>
        <w:gridCol w:w="218"/>
        <w:gridCol w:w="1655"/>
        <w:gridCol w:w="60"/>
        <w:gridCol w:w="40"/>
        <w:gridCol w:w="40"/>
        <w:gridCol w:w="40"/>
        <w:gridCol w:w="280"/>
        <w:gridCol w:w="1799"/>
        <w:gridCol w:w="75"/>
      </w:tblGrid>
      <w:tr>
        <w:trPr>
          <w:trHeight w:val="30" w:hRule="atLeast"/>
        </w:trPr>
        <w:tc>
          <w:tcPr>
            <w:tcW w:w="432" w:type="dxa"/>
            <w:tcBorders/>
            <w:tcMar>
              <w:top w:w="15" w:type="dxa"/>
              <w:left w:w="15" w:type="dxa"/>
              <w:bottom w:w="15" w:type="dxa"/>
              <w:right w:w="15" w:type="dxa"/>
            </w:tcMar>
            <w:vAlign w:val="center"/>
          </w:tcPr>
          <w:p/>
        </w:tc>
        <w:tc>
          <w:tcPr>
            <w:tcW w:w="6472" w:type="dxa"/>
            <w:tcBorders/>
            <w:tcMar>
              <w:top w:w="15" w:type="dxa"/>
              <w:left w:w="15" w:type="dxa"/>
              <w:bottom w:w="15" w:type="dxa"/>
              <w:right w:w="15" w:type="dxa"/>
            </w:tcMar>
            <w:vAlign w:val="center"/>
          </w:tcPr>
          <w:p/>
        </w:tc>
        <w:tc>
          <w:tcPr>
            <w:tcW w:w="435"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678"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18" w:type="dxa"/>
            <w:tcBorders/>
            <w:tcMar>
              <w:top w:w="15" w:type="dxa"/>
              <w:left w:w="15" w:type="dxa"/>
              <w:bottom w:w="15" w:type="dxa"/>
              <w:right w:w="15" w:type="dxa"/>
            </w:tcMar>
            <w:vAlign w:val="center"/>
          </w:tcPr>
          <w:p/>
        </w:tc>
        <w:tc>
          <w:tcPr>
            <w:tcW w:w="1655" w:type="dxa"/>
            <w:tcBorders/>
            <w:tcMar>
              <w:top w:w="15" w:type="dxa"/>
              <w:left w:w="15" w:type="dxa"/>
              <w:bottom w:w="15" w:type="dxa"/>
              <w:right w:w="15" w:type="dxa"/>
            </w:tcMar>
            <w:vAlign w:val="center"/>
          </w:tcPr>
          <w:p/>
        </w:tc>
        <w:tc>
          <w:tcPr>
            <w:tcW w:w="6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80" w:type="dxa"/>
            <w:tcBorders/>
            <w:tcMar>
              <w:top w:w="15" w:type="dxa"/>
              <w:left w:w="15" w:type="dxa"/>
              <w:bottom w:w="15" w:type="dxa"/>
              <w:right w:w="15" w:type="dxa"/>
            </w:tcMar>
            <w:vAlign w:val="center"/>
          </w:tcPr>
          <w:p/>
        </w:tc>
        <w:tc>
          <w:tcPr>
            <w:tcW w:w="1799" w:type="dxa"/>
            <w:tcBorders/>
            <w:tcMar>
              <w:top w:w="15" w:type="dxa"/>
              <w:left w:w="15" w:type="dxa"/>
              <w:bottom w:w="15" w:type="dxa"/>
              <w:right w:w="15" w:type="dxa"/>
            </w:tcMar>
            <w:vAlign w:val="center"/>
          </w:tcPr>
          <w:p/>
        </w:tc>
        <w:tc>
          <w:tcPr>
            <w:tcW w:w="75"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Balance as of June 30, 2025</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Trade receivables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Contract assets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Loans receivables and other</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Allowance for credit losses at December 31, 2024</w:t>
            </w:r>
            <w:r>
              <w:rPr>
                <w:rFonts w:ascii="Times New Roman" w:hAnsi="Times New Roman"/>
                <w:b w:val="false"/>
                <w:i w:val="false"/>
                <w:color w:val="000000"/>
                <w:sz w:val="22"/>
              </w:rPr>
              <w:t xml:space="preserve"> </w:t>
            </w: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7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3" w:id="910"/>
            <w:r>
              <w:rPr>
                <w:rFonts w:ascii="Arial" w:hAnsi="Arial"/>
                <w:b w:val="false"/>
                <w:i w:val="false"/>
                <w:color w:val="000000"/>
                <w:sz w:val="16"/>
              </w:rPr>
              <w:t>43.4</w:t>
            </w:r>
            <w:bookmarkEnd w:id="910"/>
            <w:r>
              <w:rPr>
                <w:rFonts w:ascii="Arial" w:hAnsi="Arial"/>
                <w:b w:val="false"/>
                <w:i w:val="false"/>
                <w:color w:val="000000"/>
                <w:sz w:val="16"/>
              </w:rPr>
              <w:t xml:space="preserve">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1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5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4" w:id="911"/>
            <w:r>
              <w:rPr>
                <w:rFonts w:ascii="Arial" w:hAnsi="Arial"/>
                <w:b w:val="false"/>
                <w:i w:val="false"/>
                <w:color w:val="000000"/>
                <w:sz w:val="16"/>
              </w:rPr>
              <w:t>1.3</w:t>
            </w:r>
            <w:bookmarkEnd w:id="911"/>
            <w:r>
              <w:rPr>
                <w:rFonts w:ascii="Arial" w:hAnsi="Arial"/>
                <w:b w:val="false"/>
                <w:i w:val="false"/>
                <w:color w:val="000000"/>
                <w:sz w:val="16"/>
              </w:rPr>
              <w:t xml:space="preserve">   </w:t>
            </w:r>
          </w:p>
        </w:tc>
        <w:tc>
          <w:tcPr>
            <w:tcW w:w="6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80"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9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5" w:id="912"/>
            <w:r>
              <w:rPr>
                <w:rFonts w:ascii="Arial" w:hAnsi="Arial"/>
                <w:b w:val="false"/>
                <w:i w:val="false"/>
                <w:color w:val="000000"/>
                <w:sz w:val="16"/>
              </w:rPr>
              <w:t>2.5</w:t>
            </w:r>
            <w:bookmarkEnd w:id="912"/>
            <w:r>
              <w:rPr>
                <w:rFonts w:ascii="Arial" w:hAnsi="Arial"/>
                <w:b w:val="false"/>
                <w:i w:val="false"/>
                <w:color w:val="000000"/>
                <w:sz w:val="16"/>
              </w:rPr>
              <w:t xml:space="preserve">   </w:t>
            </w:r>
          </w:p>
        </w:tc>
        <w:tc>
          <w:tcPr>
            <w:tcW w:w="75"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Current period provision (release) for expected credit losses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6" w:id="913"/>
            <w:r>
              <w:rPr>
                <w:rFonts w:ascii="Arial" w:hAnsi="Arial"/>
                <w:b w:val="false"/>
                <w:i w:val="false"/>
                <w:color w:val="000000"/>
                <w:sz w:val="16"/>
              </w:rPr>
              <w:t>8.1</w:t>
            </w:r>
            <w:bookmarkEnd w:id="913"/>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27" w:id="914"/>
            <w:r>
              <w:rPr>
                <w:rFonts w:ascii="Arial" w:hAnsi="Arial"/>
                <w:b w:val="false"/>
                <w:i w:val="false"/>
                <w:color w:val="000000"/>
                <w:sz w:val="16"/>
              </w:rPr>
              <w:t>—</w:t>
            </w:r>
            <w:bookmarkEnd w:id="914"/>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28" w:id="915"/>
            <w:r>
              <w:rPr>
                <w:rFonts w:ascii="Arial" w:hAnsi="Arial"/>
                <w:b w:val="false"/>
                <w:i w:val="false"/>
                <w:color w:val="000000"/>
                <w:sz w:val="16"/>
              </w:rPr>
              <w:t>0.1</w:t>
            </w:r>
            <w:bookmarkEnd w:id="915"/>
            <w:r>
              <w:rPr>
                <w:rFonts w:ascii="Arial" w:hAnsi="Arial"/>
                <w:b w:val="false"/>
                <w:i w:val="false"/>
                <w:color w:val="000000"/>
                <w:sz w:val="16"/>
              </w:rPr>
              <w:t xml:space="preserve"> ) </w:t>
            </w:r>
          </w:p>
        </w:tc>
        <w:tc>
          <w:tcPr>
            <w:tcW w:w="75" w:type="dxa"/>
            <w:tcBorders/>
            <w:shd w:fill="ffffff"/>
            <w:tcMar>
              <w:top w:w="30" w:type="dxa"/>
              <w:left w:w="15" w:type="dxa"/>
              <w:bottom w:w="30" w:type="dxa"/>
              <w:right w:w="15" w:type="dxa"/>
            </w:tcMar>
            <w:vAlign w:val="bottom"/>
          </w:tcPr>
          <w:p/>
        </w:tc>
      </w:tr>
      <w:tr>
        <w:trPr>
          <w:trHeight w:val="570" w:hRule="atLeast"/>
        </w:trPr>
        <w:tc>
          <w:tcPr>
            <w:tcW w:w="0" w:type="auto"/>
            <w:gridSpan w:val="3"/>
            <w:tcBorders/>
            <w:shd w:fill="ccee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Recoveries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29" w:id="916"/>
            <w:r>
              <w:rPr>
                <w:rFonts w:ascii="Arial" w:hAnsi="Arial"/>
                <w:b w:val="false"/>
                <w:i w:val="false"/>
                <w:color w:val="000000"/>
                <w:sz w:val="16"/>
              </w:rPr>
              <w:t>0.1</w:t>
            </w:r>
            <w:bookmarkEnd w:id="916"/>
            <w:r>
              <w:rPr>
                <w:rFonts w:ascii="Arial" w:hAnsi="Arial"/>
                <w:b w:val="false"/>
                <w:i w:val="false"/>
                <w:color w:val="000000"/>
                <w:sz w:val="16"/>
              </w:rPr>
              <w:t xml:space="preserve"> )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0" w:id="917"/>
            <w:r>
              <w:rPr>
                <w:rFonts w:ascii="Arial" w:hAnsi="Arial"/>
                <w:b w:val="false"/>
                <w:i w:val="false"/>
                <w:color w:val="000000"/>
                <w:sz w:val="16"/>
              </w:rPr>
              <w:t>—</w:t>
            </w:r>
            <w:bookmarkEnd w:id="917"/>
            <w:r>
              <w:rPr>
                <w:rFonts w:ascii="Arial" w:hAnsi="Arial"/>
                <w:b w:val="false"/>
                <w:i w:val="false"/>
                <w:color w:val="000000"/>
                <w:sz w:val="16"/>
              </w:rPr>
              <w:t xml:space="preserve">   </w:t>
            </w:r>
          </w:p>
        </w:tc>
        <w:tc>
          <w:tcPr>
            <w:tcW w:w="6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31" w:id="918"/>
            <w:r>
              <w:rPr>
                <w:rFonts w:ascii="Arial" w:hAnsi="Arial"/>
                <w:b w:val="false"/>
                <w:i w:val="false"/>
                <w:color w:val="000000"/>
                <w:sz w:val="16"/>
              </w:rPr>
              <w:t>0.9</w:t>
            </w:r>
            <w:bookmarkEnd w:id="918"/>
            <w:r>
              <w:rPr>
                <w:rFonts w:ascii="Arial" w:hAnsi="Arial"/>
                <w:b w:val="false"/>
                <w:i w:val="false"/>
                <w:color w:val="000000"/>
                <w:sz w:val="16"/>
              </w:rPr>
              <w:t xml:space="preserve"> ) </w:t>
            </w:r>
          </w:p>
        </w:tc>
        <w:tc>
          <w:tcPr>
            <w:tcW w:w="75"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Allowance for credit losses at June 30, 2025</w:t>
            </w:r>
            <w:r>
              <w:rPr>
                <w:rFonts w:ascii="Times New Roman" w:hAnsi="Times New Roman"/>
                <w:b w:val="false"/>
                <w:i w:val="false"/>
                <w:color w:val="000000"/>
                <w:sz w:val="22"/>
              </w:rPr>
              <w:t xml:space="preserve"> </w:t>
            </w:r>
          </w:p>
        </w:tc>
        <w:tc>
          <w:tcPr>
            <w:tcW w:w="22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7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2" w:id="919"/>
            <w:r>
              <w:rPr>
                <w:rFonts w:ascii="Arial" w:hAnsi="Arial"/>
                <w:b w:val="false"/>
                <w:i w:val="false"/>
                <w:color w:val="000000"/>
                <w:sz w:val="16"/>
              </w:rPr>
              <w:t>51.4</w:t>
            </w:r>
            <w:bookmarkEnd w:id="919"/>
            <w:r>
              <w:rPr>
                <w:rFonts w:ascii="Arial" w:hAnsi="Arial"/>
                <w:b w:val="false"/>
                <w:i w:val="false"/>
                <w:color w:val="000000"/>
                <w:sz w:val="16"/>
              </w:rPr>
              <w:t xml:space="preserve">   </w:t>
            </w:r>
          </w:p>
        </w:tc>
        <w:tc>
          <w:tcPr>
            <w:tcW w:w="63"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1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5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3" w:id="920"/>
            <w:r>
              <w:rPr>
                <w:rFonts w:ascii="Arial" w:hAnsi="Arial"/>
                <w:b w:val="false"/>
                <w:i w:val="false"/>
                <w:color w:val="000000"/>
                <w:sz w:val="16"/>
              </w:rPr>
              <w:t>1.3</w:t>
            </w:r>
            <w:bookmarkEnd w:id="920"/>
            <w:r>
              <w:rPr>
                <w:rFonts w:ascii="Arial" w:hAnsi="Arial"/>
                <w:b w:val="false"/>
                <w:i w:val="false"/>
                <w:color w:val="000000"/>
                <w:sz w:val="16"/>
              </w:rPr>
              <w:t xml:space="preserve">   </w:t>
            </w:r>
          </w:p>
        </w:tc>
        <w:tc>
          <w:tcPr>
            <w:tcW w:w="6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8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9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4" w:id="921"/>
            <w:r>
              <w:rPr>
                <w:rFonts w:ascii="Arial" w:hAnsi="Arial"/>
                <w:b w:val="false"/>
                <w:i w:val="false"/>
                <w:color w:val="000000"/>
                <w:sz w:val="16"/>
              </w:rPr>
              <w:t>1.5</w:t>
            </w:r>
            <w:bookmarkEnd w:id="921"/>
            <w:r>
              <w:rPr>
                <w:rFonts w:ascii="Arial" w:hAnsi="Arial"/>
                <w:b w:val="false"/>
                <w:i w:val="false"/>
                <w:color w:val="000000"/>
                <w:sz w:val="16"/>
              </w:rPr>
              <w:t xml:space="preserve">   </w:t>
            </w:r>
          </w:p>
        </w:tc>
        <w:tc>
          <w:tcPr>
            <w:tcW w:w="75"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822" w:id="922"/>
      <w:bookmarkEnd w:id="922"/>
    </w:p>
    <w:p>
      <w:pPr>
        <w:spacing w:before="0" w:after="18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88"/>
        <w:gridCol w:w="6584"/>
        <w:gridCol w:w="390"/>
        <w:gridCol w:w="227"/>
        <w:gridCol w:w="1689"/>
        <w:gridCol w:w="63"/>
        <w:gridCol w:w="40"/>
        <w:gridCol w:w="40"/>
        <w:gridCol w:w="40"/>
        <w:gridCol w:w="217"/>
        <w:gridCol w:w="1670"/>
        <w:gridCol w:w="58"/>
        <w:gridCol w:w="40"/>
        <w:gridCol w:w="40"/>
        <w:gridCol w:w="40"/>
        <w:gridCol w:w="281"/>
        <w:gridCol w:w="1689"/>
        <w:gridCol w:w="78"/>
      </w:tblGrid>
      <w:tr>
        <w:trPr>
          <w:trHeight w:val="30" w:hRule="atLeast"/>
        </w:trPr>
        <w:tc>
          <w:tcPr>
            <w:tcW w:w="388" w:type="dxa"/>
            <w:tcBorders/>
            <w:tcMar>
              <w:top w:w="15" w:type="dxa"/>
              <w:left w:w="15" w:type="dxa"/>
              <w:bottom w:w="15" w:type="dxa"/>
              <w:right w:w="15" w:type="dxa"/>
            </w:tcMar>
            <w:vAlign w:val="center"/>
          </w:tcPr>
          <w:p/>
        </w:tc>
        <w:tc>
          <w:tcPr>
            <w:tcW w:w="6584" w:type="dxa"/>
            <w:tcBorders/>
            <w:tcMar>
              <w:top w:w="15" w:type="dxa"/>
              <w:left w:w="15" w:type="dxa"/>
              <w:bottom w:w="15" w:type="dxa"/>
              <w:right w:w="15" w:type="dxa"/>
            </w:tcMar>
            <w:vAlign w:val="center"/>
          </w:tcPr>
          <w:p/>
        </w:tc>
        <w:tc>
          <w:tcPr>
            <w:tcW w:w="390"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689"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1670"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81" w:type="dxa"/>
            <w:tcBorders/>
            <w:tcMar>
              <w:top w:w="15" w:type="dxa"/>
              <w:left w:w="15" w:type="dxa"/>
              <w:bottom w:w="15" w:type="dxa"/>
              <w:right w:w="15" w:type="dxa"/>
            </w:tcMar>
            <w:vAlign w:val="center"/>
          </w:tcPr>
          <w:p/>
        </w:tc>
        <w:tc>
          <w:tcPr>
            <w:tcW w:w="1689" w:type="dxa"/>
            <w:tcBorders/>
            <w:tcMar>
              <w:top w:w="15" w:type="dxa"/>
              <w:left w:w="15" w:type="dxa"/>
              <w:bottom w:w="15" w:type="dxa"/>
              <w:right w:w="15" w:type="dxa"/>
            </w:tcMar>
            <w:vAlign w:val="center"/>
          </w:tcPr>
          <w:p/>
        </w:tc>
        <w:tc>
          <w:tcPr>
            <w:tcW w:w="78"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Balance as of June 30, 2024</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Trade receivables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Contract assets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Loans receivables and other</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Allowance for credit losses at December 31, 2023</w:t>
            </w:r>
            <w:r>
              <w:rPr>
                <w:rFonts w:ascii="Times New Roman" w:hAnsi="Times New Roman"/>
                <w:b w:val="false"/>
                <w:i w:val="false"/>
                <w:color w:val="000000"/>
                <w:sz w:val="22"/>
              </w:rPr>
              <w:t xml:space="preserve"> </w:t>
            </w: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8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5" w:id="923"/>
            <w:r>
              <w:rPr>
                <w:rFonts w:ascii="Arial" w:hAnsi="Arial"/>
                <w:b w:val="false"/>
                <w:i w:val="false"/>
                <w:color w:val="000000"/>
                <w:sz w:val="16"/>
              </w:rPr>
              <w:t>34.4</w:t>
            </w:r>
            <w:bookmarkEnd w:id="923"/>
            <w:r>
              <w:rPr>
                <w:rFonts w:ascii="Arial" w:hAnsi="Arial"/>
                <w:b w:val="false"/>
                <w:i w:val="false"/>
                <w:color w:val="000000"/>
                <w:sz w:val="16"/>
              </w:rPr>
              <w:t xml:space="preserve">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1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7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6" w:id="924"/>
            <w:r>
              <w:rPr>
                <w:rFonts w:ascii="Arial" w:hAnsi="Arial"/>
                <w:b w:val="false"/>
                <w:i w:val="false"/>
                <w:color w:val="000000"/>
                <w:sz w:val="16"/>
              </w:rPr>
              <w:t>1.4</w:t>
            </w:r>
            <w:bookmarkEnd w:id="924"/>
            <w:r>
              <w:rPr>
                <w:rFonts w:ascii="Arial" w:hAnsi="Arial"/>
                <w:b w:val="false"/>
                <w:i w:val="false"/>
                <w:color w:val="000000"/>
                <w:sz w:val="16"/>
              </w:rPr>
              <w:t xml:space="preserve">   </w:t>
            </w:r>
          </w:p>
        </w:tc>
        <w:tc>
          <w:tcPr>
            <w:tcW w:w="5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81"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8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7" w:id="925"/>
            <w:r>
              <w:rPr>
                <w:rFonts w:ascii="Arial" w:hAnsi="Arial"/>
                <w:b w:val="false"/>
                <w:i w:val="false"/>
                <w:color w:val="000000"/>
                <w:sz w:val="16"/>
              </w:rPr>
              <w:t>2.3</w:t>
            </w:r>
            <w:bookmarkEnd w:id="925"/>
            <w:r>
              <w:rPr>
                <w:rFonts w:ascii="Arial" w:hAnsi="Arial"/>
                <w:b w:val="false"/>
                <w:i w:val="false"/>
                <w:color w:val="000000"/>
                <w:sz w:val="16"/>
              </w:rPr>
              <w:t xml:space="preserve">   </w:t>
            </w:r>
          </w:p>
        </w:tc>
        <w:tc>
          <w:tcPr>
            <w:tcW w:w="7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1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Current period provision (release) for expected credit losses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38" w:id="926"/>
            <w:r>
              <w:rPr>
                <w:rFonts w:ascii="Arial" w:hAnsi="Arial"/>
                <w:b w:val="false"/>
                <w:i w:val="false"/>
                <w:color w:val="000000"/>
                <w:sz w:val="16"/>
              </w:rPr>
              <w:t>24.4</w:t>
            </w:r>
            <w:bookmarkEnd w:id="926"/>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839" w:id="927"/>
            <w:r>
              <w:rPr>
                <w:rFonts w:ascii="Arial" w:hAnsi="Arial"/>
                <w:b w:val="false"/>
                <w:i w:val="false"/>
                <w:color w:val="000000"/>
                <w:sz w:val="16"/>
              </w:rPr>
              <w:t>0.1</w:t>
            </w:r>
            <w:bookmarkEnd w:id="927"/>
            <w:r>
              <w:rPr>
                <w:rFonts w:ascii="Arial" w:hAnsi="Arial"/>
                <w:b w:val="false"/>
                <w:i w:val="false"/>
                <w:color w:val="000000"/>
                <w:sz w:val="16"/>
              </w:rPr>
              <w:t xml:space="preserve"> ) </w:t>
            </w:r>
          </w:p>
        </w:tc>
        <w:tc>
          <w:tcPr>
            <w:tcW w:w="5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0" w:id="928"/>
            <w:r>
              <w:rPr>
                <w:rFonts w:ascii="Arial" w:hAnsi="Arial"/>
                <w:b w:val="false"/>
                <w:i w:val="false"/>
                <w:color w:val="000000"/>
                <w:sz w:val="16"/>
              </w:rPr>
              <w:t>7.3</w:t>
            </w:r>
            <w:bookmarkEnd w:id="928"/>
            <w:r>
              <w:rPr>
                <w:rFonts w:ascii="Arial" w:hAnsi="Arial"/>
                <w:b w:val="false"/>
                <w:i w:val="false"/>
                <w:color w:val="000000"/>
                <w:sz w:val="16"/>
              </w:rPr>
              <w:t xml:space="preserve">   </w:t>
            </w:r>
          </w:p>
        </w:tc>
        <w:tc>
          <w:tcPr>
            <w:tcW w:w="78"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Allowance for credit losses at June 30, 2024</w:t>
            </w:r>
            <w:r>
              <w:rPr>
                <w:rFonts w:ascii="Times New Roman" w:hAnsi="Times New Roman"/>
                <w:b w:val="false"/>
                <w:i w:val="false"/>
                <w:color w:val="000000"/>
                <w:sz w:val="22"/>
              </w:rPr>
              <w:t xml:space="preserve"> </w:t>
            </w:r>
          </w:p>
        </w:tc>
        <w:tc>
          <w:tcPr>
            <w:tcW w:w="22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8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1" w:id="929"/>
            <w:r>
              <w:rPr>
                <w:rFonts w:ascii="Arial" w:hAnsi="Arial"/>
                <w:b w:val="false"/>
                <w:i w:val="false"/>
                <w:color w:val="000000"/>
                <w:sz w:val="16"/>
              </w:rPr>
              <w:t>58.8</w:t>
            </w:r>
            <w:bookmarkEnd w:id="929"/>
            <w:r>
              <w:rPr>
                <w:rFonts w:ascii="Arial" w:hAnsi="Arial"/>
                <w:b w:val="false"/>
                <w:i w:val="false"/>
                <w:color w:val="000000"/>
                <w:sz w:val="16"/>
              </w:rPr>
              <w:t xml:space="preserve">   </w:t>
            </w:r>
          </w:p>
        </w:tc>
        <w:tc>
          <w:tcPr>
            <w:tcW w:w="63"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1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7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2" w:id="930"/>
            <w:r>
              <w:rPr>
                <w:rFonts w:ascii="Arial" w:hAnsi="Arial"/>
                <w:b w:val="false"/>
                <w:i w:val="false"/>
                <w:color w:val="000000"/>
                <w:sz w:val="16"/>
              </w:rPr>
              <w:t>1.3</w:t>
            </w:r>
            <w:bookmarkEnd w:id="930"/>
            <w:r>
              <w:rPr>
                <w:rFonts w:ascii="Arial" w:hAnsi="Arial"/>
                <w:b w:val="false"/>
                <w:i w:val="false"/>
                <w:color w:val="000000"/>
                <w:sz w:val="16"/>
              </w:rPr>
              <w:t xml:space="preserve">   </w:t>
            </w:r>
          </w:p>
        </w:tc>
        <w:tc>
          <w:tcPr>
            <w:tcW w:w="58"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8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8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3" w:id="931"/>
            <w:r>
              <w:rPr>
                <w:rFonts w:ascii="Arial" w:hAnsi="Arial"/>
                <w:b w:val="false"/>
                <w:i w:val="false"/>
                <w:color w:val="000000"/>
                <w:sz w:val="16"/>
              </w:rPr>
              <w:t>9.6</w:t>
            </w:r>
            <w:bookmarkEnd w:id="931"/>
            <w:r>
              <w:rPr>
                <w:rFonts w:ascii="Arial" w:hAnsi="Arial"/>
                <w:b w:val="false"/>
                <w:i w:val="false"/>
                <w:color w:val="000000"/>
                <w:sz w:val="16"/>
              </w:rPr>
              <w:t xml:space="preserve">   </w:t>
            </w:r>
          </w:p>
        </w:tc>
        <w:tc>
          <w:tcPr>
            <w:tcW w:w="78"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bookmarkStart w:name="f-822" w:id="932"/>
      <w:bookmarkEnd w:id="932"/>
      <w:bookmarkStart w:name="f-816-2" w:id="933"/>
      <w:bookmarkEnd w:id="93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Trade receivables are due in one year or less. We do not have any financial assets that are past due or are on non-accrual status.</w:t>
      </w:r>
      <w:r>
        <w:rPr>
          <w:rFonts w:ascii="Times New Roman" w:hAnsi="Times New Roman"/>
          <w:b w:val="false"/>
          <w:i w:val="false"/>
          <w:color w:val="000000"/>
          <w:sz w:val="22"/>
        </w:rPr>
        <w:t xml:space="preserve"> </w:t>
      </w:r>
    </w:p>
    <w:p>
      <w:pPr>
        <w:spacing w:before="0" w:after="0"/>
        <w:ind w:left="120"/>
        <w:jc w:val="left"/>
      </w:pPr>
      <w:bookmarkStart w:name="f-816-2" w:id="934"/>
      <w:bookmarkEnd w:id="934"/>
    </w:p>
    <w:bookmarkStart w:name="if5bce3d3882148cf91b6563d87cc4db5_76" w:id="935"/>
    <w:p>
      <w:pPr>
        <w:spacing w:before="0" w:after="0"/>
        <w:ind w:left="120"/>
        <w:jc w:val="left"/>
      </w:pPr>
    </w:p>
    <w:bookmarkEnd w:id="935"/>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7. </w:t>
      </w:r>
      <w:bookmarkStart w:name="f-844" w:id="936"/>
      <w:r>
        <w:rPr>
          <w:rFonts w:ascii="Arial" w:hAnsi="Arial"/>
          <w:b/>
          <w:i w:val="false"/>
          <w:color w:val="000000"/>
          <w:sz w:val="20"/>
        </w:rPr>
        <w:t>INVENTORIES</w:t>
      </w:r>
      <w:bookmarkEnd w:id="936"/>
      <w:r>
        <w:rPr>
          <w:rFonts w:ascii="Arial" w:hAnsi="Arial"/>
          <w:b/>
          <w:i w:val="false"/>
          <w:color w:val="000000"/>
          <w:sz w:val="20"/>
        </w:rPr>
        <w:t xml:space="preserve"> </w:t>
      </w:r>
    </w:p>
    <w:p>
      <w:pPr>
        <w:spacing w:before="0" w:after="0"/>
        <w:ind w:left="120"/>
        <w:jc w:val="left"/>
      </w:pPr>
      <w:bookmarkStart w:name="f-845" w:id="937"/>
      <w:bookmarkEnd w:id="937"/>
      <w:bookmarkStart w:name="f-844-1" w:id="938"/>
      <w:bookmarkEnd w:id="93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Inventories consisted of the following:</w:t>
      </w:r>
      <w:r>
        <w:rPr>
          <w:rFonts w:ascii="Times New Roman" w:hAnsi="Times New Roman"/>
          <w:b w:val="false"/>
          <w:i w:val="false"/>
          <w:color w:val="000000"/>
          <w:sz w:val="22"/>
        </w:rPr>
        <w:t xml:space="preserve"> </w:t>
      </w:r>
    </w:p>
    <w:p>
      <w:pPr>
        <w:spacing w:before="0" w:after="0"/>
        <w:ind w:left="120"/>
        <w:jc w:val="left"/>
      </w:pPr>
      <w:bookmarkStart w:name="f-844-1" w:id="939"/>
      <w:bookmarkEnd w:id="939"/>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5"/>
        <w:gridCol w:w="9327"/>
        <w:gridCol w:w="438"/>
        <w:gridCol w:w="146"/>
        <w:gridCol w:w="1459"/>
        <w:gridCol w:w="40"/>
        <w:gridCol w:w="40"/>
        <w:gridCol w:w="40"/>
        <w:gridCol w:w="40"/>
        <w:gridCol w:w="155"/>
        <w:gridCol w:w="1471"/>
        <w:gridCol w:w="43"/>
      </w:tblGrid>
      <w:tr>
        <w:trPr>
          <w:trHeight w:val="30" w:hRule="atLeast"/>
        </w:trPr>
        <w:tc>
          <w:tcPr>
            <w:tcW w:w="435" w:type="dxa"/>
            <w:tcBorders/>
            <w:tcMar>
              <w:top w:w="15" w:type="dxa"/>
              <w:left w:w="15" w:type="dxa"/>
              <w:bottom w:w="15" w:type="dxa"/>
              <w:right w:w="15" w:type="dxa"/>
            </w:tcMar>
            <w:vAlign w:val="center"/>
          </w:tcPr>
          <w:p/>
        </w:tc>
        <w:tc>
          <w:tcPr>
            <w:tcW w:w="9327" w:type="dxa"/>
            <w:tcBorders/>
            <w:tcMar>
              <w:top w:w="15" w:type="dxa"/>
              <w:left w:w="15" w:type="dxa"/>
              <w:bottom w:w="15" w:type="dxa"/>
              <w:right w:w="15" w:type="dxa"/>
            </w:tcMar>
            <w:vAlign w:val="center"/>
          </w:tcPr>
          <w:p/>
        </w:tc>
        <w:tc>
          <w:tcPr>
            <w:tcW w:w="438"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5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471"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Raw materials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6" w:id="940"/>
            <w:r>
              <w:rPr>
                <w:rFonts w:ascii="Arial" w:hAnsi="Arial"/>
                <w:b w:val="false"/>
                <w:i w:val="false"/>
                <w:color w:val="000000"/>
                <w:sz w:val="16"/>
              </w:rPr>
              <w:t>464.5</w:t>
            </w:r>
            <w:bookmarkEnd w:id="94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7" w:id="941"/>
            <w:r>
              <w:rPr>
                <w:rFonts w:ascii="Arial" w:hAnsi="Arial"/>
                <w:b w:val="false"/>
                <w:i w:val="false"/>
                <w:color w:val="000000"/>
                <w:sz w:val="16"/>
              </w:rPr>
              <w:t>374.8</w:t>
            </w:r>
            <w:bookmarkEnd w:id="941"/>
            <w:r>
              <w:rPr>
                <w:rFonts w:ascii="Arial" w:hAnsi="Arial"/>
                <w:b w:val="false"/>
                <w:i w:val="false"/>
                <w:color w:val="000000"/>
                <w:sz w:val="16"/>
              </w:rPr>
              <w:t xml:space="preserve">   </w:t>
            </w:r>
          </w:p>
        </w:tc>
        <w:tc>
          <w:tcPr>
            <w:tcW w:w="43"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Work in process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8" w:id="942"/>
            <w:r>
              <w:rPr>
                <w:rFonts w:ascii="Arial" w:hAnsi="Arial"/>
                <w:b w:val="false"/>
                <w:i w:val="false"/>
                <w:color w:val="000000"/>
                <w:sz w:val="16"/>
              </w:rPr>
              <w:t>209.2</w:t>
            </w:r>
            <w:bookmarkEnd w:id="94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49" w:id="943"/>
            <w:r>
              <w:rPr>
                <w:rFonts w:ascii="Arial" w:hAnsi="Arial"/>
                <w:b w:val="false"/>
                <w:i w:val="false"/>
                <w:color w:val="000000"/>
                <w:sz w:val="16"/>
              </w:rPr>
              <w:t>162.7</w:t>
            </w:r>
            <w:bookmarkEnd w:id="943"/>
            <w:r>
              <w:rPr>
                <w:rFonts w:ascii="Arial" w:hAnsi="Arial"/>
                <w:b w:val="false"/>
                <w:i w:val="false"/>
                <w:color w:val="000000"/>
                <w:sz w:val="16"/>
              </w:rPr>
              <w:t xml:space="preserve">   </w:t>
            </w:r>
          </w:p>
        </w:tc>
        <w:tc>
          <w:tcPr>
            <w:tcW w:w="43"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Finished goods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0" w:id="944"/>
            <w:r>
              <w:rPr>
                <w:rFonts w:ascii="Arial" w:hAnsi="Arial"/>
                <w:b w:val="false"/>
                <w:i w:val="false"/>
                <w:color w:val="000000"/>
                <w:sz w:val="16"/>
              </w:rPr>
              <w:t>547.8</w:t>
            </w:r>
            <w:bookmarkEnd w:id="94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1" w:id="945"/>
            <w:r>
              <w:rPr>
                <w:rFonts w:ascii="Arial" w:hAnsi="Arial"/>
                <w:b w:val="false"/>
                <w:i w:val="false"/>
                <w:color w:val="000000"/>
                <w:sz w:val="16"/>
              </w:rPr>
              <w:t>539.2</w:t>
            </w:r>
            <w:bookmarkEnd w:id="945"/>
            <w:r>
              <w:rPr>
                <w:rFonts w:ascii="Arial" w:hAnsi="Arial"/>
                <w:b w:val="false"/>
                <w:i w:val="false"/>
                <w:color w:val="000000"/>
                <w:sz w:val="16"/>
              </w:rPr>
              <w:t xml:space="preserve">   </w:t>
            </w:r>
          </w:p>
        </w:tc>
        <w:tc>
          <w:tcPr>
            <w:tcW w:w="43"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Inventories, net</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2" w:id="946"/>
            <w:r>
              <w:rPr>
                <w:rFonts w:ascii="Arial" w:hAnsi="Arial"/>
                <w:b w:val="false"/>
                <w:i w:val="false"/>
                <w:color w:val="000000"/>
                <w:sz w:val="16"/>
              </w:rPr>
              <w:t>1,221.5</w:t>
            </w:r>
            <w:bookmarkEnd w:id="946"/>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3" w:id="947"/>
            <w:r>
              <w:rPr>
                <w:rFonts w:ascii="Arial" w:hAnsi="Arial"/>
                <w:b w:val="false"/>
                <w:i w:val="false"/>
                <w:color w:val="000000"/>
                <w:sz w:val="16"/>
              </w:rPr>
              <w:t>1,076.7</w:t>
            </w:r>
            <w:bookmarkEnd w:id="947"/>
            <w:r>
              <w:rPr>
                <w:rFonts w:ascii="Arial" w:hAnsi="Arial"/>
                <w:b w:val="false"/>
                <w:i w:val="false"/>
                <w:color w:val="000000"/>
                <w:sz w:val="16"/>
              </w:rPr>
              <w:t xml:space="preserve">   </w:t>
            </w:r>
          </w:p>
        </w:tc>
        <w:tc>
          <w:tcPr>
            <w:tcW w:w="43"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844-1" w:id="948"/>
      <w:bookmarkEnd w:id="948"/>
      <w:bookmarkStart w:name="f-845" w:id="949"/>
      <w:bookmarkEnd w:id="949"/>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16</w:t>
      </w:r>
      <w:r>
        <w:rPr>
          <w:rFonts w:ascii="Times New Roman" w:hAnsi="Times New Roman"/>
          <w:b w:val="false"/>
          <w:i w:val="false"/>
          <w:color w:val="000000"/>
          <w:sz w:val="22"/>
        </w:rPr>
        <w:t xml:space="preserve"> </w:t>
      </w:r>
    </w:p>
    <w:p>
      <w:pPr>
        <w:spacing w:before="0" w:after="0"/>
        <w:ind w:left="120"/>
        <w:jc w:val="left"/>
      </w:pPr>
    </w:p>
    <w:bookmarkStart w:name="if5bce3d3882148cf91b6563d87cc4db5_79" w:id="950"/>
    <w:p>
      <w:pPr>
        <w:spacing w:before="0" w:after="0"/>
        <w:ind w:left="120"/>
        <w:jc w:val="left"/>
      </w:pPr>
    </w:p>
    <w:bookmarkEnd w:id="950"/>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8. </w:t>
      </w:r>
      <w:bookmarkStart w:name="f-854" w:id="951"/>
      <w:r>
        <w:rPr>
          <w:rFonts w:ascii="Arial" w:hAnsi="Arial"/>
          <w:b/>
          <w:i w:val="false"/>
          <w:color w:val="000000"/>
          <w:sz w:val="20"/>
        </w:rPr>
        <w:t>OTHER CURRENT ASSETS &amp; OTHER CURRENT LIABILITIES</w:t>
      </w:r>
      <w:bookmarkEnd w:id="951"/>
      <w:r>
        <w:rPr>
          <w:rFonts w:ascii="Arial" w:hAnsi="Arial"/>
          <w:b/>
          <w:i w:val="false"/>
          <w:color w:val="000000"/>
          <w:sz w:val="20"/>
        </w:rPr>
        <w:t xml:space="preserve"> </w:t>
      </w:r>
    </w:p>
    <w:p>
      <w:pPr>
        <w:spacing w:before="0" w:after="0"/>
        <w:ind w:left="120"/>
        <w:jc w:val="left"/>
      </w:pPr>
      <w:bookmarkStart w:name="f-854-1" w:id="952"/>
      <w:bookmarkEnd w:id="952"/>
      <w:bookmarkStart w:name="f-855" w:id="953"/>
      <w:bookmarkEnd w:id="95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current assets consisted of the following:</w:t>
      </w:r>
      <w:r>
        <w:rPr>
          <w:rFonts w:ascii="Times New Roman" w:hAnsi="Times New Roman"/>
          <w:b w:val="false"/>
          <w:i w:val="false"/>
          <w:color w:val="000000"/>
          <w:sz w:val="22"/>
        </w:rPr>
        <w:t xml:space="preserve"> </w:t>
      </w:r>
    </w:p>
    <w:p>
      <w:pPr>
        <w:spacing w:before="0" w:after="0"/>
        <w:ind w:left="120"/>
        <w:jc w:val="left"/>
      </w:pPr>
      <w:bookmarkStart w:name="f-855" w:id="954"/>
      <w:bookmarkEnd w:id="954"/>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07"/>
        <w:gridCol w:w="9351"/>
        <w:gridCol w:w="410"/>
        <w:gridCol w:w="146"/>
        <w:gridCol w:w="1452"/>
        <w:gridCol w:w="40"/>
        <w:gridCol w:w="40"/>
        <w:gridCol w:w="40"/>
        <w:gridCol w:w="40"/>
        <w:gridCol w:w="186"/>
        <w:gridCol w:w="1470"/>
        <w:gridCol w:w="52"/>
      </w:tblGrid>
      <w:tr>
        <w:trPr>
          <w:trHeight w:val="30" w:hRule="atLeast"/>
        </w:trPr>
        <w:tc>
          <w:tcPr>
            <w:tcW w:w="407" w:type="dxa"/>
            <w:tcBorders/>
            <w:tcMar>
              <w:top w:w="15" w:type="dxa"/>
              <w:left w:w="15" w:type="dxa"/>
              <w:bottom w:w="15" w:type="dxa"/>
              <w:right w:w="15" w:type="dxa"/>
            </w:tcMar>
            <w:vAlign w:val="center"/>
          </w:tcPr>
          <w:p/>
        </w:tc>
        <w:tc>
          <w:tcPr>
            <w:tcW w:w="9351" w:type="dxa"/>
            <w:tcBorders/>
            <w:tcMar>
              <w:top w:w="15" w:type="dxa"/>
              <w:left w:w="15" w:type="dxa"/>
              <w:bottom w:w="15" w:type="dxa"/>
              <w:right w:w="15" w:type="dxa"/>
            </w:tcMar>
            <w:vAlign w:val="center"/>
          </w:tcPr>
          <w:p/>
        </w:tc>
        <w:tc>
          <w:tcPr>
            <w:tcW w:w="41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5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6" w:type="dxa"/>
            <w:tcBorders/>
            <w:tcMar>
              <w:top w:w="15" w:type="dxa"/>
              <w:left w:w="15" w:type="dxa"/>
              <w:bottom w:w="15" w:type="dxa"/>
              <w:right w:w="15" w:type="dxa"/>
            </w:tcMar>
            <w:vAlign w:val="center"/>
          </w:tcPr>
          <w:p/>
        </w:tc>
        <w:tc>
          <w:tcPr>
            <w:tcW w:w="1470" w:type="dxa"/>
            <w:tcBorders/>
            <w:tcMar>
              <w:top w:w="15" w:type="dxa"/>
              <w:left w:w="15" w:type="dxa"/>
              <w:bottom w:w="15" w:type="dxa"/>
              <w:right w:w="15" w:type="dxa"/>
            </w:tcMar>
            <w:vAlign w:val="center"/>
          </w:tcPr>
          <w:p/>
        </w:tc>
        <w:tc>
          <w:tcPr>
            <w:tcW w:w="52"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Value-added tax receivables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6" w:id="955"/>
            <w:r>
              <w:rPr>
                <w:rFonts w:ascii="Arial" w:hAnsi="Arial"/>
                <w:b w:val="false"/>
                <w:i w:val="false"/>
                <w:color w:val="000000"/>
                <w:sz w:val="16"/>
              </w:rPr>
              <w:t>175.5</w:t>
            </w:r>
            <w:bookmarkEnd w:id="95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7" w:id="956"/>
            <w:r>
              <w:rPr>
                <w:rFonts w:ascii="Arial" w:hAnsi="Arial"/>
                <w:b w:val="false"/>
                <w:i w:val="false"/>
                <w:color w:val="000000"/>
                <w:sz w:val="16"/>
              </w:rPr>
              <w:t>155.8</w:t>
            </w:r>
            <w:bookmarkEnd w:id="956"/>
            <w:r>
              <w:rPr>
                <w:rFonts w:ascii="Arial" w:hAnsi="Arial"/>
                <w:b w:val="false"/>
                <w:i w:val="false"/>
                <w:color w:val="000000"/>
                <w:sz w:val="16"/>
              </w:rPr>
              <w:t xml:space="preserve">   </w:t>
            </w:r>
          </w:p>
        </w:tc>
        <w:tc>
          <w:tcPr>
            <w:tcW w:w="52"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Prepaid expenses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8" w:id="957"/>
            <w:r>
              <w:rPr>
                <w:rFonts w:ascii="Arial" w:hAnsi="Arial"/>
                <w:b w:val="false"/>
                <w:i w:val="false"/>
                <w:color w:val="000000"/>
                <w:sz w:val="16"/>
              </w:rPr>
              <w:t>122.9</w:t>
            </w:r>
            <w:bookmarkEnd w:id="95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59" w:id="958"/>
            <w:r>
              <w:rPr>
                <w:rFonts w:ascii="Arial" w:hAnsi="Arial"/>
                <w:b w:val="false"/>
                <w:i w:val="false"/>
                <w:color w:val="000000"/>
                <w:sz w:val="16"/>
              </w:rPr>
              <w:t>81.6</w:t>
            </w:r>
            <w:bookmarkEnd w:id="958"/>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Withholding tax and other receivables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0" w:id="959"/>
            <w:r>
              <w:rPr>
                <w:rFonts w:ascii="Arial" w:hAnsi="Arial"/>
                <w:b w:val="false"/>
                <w:i w:val="false"/>
                <w:color w:val="000000"/>
                <w:sz w:val="16"/>
              </w:rPr>
              <w:t>66.1</w:t>
            </w:r>
            <w:bookmarkEnd w:id="95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1" w:id="960"/>
            <w:r>
              <w:rPr>
                <w:rFonts w:ascii="Arial" w:hAnsi="Arial"/>
                <w:b w:val="false"/>
                <w:i w:val="false"/>
                <w:color w:val="000000"/>
                <w:sz w:val="16"/>
              </w:rPr>
              <w:t>67.7</w:t>
            </w:r>
            <w:bookmarkEnd w:id="960"/>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2" w:id="961"/>
            <w:r>
              <w:rPr>
                <w:rFonts w:ascii="Arial" w:hAnsi="Arial"/>
                <w:b w:val="false"/>
                <w:i w:val="false"/>
                <w:color w:val="000000"/>
                <w:sz w:val="16"/>
              </w:rPr>
              <w:t>27.5</w:t>
            </w:r>
            <w:bookmarkEnd w:id="96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3" w:id="962"/>
            <w:r>
              <w:rPr>
                <w:rFonts w:ascii="Arial" w:hAnsi="Arial"/>
                <w:b w:val="false"/>
                <w:i w:val="false"/>
                <w:color w:val="000000"/>
                <w:sz w:val="16"/>
              </w:rPr>
              <w:t>41.3</w:t>
            </w:r>
            <w:bookmarkEnd w:id="962"/>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other current assets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5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4" w:id="963"/>
            <w:r>
              <w:rPr>
                <w:rFonts w:ascii="Arial" w:hAnsi="Arial"/>
                <w:b w:val="false"/>
                <w:i w:val="false"/>
                <w:color w:val="000000"/>
                <w:sz w:val="16"/>
              </w:rPr>
              <w:t>392.0</w:t>
            </w:r>
            <w:bookmarkEnd w:id="963"/>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5" w:id="964"/>
            <w:r>
              <w:rPr>
                <w:rFonts w:ascii="Arial" w:hAnsi="Arial"/>
                <w:b w:val="false"/>
                <w:i w:val="false"/>
                <w:color w:val="000000"/>
                <w:sz w:val="16"/>
              </w:rPr>
              <w:t>346.4</w:t>
            </w:r>
            <w:bookmarkEnd w:id="964"/>
            <w:r>
              <w:rPr>
                <w:rFonts w:ascii="Arial" w:hAnsi="Arial"/>
                <w:b w:val="false"/>
                <w:i w:val="false"/>
                <w:color w:val="000000"/>
                <w:sz w:val="16"/>
              </w:rPr>
              <w:t xml:space="preserve">   </w:t>
            </w:r>
          </w:p>
        </w:tc>
        <w:tc>
          <w:tcPr>
            <w:tcW w:w="52"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855" w:id="965"/>
      <w:bookmarkEnd w:id="965"/>
      <w:bookmarkStart w:name="f-854-1" w:id="966"/>
      <w:bookmarkEnd w:id="966"/>
      <w:bookmarkStart w:name="f-866" w:id="967"/>
      <w:bookmarkEnd w:id="96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current liabilities consisted of the following:</w:t>
      </w:r>
      <w:r>
        <w:rPr>
          <w:rFonts w:ascii="Times New Roman" w:hAnsi="Times New Roman"/>
          <w:b w:val="false"/>
          <w:i w:val="false"/>
          <w:color w:val="000000"/>
          <w:sz w:val="22"/>
        </w:rPr>
        <w:t xml:space="preserve"> </w:t>
      </w:r>
    </w:p>
    <w:p>
      <w:pPr>
        <w:spacing w:before="0" w:after="0"/>
        <w:ind w:left="120"/>
        <w:jc w:val="left"/>
      </w:pPr>
      <w:bookmarkStart w:name="f-866" w:id="968"/>
      <w:bookmarkEnd w:id="968"/>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94"/>
        <w:gridCol w:w="9202"/>
        <w:gridCol w:w="497"/>
        <w:gridCol w:w="146"/>
        <w:gridCol w:w="1436"/>
        <w:gridCol w:w="40"/>
        <w:gridCol w:w="40"/>
        <w:gridCol w:w="40"/>
        <w:gridCol w:w="40"/>
        <w:gridCol w:w="186"/>
        <w:gridCol w:w="1461"/>
        <w:gridCol w:w="52"/>
      </w:tblGrid>
      <w:tr>
        <w:trPr>
          <w:trHeight w:val="30" w:hRule="atLeast"/>
        </w:trPr>
        <w:tc>
          <w:tcPr>
            <w:tcW w:w="494" w:type="dxa"/>
            <w:tcBorders/>
            <w:tcMar>
              <w:top w:w="15" w:type="dxa"/>
              <w:left w:w="15" w:type="dxa"/>
              <w:bottom w:w="15" w:type="dxa"/>
              <w:right w:w="15" w:type="dxa"/>
            </w:tcMar>
            <w:vAlign w:val="center"/>
          </w:tcPr>
          <w:p/>
        </w:tc>
        <w:tc>
          <w:tcPr>
            <w:tcW w:w="9202" w:type="dxa"/>
            <w:tcBorders/>
            <w:tcMar>
              <w:top w:w="15" w:type="dxa"/>
              <w:left w:w="15" w:type="dxa"/>
              <w:bottom w:w="15" w:type="dxa"/>
              <w:right w:w="15" w:type="dxa"/>
            </w:tcMar>
            <w:vAlign w:val="center"/>
          </w:tcPr>
          <w:p/>
        </w:tc>
        <w:tc>
          <w:tcPr>
            <w:tcW w:w="497"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3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6" w:type="dxa"/>
            <w:tcBorders/>
            <w:tcMar>
              <w:top w:w="15" w:type="dxa"/>
              <w:left w:w="15" w:type="dxa"/>
              <w:bottom w:w="15" w:type="dxa"/>
              <w:right w:w="15" w:type="dxa"/>
            </w:tcMar>
            <w:vAlign w:val="center"/>
          </w:tcPr>
          <w:p/>
        </w:tc>
        <w:tc>
          <w:tcPr>
            <w:tcW w:w="1461" w:type="dxa"/>
            <w:tcBorders/>
            <w:tcMar>
              <w:top w:w="15" w:type="dxa"/>
              <w:left w:w="15" w:type="dxa"/>
              <w:bottom w:w="15" w:type="dxa"/>
              <w:right w:w="15" w:type="dxa"/>
            </w:tcMar>
            <w:vAlign w:val="center"/>
          </w:tcPr>
          <w:p/>
        </w:tc>
        <w:tc>
          <w:tcPr>
            <w:tcW w:w="52"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Warranty accruals and project contingencies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3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7" w:id="969"/>
            <w:r>
              <w:rPr>
                <w:rFonts w:ascii="Arial" w:hAnsi="Arial"/>
                <w:b w:val="false"/>
                <w:i w:val="false"/>
                <w:color w:val="000000"/>
                <w:sz w:val="16"/>
              </w:rPr>
              <w:t>100.3</w:t>
            </w:r>
            <w:bookmarkEnd w:id="96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8" w:id="970"/>
            <w:r>
              <w:rPr>
                <w:rFonts w:ascii="Arial" w:hAnsi="Arial"/>
                <w:b w:val="false"/>
                <w:i w:val="false"/>
                <w:color w:val="000000"/>
                <w:sz w:val="16"/>
              </w:rPr>
              <w:t>68.0</w:t>
            </w:r>
            <w:bookmarkEnd w:id="970"/>
            <w:r>
              <w:rPr>
                <w:rFonts w:ascii="Arial" w:hAnsi="Arial"/>
                <w:b w:val="false"/>
                <w:i w:val="false"/>
                <w:color w:val="000000"/>
                <w:sz w:val="16"/>
              </w:rPr>
              <w:t xml:space="preserve">   </w:t>
            </w:r>
          </w:p>
        </w:tc>
        <w:tc>
          <w:tcPr>
            <w:tcW w:w="52"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Social security liability</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69" w:id="971"/>
            <w:r>
              <w:rPr>
                <w:rFonts w:ascii="Arial" w:hAnsi="Arial"/>
                <w:b w:val="false"/>
                <w:i w:val="false"/>
                <w:color w:val="000000"/>
                <w:sz w:val="16"/>
              </w:rPr>
              <w:t>99.0</w:t>
            </w:r>
            <w:bookmarkEnd w:id="97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0" w:id="972"/>
            <w:r>
              <w:rPr>
                <w:rFonts w:ascii="Arial" w:hAnsi="Arial"/>
                <w:b w:val="false"/>
                <w:i w:val="false"/>
                <w:color w:val="000000"/>
                <w:sz w:val="16"/>
              </w:rPr>
              <w:t>89.1</w:t>
            </w:r>
            <w:bookmarkEnd w:id="972"/>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Compensation accrual</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1" w:id="973"/>
            <w:r>
              <w:rPr>
                <w:rFonts w:ascii="Arial" w:hAnsi="Arial"/>
                <w:b w:val="false"/>
                <w:i w:val="false"/>
                <w:color w:val="000000"/>
                <w:sz w:val="16"/>
              </w:rPr>
              <w:t>83.9</w:t>
            </w:r>
            <w:bookmarkEnd w:id="97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2" w:id="974"/>
            <w:r>
              <w:rPr>
                <w:rFonts w:ascii="Arial" w:hAnsi="Arial"/>
                <w:b w:val="false"/>
                <w:i w:val="false"/>
                <w:color w:val="000000"/>
                <w:sz w:val="16"/>
              </w:rPr>
              <w:t>127.1</w:t>
            </w:r>
            <w:bookmarkEnd w:id="974"/>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Legal provisions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3" w:id="975"/>
            <w:r>
              <w:rPr>
                <w:rFonts w:ascii="Arial" w:hAnsi="Arial"/>
                <w:b w:val="false"/>
                <w:i w:val="false"/>
                <w:color w:val="000000"/>
                <w:sz w:val="16"/>
              </w:rPr>
              <w:t>59.2</w:t>
            </w:r>
            <w:bookmarkEnd w:id="97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4" w:id="976"/>
            <w:r>
              <w:rPr>
                <w:rFonts w:ascii="Arial" w:hAnsi="Arial"/>
                <w:b w:val="false"/>
                <w:i w:val="false"/>
                <w:color w:val="000000"/>
                <w:sz w:val="16"/>
              </w:rPr>
              <w:t>49.4</w:t>
            </w:r>
            <w:bookmarkEnd w:id="976"/>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Value-added tax and other taxes payable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5" w:id="977"/>
            <w:r>
              <w:rPr>
                <w:rFonts w:ascii="Arial" w:hAnsi="Arial"/>
                <w:b w:val="false"/>
                <w:i w:val="false"/>
                <w:color w:val="000000"/>
                <w:sz w:val="16"/>
              </w:rPr>
              <w:t>41.1</w:t>
            </w:r>
            <w:bookmarkEnd w:id="97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6" w:id="978"/>
            <w:r>
              <w:rPr>
                <w:rFonts w:ascii="Arial" w:hAnsi="Arial"/>
                <w:b w:val="false"/>
                <w:i w:val="false"/>
                <w:color w:val="000000"/>
                <w:sz w:val="16"/>
              </w:rPr>
              <w:t>57.1</w:t>
            </w:r>
            <w:bookmarkEnd w:id="978"/>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
      <w:tr>
        <w:trPr/>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accrued liabilities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7" w:id="979"/>
            <w:r>
              <w:rPr>
                <w:rFonts w:ascii="Arial" w:hAnsi="Arial"/>
                <w:b w:val="false"/>
                <w:i w:val="false"/>
                <w:color w:val="000000"/>
                <w:sz w:val="16"/>
              </w:rPr>
              <w:t>193.1</w:t>
            </w:r>
            <w:bookmarkEnd w:id="97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8" w:id="980"/>
            <w:r>
              <w:rPr>
                <w:rFonts w:ascii="Arial" w:hAnsi="Arial"/>
                <w:b w:val="false"/>
                <w:i w:val="false"/>
                <w:color w:val="000000"/>
                <w:sz w:val="16"/>
              </w:rPr>
              <w:t>175.5</w:t>
            </w:r>
            <w:bookmarkEnd w:id="980"/>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other current liabilities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3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79" w:id="981"/>
            <w:r>
              <w:rPr>
                <w:rFonts w:ascii="Arial" w:hAnsi="Arial"/>
                <w:b w:val="false"/>
                <w:i w:val="false"/>
                <w:color w:val="000000"/>
                <w:sz w:val="16"/>
              </w:rPr>
              <w:t>576.6</w:t>
            </w:r>
            <w:bookmarkEnd w:id="981"/>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880" w:id="982"/>
            <w:r>
              <w:rPr>
                <w:rFonts w:ascii="Arial" w:hAnsi="Arial"/>
                <w:b w:val="false"/>
                <w:i w:val="false"/>
                <w:color w:val="000000"/>
                <w:sz w:val="16"/>
              </w:rPr>
              <w:t>566.2</w:t>
            </w:r>
            <w:bookmarkEnd w:id="982"/>
            <w:r>
              <w:rPr>
                <w:rFonts w:ascii="Arial" w:hAnsi="Arial"/>
                <w:b w:val="false"/>
                <w:i w:val="false"/>
                <w:color w:val="000000"/>
                <w:sz w:val="16"/>
              </w:rPr>
              <w:t xml:space="preserve">   </w:t>
            </w:r>
          </w:p>
        </w:tc>
        <w:tc>
          <w:tcPr>
            <w:tcW w:w="52"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866" w:id="983"/>
      <w:bookmarkEnd w:id="983"/>
      <w:bookmarkStart w:name="f-854-1" w:id="984"/>
      <w:bookmarkEnd w:id="984"/>
    </w:p>
    <w:bookmarkStart w:name="if5bce3d3882148cf91b6563d87cc4db5_85" w:id="985"/>
    <w:p>
      <w:pPr>
        <w:spacing w:before="0" w:after="0"/>
        <w:ind w:left="120"/>
        <w:jc w:val="left"/>
      </w:pPr>
    </w:p>
    <w:bookmarkEnd w:id="985"/>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9. </w:t>
      </w:r>
      <w:bookmarkStart w:name="f-881" w:id="986"/>
      <w:r>
        <w:rPr>
          <w:rFonts w:ascii="Arial" w:hAnsi="Arial"/>
          <w:b/>
          <w:i w:val="false"/>
          <w:color w:val="000000"/>
          <w:sz w:val="20"/>
        </w:rPr>
        <w:t>INVESTMENTS</w:t>
      </w:r>
      <w:bookmarkEnd w:id="986"/>
      <w:r>
        <w:rPr>
          <w:rFonts w:ascii="Arial" w:hAnsi="Arial"/>
          <w:b/>
          <w:i w:val="false"/>
          <w:color w:val="000000"/>
          <w:sz w:val="20"/>
        </w:rPr>
        <w:t xml:space="preserve"> </w:t>
      </w:r>
    </w:p>
    <w:p>
      <w:pPr>
        <w:spacing w:before="0" w:after="0"/>
        <w:ind w:left="120"/>
        <w:jc w:val="left"/>
      </w:pPr>
      <w:bookmarkStart w:name="f-881-1" w:id="987"/>
      <w:bookmarkEnd w:id="98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Our income from equity affiliates is included in our Subsea segment. During the three and six months ended June 30, 2025, our income from equity affiliates was $ </w:t>
      </w:r>
      <w:bookmarkStart w:name="f-882" w:id="988"/>
      <w:r>
        <w:rPr>
          <w:rFonts w:ascii="Arial" w:hAnsi="Arial"/>
          <w:b w:val="false"/>
          <w:i w:val="false"/>
          <w:color w:val="000000"/>
          <w:sz w:val="20"/>
        </w:rPr>
        <w:t>10.3</w:t>
      </w:r>
      <w:bookmarkEnd w:id="988"/>
      <w:r>
        <w:rPr>
          <w:rFonts w:ascii="Arial" w:hAnsi="Arial"/>
          <w:b w:val="false"/>
          <w:i w:val="false"/>
          <w:color w:val="000000"/>
          <w:sz w:val="20"/>
        </w:rPr>
        <w:t xml:space="preserve"> million and $ </w:t>
      </w:r>
      <w:bookmarkStart w:name="f-883" w:id="989"/>
      <w:r>
        <w:rPr>
          <w:rFonts w:ascii="Arial" w:hAnsi="Arial"/>
          <w:b w:val="false"/>
          <w:i w:val="false"/>
          <w:color w:val="000000"/>
          <w:sz w:val="20"/>
        </w:rPr>
        <w:t>19.7</w:t>
      </w:r>
      <w:bookmarkEnd w:id="989"/>
      <w:r>
        <w:rPr>
          <w:rFonts w:ascii="Arial" w:hAnsi="Arial"/>
          <w:b w:val="false"/>
          <w:i w:val="false"/>
          <w:color w:val="000000"/>
          <w:sz w:val="20"/>
        </w:rPr>
        <w:t xml:space="preserve"> million, respectively. Our income from equity affiliates during the three and six months ended June 30, 2024 was $ </w:t>
      </w:r>
      <w:bookmarkStart w:name="f-884" w:id="990"/>
      <w:r>
        <w:rPr>
          <w:rFonts w:ascii="Arial" w:hAnsi="Arial"/>
          <w:b w:val="false"/>
          <w:i w:val="false"/>
          <w:color w:val="000000"/>
          <w:sz w:val="20"/>
        </w:rPr>
        <w:t>2.6</w:t>
      </w:r>
      <w:bookmarkEnd w:id="990"/>
      <w:r>
        <w:rPr>
          <w:rFonts w:ascii="Arial" w:hAnsi="Arial"/>
          <w:b w:val="false"/>
          <w:i w:val="false"/>
          <w:color w:val="000000"/>
          <w:sz w:val="20"/>
        </w:rPr>
        <w:t xml:space="preserve"> million and $ </w:t>
      </w:r>
      <w:bookmarkStart w:name="f-885" w:id="991"/>
      <w:r>
        <w:rPr>
          <w:rFonts w:ascii="Arial" w:hAnsi="Arial"/>
          <w:b w:val="false"/>
          <w:i w:val="false"/>
          <w:color w:val="000000"/>
          <w:sz w:val="20"/>
        </w:rPr>
        <w:t>4.0</w:t>
      </w:r>
      <w:bookmarkEnd w:id="991"/>
      <w:r>
        <w:rPr>
          <w:rFonts w:ascii="Arial" w:hAnsi="Arial"/>
          <w:b w:val="false"/>
          <w:i w:val="false"/>
          <w:color w:val="000000"/>
          <w:sz w:val="20"/>
        </w:rPr>
        <w:t xml:space="preserve"> million, respectively. </w:t>
      </w:r>
    </w:p>
    <w:p>
      <w:pPr>
        <w:spacing w:before="0" w:after="0"/>
        <w:ind w:left="120"/>
        <w:jc w:val="left"/>
      </w:pPr>
      <w:bookmarkStart w:name="f-881-1" w:id="992"/>
      <w:bookmarkEnd w:id="99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major equity method investment is as follows:</w:t>
      </w:r>
      <w:r>
        <w:rPr>
          <w:rFonts w:ascii="Times New Roman" w:hAnsi="Times New Roman"/>
          <w:b w:val="false"/>
          <w:i w:val="false"/>
          <w:color w:val="000000"/>
          <w:sz w:val="22"/>
        </w:rPr>
        <w:t xml:space="preserve"> </w:t>
      </w:r>
    </w:p>
    <w:p>
      <w:pPr>
        <w:spacing w:before="0" w:after="0"/>
        <w:ind w:left="120"/>
        <w:jc w:val="left"/>
      </w:pPr>
      <w:bookmarkStart w:name="f-881-1" w:id="993"/>
      <w:bookmarkEnd w:id="99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Dofcon Brasil AS is an affiliated company in the form of a joint venture between TechnipFMC and DOF Subsea (“DOF”) and was founded in 2006. The joint venture is composed of three legal entities: Dofcon Brasil AS, Techdof Brasil AS, and Dofcon Navegacao Ltda. Dofcon Brasil AS is the joint venture holding company and is owned </w:t>
      </w:r>
      <w:bookmarkStart w:name="f-886" w:id="994"/>
      <w:r>
        <w:rPr>
          <w:rFonts w:ascii="Arial" w:hAnsi="Arial"/>
          <w:b w:val="false"/>
          <w:i w:val="false"/>
          <w:color w:val="000000"/>
          <w:sz w:val="20"/>
        </w:rPr>
        <w:t>50</w:t>
      </w:r>
      <w:bookmarkEnd w:id="994"/>
      <w:r>
        <w:rPr>
          <w:rFonts w:ascii="Arial" w:hAnsi="Arial"/>
          <w:b w:val="false"/>
          <w:i w:val="false"/>
          <w:color w:val="000000"/>
          <w:sz w:val="20"/>
        </w:rPr>
        <w:t xml:space="preserve"> % by DOF and </w:t>
      </w:r>
      <w:bookmarkStart w:name="f-887" w:id="995"/>
      <w:r>
        <w:rPr>
          <w:rFonts w:ascii="Arial" w:hAnsi="Arial"/>
          <w:b w:val="false"/>
          <w:i w:val="false"/>
          <w:color w:val="000000"/>
          <w:sz w:val="20"/>
        </w:rPr>
        <w:t>50</w:t>
      </w:r>
      <w:bookmarkEnd w:id="995"/>
      <w:r>
        <w:rPr>
          <w:rFonts w:ascii="Arial" w:hAnsi="Arial"/>
          <w:b w:val="false"/>
          <w:i w:val="false"/>
          <w:color w:val="000000"/>
          <w:sz w:val="20"/>
        </w:rPr>
        <w:t xml:space="preserve"> % by TechnipFMC. Dofcon Brasil AS owns </w:t>
      </w:r>
      <w:bookmarkStart w:name="f-888" w:id="996"/>
      <w:bookmarkEnd w:id="996"/>
      <w:bookmarkStart w:name="f-889" w:id="997"/>
      <w:r>
        <w:rPr>
          <w:rFonts w:ascii="Arial" w:hAnsi="Arial"/>
          <w:b w:val="false"/>
          <w:i w:val="false"/>
          <w:color w:val="000000"/>
          <w:sz w:val="20"/>
        </w:rPr>
        <w:t>100</w:t>
      </w:r>
      <w:bookmarkEnd w:id="997"/>
      <w:bookmarkStart w:name="f-888" w:id="998"/>
      <w:r>
        <w:rPr>
          <w:rFonts w:ascii="Arial" w:hAnsi="Arial"/>
          <w:b w:val="false"/>
          <w:i w:val="false"/>
          <w:color w:val="000000"/>
          <w:sz w:val="20"/>
        </w:rPr>
        <w:t xml:space="preserve"> </w:t>
      </w:r>
      <w:bookmarkEnd w:id="998"/>
      <w:r>
        <w:rPr>
          <w:rFonts w:ascii="Arial" w:hAnsi="Arial"/>
          <w:b w:val="false"/>
          <w:i w:val="false"/>
          <w:color w:val="000000"/>
          <w:sz w:val="20"/>
        </w:rPr>
        <w:t xml:space="preserve">% of both Dofcon Navegacao Ltda. and Techdof Brasil AS. All joint venture entities are collectively referred to as “Dofcon.” Dofcon provides Pipe-Laying Support Vessels for work in oil and natural gas fields offshore Brazil. We have accounted for our </w:t>
      </w:r>
      <w:bookmarkStart w:name="f-890" w:id="999"/>
      <w:r>
        <w:rPr>
          <w:rFonts w:ascii="Arial" w:hAnsi="Arial"/>
          <w:b w:val="false"/>
          <w:i w:val="false"/>
          <w:color w:val="000000"/>
          <w:sz w:val="20"/>
        </w:rPr>
        <w:t>50</w:t>
      </w:r>
      <w:bookmarkEnd w:id="999"/>
      <w:r>
        <w:rPr>
          <w:rFonts w:ascii="Arial" w:hAnsi="Arial"/>
          <w:b w:val="false"/>
          <w:i w:val="false"/>
          <w:color w:val="000000"/>
          <w:sz w:val="20"/>
        </w:rPr>
        <w:t xml:space="preserve"> % investment using the equity method of accounting with results reported in our Subsea segment. </w:t>
      </w:r>
    </w:p>
    <w:p>
      <w:pPr>
        <w:spacing w:before="0" w:after="0"/>
        <w:ind w:left="120"/>
        <w:jc w:val="left"/>
      </w:pPr>
      <w:bookmarkStart w:name="f-881-1" w:id="1000"/>
      <w:bookmarkEnd w:id="100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In June 2023, Dofcon Brasil AS declared a $ </w:t>
      </w:r>
      <w:bookmarkStart w:name="f-891" w:id="1001"/>
      <w:r>
        <w:rPr>
          <w:rFonts w:ascii="Arial" w:hAnsi="Arial"/>
          <w:b w:val="false"/>
          <w:i w:val="false"/>
          <w:color w:val="000000"/>
          <w:sz w:val="20"/>
        </w:rPr>
        <w:t>170.0</w:t>
      </w:r>
      <w:bookmarkEnd w:id="1001"/>
      <w:r>
        <w:rPr>
          <w:rFonts w:ascii="Arial" w:hAnsi="Arial"/>
          <w:b w:val="false"/>
          <w:i w:val="false"/>
          <w:color w:val="000000"/>
          <w:sz w:val="20"/>
        </w:rPr>
        <w:t xml:space="preserve">  million dividend to its joint venture partners. In December 2023, the joint venture partners agreed to convert their outstanding dividend receivable into a long-term loan receivable from Dofcon. As a result of this conversion, our </w:t>
      </w:r>
      <w:bookmarkStart w:name="f-892" w:id="1002"/>
      <w:bookmarkEnd w:id="1002"/>
      <w:bookmarkStart w:name="f-893" w:id="1003"/>
      <w:r>
        <w:rPr>
          <w:rFonts w:ascii="Arial" w:hAnsi="Arial"/>
          <w:b w:val="false"/>
          <w:i w:val="false"/>
          <w:color w:val="000000"/>
          <w:sz w:val="20"/>
        </w:rPr>
        <w:t>50</w:t>
      </w:r>
      <w:bookmarkEnd w:id="1003"/>
      <w:bookmarkStart w:name="f-892" w:id="1004"/>
      <w:r>
        <w:rPr>
          <w:rFonts w:ascii="Arial" w:hAnsi="Arial"/>
          <w:b w:val="false"/>
          <w:i w:val="false"/>
          <w:color w:val="000000"/>
          <w:sz w:val="20"/>
        </w:rPr>
        <w:t xml:space="preserve"> </w:t>
      </w:r>
      <w:bookmarkEnd w:id="1004"/>
      <w:r>
        <w:rPr>
          <w:rFonts w:ascii="Arial" w:hAnsi="Arial"/>
          <w:b w:val="false"/>
          <w:i w:val="false"/>
          <w:color w:val="000000"/>
          <w:sz w:val="20"/>
        </w:rPr>
        <w:t xml:space="preserve">% share of this dividend receivable has a due date of June 26, 2028 and is included as a long-term loan receivable in other assets on our condensed consolidated balance sheets as of June 30, 2025 and December 31, 2024. </w:t>
      </w:r>
    </w:p>
    <w:p>
      <w:pPr>
        <w:spacing w:before="0" w:after="0"/>
        <w:ind w:left="120"/>
        <w:jc w:val="left"/>
      </w:pPr>
      <w:bookmarkStart w:name="f-881-1" w:id="1005"/>
      <w:bookmarkEnd w:id="100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In the second quarter of 2025, Dofcon Brasil AS declared and distributed a dividend of $ </w:t>
      </w:r>
      <w:bookmarkStart w:name="f-894" w:id="1006"/>
      <w:r>
        <w:rPr>
          <w:rFonts w:ascii="Arial" w:hAnsi="Arial"/>
          <w:b w:val="false"/>
          <w:i w:val="false"/>
          <w:color w:val="000000"/>
          <w:sz w:val="20"/>
        </w:rPr>
        <w:t>60.0</w:t>
      </w:r>
      <w:bookmarkEnd w:id="1006"/>
      <w:r>
        <w:rPr>
          <w:rFonts w:ascii="Arial" w:hAnsi="Arial"/>
          <w:b w:val="false"/>
          <w:i w:val="false"/>
          <w:color w:val="000000"/>
          <w:sz w:val="20"/>
        </w:rPr>
        <w:t xml:space="preserve"> million to its joint venture partners and we received $ </w:t>
      </w:r>
      <w:bookmarkStart w:name="f-895" w:id="1007"/>
      <w:r>
        <w:rPr>
          <w:rFonts w:ascii="Arial" w:hAnsi="Arial"/>
          <w:b w:val="false"/>
          <w:i w:val="false"/>
          <w:color w:val="000000"/>
          <w:sz w:val="20"/>
        </w:rPr>
        <w:t>30.0</w:t>
      </w:r>
      <w:bookmarkEnd w:id="1007"/>
      <w:r>
        <w:rPr>
          <w:rFonts w:ascii="Arial" w:hAnsi="Arial"/>
          <w:b w:val="false"/>
          <w:i w:val="false"/>
          <w:color w:val="000000"/>
          <w:sz w:val="20"/>
        </w:rPr>
        <w:t xml:space="preserve"> million as our </w:t>
      </w:r>
      <w:bookmarkStart w:name="f-896" w:id="1008"/>
      <w:r>
        <w:rPr>
          <w:rFonts w:ascii="Arial" w:hAnsi="Arial"/>
          <w:b w:val="false"/>
          <w:i w:val="false"/>
          <w:color w:val="000000"/>
          <w:sz w:val="20"/>
        </w:rPr>
        <w:t>50</w:t>
      </w:r>
      <w:bookmarkEnd w:id="1008"/>
      <w:r>
        <w:rPr>
          <w:rFonts w:ascii="Arial" w:hAnsi="Arial"/>
          <w:b w:val="false"/>
          <w:i w:val="false"/>
          <w:color w:val="000000"/>
          <w:sz w:val="20"/>
        </w:rPr>
        <w:t xml:space="preserve"> % share. </w:t>
      </w:r>
    </w:p>
    <w:p>
      <w:pPr>
        <w:spacing w:before="0" w:after="0"/>
        <w:ind w:left="120"/>
        <w:jc w:val="left"/>
      </w:pPr>
      <w:bookmarkStart w:name="f-881-1" w:id="1009"/>
      <w:bookmarkEnd w:id="100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Dofcon Navegacao Ltda. and Techdof Brasil AS have debts related to loans on their vessels. TechnipFMC and DOF Subsea provide guarantees for the debts and our share of the guarantees was $ </w:t>
      </w:r>
      <w:bookmarkStart w:name="f-897" w:id="1010"/>
      <w:r>
        <w:rPr>
          <w:rFonts w:ascii="Arial" w:hAnsi="Arial"/>
          <w:b w:val="false"/>
          <w:i w:val="false"/>
          <w:color w:val="000000"/>
          <w:sz w:val="20"/>
        </w:rPr>
        <w:t>288.8</w:t>
      </w:r>
      <w:bookmarkEnd w:id="1010"/>
      <w:r>
        <w:rPr>
          <w:rFonts w:ascii="Arial" w:hAnsi="Arial"/>
          <w:b w:val="false"/>
          <w:i w:val="false"/>
          <w:color w:val="000000"/>
          <w:sz w:val="20"/>
        </w:rPr>
        <w:t xml:space="preserve">  million as of June 30, 2025. </w:t>
      </w:r>
    </w:p>
    <w:p>
      <w:pPr>
        <w:spacing w:before="0" w:after="0"/>
        <w:ind w:left="120"/>
        <w:jc w:val="left"/>
      </w:pPr>
      <w:bookmarkStart w:name="f-881-1" w:id="1011"/>
      <w:bookmarkEnd w:id="1011"/>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17</w:t>
      </w:r>
      <w:r>
        <w:rPr>
          <w:rFonts w:ascii="Times New Roman" w:hAnsi="Times New Roman"/>
          <w:b w:val="false"/>
          <w:i w:val="false"/>
          <w:color w:val="000000"/>
          <w:sz w:val="22"/>
        </w:rPr>
        <w:t xml:space="preserve"> </w:t>
      </w:r>
    </w:p>
    <w:p>
      <w:pPr>
        <w:spacing w:before="0" w:after="0"/>
        <w:ind w:left="120"/>
        <w:jc w:val="left"/>
      </w:pPr>
    </w:p>
    <w:bookmarkStart w:name="if5bce3d3882148cf91b6563d87cc4db5_88" w:id="1012"/>
    <w:p>
      <w:pPr>
        <w:spacing w:before="0" w:after="0"/>
        <w:ind w:left="120"/>
        <w:jc w:val="left"/>
      </w:pPr>
    </w:p>
    <w:bookmarkEnd w:id="1012"/>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10. </w:t>
      </w:r>
      <w:bookmarkStart w:name="f-898" w:id="1013"/>
      <w:r>
        <w:rPr>
          <w:rFonts w:ascii="Arial" w:hAnsi="Arial"/>
          <w:b/>
          <w:i w:val="false"/>
          <w:color w:val="000000"/>
          <w:sz w:val="20"/>
        </w:rPr>
        <w:t>RELATED PARTY TRANSACTIONS</w:t>
      </w:r>
      <w:bookmarkEnd w:id="1013"/>
      <w:r>
        <w:rPr>
          <w:rFonts w:ascii="Arial" w:hAnsi="Arial"/>
          <w:b/>
          <w:i w:val="false"/>
          <w:color w:val="000000"/>
          <w:sz w:val="20"/>
        </w:rPr>
        <w:t xml:space="preserve"> </w:t>
      </w:r>
    </w:p>
    <w:p>
      <w:pPr>
        <w:spacing w:before="0" w:after="0"/>
        <w:ind w:left="120"/>
        <w:jc w:val="left"/>
      </w:pPr>
      <w:bookmarkStart w:name="f-898-1" w:id="1014"/>
      <w:bookmarkEnd w:id="101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Receivables, payables, revenues, and expenses, which are included in our condensed consolidated financial statements for all transactions with related parties, were not material as of and for the three and six months ended June 30, 2025 and the comparable periods of the prior year. Related parties are defined as entities related to our directors, officers, and main shareholders as well as the partners of our consolidated joint ventures.</w:t>
      </w:r>
      <w:r>
        <w:rPr>
          <w:rFonts w:ascii="Times New Roman" w:hAnsi="Times New Roman"/>
          <w:b w:val="false"/>
          <w:i w:val="false"/>
          <w:color w:val="000000"/>
          <w:sz w:val="22"/>
        </w:rPr>
        <w:t xml:space="preserve"> </w:t>
      </w:r>
    </w:p>
    <w:p>
      <w:pPr>
        <w:spacing w:before="0" w:after="0"/>
        <w:ind w:left="120"/>
        <w:jc w:val="left"/>
      </w:pPr>
      <w:bookmarkStart w:name="f-898-1" w:id="1015"/>
      <w:bookmarkEnd w:id="1015"/>
    </w:p>
    <w:p>
      <w:pPr>
        <w:spacing w:before="0" w:after="180"/>
        <w:ind w:left="120"/>
        <w:jc w:val="left"/>
      </w:pPr>
      <w:r>
        <w:rPr>
          <w:rFonts w:ascii="Times New Roman" w:hAnsi="Times New Roman"/>
          <w:b w:val="false"/>
          <w:i w:val="false"/>
          <w:color w:val="000000"/>
          <w:sz w:val="22"/>
        </w:rPr>
        <w:t xml:space="preserve"> </w:t>
      </w:r>
      <w:bookmarkStart w:name="f-898-2" w:id="1016"/>
      <w:r>
        <w:rPr>
          <w:rFonts w:ascii="Arial" w:hAnsi="Arial"/>
          <w:b w:val="false"/>
          <w:i w:val="false"/>
          <w:color w:val="000000"/>
          <w:sz w:val="20"/>
        </w:rPr>
        <w:t xml:space="preserve">Loan receivables as of June 30, 2025 and December 31, 2024 include $ </w:t>
      </w:r>
      <w:bookmarkEnd w:id="1016"/>
      <w:bookmarkStart w:name="f-899" w:id="1017"/>
      <w:bookmarkEnd w:id="1017"/>
      <w:bookmarkStart w:name="f-900" w:id="1018"/>
      <w:r>
        <w:rPr>
          <w:rFonts w:ascii="Arial" w:hAnsi="Arial"/>
          <w:b w:val="false"/>
          <w:i w:val="false"/>
          <w:color w:val="000000"/>
          <w:sz w:val="20"/>
        </w:rPr>
        <w:t>85.0</w:t>
      </w:r>
      <w:bookmarkEnd w:id="1018"/>
      <w:bookmarkStart w:name="f-899" w:id="1019"/>
      <w:r>
        <w:rPr>
          <w:rFonts w:ascii="Arial" w:hAnsi="Arial"/>
          <w:b w:val="false"/>
          <w:i w:val="false"/>
          <w:color w:val="000000"/>
          <w:sz w:val="20"/>
        </w:rPr>
        <w:t xml:space="preserve"> </w:t>
      </w:r>
      <w:bookmarkEnd w:id="1019"/>
      <w:bookmarkStart w:name="f-898-2" w:id="1020"/>
      <w:r>
        <w:rPr>
          <w:rFonts w:ascii="Arial" w:hAnsi="Arial"/>
          <w:b w:val="false"/>
          <w:i w:val="false"/>
          <w:color w:val="000000"/>
          <w:sz w:val="20"/>
        </w:rPr>
        <w:t xml:space="preserve"> million due from Dofcon, for which interest income of $ </w:t>
      </w:r>
      <w:bookmarkEnd w:id="1020"/>
      <w:bookmarkStart w:name="f-901" w:id="1021"/>
      <w:r>
        <w:rPr>
          <w:rFonts w:ascii="Arial" w:hAnsi="Arial"/>
          <w:b w:val="false"/>
          <w:i w:val="false"/>
          <w:color w:val="000000"/>
          <w:sz w:val="20"/>
        </w:rPr>
        <w:t>1.7</w:t>
      </w:r>
      <w:bookmarkEnd w:id="1021"/>
      <w:bookmarkStart w:name="f-898-2" w:id="1022"/>
      <w:r>
        <w:rPr>
          <w:rFonts w:ascii="Arial" w:hAnsi="Arial"/>
          <w:b w:val="false"/>
          <w:i w:val="false"/>
          <w:color w:val="000000"/>
          <w:sz w:val="20"/>
        </w:rPr>
        <w:t xml:space="preserve"> million and $ </w:t>
      </w:r>
      <w:bookmarkEnd w:id="1022"/>
      <w:bookmarkStart w:name="f-902" w:id="1023"/>
      <w:r>
        <w:rPr>
          <w:rFonts w:ascii="Arial" w:hAnsi="Arial"/>
          <w:b w:val="false"/>
          <w:i w:val="false"/>
          <w:color w:val="000000"/>
          <w:sz w:val="20"/>
        </w:rPr>
        <w:t>3.3</w:t>
      </w:r>
      <w:bookmarkEnd w:id="1023"/>
      <w:bookmarkStart w:name="f-898-2" w:id="1024"/>
      <w:r>
        <w:rPr>
          <w:rFonts w:ascii="Arial" w:hAnsi="Arial"/>
          <w:b w:val="false"/>
          <w:i w:val="false"/>
          <w:color w:val="000000"/>
          <w:sz w:val="20"/>
        </w:rPr>
        <w:t xml:space="preserve"> million, respectively, has been recorded during the three and six months ended June 30, 2025 and $ </w:t>
      </w:r>
      <w:bookmarkEnd w:id="1024"/>
      <w:bookmarkStart w:name="f-903" w:id="1025"/>
      <w:r>
        <w:rPr>
          <w:rFonts w:ascii="Arial" w:hAnsi="Arial"/>
          <w:b w:val="false"/>
          <w:i w:val="false"/>
          <w:color w:val="000000"/>
          <w:sz w:val="20"/>
        </w:rPr>
        <w:t>1.7</w:t>
      </w:r>
      <w:bookmarkEnd w:id="1025"/>
      <w:bookmarkStart w:name="f-898-2" w:id="1026"/>
      <w:r>
        <w:rPr>
          <w:rFonts w:ascii="Arial" w:hAnsi="Arial"/>
          <w:b w:val="false"/>
          <w:i w:val="false"/>
          <w:color w:val="000000"/>
          <w:sz w:val="20"/>
        </w:rPr>
        <w:t xml:space="preserve"> million and $ </w:t>
      </w:r>
      <w:bookmarkEnd w:id="1026"/>
      <w:bookmarkStart w:name="f-904" w:id="1027"/>
      <w:r>
        <w:rPr>
          <w:rFonts w:ascii="Arial" w:hAnsi="Arial"/>
          <w:b w:val="false"/>
          <w:i w:val="false"/>
          <w:color w:val="000000"/>
          <w:sz w:val="20"/>
        </w:rPr>
        <w:t>3.5</w:t>
      </w:r>
      <w:bookmarkEnd w:id="1027"/>
      <w:bookmarkStart w:name="f-898-2" w:id="1028"/>
      <w:r>
        <w:rPr>
          <w:rFonts w:ascii="Arial" w:hAnsi="Arial"/>
          <w:b w:val="false"/>
          <w:i w:val="false"/>
          <w:color w:val="000000"/>
          <w:sz w:val="20"/>
        </w:rPr>
        <w:t xml:space="preserve"> million, respectively, during the three and six months ended June 30, 2024. Interest receivables as of June 30, 2025 and December 31, 2024 were $ </w:t>
      </w:r>
      <w:bookmarkEnd w:id="1028"/>
      <w:bookmarkStart w:name="f-905" w:id="1029"/>
      <w:bookmarkEnd w:id="1029"/>
      <w:bookmarkStart w:name="f-906" w:id="1030"/>
      <w:r>
        <w:rPr>
          <w:rFonts w:ascii="Arial" w:hAnsi="Arial"/>
          <w:b w:val="false"/>
          <w:i w:val="false"/>
          <w:color w:val="000000"/>
          <w:sz w:val="20"/>
        </w:rPr>
        <w:t>10.6</w:t>
      </w:r>
      <w:bookmarkEnd w:id="1030"/>
      <w:bookmarkStart w:name="f-905" w:id="1031"/>
      <w:r>
        <w:rPr>
          <w:rFonts w:ascii="Arial" w:hAnsi="Arial"/>
          <w:b w:val="false"/>
          <w:i w:val="false"/>
          <w:color w:val="000000"/>
          <w:sz w:val="20"/>
        </w:rPr>
        <w:t xml:space="preserve"> </w:t>
      </w:r>
      <w:bookmarkEnd w:id="1031"/>
      <w:bookmarkStart w:name="f-898-2" w:id="1032"/>
      <w:r>
        <w:rPr>
          <w:rFonts w:ascii="Arial" w:hAnsi="Arial"/>
          <w:b w:val="false"/>
          <w:i w:val="false"/>
          <w:color w:val="000000"/>
          <w:sz w:val="20"/>
        </w:rPr>
        <w:t xml:space="preserve"> million, respectively. </w:t>
      </w:r>
      <w:bookmarkEnd w:id="1032"/>
    </w:p>
    <w:p>
      <w:pPr>
        <w:spacing w:before="0" w:after="0"/>
        <w:ind w:left="120"/>
        <w:jc w:val="left"/>
      </w:pPr>
    </w:p>
    <w:bookmarkStart w:name="if5bce3d3882148cf91b6563d87cc4db5_100" w:id="1033"/>
    <w:p>
      <w:pPr>
        <w:spacing w:before="0" w:after="0"/>
        <w:ind w:left="120"/>
        <w:jc w:val="left"/>
      </w:pPr>
    </w:p>
    <w:bookmarkEnd w:id="1033"/>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11. </w:t>
      </w:r>
      <w:bookmarkStart w:name="f-907" w:id="1034"/>
      <w:r>
        <w:rPr>
          <w:rFonts w:ascii="Arial" w:hAnsi="Arial"/>
          <w:b/>
          <w:i w:val="false"/>
          <w:color w:val="000000"/>
          <w:sz w:val="20"/>
        </w:rPr>
        <w:t>DEBT</w:t>
      </w:r>
      <w:bookmarkEnd w:id="1034"/>
      <w:r>
        <w:rPr>
          <w:rFonts w:ascii="Arial" w:hAnsi="Arial"/>
          <w:b/>
          <w:i w:val="false"/>
          <w:color w:val="000000"/>
          <w:sz w:val="20"/>
        </w:rPr>
        <w:t xml:space="preserve"> </w:t>
      </w:r>
    </w:p>
    <w:p>
      <w:pPr>
        <w:spacing w:before="0" w:after="0"/>
        <w:ind w:left="120"/>
        <w:jc w:val="left"/>
      </w:pPr>
      <w:bookmarkStart w:name="f-907-1" w:id="1035"/>
      <w:bookmarkEnd w:id="1035"/>
    </w:p>
    <w:p>
      <w:pPr>
        <w:spacing w:before="240" w:after="180"/>
        <w:ind w:left="120"/>
        <w:jc w:val="left"/>
      </w:pPr>
      <w:r>
        <w:rPr>
          <w:rFonts w:ascii="Times New Roman" w:hAnsi="Times New Roman"/>
          <w:b w:val="false"/>
          <w:i w:val="false"/>
          <w:color w:val="000000"/>
          <w:sz w:val="22"/>
        </w:rPr>
        <w:t xml:space="preserve"> </w:t>
      </w:r>
      <w:r>
        <w:rPr>
          <w:rFonts w:ascii="Arial" w:hAnsi="Arial"/>
          <w:b/>
          <w:i/>
          <w:color w:val="000000"/>
          <w:sz w:val="20"/>
        </w:rPr>
        <w:t>Overview</w:t>
      </w:r>
      <w:r>
        <w:rPr>
          <w:rFonts w:ascii="Times New Roman" w:hAnsi="Times New Roman"/>
          <w:b w:val="false"/>
          <w:i w:val="false"/>
          <w:color w:val="000000"/>
          <w:sz w:val="22"/>
        </w:rPr>
        <w:t xml:space="preserve"> </w:t>
      </w:r>
    </w:p>
    <w:p>
      <w:pPr>
        <w:spacing w:before="0" w:after="0"/>
        <w:ind w:left="120"/>
        <w:jc w:val="left"/>
      </w:pPr>
      <w:bookmarkStart w:name="f-907-1" w:id="1036"/>
      <w:bookmarkEnd w:id="1036"/>
      <w:bookmarkStart w:name="f-908" w:id="1037"/>
      <w:bookmarkEnd w:id="103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Debt consisted of the following:</w:t>
      </w:r>
      <w:r>
        <w:rPr>
          <w:rFonts w:ascii="Times New Roman" w:hAnsi="Times New Roman"/>
          <w:b w:val="false"/>
          <w:i w:val="false"/>
          <w:color w:val="000000"/>
          <w:sz w:val="22"/>
        </w:rPr>
        <w:t xml:space="preserve"> </w:t>
      </w:r>
    </w:p>
    <w:p>
      <w:pPr>
        <w:spacing w:before="0" w:after="0"/>
        <w:ind w:left="120"/>
        <w:jc w:val="left"/>
      </w:pPr>
      <w:bookmarkStart w:name="f-908" w:id="1038"/>
      <w:bookmarkEnd w:id="1038"/>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9297"/>
        <w:gridCol w:w="441"/>
        <w:gridCol w:w="146"/>
        <w:gridCol w:w="1446"/>
        <w:gridCol w:w="40"/>
        <w:gridCol w:w="40"/>
        <w:gridCol w:w="40"/>
        <w:gridCol w:w="40"/>
        <w:gridCol w:w="186"/>
        <w:gridCol w:w="1467"/>
        <w:gridCol w:w="52"/>
      </w:tblGrid>
      <w:tr>
        <w:trPr>
          <w:trHeight w:val="30" w:hRule="atLeast"/>
        </w:trPr>
        <w:tc>
          <w:tcPr>
            <w:tcW w:w="439" w:type="dxa"/>
            <w:tcBorders/>
            <w:tcMar>
              <w:top w:w="15" w:type="dxa"/>
              <w:left w:w="15" w:type="dxa"/>
              <w:bottom w:w="15" w:type="dxa"/>
              <w:right w:w="15" w:type="dxa"/>
            </w:tcMar>
            <w:vAlign w:val="center"/>
          </w:tcPr>
          <w:p/>
        </w:tc>
        <w:tc>
          <w:tcPr>
            <w:tcW w:w="9297"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6" w:type="dxa"/>
            <w:tcBorders/>
            <w:tcMar>
              <w:top w:w="15" w:type="dxa"/>
              <w:left w:w="15" w:type="dxa"/>
              <w:bottom w:w="15" w:type="dxa"/>
              <w:right w:w="15" w:type="dxa"/>
            </w:tcMar>
            <w:vAlign w:val="center"/>
          </w:tcPr>
          <w:p/>
        </w:tc>
        <w:tc>
          <w:tcPr>
            <w:tcW w:w="1467" w:type="dxa"/>
            <w:tcBorders/>
            <w:tcMar>
              <w:top w:w="15" w:type="dxa"/>
              <w:left w:w="15" w:type="dxa"/>
              <w:bottom w:w="15" w:type="dxa"/>
              <w:right w:w="15" w:type="dxa"/>
            </w:tcMar>
            <w:vAlign w:val="center"/>
          </w:tcPr>
          <w:p/>
        </w:tc>
        <w:tc>
          <w:tcPr>
            <w:tcW w:w="52"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909" w:id="1039"/>
            <w:bookmarkEnd w:id="1039"/>
            <w:bookmarkStart w:name="f-910" w:id="1040"/>
            <w:r>
              <w:rPr>
                <w:rFonts w:ascii="Arial" w:hAnsi="Arial"/>
                <w:b w:val="false"/>
                <w:i w:val="false"/>
                <w:color w:val="000000"/>
                <w:sz w:val="16"/>
              </w:rPr>
              <w:t>5.75</w:t>
            </w:r>
            <w:bookmarkEnd w:id="1040"/>
            <w:bookmarkStart w:name="f-909" w:id="1041"/>
            <w:r>
              <w:rPr>
                <w:rFonts w:ascii="Arial" w:hAnsi="Arial"/>
                <w:b w:val="false"/>
                <w:i w:val="false"/>
                <w:color w:val="000000"/>
                <w:sz w:val="16"/>
              </w:rPr>
              <w:t xml:space="preserve"> </w:t>
            </w:r>
            <w:bookmarkEnd w:id="1041"/>
            <w:r>
              <w:rPr>
                <w:rFonts w:ascii="Arial" w:hAnsi="Arial"/>
                <w:b w:val="false"/>
                <w:i w:val="false"/>
                <w:color w:val="000000"/>
                <w:sz w:val="16"/>
              </w:rPr>
              <w:t xml:space="preserve">% 2020 Private Placement Notes due 2025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1" w:id="1042"/>
            <w:r>
              <w:rPr>
                <w:rFonts w:ascii="Arial" w:hAnsi="Arial"/>
                <w:b w:val="false"/>
                <w:i w:val="false"/>
                <w:color w:val="000000"/>
                <w:sz w:val="16"/>
              </w:rPr>
              <w:t>—</w:t>
            </w:r>
            <w:bookmarkEnd w:id="1042"/>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2" w:id="1043"/>
            <w:r>
              <w:rPr>
                <w:rFonts w:ascii="Arial" w:hAnsi="Arial"/>
                <w:b w:val="false"/>
                <w:i w:val="false"/>
                <w:color w:val="000000"/>
                <w:sz w:val="16"/>
              </w:rPr>
              <w:t>207.9</w:t>
            </w:r>
            <w:bookmarkEnd w:id="1043"/>
            <w:r>
              <w:rPr>
                <w:rFonts w:ascii="Arial" w:hAnsi="Arial"/>
                <w:b w:val="false"/>
                <w:i w:val="false"/>
                <w:color w:val="000000"/>
                <w:sz w:val="16"/>
              </w:rPr>
              <w:t xml:space="preserve">   </w:t>
            </w:r>
          </w:p>
        </w:tc>
        <w:tc>
          <w:tcPr>
            <w:tcW w:w="52"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913" w:id="1044"/>
            <w:bookmarkEnd w:id="1044"/>
            <w:bookmarkStart w:name="f-914" w:id="1045"/>
            <w:r>
              <w:rPr>
                <w:rFonts w:ascii="Arial" w:hAnsi="Arial"/>
                <w:b w:val="false"/>
                <w:i w:val="false"/>
                <w:color w:val="000000"/>
                <w:sz w:val="16"/>
              </w:rPr>
              <w:t>6.50</w:t>
            </w:r>
            <w:bookmarkEnd w:id="1045"/>
            <w:bookmarkStart w:name="f-913" w:id="1046"/>
            <w:r>
              <w:rPr>
                <w:rFonts w:ascii="Arial" w:hAnsi="Arial"/>
                <w:b w:val="false"/>
                <w:i w:val="false"/>
                <w:color w:val="000000"/>
                <w:sz w:val="16"/>
              </w:rPr>
              <w:t xml:space="preserve"> </w:t>
            </w:r>
            <w:bookmarkEnd w:id="1046"/>
            <w:r>
              <w:rPr>
                <w:rFonts w:ascii="Arial" w:hAnsi="Arial"/>
                <w:b w:val="false"/>
                <w:i w:val="false"/>
                <w:color w:val="000000"/>
                <w:sz w:val="16"/>
              </w:rPr>
              <w:t xml:space="preserve">% Senior Notes due 2026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5" w:id="1047"/>
            <w:r>
              <w:rPr>
                <w:rFonts w:ascii="Arial" w:hAnsi="Arial"/>
                <w:b w:val="false"/>
                <w:i w:val="false"/>
                <w:color w:val="000000"/>
                <w:sz w:val="16"/>
              </w:rPr>
              <w:t>202.9</w:t>
            </w:r>
            <w:bookmarkEnd w:id="104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6" w:id="1048"/>
            <w:r>
              <w:rPr>
                <w:rFonts w:ascii="Arial" w:hAnsi="Arial"/>
                <w:b w:val="false"/>
                <w:i w:val="false"/>
                <w:color w:val="000000"/>
                <w:sz w:val="16"/>
              </w:rPr>
              <w:t>202.9</w:t>
            </w:r>
            <w:bookmarkEnd w:id="1048"/>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917" w:id="1049"/>
            <w:bookmarkEnd w:id="1049"/>
            <w:bookmarkStart w:name="f-918" w:id="1050"/>
            <w:r>
              <w:rPr>
                <w:rFonts w:ascii="Arial" w:hAnsi="Arial"/>
                <w:b w:val="false"/>
                <w:i w:val="false"/>
                <w:color w:val="000000"/>
                <w:sz w:val="16"/>
              </w:rPr>
              <w:t>4.00</w:t>
            </w:r>
            <w:bookmarkEnd w:id="1050"/>
            <w:bookmarkStart w:name="f-917" w:id="1051"/>
            <w:r>
              <w:rPr>
                <w:rFonts w:ascii="Arial" w:hAnsi="Arial"/>
                <w:b w:val="false"/>
                <w:i w:val="false"/>
                <w:color w:val="000000"/>
                <w:sz w:val="16"/>
              </w:rPr>
              <w:t xml:space="preserve"> </w:t>
            </w:r>
            <w:bookmarkEnd w:id="1051"/>
            <w:r>
              <w:rPr>
                <w:rFonts w:ascii="Arial" w:hAnsi="Arial"/>
                <w:b w:val="false"/>
                <w:i w:val="false"/>
                <w:color w:val="000000"/>
                <w:sz w:val="16"/>
              </w:rPr>
              <w:t xml:space="preserve">% 2012 Private Placement Notes due 2027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19" w:id="1052"/>
            <w:r>
              <w:rPr>
                <w:rFonts w:ascii="Arial" w:hAnsi="Arial"/>
                <w:b w:val="false"/>
                <w:i w:val="false"/>
                <w:color w:val="000000"/>
                <w:sz w:val="16"/>
              </w:rPr>
              <w:t>87.9</w:t>
            </w:r>
            <w:bookmarkEnd w:id="105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0" w:id="1053"/>
            <w:r>
              <w:rPr>
                <w:rFonts w:ascii="Arial" w:hAnsi="Arial"/>
                <w:b w:val="false"/>
                <w:i w:val="false"/>
                <w:color w:val="000000"/>
                <w:sz w:val="16"/>
              </w:rPr>
              <w:t>78.0</w:t>
            </w:r>
            <w:bookmarkEnd w:id="1053"/>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921" w:id="1054"/>
            <w:bookmarkEnd w:id="1054"/>
            <w:bookmarkStart w:name="f-922" w:id="1055"/>
            <w:r>
              <w:rPr>
                <w:rFonts w:ascii="Arial" w:hAnsi="Arial"/>
                <w:b w:val="false"/>
                <w:i w:val="false"/>
                <w:color w:val="000000"/>
                <w:sz w:val="16"/>
              </w:rPr>
              <w:t>4.00</w:t>
            </w:r>
            <w:bookmarkEnd w:id="1055"/>
            <w:bookmarkStart w:name="f-921" w:id="1056"/>
            <w:r>
              <w:rPr>
                <w:rFonts w:ascii="Arial" w:hAnsi="Arial"/>
                <w:b w:val="false"/>
                <w:i w:val="false"/>
                <w:color w:val="000000"/>
                <w:sz w:val="16"/>
              </w:rPr>
              <w:t xml:space="preserve"> </w:t>
            </w:r>
            <w:bookmarkEnd w:id="1056"/>
            <w:r>
              <w:rPr>
                <w:rFonts w:ascii="Arial" w:hAnsi="Arial"/>
                <w:b w:val="false"/>
                <w:i w:val="false"/>
                <w:color w:val="000000"/>
                <w:sz w:val="16"/>
              </w:rPr>
              <w:t xml:space="preserve">% 2012 Private Placement Notes due 2032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3" w:id="1057"/>
            <w:r>
              <w:rPr>
                <w:rFonts w:ascii="Arial" w:hAnsi="Arial"/>
                <w:b w:val="false"/>
                <w:i w:val="false"/>
                <w:color w:val="000000"/>
                <w:sz w:val="16"/>
              </w:rPr>
              <w:t>117.1</w:t>
            </w:r>
            <w:bookmarkEnd w:id="105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4" w:id="1058"/>
            <w:r>
              <w:rPr>
                <w:rFonts w:ascii="Arial" w:hAnsi="Arial"/>
                <w:b w:val="false"/>
                <w:i w:val="false"/>
                <w:color w:val="000000"/>
                <w:sz w:val="16"/>
              </w:rPr>
              <w:t>103.9</w:t>
            </w:r>
            <w:bookmarkEnd w:id="1058"/>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925" w:id="1059"/>
            <w:bookmarkEnd w:id="1059"/>
            <w:bookmarkStart w:name="f-926" w:id="1060"/>
            <w:r>
              <w:rPr>
                <w:rFonts w:ascii="Arial" w:hAnsi="Arial"/>
                <w:b w:val="false"/>
                <w:i w:val="false"/>
                <w:color w:val="000000"/>
                <w:sz w:val="16"/>
              </w:rPr>
              <w:t>3.75</w:t>
            </w:r>
            <w:bookmarkEnd w:id="1060"/>
            <w:bookmarkStart w:name="f-925" w:id="1061"/>
            <w:r>
              <w:rPr>
                <w:rFonts w:ascii="Arial" w:hAnsi="Arial"/>
                <w:b w:val="false"/>
                <w:i w:val="false"/>
                <w:color w:val="000000"/>
                <w:sz w:val="16"/>
              </w:rPr>
              <w:t xml:space="preserve"> </w:t>
            </w:r>
            <w:bookmarkEnd w:id="1061"/>
            <w:r>
              <w:rPr>
                <w:rFonts w:ascii="Arial" w:hAnsi="Arial"/>
                <w:b w:val="false"/>
                <w:i w:val="false"/>
                <w:color w:val="000000"/>
                <w:sz w:val="16"/>
              </w:rPr>
              <w:t xml:space="preserve">% 2013 Private Placement Notes due 2033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7" w:id="1062"/>
            <w:r>
              <w:rPr>
                <w:rFonts w:ascii="Arial" w:hAnsi="Arial"/>
                <w:b w:val="false"/>
                <w:i w:val="false"/>
                <w:color w:val="000000"/>
                <w:sz w:val="16"/>
              </w:rPr>
              <w:t>117.1</w:t>
            </w:r>
            <w:bookmarkEnd w:id="106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8" w:id="1063"/>
            <w:r>
              <w:rPr>
                <w:rFonts w:ascii="Arial" w:hAnsi="Arial"/>
                <w:b w:val="false"/>
                <w:i w:val="false"/>
                <w:color w:val="000000"/>
                <w:sz w:val="16"/>
              </w:rPr>
              <w:t>103.9</w:t>
            </w:r>
            <w:bookmarkEnd w:id="1063"/>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Bank borrowings and other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29" w:id="1064"/>
            <w:r>
              <w:rPr>
                <w:rFonts w:ascii="Arial" w:hAnsi="Arial"/>
                <w:b w:val="false"/>
                <w:i w:val="false"/>
                <w:color w:val="000000"/>
                <w:sz w:val="16"/>
              </w:rPr>
              <w:t>176.1</w:t>
            </w:r>
            <w:bookmarkEnd w:id="106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0" w:id="1065"/>
            <w:r>
              <w:rPr>
                <w:rFonts w:ascii="Arial" w:hAnsi="Arial"/>
                <w:b w:val="false"/>
                <w:i w:val="false"/>
                <w:color w:val="000000"/>
                <w:sz w:val="16"/>
              </w:rPr>
              <w:t>194.3</w:t>
            </w:r>
            <w:bookmarkEnd w:id="1065"/>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Unamortized debt issuance costs and discounts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31" w:id="1066"/>
            <w:r>
              <w:rPr>
                <w:rFonts w:ascii="Arial" w:hAnsi="Arial"/>
                <w:b w:val="false"/>
                <w:i w:val="false"/>
                <w:color w:val="000000"/>
                <w:sz w:val="16"/>
              </w:rPr>
              <w:t>4.8</w:t>
            </w:r>
            <w:bookmarkEnd w:id="106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32" w:id="1067"/>
            <w:r>
              <w:rPr>
                <w:rFonts w:ascii="Arial" w:hAnsi="Arial"/>
                <w:b w:val="false"/>
                <w:i w:val="false"/>
                <w:color w:val="000000"/>
                <w:sz w:val="16"/>
              </w:rPr>
              <w:t>5.7</w:t>
            </w:r>
            <w:bookmarkEnd w:id="1067"/>
            <w:r>
              <w:rPr>
                <w:rFonts w:ascii="Arial" w:hAnsi="Arial"/>
                <w:b w:val="false"/>
                <w:i w:val="false"/>
                <w:color w:val="000000"/>
                <w:sz w:val="16"/>
              </w:rPr>
              <w:t xml:space="preserve"> ) </w:t>
            </w:r>
          </w:p>
        </w:tc>
        <w:tc>
          <w:tcPr>
            <w:tcW w:w="52"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debt</w:t>
            </w:r>
            <w:r>
              <w:rPr>
                <w:rFonts w:ascii="Times New Roman" w:hAnsi="Times New Roman"/>
                <w:b w:val="false"/>
                <w:i w:val="false"/>
                <w:color w:val="000000"/>
                <w:sz w:val="22"/>
              </w:rPr>
              <w:t xml:space="preserve"> </w:t>
            </w: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6"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3" w:id="1068"/>
            <w:r>
              <w:rPr>
                <w:rFonts w:ascii="Arial" w:hAnsi="Arial"/>
                <w:b w:val="false"/>
                <w:i w:val="false"/>
                <w:color w:val="000000"/>
                <w:sz w:val="16"/>
              </w:rPr>
              <w:t>696.3</w:t>
            </w:r>
            <w:bookmarkEnd w:id="1068"/>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8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4" w:id="1069"/>
            <w:r>
              <w:rPr>
                <w:rFonts w:ascii="Arial" w:hAnsi="Arial"/>
                <w:b w:val="false"/>
                <w:i w:val="false"/>
                <w:color w:val="000000"/>
                <w:sz w:val="16"/>
              </w:rPr>
              <w:t>885.2</w:t>
            </w:r>
            <w:bookmarkEnd w:id="1069"/>
            <w:r>
              <w:rPr>
                <w:rFonts w:ascii="Arial" w:hAnsi="Arial"/>
                <w:b w:val="false"/>
                <w:i w:val="false"/>
                <w:color w:val="000000"/>
                <w:sz w:val="16"/>
              </w:rPr>
              <w:t xml:space="preserve">   </w:t>
            </w:r>
          </w:p>
        </w:tc>
        <w:tc>
          <w:tcPr>
            <w:tcW w:w="52"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Less: Short-term debt and current portion of long-term debt</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5" w:id="1070"/>
            <w:r>
              <w:rPr>
                <w:rFonts w:ascii="Arial" w:hAnsi="Arial"/>
                <w:b w:val="false"/>
                <w:i w:val="false"/>
                <w:color w:val="000000"/>
                <w:sz w:val="16"/>
              </w:rPr>
              <w:t>271.2</w:t>
            </w:r>
            <w:bookmarkEnd w:id="107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6" w:id="1071"/>
            <w:r>
              <w:rPr>
                <w:rFonts w:ascii="Arial" w:hAnsi="Arial"/>
                <w:b w:val="false"/>
                <w:i w:val="false"/>
                <w:color w:val="000000"/>
                <w:sz w:val="16"/>
              </w:rPr>
              <w:t>277.9</w:t>
            </w:r>
            <w:bookmarkEnd w:id="1071"/>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Long-term debt</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7" w:id="1072"/>
            <w:r>
              <w:rPr>
                <w:rFonts w:ascii="Arial" w:hAnsi="Arial"/>
                <w:b w:val="false"/>
                <w:i w:val="false"/>
                <w:color w:val="000000"/>
                <w:sz w:val="16"/>
              </w:rPr>
              <w:t>425.1</w:t>
            </w:r>
            <w:bookmarkEnd w:id="1072"/>
            <w:r>
              <w:rPr>
                <w:rFonts w:ascii="Arial" w:hAnsi="Arial"/>
                <w:b w:val="false"/>
                <w:i w:val="false"/>
                <w:color w:val="000000"/>
                <w:sz w:val="16"/>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8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7"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38" w:id="1073"/>
            <w:r>
              <w:rPr>
                <w:rFonts w:ascii="Arial" w:hAnsi="Arial"/>
                <w:b w:val="false"/>
                <w:i w:val="false"/>
                <w:color w:val="000000"/>
                <w:sz w:val="16"/>
              </w:rPr>
              <w:t>607.3</w:t>
            </w:r>
            <w:bookmarkEnd w:id="1073"/>
            <w:r>
              <w:rPr>
                <w:rFonts w:ascii="Arial" w:hAnsi="Arial"/>
                <w:b w:val="false"/>
                <w:i w:val="false"/>
                <w:color w:val="000000"/>
                <w:sz w:val="16"/>
              </w:rPr>
              <w:t xml:space="preserve">   </w:t>
            </w:r>
          </w:p>
        </w:tc>
        <w:tc>
          <w:tcPr>
            <w:tcW w:w="52"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908" w:id="1074"/>
      <w:bookmarkEnd w:id="1074"/>
      <w:bookmarkStart w:name="f-907-1" w:id="1075"/>
      <w:bookmarkEnd w:id="1075"/>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Credit Facilities and Debt</w:t>
      </w:r>
      <w:r>
        <w:rPr>
          <w:rFonts w:ascii="Times New Roman" w:hAnsi="Times New Roman"/>
          <w:b w:val="false"/>
          <w:i w:val="false"/>
          <w:color w:val="000000"/>
          <w:sz w:val="22"/>
        </w:rPr>
        <w:t xml:space="preserve"> </w:t>
      </w:r>
    </w:p>
    <w:p>
      <w:pPr>
        <w:spacing w:before="0" w:after="0"/>
        <w:ind w:left="120"/>
        <w:jc w:val="left"/>
      </w:pPr>
      <w:bookmarkStart w:name="f-907-1" w:id="1076"/>
      <w:bookmarkEnd w:id="1076"/>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Revolving Credit Facility</w:t>
      </w:r>
      <w:r>
        <w:rPr>
          <w:rFonts w:ascii="Times New Roman" w:hAnsi="Times New Roman"/>
          <w:b w:val="false"/>
          <w:i w:val="false"/>
          <w:color w:val="000000"/>
          <w:sz w:val="22"/>
        </w:rPr>
        <w:t xml:space="preserve"> </w:t>
      </w:r>
      <w:r>
        <w:rPr>
          <w:rFonts w:ascii="Arial" w:hAnsi="Arial"/>
          <w:b w:val="false"/>
          <w:i w:val="false"/>
          <w:color w:val="000000"/>
          <w:sz w:val="20"/>
        </w:rPr>
        <w:t xml:space="preserve">- On February 16, 2021, we entered into a credit agreement (as amended from time to time, the “Credit Agreement”), which provided for a $ </w:t>
      </w:r>
      <w:bookmarkStart w:name="f-939" w:id="1077"/>
      <w:r>
        <w:rPr>
          <w:rFonts w:ascii="Arial" w:hAnsi="Arial"/>
          <w:b w:val="false"/>
          <w:i w:val="false"/>
          <w:color w:val="000000"/>
          <w:sz w:val="20"/>
        </w:rPr>
        <w:t>1.0</w:t>
      </w:r>
      <w:bookmarkEnd w:id="1077"/>
      <w:r>
        <w:rPr>
          <w:rFonts w:ascii="Arial" w:hAnsi="Arial"/>
          <w:b w:val="false"/>
          <w:i w:val="false"/>
          <w:color w:val="000000"/>
          <w:sz w:val="20"/>
        </w:rPr>
        <w:t xml:space="preserve">  billion </w:t>
      </w:r>
      <w:bookmarkStart w:name="f-940" w:id="1078"/>
      <w:r>
        <w:rPr>
          <w:rFonts w:ascii="Arial" w:hAnsi="Arial"/>
          <w:b w:val="false"/>
          <w:i w:val="false"/>
          <w:color w:val="000000"/>
          <w:sz w:val="20"/>
        </w:rPr>
        <w:t>three-year</w:t>
      </w:r>
      <w:bookmarkEnd w:id="1078"/>
      <w:r>
        <w:rPr>
          <w:rFonts w:ascii="Arial" w:hAnsi="Arial"/>
          <w:b w:val="false"/>
          <w:i w:val="false"/>
          <w:color w:val="000000"/>
          <w:sz w:val="20"/>
        </w:rPr>
        <w:t xml:space="preserve"> senior secured multi-currency revolving credit facility, including a $ </w:t>
      </w:r>
      <w:bookmarkStart w:name="f-941" w:id="1079"/>
      <w:r>
        <w:rPr>
          <w:rFonts w:ascii="Arial" w:hAnsi="Arial"/>
          <w:b w:val="false"/>
          <w:i w:val="false"/>
          <w:color w:val="000000"/>
          <w:sz w:val="20"/>
        </w:rPr>
        <w:t>450.0</w:t>
      </w:r>
      <w:bookmarkEnd w:id="1079"/>
      <w:r>
        <w:rPr>
          <w:rFonts w:ascii="Arial" w:hAnsi="Arial"/>
          <w:b w:val="false"/>
          <w:i w:val="false"/>
          <w:color w:val="000000"/>
          <w:sz w:val="20"/>
        </w:rPr>
        <w:t xml:space="preserve">  million letter of credit sub-facility (the “Revolving Credit Facility”). </w:t>
      </w:r>
    </w:p>
    <w:p>
      <w:pPr>
        <w:spacing w:before="0" w:after="0"/>
        <w:ind w:left="120"/>
        <w:jc w:val="left"/>
      </w:pPr>
      <w:bookmarkStart w:name="f-907-1" w:id="1080"/>
      <w:bookmarkEnd w:id="108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On April 24, 2023, we entered into a fifth amendment (the “Amendment No. 5”) to the Credit Agreement, which increased the commitments available to the Company to $ </w:t>
      </w:r>
      <w:bookmarkStart w:name="f-942" w:id="1081"/>
      <w:r>
        <w:rPr>
          <w:rFonts w:ascii="Arial" w:hAnsi="Arial"/>
          <w:b w:val="false"/>
          <w:i w:val="false"/>
          <w:color w:val="000000"/>
          <w:sz w:val="20"/>
        </w:rPr>
        <w:t>1.25</w:t>
      </w:r>
      <w:bookmarkEnd w:id="1081"/>
      <w:r>
        <w:rPr>
          <w:rFonts w:ascii="Arial" w:hAnsi="Arial"/>
          <w:b w:val="false"/>
          <w:i w:val="false"/>
          <w:color w:val="000000"/>
          <w:sz w:val="20"/>
        </w:rPr>
        <w:t xml:space="preserve">  billion and extended the term to  </w:t>
      </w:r>
      <w:bookmarkStart w:name="f-943" w:id="1082"/>
      <w:r>
        <w:rPr>
          <w:rFonts w:ascii="Arial" w:hAnsi="Arial"/>
          <w:b w:val="false"/>
          <w:i w:val="false"/>
          <w:color w:val="000000"/>
          <w:sz w:val="20"/>
        </w:rPr>
        <w:t>five years</w:t>
      </w:r>
      <w:bookmarkEnd w:id="1082"/>
      <w:r>
        <w:rPr>
          <w:rFonts w:ascii="Arial" w:hAnsi="Arial"/>
          <w:b w:val="false"/>
          <w:i w:val="false"/>
          <w:color w:val="000000"/>
          <w:sz w:val="20"/>
        </w:rPr>
        <w:t xml:space="preserve">  from the date of the Amendment No. 5. The Credit Agreement also provides for a $ </w:t>
      </w:r>
      <w:bookmarkStart w:name="f-944" w:id="1083"/>
      <w:r>
        <w:rPr>
          <w:rFonts w:ascii="Arial" w:hAnsi="Arial"/>
          <w:b w:val="false"/>
          <w:i w:val="false"/>
          <w:color w:val="000000"/>
          <w:sz w:val="20"/>
        </w:rPr>
        <w:t>250.0</w:t>
      </w:r>
      <w:bookmarkEnd w:id="1083"/>
      <w:r>
        <w:rPr>
          <w:rFonts w:ascii="Arial" w:hAnsi="Arial"/>
          <w:b w:val="false"/>
          <w:i w:val="false"/>
          <w:color w:val="000000"/>
          <w:sz w:val="20"/>
        </w:rPr>
        <w:t xml:space="preserve">  million letter of credit sub-facility. We incurred $ </w:t>
      </w:r>
      <w:bookmarkStart w:name="f-945" w:id="1084"/>
      <w:r>
        <w:rPr>
          <w:rFonts w:ascii="Arial" w:hAnsi="Arial"/>
          <w:b w:val="false"/>
          <w:i w:val="false"/>
          <w:color w:val="000000"/>
          <w:sz w:val="20"/>
        </w:rPr>
        <w:t>16.7</w:t>
      </w:r>
      <w:bookmarkEnd w:id="1084"/>
      <w:r>
        <w:rPr>
          <w:rFonts w:ascii="Arial" w:hAnsi="Arial"/>
          <w:b w:val="false"/>
          <w:i w:val="false"/>
          <w:color w:val="000000"/>
          <w:sz w:val="20"/>
        </w:rPr>
        <w:t xml:space="preserve">  million of debt issuance costs in connection with the Amendment No. 5. These debt issuance costs are deferred and are included in other assets in our consolidated balance sheets. The deferred debt issuance costs are amortized to interest expense over the term of the Credit Agreement. </w:t>
      </w:r>
    </w:p>
    <w:p>
      <w:pPr>
        <w:spacing w:before="0" w:after="0"/>
        <w:ind w:left="120"/>
        <w:jc w:val="left"/>
      </w:pPr>
      <w:bookmarkStart w:name="f-907-1" w:id="1085"/>
      <w:bookmarkEnd w:id="108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shd w:fill="ffffff"/>
        </w:rPr>
        <w:t>On June 23, 2025, we entered into a sixth amendment (“Amendment No. 6”) to the Credit Agreement</w:t>
      </w: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shd w:fill="ffffff"/>
        </w:rPr>
        <w:t>which amended or removed certain representations and warranties to allow the Credit Agreement to serve as a liquidity backstop for commercial paper and certain funds transactions.</w:t>
      </w:r>
      <w:r>
        <w:rPr>
          <w:rFonts w:ascii="Times New Roman" w:hAnsi="Times New Roman"/>
          <w:b w:val="false"/>
          <w:i w:val="false"/>
          <w:color w:val="000000"/>
          <w:sz w:val="22"/>
        </w:rPr>
        <w:t xml:space="preserve"> </w:t>
      </w:r>
    </w:p>
    <w:p>
      <w:pPr>
        <w:spacing w:before="0" w:after="0"/>
        <w:ind w:left="120"/>
        <w:jc w:val="left"/>
      </w:pPr>
      <w:bookmarkStart w:name="f-907-1" w:id="1086"/>
      <w:bookmarkEnd w:id="1086"/>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Availability of borrowings under the Credit Agreement is reduced by outstanding commercial paper and letters of credit issued against the facility. As of June 30, 2025, there were </w:t>
      </w:r>
      <w:bookmarkStart w:name="f-946" w:id="1087"/>
      <w:r>
        <w:rPr>
          <w:rFonts w:ascii="Arial" w:hAnsi="Arial"/>
          <w:b w:val="false"/>
          <w:i w:val="false"/>
          <w:color w:val="000000"/>
          <w:sz w:val="20"/>
        </w:rPr>
        <w:t>no</w:t>
      </w:r>
      <w:bookmarkEnd w:id="1087"/>
      <w:r>
        <w:rPr>
          <w:rFonts w:ascii="Arial" w:hAnsi="Arial"/>
          <w:b w:val="false"/>
          <w:i w:val="false"/>
          <w:color w:val="000000"/>
          <w:sz w:val="20"/>
        </w:rPr>
        <w:t xml:space="preserve"> letters </w:t>
      </w:r>
      <w:r>
        <w:rPr>
          <w:rFonts w:ascii="Arial" w:hAnsi="Arial"/>
          <w:b w:val="false"/>
          <w:i w:val="false"/>
          <w:color w:val="000000"/>
          <w:sz w:val="20"/>
          <w:shd w:fill="ffffff"/>
        </w:rPr>
        <w:t>of credit or commercial paper outstanding,</w:t>
      </w:r>
      <w:r>
        <w:rPr>
          <w:rFonts w:ascii="Times New Roman" w:hAnsi="Times New Roman"/>
          <w:b w:val="false"/>
          <w:i w:val="false"/>
          <w:color w:val="000000"/>
          <w:sz w:val="22"/>
        </w:rPr>
        <w:t xml:space="preserve"> </w:t>
      </w:r>
      <w:r>
        <w:rPr>
          <w:rFonts w:ascii="Arial" w:hAnsi="Arial"/>
          <w:b w:val="false"/>
          <w:i w:val="false"/>
          <w:color w:val="000000"/>
          <w:sz w:val="20"/>
        </w:rPr>
        <w:t xml:space="preserve">and our availability under the Credit Agreement was $ </w:t>
      </w:r>
      <w:bookmarkStart w:name="f-947" w:id="1088"/>
      <w:r>
        <w:rPr>
          <w:rFonts w:ascii="Arial" w:hAnsi="Arial"/>
          <w:b w:val="false"/>
          <w:i w:val="false"/>
          <w:color w:val="000000"/>
          <w:sz w:val="20"/>
        </w:rPr>
        <w:t>1.25</w:t>
      </w:r>
      <w:bookmarkEnd w:id="1088"/>
      <w:r>
        <w:rPr>
          <w:rFonts w:ascii="Arial" w:hAnsi="Arial"/>
          <w:b w:val="false"/>
          <w:i w:val="false"/>
          <w:color w:val="000000"/>
          <w:sz w:val="20"/>
        </w:rPr>
        <w:t xml:space="preserve">  billion. </w:t>
      </w:r>
    </w:p>
    <w:p>
      <w:pPr>
        <w:spacing w:before="0" w:after="0"/>
        <w:ind w:left="120"/>
        <w:jc w:val="left"/>
      </w:pPr>
      <w:bookmarkStart w:name="f-907-1" w:id="1089"/>
      <w:bookmarkEnd w:id="1089"/>
    </w:p>
    <w:p>
      <w:pP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907-2" w:id="1090"/>
      <w:bookmarkEnd w:id="109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Borrowings under the Credit Agreement bear interest at the following rates, plus an applicable margin, depending on currency:</w:t>
      </w:r>
      <w:r>
        <w:rPr>
          <w:rFonts w:ascii="Times New Roman" w:hAnsi="Times New Roman"/>
          <w:b w:val="false"/>
          <w:i w:val="false"/>
          <w:color w:val="000000"/>
          <w:sz w:val="22"/>
        </w:rPr>
        <w:t xml:space="preserve"> </w:t>
      </w:r>
    </w:p>
    <w:p>
      <w:pPr>
        <w:spacing w:before="0" w:after="0"/>
        <w:ind w:left="120"/>
        <w:jc w:val="left"/>
      </w:pPr>
      <w:bookmarkStart w:name="f-907-2" w:id="1091"/>
      <w:bookmarkEnd w:id="1091"/>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U.S. dollar-denominated loans bear interest, at the Company’s option, at a base rate or an adjusted rate linked to the Secured Overnight Financing Rate (“Adjusted Term SOFR”).</w:t>
      </w:r>
      <w:r>
        <w:rPr>
          <w:rFonts w:ascii="Times New Roman" w:hAnsi="Times New Roman"/>
          <w:b w:val="false"/>
          <w:i w:val="false"/>
          <w:color w:val="000000"/>
          <w:sz w:val="22"/>
        </w:rPr>
        <w:t xml:space="preserve"> </w:t>
      </w:r>
    </w:p>
    <w:p>
      <w:pPr>
        <w:spacing w:before="0" w:after="0"/>
        <w:ind w:left="120"/>
        <w:jc w:val="left"/>
      </w:pPr>
      <w:bookmarkStart w:name="f-907-2" w:id="1092"/>
      <w:bookmarkEnd w:id="1092"/>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British pound-denominated loans bear interest on an adjusted rate linked to the Sterling Overnight Index Average Rate ("SONIA").</w:t>
      </w:r>
      <w:r>
        <w:rPr>
          <w:rFonts w:ascii="Times New Roman" w:hAnsi="Times New Roman"/>
          <w:b w:val="false"/>
          <w:i w:val="false"/>
          <w:color w:val="000000"/>
          <w:sz w:val="22"/>
        </w:rPr>
        <w:t xml:space="preserve"> </w:t>
      </w:r>
    </w:p>
    <w:p>
      <w:pPr>
        <w:spacing w:before="0" w:after="0"/>
        <w:ind w:left="120"/>
        <w:jc w:val="left"/>
      </w:pPr>
      <w:bookmarkStart w:name="f-907-2" w:id="1093"/>
      <w:bookmarkEnd w:id="1093"/>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Euro-denominated loans bear interest on an adjusted rate linked to the Euro interbank offered rate.</w:t>
      </w:r>
      <w:r>
        <w:rPr>
          <w:rFonts w:ascii="Times New Roman" w:hAnsi="Times New Roman"/>
          <w:b w:val="false"/>
          <w:i w:val="false"/>
          <w:color w:val="000000"/>
          <w:sz w:val="22"/>
        </w:rPr>
        <w:t xml:space="preserve"> </w:t>
      </w:r>
    </w:p>
    <w:p>
      <w:pPr>
        <w:spacing w:before="0" w:after="0"/>
        <w:ind w:left="120"/>
        <w:jc w:val="left"/>
      </w:pPr>
      <w:bookmarkStart w:name="f-907-2" w:id="1094"/>
      <w:bookmarkEnd w:id="109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After the upgrade to ‘Baa3/BBB’, the rate for Term Benchmark (as defined in the Credit Agreement) loans is </w:t>
      </w:r>
      <w:bookmarkStart w:name="f-948" w:id="1095"/>
      <w:r>
        <w:rPr>
          <w:rFonts w:ascii="Arial" w:hAnsi="Arial"/>
          <w:b w:val="false"/>
          <w:i w:val="false"/>
          <w:color w:val="000000"/>
          <w:sz w:val="20"/>
        </w:rPr>
        <w:t>1.50</w:t>
      </w:r>
      <w:bookmarkEnd w:id="1095"/>
      <w:r>
        <w:rPr>
          <w:rFonts w:ascii="Arial" w:hAnsi="Arial"/>
          <w:b w:val="false"/>
          <w:i w:val="false"/>
          <w:color w:val="000000"/>
          <w:sz w:val="20"/>
        </w:rPr>
        <w:t xml:space="preserve"> % and the rate for base rate loans is </w:t>
      </w:r>
      <w:bookmarkStart w:name="f-949" w:id="1096"/>
      <w:r>
        <w:rPr>
          <w:rFonts w:ascii="Arial" w:hAnsi="Arial"/>
          <w:b w:val="false"/>
          <w:i w:val="false"/>
          <w:color w:val="000000"/>
          <w:sz w:val="20"/>
        </w:rPr>
        <w:t>0.50</w:t>
      </w:r>
      <w:bookmarkEnd w:id="1096"/>
      <w:r>
        <w:rPr>
          <w:rFonts w:ascii="Arial" w:hAnsi="Arial"/>
          <w:b w:val="false"/>
          <w:i w:val="false"/>
          <w:color w:val="000000"/>
          <w:sz w:val="20"/>
        </w:rPr>
        <w:t xml:space="preserve"> % effective from June 28, 2024. The Credit Agreement is subject to customary representations and warranties, covenants, events of default, mandatory repayment provisions, and financial covenants. </w:t>
      </w:r>
    </w:p>
    <w:p>
      <w:pPr>
        <w:spacing w:before="0" w:after="0"/>
        <w:ind w:left="120"/>
        <w:jc w:val="left"/>
      </w:pPr>
      <w:bookmarkStart w:name="f-907-2" w:id="1097"/>
      <w:bookmarkEnd w:id="1097"/>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Commercial Paper</w:t>
      </w:r>
      <w:r>
        <w:rPr>
          <w:rFonts w:ascii="Times New Roman" w:hAnsi="Times New Roman"/>
          <w:b w:val="false"/>
          <w:i w:val="false"/>
          <w:color w:val="000000"/>
          <w:sz w:val="22"/>
        </w:rPr>
        <w:t xml:space="preserve"> </w:t>
      </w:r>
      <w:r>
        <w:rPr>
          <w:rFonts w:ascii="Arial" w:hAnsi="Arial"/>
          <w:b w:val="false"/>
          <w:i w:val="false"/>
          <w:color w:val="000000"/>
          <w:sz w:val="20"/>
        </w:rPr>
        <w:t xml:space="preserve">- On June 23, 2025, we entered into commercial paper dealer agreements (each a “Dealer Agreement”) with </w:t>
      </w:r>
      <w:bookmarkStart w:name="f-950" w:id="1098"/>
      <w:r>
        <w:rPr>
          <w:rFonts w:ascii="Arial" w:hAnsi="Arial"/>
          <w:b w:val="false"/>
          <w:i w:val="false"/>
          <w:color w:val="000000"/>
          <w:sz w:val="20"/>
        </w:rPr>
        <w:t>two</w:t>
      </w:r>
      <w:bookmarkEnd w:id="1098"/>
      <w:r>
        <w:rPr>
          <w:rFonts w:ascii="Arial" w:hAnsi="Arial"/>
          <w:b w:val="false"/>
          <w:i w:val="false"/>
          <w:color w:val="000000"/>
          <w:sz w:val="20"/>
        </w:rPr>
        <w:t xml:space="preserve"> dealers (each, a “Dealer” and, collectively, the “Dealers”) for our $ </w:t>
      </w:r>
      <w:bookmarkStart w:name="f-951" w:id="1099"/>
      <w:r>
        <w:rPr>
          <w:rFonts w:ascii="Arial" w:hAnsi="Arial"/>
          <w:b w:val="false"/>
          <w:i w:val="false"/>
          <w:color w:val="000000"/>
          <w:sz w:val="20"/>
        </w:rPr>
        <w:t>1.0</w:t>
      </w:r>
      <w:bookmarkEnd w:id="1099"/>
      <w:r>
        <w:rPr>
          <w:rFonts w:ascii="Arial" w:hAnsi="Arial"/>
          <w:b w:val="false"/>
          <w:i w:val="false"/>
          <w:color w:val="000000"/>
          <w:sz w:val="20"/>
        </w:rPr>
        <w:t xml:space="preserve">  billion commercial paper program (the “Program”). Under the Program, we may issue unsecured commercial paper notes (the “Notes”) pursuant to the exemption from registration contained in Section 4(a)(2) of the Securities Act of 1933, as amended (the “Securities Act”). Amounts available under the Program may be borrowed, repaid and re‑borrowed from time to time, with the aggregate principal amount of Notes outstanding under the Program at any time not to exceed $ </w:t>
      </w:r>
      <w:bookmarkStart w:name="f-952" w:id="1100"/>
      <w:r>
        <w:rPr>
          <w:rFonts w:ascii="Arial" w:hAnsi="Arial"/>
          <w:b w:val="false"/>
          <w:i w:val="false"/>
          <w:color w:val="000000"/>
          <w:sz w:val="20"/>
        </w:rPr>
        <w:t>1.0</w:t>
      </w:r>
      <w:bookmarkEnd w:id="1100"/>
      <w:r>
        <w:rPr>
          <w:rFonts w:ascii="Arial" w:hAnsi="Arial"/>
          <w:b w:val="false"/>
          <w:i w:val="false"/>
          <w:color w:val="000000"/>
          <w:sz w:val="20"/>
        </w:rPr>
        <w:t xml:space="preserve">  billion. The Notes have maturities of up to </w:t>
      </w:r>
      <w:bookmarkStart w:name="f-953" w:id="1101"/>
      <w:r>
        <w:rPr>
          <w:rFonts w:ascii="Arial" w:hAnsi="Arial"/>
          <w:b w:val="false"/>
          <w:i w:val="false"/>
          <w:color w:val="000000"/>
          <w:sz w:val="20"/>
        </w:rPr>
        <w:t>364</w:t>
      </w:r>
      <w:bookmarkEnd w:id="1101"/>
      <w:r>
        <w:rPr>
          <w:rFonts w:ascii="Arial" w:hAnsi="Arial"/>
          <w:b w:val="false"/>
          <w:i w:val="false"/>
          <w:color w:val="000000"/>
          <w:sz w:val="20"/>
        </w:rPr>
        <w:t xml:space="preserve"> days from date of issuance and rank at least </w:t>
      </w:r>
      <w:r>
        <w:rPr>
          <w:rFonts w:ascii="Arial" w:hAnsi="Arial"/>
          <w:b w:val="false"/>
          <w:i/>
          <w:color w:val="000000"/>
          <w:sz w:val="20"/>
        </w:rPr>
        <w:t>pari passu</w:t>
      </w:r>
      <w:r>
        <w:rPr>
          <w:rFonts w:ascii="Times New Roman" w:hAnsi="Times New Roman"/>
          <w:b w:val="false"/>
          <w:i w:val="false"/>
          <w:color w:val="000000"/>
          <w:sz w:val="22"/>
        </w:rPr>
        <w:t xml:space="preserve"> </w:t>
      </w:r>
      <w:r>
        <w:rPr>
          <w:rFonts w:ascii="Arial" w:hAnsi="Arial"/>
          <w:b w:val="false"/>
          <w:i w:val="false"/>
          <w:color w:val="000000"/>
          <w:sz w:val="20"/>
        </w:rPr>
        <w:t>with our other unsecured and unsubordinated indebtedness. Our available capacity under our Revolving Credit Facility is reduced by any outstanding commercial paper issued against the facility.</w:t>
      </w:r>
      <w:r>
        <w:rPr>
          <w:rFonts w:ascii="Times New Roman" w:hAnsi="Times New Roman"/>
          <w:b w:val="false"/>
          <w:i w:val="false"/>
          <w:color w:val="000000"/>
          <w:sz w:val="22"/>
        </w:rPr>
        <w:t xml:space="preserve"> </w:t>
      </w:r>
    </w:p>
    <w:p>
      <w:pPr>
        <w:spacing w:before="0" w:after="0"/>
        <w:ind w:left="120"/>
        <w:jc w:val="left"/>
      </w:pPr>
      <w:bookmarkStart w:name="f-907-2" w:id="1102"/>
      <w:bookmarkEnd w:id="1102"/>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July 10, 2025, S&amp;P Global Ratings (“S&amp;P”) assigned a rating of ‘A-3’ to our short-term debt and commercial paper program.</w:t>
      </w:r>
      <w:r>
        <w:rPr>
          <w:rFonts w:ascii="Times New Roman" w:hAnsi="Times New Roman"/>
          <w:b w:val="false"/>
          <w:i w:val="false"/>
          <w:color w:val="000000"/>
          <w:sz w:val="22"/>
        </w:rPr>
        <w:t xml:space="preserve"> </w:t>
      </w:r>
    </w:p>
    <w:p>
      <w:pPr>
        <w:spacing w:before="0" w:after="0"/>
        <w:ind w:left="120"/>
        <w:jc w:val="left"/>
      </w:pPr>
      <w:bookmarkStart w:name="f-907-2" w:id="1103"/>
      <w:bookmarkEnd w:id="1103"/>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Letter of Credit Facility -</w:t>
      </w:r>
      <w:r>
        <w:rPr>
          <w:rFonts w:ascii="Times New Roman" w:hAnsi="Times New Roman"/>
          <w:b w:val="false"/>
          <w:i w:val="false"/>
          <w:color w:val="000000"/>
          <w:sz w:val="22"/>
        </w:rPr>
        <w:t xml:space="preserve"> </w:t>
      </w:r>
      <w:r>
        <w:rPr>
          <w:rFonts w:ascii="Arial" w:hAnsi="Arial"/>
          <w:b w:val="false"/>
          <w:i w:val="false"/>
          <w:color w:val="000000"/>
          <w:sz w:val="20"/>
        </w:rPr>
        <w:t xml:space="preserve">On April 24, 2023, the Company entered into a new $ </w:t>
      </w:r>
      <w:bookmarkStart w:name="f-954" w:id="1104"/>
      <w:r>
        <w:rPr>
          <w:rFonts w:ascii="Arial" w:hAnsi="Arial"/>
          <w:b w:val="false"/>
          <w:i w:val="false"/>
          <w:color w:val="000000"/>
          <w:sz w:val="20"/>
        </w:rPr>
        <w:t>500</w:t>
      </w:r>
      <w:bookmarkEnd w:id="1104"/>
      <w:r>
        <w:rPr>
          <w:rFonts w:ascii="Arial" w:hAnsi="Arial"/>
          <w:b w:val="false"/>
          <w:i w:val="false"/>
          <w:color w:val="000000"/>
          <w:sz w:val="20"/>
        </w:rPr>
        <w:t xml:space="preserve"> million </w:t>
      </w:r>
      <w:bookmarkStart w:name="f-955" w:id="1105"/>
      <w:r>
        <w:rPr>
          <w:rFonts w:ascii="Arial" w:hAnsi="Arial"/>
          <w:b w:val="false"/>
          <w:i w:val="false"/>
          <w:color w:val="000000"/>
          <w:sz w:val="20"/>
        </w:rPr>
        <w:t>five-year</w:t>
      </w:r>
      <w:bookmarkEnd w:id="1105"/>
      <w:r>
        <w:rPr>
          <w:rFonts w:ascii="Arial" w:hAnsi="Arial"/>
          <w:b w:val="false"/>
          <w:i w:val="false"/>
          <w:color w:val="000000"/>
          <w:sz w:val="20"/>
        </w:rPr>
        <w:t xml:space="preserve"> senior secured performance letters of credit facility (the “Performance LC Credit Agreement”). The commitments under the Performance LC Credit Agreement may be increased to $ </w:t>
      </w:r>
      <w:bookmarkStart w:name="f-956" w:id="1106"/>
      <w:r>
        <w:rPr>
          <w:rFonts w:ascii="Arial" w:hAnsi="Arial"/>
          <w:b w:val="false"/>
          <w:i w:val="false"/>
          <w:color w:val="000000"/>
          <w:sz w:val="20"/>
        </w:rPr>
        <w:t>1.0</w:t>
      </w:r>
      <w:bookmarkEnd w:id="1106"/>
      <w:r>
        <w:rPr>
          <w:rFonts w:ascii="Arial" w:hAnsi="Arial"/>
          <w:b w:val="false"/>
          <w:i w:val="false"/>
          <w:color w:val="000000"/>
          <w:sz w:val="20"/>
        </w:rPr>
        <w:t xml:space="preserve"> billion, subject to the satisfaction of certain customary conditions precedent. The Performance LC Credit Agreement permits the Company and its subsidiaries to have access to performance letters of credit denominated in a variety of currencies to support the contracting activities with counterparties that require or request a performance or similar guarantee. It contains substantially the same customary representations and warranties, covenants, events of default, mandatory repayment provisions, and financial covenants as the Credit Agreement and benefits from the same guarantees and security as the Credit Agreement on a </w:t>
      </w:r>
      <w:r>
        <w:rPr>
          <w:rFonts w:ascii="Arial" w:hAnsi="Arial"/>
          <w:b w:val="false"/>
          <w:i/>
          <w:color w:val="000000"/>
          <w:sz w:val="20"/>
        </w:rPr>
        <w:t>pari passu</w:t>
      </w:r>
      <w:r>
        <w:rPr>
          <w:rFonts w:ascii="Times New Roman" w:hAnsi="Times New Roman"/>
          <w:b w:val="false"/>
          <w:i w:val="false"/>
          <w:color w:val="000000"/>
          <w:sz w:val="22"/>
        </w:rPr>
        <w:t xml:space="preserve"> </w:t>
      </w:r>
      <w:r>
        <w:rPr>
          <w:rFonts w:ascii="Arial" w:hAnsi="Arial"/>
          <w:b w:val="false"/>
          <w:i w:val="false"/>
          <w:color w:val="000000"/>
          <w:sz w:val="20"/>
        </w:rPr>
        <w:t>basis.</w:t>
      </w:r>
      <w:r>
        <w:rPr>
          <w:rFonts w:ascii="Times New Roman" w:hAnsi="Times New Roman"/>
          <w:b w:val="false"/>
          <w:i w:val="false"/>
          <w:color w:val="000000"/>
          <w:sz w:val="22"/>
        </w:rPr>
        <w:t xml:space="preserve"> </w:t>
      </w:r>
    </w:p>
    <w:p>
      <w:pPr>
        <w:spacing w:before="0" w:after="0"/>
        <w:ind w:left="120"/>
        <w:jc w:val="left"/>
      </w:pPr>
      <w:bookmarkStart w:name="f-907-2" w:id="1107"/>
      <w:bookmarkEnd w:id="1107"/>
    </w:p>
    <w:p>
      <w:pPr>
        <w:spacing w:before="0" w:after="0"/>
        <w:ind w:left="120"/>
        <w:jc w:val="both"/>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907-2" w:id="1108"/>
      <w:bookmarkEnd w:id="110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2021 Notes - On January 29, 2021, we issued $ </w:t>
      </w:r>
      <w:bookmarkStart w:name="f-957" w:id="1109"/>
      <w:r>
        <w:rPr>
          <w:rFonts w:ascii="Arial" w:hAnsi="Arial"/>
          <w:b w:val="false"/>
          <w:i w:val="false"/>
          <w:color w:val="000000"/>
          <w:sz w:val="20"/>
        </w:rPr>
        <w:t>1.0</w:t>
      </w:r>
      <w:bookmarkEnd w:id="1109"/>
      <w:r>
        <w:rPr>
          <w:rFonts w:ascii="Arial" w:hAnsi="Arial"/>
          <w:b w:val="false"/>
          <w:i w:val="false"/>
          <w:color w:val="000000"/>
          <w:sz w:val="20"/>
        </w:rPr>
        <w:t xml:space="preserve">  billion of </w:t>
      </w:r>
      <w:bookmarkStart w:name="f-958" w:id="1110"/>
      <w:bookmarkEnd w:id="1110"/>
      <w:bookmarkStart w:name="f-959" w:id="1111"/>
      <w:r>
        <w:rPr>
          <w:rFonts w:ascii="Arial" w:hAnsi="Arial"/>
          <w:b w:val="false"/>
          <w:i w:val="false"/>
          <w:color w:val="000000"/>
          <w:sz w:val="20"/>
        </w:rPr>
        <w:t>6.50</w:t>
      </w:r>
      <w:bookmarkEnd w:id="1111"/>
      <w:bookmarkStart w:name="f-958" w:id="1112"/>
      <w:r>
        <w:rPr>
          <w:rFonts w:ascii="Arial" w:hAnsi="Arial"/>
          <w:b w:val="false"/>
          <w:i w:val="false"/>
          <w:color w:val="000000"/>
          <w:sz w:val="20"/>
        </w:rPr>
        <w:t xml:space="preserve"> </w:t>
      </w:r>
      <w:bookmarkEnd w:id="1112"/>
      <w:r>
        <w:rPr>
          <w:rFonts w:ascii="Arial" w:hAnsi="Arial"/>
          <w:b w:val="false"/>
          <w:i w:val="false"/>
          <w:color w:val="000000"/>
          <w:sz w:val="20"/>
        </w:rPr>
        <w:t xml:space="preserve">% senior notes due 2026 (the “2021 Notes”). The interest on the 2021 Notes is paid semi-annually on February 1 and August 1 of each year, beginning on August 1, 2021. The 2021 Notes are senior unsecured obligations and are guaranteed on a senior unsecured basis by substantially all of our wholly owned U.S. subsidiaries and non-U.S. subsidiaries in Brazil, the Netherlands, Norway, Singapore, and the United Kingdom. We incurred $ </w:t>
      </w:r>
      <w:bookmarkStart w:name="f-960" w:id="1113"/>
      <w:r>
        <w:rPr>
          <w:rFonts w:ascii="Arial" w:hAnsi="Arial"/>
          <w:b w:val="false"/>
          <w:i w:val="false"/>
          <w:color w:val="000000"/>
          <w:sz w:val="20"/>
        </w:rPr>
        <w:t>25.7</w:t>
      </w:r>
      <w:bookmarkEnd w:id="1113"/>
      <w:r>
        <w:rPr>
          <w:rFonts w:ascii="Arial" w:hAnsi="Arial"/>
          <w:b w:val="false"/>
          <w:i w:val="false"/>
          <w:color w:val="000000"/>
          <w:sz w:val="20"/>
        </w:rPr>
        <w:t xml:space="preserve">  million of debt issuance costs in connection with issuance of the 2021 Notes. These debt issuance costs are amortized to interest expense over the term and are included in long-term debt in our condensed consolidated balance sheets. The outstanding balance of the 2021 Notes as of June 30, 2025 is $ </w:t>
      </w:r>
      <w:bookmarkStart w:name="f-961" w:id="1114"/>
      <w:r>
        <w:rPr>
          <w:rFonts w:ascii="Arial" w:hAnsi="Arial"/>
          <w:b w:val="false"/>
          <w:i w:val="false"/>
          <w:color w:val="000000"/>
          <w:sz w:val="20"/>
        </w:rPr>
        <w:t>202.9</w:t>
      </w:r>
      <w:bookmarkEnd w:id="1114"/>
      <w:r>
        <w:rPr>
          <w:rFonts w:ascii="Arial" w:hAnsi="Arial"/>
          <w:b w:val="false"/>
          <w:i w:val="false"/>
          <w:color w:val="000000"/>
          <w:sz w:val="20"/>
        </w:rPr>
        <w:t xml:space="preserve"> million. </w:t>
      </w:r>
    </w:p>
    <w:p>
      <w:pPr>
        <w:spacing w:before="0" w:after="0"/>
        <w:ind w:left="120"/>
        <w:jc w:val="left"/>
      </w:pPr>
      <w:bookmarkStart w:name="f-907-2" w:id="1115"/>
      <w:bookmarkEnd w:id="111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March 7, 2024, S&amp;P upgraded TechnipFMC to investment grade, raising its rating to ‘BBB-’ from ‘BB+’ for both the issuer credit as well as the issue-level ratings on the Company’s senior unsecured notes. On June 27, 2024, Fitch Ratings (“Fitch”) assigned a first-time investment grade long-term issuer default rating of ‘BBB-’ for TechnipFMC. As a result of the S&amp;P and Fitch investment grade ratings and the satisfaction of certain other conditions precedent, the Investment Grade Date (as defined in the Credit Agreement) has occurred and the collateral securing the Credit Agreement and the Performance LC Credit Agreement was released.</w:t>
      </w:r>
      <w:r>
        <w:rPr>
          <w:rFonts w:ascii="Times New Roman" w:hAnsi="Times New Roman"/>
          <w:b w:val="false"/>
          <w:i w:val="false"/>
          <w:color w:val="000000"/>
          <w:sz w:val="22"/>
        </w:rPr>
        <w:t xml:space="preserve"> </w:t>
      </w:r>
    </w:p>
    <w:p>
      <w:pPr>
        <w:spacing w:before="0" w:after="0"/>
        <w:ind w:left="120"/>
        <w:jc w:val="left"/>
      </w:pPr>
      <w:bookmarkStart w:name="f-907-2" w:id="1116"/>
      <w:bookmarkEnd w:id="111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January 23, 2025, Moody’s upgraded TechnipFMC to ‘Baa3’ from ‘Ba1’, while maintaining a positive outlook, for the issue-level ratings on the Company’s 2021 Notes.</w:t>
      </w:r>
      <w:r>
        <w:rPr>
          <w:rFonts w:ascii="Times New Roman" w:hAnsi="Times New Roman"/>
          <w:b w:val="false"/>
          <w:i w:val="false"/>
          <w:color w:val="000000"/>
          <w:sz w:val="22"/>
        </w:rPr>
        <w:t xml:space="preserve"> </w:t>
      </w:r>
    </w:p>
    <w:p>
      <w:pPr>
        <w:spacing w:before="0" w:after="0"/>
        <w:ind w:left="120"/>
        <w:jc w:val="left"/>
      </w:pPr>
      <w:bookmarkStart w:name="f-907-2" w:id="1117"/>
      <w:bookmarkEnd w:id="111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of June 30, 2025, TechnipFMC was in compliance with all debt covenants.</w:t>
      </w:r>
      <w:r>
        <w:rPr>
          <w:rFonts w:ascii="Times New Roman" w:hAnsi="Times New Roman"/>
          <w:b w:val="false"/>
          <w:i w:val="false"/>
          <w:color w:val="000000"/>
          <w:sz w:val="22"/>
        </w:rPr>
        <w:t xml:space="preserve"> </w:t>
      </w:r>
    </w:p>
    <w:p>
      <w:pPr>
        <w:spacing w:before="0" w:after="0"/>
        <w:ind w:left="120"/>
        <w:jc w:val="left"/>
      </w:pPr>
      <w:bookmarkStart w:name="f-907-2" w:id="1118"/>
      <w:bookmarkEnd w:id="1118"/>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19</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907-3" w:id="1119"/>
      <w:bookmarkEnd w:id="1119"/>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Bank borrowings -</w:t>
      </w:r>
      <w:r>
        <w:rPr>
          <w:rFonts w:ascii="Times New Roman" w:hAnsi="Times New Roman"/>
          <w:b w:val="false"/>
          <w:i w:val="false"/>
          <w:color w:val="000000"/>
          <w:sz w:val="22"/>
        </w:rPr>
        <w:t xml:space="preserve"> </w:t>
      </w:r>
      <w:r>
        <w:rPr>
          <w:rFonts w:ascii="Arial" w:hAnsi="Arial"/>
          <w:b w:val="false"/>
          <w:i w:val="false"/>
          <w:color w:val="000000"/>
          <w:sz w:val="20"/>
        </w:rPr>
        <w:t>Include term loans issued in connection with financing for certain of our vessels and amounts outstanding under our foreign committed credit lines.</w:t>
      </w:r>
      <w:r>
        <w:rPr>
          <w:rFonts w:ascii="Times New Roman" w:hAnsi="Times New Roman"/>
          <w:b w:val="false"/>
          <w:i w:val="false"/>
          <w:color w:val="000000"/>
          <w:sz w:val="22"/>
        </w:rPr>
        <w:t xml:space="preserve"> </w:t>
      </w:r>
    </w:p>
    <w:p>
      <w:pPr>
        <w:spacing w:before="0" w:after="0"/>
        <w:ind w:left="120"/>
        <w:jc w:val="left"/>
      </w:pPr>
      <w:bookmarkStart w:name="f-907-3" w:id="1120"/>
      <w:bookmarkEnd w:id="1120"/>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Foreign committed credit -</w:t>
      </w:r>
      <w:r>
        <w:rPr>
          <w:rFonts w:ascii="Times New Roman" w:hAnsi="Times New Roman"/>
          <w:b w:val="false"/>
          <w:i w:val="false"/>
          <w:color w:val="000000"/>
          <w:sz w:val="22"/>
        </w:rPr>
        <w:t xml:space="preserve"> </w:t>
      </w:r>
      <w:r>
        <w:rPr>
          <w:rFonts w:ascii="Arial" w:hAnsi="Arial"/>
          <w:b w:val="false"/>
          <w:i w:val="false"/>
          <w:color w:val="000000"/>
          <w:sz w:val="20"/>
        </w:rPr>
        <w:t>We have committed credit lines at many of our international subsidiaries for immaterial amounts. We utilize these facilities for asset financing and to provide a more efficient daily source of liquidity. The effective interest rates depend upon the local national market.</w:t>
      </w:r>
      <w:r>
        <w:rPr>
          <w:rFonts w:ascii="Times New Roman" w:hAnsi="Times New Roman"/>
          <w:b w:val="false"/>
          <w:i w:val="false"/>
          <w:color w:val="000000"/>
          <w:sz w:val="22"/>
        </w:rPr>
        <w:t xml:space="preserve"> </w:t>
      </w:r>
    </w:p>
    <w:p>
      <w:pPr>
        <w:spacing w:before="0" w:after="0"/>
        <w:ind w:left="120"/>
        <w:jc w:val="left"/>
      </w:pPr>
      <w:bookmarkStart w:name="f-907-3" w:id="1121"/>
      <w:bookmarkEnd w:id="1121"/>
    </w:p>
    <w:bookmarkStart w:name="if5bce3d3882148cf91b6563d87cc4db5_103" w:id="1122"/>
    <w:p>
      <w:pPr>
        <w:spacing w:before="0" w:after="0"/>
        <w:ind w:left="120"/>
        <w:jc w:val="left"/>
      </w:pPr>
    </w:p>
    <w:bookmarkEnd w:id="1122"/>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12. </w:t>
      </w:r>
      <w:bookmarkStart w:name="f-962" w:id="1123"/>
      <w:r>
        <w:rPr>
          <w:rFonts w:ascii="Arial" w:hAnsi="Arial"/>
          <w:b/>
          <w:i w:val="false"/>
          <w:color w:val="000000"/>
          <w:sz w:val="20"/>
        </w:rPr>
        <w:t>STOCKHOLDERS’ EQUITY</w:t>
      </w:r>
      <w:bookmarkEnd w:id="1123"/>
      <w:r>
        <w:rPr>
          <w:rFonts w:ascii="Arial" w:hAnsi="Arial"/>
          <w:b/>
          <w:i w:val="false"/>
          <w:color w:val="000000"/>
          <w:sz w:val="20"/>
        </w:rPr>
        <w:t xml:space="preserve"> </w:t>
      </w:r>
    </w:p>
    <w:p>
      <w:pPr>
        <w:spacing w:before="0" w:after="0"/>
        <w:ind w:left="120"/>
        <w:jc w:val="left"/>
      </w:pPr>
      <w:bookmarkStart w:name="f-962-1" w:id="1124"/>
      <w:bookmarkEnd w:id="112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On April 22, 2025, the Company announced that its Board of Directors authorized and declared a quarterly cash dividend of $ </w:t>
      </w:r>
      <w:bookmarkStart w:name="f-963" w:id="1125"/>
      <w:r>
        <w:rPr>
          <w:rFonts w:ascii="Arial" w:hAnsi="Arial"/>
          <w:b w:val="false"/>
          <w:i w:val="false"/>
          <w:color w:val="000000"/>
          <w:sz w:val="20"/>
        </w:rPr>
        <w:t>0.05</w:t>
      </w:r>
      <w:bookmarkEnd w:id="1125"/>
      <w:r>
        <w:rPr>
          <w:rFonts w:ascii="Arial" w:hAnsi="Arial"/>
          <w:b w:val="false"/>
          <w:i w:val="false"/>
          <w:color w:val="000000"/>
          <w:sz w:val="20"/>
        </w:rPr>
        <w:t xml:space="preserve"> per share, payable on June 4, 2025 to shareholders and represents $ </w:t>
      </w:r>
      <w:bookmarkStart w:name="f-964" w:id="1126"/>
      <w:r>
        <w:rPr>
          <w:rFonts w:ascii="Arial" w:hAnsi="Arial"/>
          <w:b w:val="false"/>
          <w:i w:val="false"/>
          <w:color w:val="000000"/>
          <w:sz w:val="20"/>
        </w:rPr>
        <w:t>0.20</w:t>
      </w:r>
      <w:bookmarkEnd w:id="1126"/>
      <w:r>
        <w:rPr>
          <w:rFonts w:ascii="Arial" w:hAnsi="Arial"/>
          <w:b w:val="false"/>
          <w:i w:val="false"/>
          <w:color w:val="000000"/>
          <w:sz w:val="20"/>
        </w:rPr>
        <w:t xml:space="preserve"> per share on an annualized basis. The cash dividends paid during the three and six months ended June 30, 2025 were $ </w:t>
      </w:r>
      <w:bookmarkStart w:name="f-965" w:id="1127"/>
      <w:r>
        <w:rPr>
          <w:rFonts w:ascii="Arial" w:hAnsi="Arial"/>
          <w:b w:val="false"/>
          <w:i w:val="false"/>
          <w:color w:val="000000"/>
          <w:sz w:val="20"/>
        </w:rPr>
        <w:t>20.6</w:t>
      </w:r>
      <w:bookmarkEnd w:id="1127"/>
      <w:r>
        <w:rPr>
          <w:rFonts w:ascii="Arial" w:hAnsi="Arial"/>
          <w:b w:val="false"/>
          <w:i w:val="false"/>
          <w:color w:val="000000"/>
          <w:sz w:val="20"/>
        </w:rPr>
        <w:t xml:space="preserve"> million and $ </w:t>
      </w:r>
      <w:bookmarkStart w:name="f-966" w:id="1128"/>
      <w:r>
        <w:rPr>
          <w:rFonts w:ascii="Arial" w:hAnsi="Arial"/>
          <w:b w:val="false"/>
          <w:i w:val="false"/>
          <w:color w:val="000000"/>
          <w:sz w:val="20"/>
        </w:rPr>
        <w:t>41.6</w:t>
      </w:r>
      <w:bookmarkEnd w:id="1128"/>
      <w:r>
        <w:rPr>
          <w:rFonts w:ascii="Arial" w:hAnsi="Arial"/>
          <w:b w:val="false"/>
          <w:i w:val="false"/>
          <w:color w:val="000000"/>
          <w:sz w:val="20"/>
        </w:rPr>
        <w:t xml:space="preserve">  million, respectively, and for the three and six months ended June 30, 2024 were $ </w:t>
      </w:r>
      <w:bookmarkStart w:name="f-967" w:id="1129"/>
      <w:r>
        <w:rPr>
          <w:rFonts w:ascii="Arial" w:hAnsi="Arial"/>
          <w:b w:val="false"/>
          <w:i w:val="false"/>
          <w:color w:val="000000"/>
          <w:sz w:val="20"/>
        </w:rPr>
        <w:t>21.5</w:t>
      </w:r>
      <w:bookmarkEnd w:id="1129"/>
      <w:r>
        <w:rPr>
          <w:rFonts w:ascii="Arial" w:hAnsi="Arial"/>
          <w:b w:val="false"/>
          <w:i w:val="false"/>
          <w:color w:val="000000"/>
          <w:sz w:val="20"/>
        </w:rPr>
        <w:t xml:space="preserve">  million and $ </w:t>
      </w:r>
      <w:bookmarkStart w:name="f-968" w:id="1130"/>
      <w:r>
        <w:rPr>
          <w:rFonts w:ascii="Arial" w:hAnsi="Arial"/>
          <w:b w:val="false"/>
          <w:i w:val="false"/>
          <w:color w:val="000000"/>
          <w:sz w:val="20"/>
        </w:rPr>
        <w:t>43.2</w:t>
      </w:r>
      <w:bookmarkEnd w:id="1130"/>
      <w:r>
        <w:rPr>
          <w:rFonts w:ascii="Arial" w:hAnsi="Arial"/>
          <w:b w:val="false"/>
          <w:i w:val="false"/>
          <w:color w:val="000000"/>
          <w:sz w:val="20"/>
        </w:rPr>
        <w:t xml:space="preserve"> million, respectively. </w:t>
      </w:r>
    </w:p>
    <w:p>
      <w:pPr>
        <w:spacing w:before="0" w:after="0"/>
        <w:ind w:left="120"/>
        <w:jc w:val="left"/>
      </w:pPr>
      <w:bookmarkStart w:name="f-962-1" w:id="1131"/>
      <w:bookmarkEnd w:id="1131"/>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On October 23, 2024, our Board of Directors authorized an additional $ </w:t>
      </w:r>
      <w:bookmarkStart w:name="f-969" w:id="1132"/>
      <w:r>
        <w:rPr>
          <w:rFonts w:ascii="Arial" w:hAnsi="Arial"/>
          <w:b w:val="false"/>
          <w:i w:val="false"/>
          <w:color w:val="000000"/>
          <w:sz w:val="20"/>
        </w:rPr>
        <w:t>1.0</w:t>
      </w:r>
      <w:bookmarkEnd w:id="1132"/>
      <w:r>
        <w:rPr>
          <w:rFonts w:ascii="Arial" w:hAnsi="Arial"/>
          <w:b w:val="false"/>
          <w:i w:val="false"/>
          <w:color w:val="000000"/>
          <w:sz w:val="20"/>
        </w:rPr>
        <w:t xml:space="preserve">  billion in share repurchases, increasing the Company’s total authorization under our share repurchase program to $ </w:t>
      </w:r>
      <w:bookmarkStart w:name="f-970" w:id="1133"/>
      <w:r>
        <w:rPr>
          <w:rFonts w:ascii="Arial" w:hAnsi="Arial"/>
          <w:b w:val="false"/>
          <w:i w:val="false"/>
          <w:color w:val="000000"/>
          <w:sz w:val="20"/>
        </w:rPr>
        <w:t>1.8</w:t>
      </w:r>
      <w:bookmarkEnd w:id="1133"/>
      <w:r>
        <w:rPr>
          <w:rFonts w:ascii="Arial" w:hAnsi="Arial"/>
          <w:b w:val="false"/>
          <w:i w:val="false"/>
          <w:color w:val="000000"/>
          <w:sz w:val="20"/>
        </w:rPr>
        <w:t xml:space="preserve">  billion of outstanding ordinary shares. Pursuant to this program, we repurchased $ </w:t>
      </w:r>
      <w:bookmarkStart w:name="f-971" w:id="1134"/>
      <w:r>
        <w:rPr>
          <w:rFonts w:ascii="Arial" w:hAnsi="Arial"/>
          <w:b w:val="false"/>
          <w:i w:val="false"/>
          <w:color w:val="000000"/>
          <w:sz w:val="20"/>
        </w:rPr>
        <w:t>250.1</w:t>
      </w:r>
      <w:bookmarkEnd w:id="1134"/>
      <w:r>
        <w:rPr>
          <w:rFonts w:ascii="Arial" w:hAnsi="Arial"/>
          <w:b w:val="false"/>
          <w:i w:val="false"/>
          <w:color w:val="000000"/>
          <w:sz w:val="20"/>
        </w:rPr>
        <w:t xml:space="preserve">  million and $ </w:t>
      </w:r>
      <w:bookmarkStart w:name="f-972" w:id="1135"/>
      <w:r>
        <w:rPr>
          <w:rFonts w:ascii="Arial" w:hAnsi="Arial"/>
          <w:b w:val="false"/>
          <w:i w:val="false"/>
          <w:color w:val="000000"/>
          <w:sz w:val="20"/>
        </w:rPr>
        <w:t>500.2</w:t>
      </w:r>
      <w:bookmarkEnd w:id="1135"/>
      <w:r>
        <w:rPr>
          <w:rFonts w:ascii="Arial" w:hAnsi="Arial"/>
          <w:b w:val="false"/>
          <w:i w:val="false"/>
          <w:color w:val="000000"/>
          <w:sz w:val="20"/>
        </w:rPr>
        <w:t xml:space="preserve"> million during the three and six months ended June 30, 2025, respectively, and $ </w:t>
      </w:r>
      <w:bookmarkStart w:name="f-973" w:id="1136"/>
      <w:r>
        <w:rPr>
          <w:rFonts w:ascii="Arial" w:hAnsi="Arial"/>
          <w:b w:val="false"/>
          <w:i w:val="false"/>
          <w:color w:val="000000"/>
          <w:sz w:val="20"/>
        </w:rPr>
        <w:t>100.0</w:t>
      </w:r>
      <w:bookmarkEnd w:id="1136"/>
      <w:r>
        <w:rPr>
          <w:rFonts w:ascii="Arial" w:hAnsi="Arial"/>
          <w:b w:val="false"/>
          <w:i w:val="false"/>
          <w:color w:val="000000"/>
          <w:sz w:val="20"/>
        </w:rPr>
        <w:t xml:space="preserve"> million and $ </w:t>
      </w:r>
      <w:bookmarkStart w:name="f-974" w:id="1137"/>
      <w:r>
        <w:rPr>
          <w:rFonts w:ascii="Arial" w:hAnsi="Arial"/>
          <w:b w:val="false"/>
          <w:i w:val="false"/>
          <w:color w:val="000000"/>
          <w:sz w:val="20"/>
        </w:rPr>
        <w:t>250.1</w:t>
      </w:r>
      <w:bookmarkEnd w:id="1137"/>
      <w:r>
        <w:rPr>
          <w:rFonts w:ascii="Arial" w:hAnsi="Arial"/>
          <w:b w:val="false"/>
          <w:i w:val="false"/>
          <w:color w:val="000000"/>
          <w:sz w:val="20"/>
        </w:rPr>
        <w:t xml:space="preserve"> million during the three and six months ended June 30, 2024, respectively. </w:t>
      </w:r>
    </w:p>
    <w:p>
      <w:pPr>
        <w:spacing w:before="0" w:after="0"/>
        <w:ind w:left="120"/>
        <w:jc w:val="left"/>
      </w:pPr>
      <w:bookmarkStart w:name="f-962-1" w:id="1138"/>
      <w:bookmarkEnd w:id="113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Based upon the remaining repurchase authority of $ </w:t>
      </w:r>
      <w:bookmarkStart w:name="f-975" w:id="1139"/>
      <w:r>
        <w:rPr>
          <w:rFonts w:ascii="Arial" w:hAnsi="Arial"/>
          <w:b w:val="false"/>
          <w:i w:val="false"/>
          <w:color w:val="000000"/>
          <w:sz w:val="20"/>
        </w:rPr>
        <w:t>594.4</w:t>
      </w:r>
      <w:bookmarkEnd w:id="1139"/>
      <w:r>
        <w:rPr>
          <w:rFonts w:ascii="Arial" w:hAnsi="Arial"/>
          <w:b w:val="false"/>
          <w:i w:val="false"/>
          <w:color w:val="000000"/>
          <w:sz w:val="20"/>
        </w:rPr>
        <w:t xml:space="preserve">  million and the closing stock price as of June 30, 2025, approximately </w:t>
      </w:r>
      <w:bookmarkStart w:name="f-976" w:id="1140"/>
      <w:r>
        <w:rPr>
          <w:rFonts w:ascii="Arial" w:hAnsi="Arial"/>
          <w:b w:val="false"/>
          <w:i w:val="false"/>
          <w:color w:val="000000"/>
          <w:sz w:val="20"/>
        </w:rPr>
        <w:t>17.3</w:t>
      </w:r>
      <w:bookmarkEnd w:id="1140"/>
      <w:r>
        <w:rPr>
          <w:rFonts w:ascii="Arial" w:hAnsi="Arial"/>
          <w:b w:val="false"/>
          <w:i w:val="false"/>
          <w:color w:val="000000"/>
          <w:sz w:val="20"/>
        </w:rPr>
        <w:t xml:space="preserve">  million ordinary shares could be subject to repurchase. Since the initial share repurchase authorization in July 2022, we have purchased an aggregate amount of $ </w:t>
      </w:r>
      <w:bookmarkStart w:name="f-977" w:id="1141"/>
      <w:r>
        <w:rPr>
          <w:rFonts w:ascii="Arial" w:hAnsi="Arial"/>
          <w:b w:val="false"/>
          <w:i w:val="false"/>
          <w:color w:val="000000"/>
          <w:sz w:val="20"/>
        </w:rPr>
        <w:t>1,205.6</w:t>
      </w:r>
      <w:bookmarkEnd w:id="1141"/>
      <w:r>
        <w:rPr>
          <w:rFonts w:ascii="Arial" w:hAnsi="Arial"/>
          <w:b w:val="false"/>
          <w:i w:val="false"/>
          <w:color w:val="000000"/>
          <w:sz w:val="20"/>
        </w:rPr>
        <w:t xml:space="preserve">  million of ordinary shares through June 30, 2025. All shares repurchased were immediately cancelled. </w:t>
      </w:r>
    </w:p>
    <w:p>
      <w:pPr>
        <w:spacing w:before="0" w:after="0"/>
        <w:ind w:left="120"/>
        <w:jc w:val="left"/>
      </w:pPr>
      <w:bookmarkStart w:name="f-962-1" w:id="1142"/>
      <w:bookmarkEnd w:id="1142"/>
      <w:bookmarkStart w:name="f-978" w:id="1143"/>
      <w:bookmarkEnd w:id="1143"/>
    </w:p>
    <w:p>
      <w:pPr>
        <w:spacing w:before="160" w:after="20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Accumulated other comprehensive income (loss) for the three and six months ended June 30, 2025 and 2024 consisted of the following:</w:t>
      </w:r>
      <w:r>
        <w:rPr>
          <w:rFonts w:ascii="Times New Roman" w:hAnsi="Times New Roman"/>
          <w:b w:val="false"/>
          <w:i w:val="false"/>
          <w:color w:val="000000"/>
          <w:sz w:val="22"/>
        </w:rPr>
        <w:t xml:space="preserve"> </w:t>
      </w:r>
    </w:p>
    <w:p>
      <w:pPr>
        <w:spacing w:before="0" w:after="0"/>
        <w:ind w:left="120"/>
        <w:jc w:val="left"/>
      </w:pPr>
      <w:bookmarkStart w:name="f-978" w:id="1144"/>
      <w:bookmarkEnd w:id="1144"/>
    </w:p>
    <w:p>
      <w:pPr>
        <w:spacing w:before="160" w:after="20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56"/>
        <w:gridCol w:w="4010"/>
        <w:gridCol w:w="561"/>
        <w:gridCol w:w="146"/>
        <w:gridCol w:w="950"/>
        <w:gridCol w:w="40"/>
        <w:gridCol w:w="40"/>
        <w:gridCol w:w="40"/>
        <w:gridCol w:w="40"/>
        <w:gridCol w:w="146"/>
        <w:gridCol w:w="893"/>
        <w:gridCol w:w="40"/>
        <w:gridCol w:w="40"/>
        <w:gridCol w:w="40"/>
        <w:gridCol w:w="40"/>
        <w:gridCol w:w="227"/>
        <w:gridCol w:w="1582"/>
        <w:gridCol w:w="63"/>
        <w:gridCol w:w="40"/>
        <w:gridCol w:w="40"/>
        <w:gridCol w:w="40"/>
        <w:gridCol w:w="186"/>
        <w:gridCol w:w="1691"/>
        <w:gridCol w:w="52"/>
        <w:gridCol w:w="40"/>
        <w:gridCol w:w="40"/>
        <w:gridCol w:w="40"/>
        <w:gridCol w:w="273"/>
        <w:gridCol w:w="1662"/>
        <w:gridCol w:w="76"/>
      </w:tblGrid>
      <w:tr>
        <w:trPr>
          <w:trHeight w:val="30" w:hRule="atLeast"/>
        </w:trPr>
        <w:tc>
          <w:tcPr>
            <w:tcW w:w="556" w:type="dxa"/>
            <w:tcBorders/>
            <w:tcMar>
              <w:top w:w="15" w:type="dxa"/>
              <w:left w:w="15" w:type="dxa"/>
              <w:bottom w:w="15" w:type="dxa"/>
              <w:right w:w="15" w:type="dxa"/>
            </w:tcMar>
            <w:vAlign w:val="center"/>
          </w:tcPr>
          <w:p/>
        </w:tc>
        <w:tc>
          <w:tcPr>
            <w:tcW w:w="4010" w:type="dxa"/>
            <w:tcBorders/>
            <w:tcMar>
              <w:top w:w="15" w:type="dxa"/>
              <w:left w:w="15" w:type="dxa"/>
              <w:bottom w:w="15" w:type="dxa"/>
              <w:right w:w="15" w:type="dxa"/>
            </w:tcMar>
            <w:vAlign w:val="center"/>
          </w:tcPr>
          <w:p/>
        </w:tc>
        <w:tc>
          <w:tcPr>
            <w:tcW w:w="56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9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582"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6" w:type="dxa"/>
            <w:tcBorders/>
            <w:tcMar>
              <w:top w:w="15" w:type="dxa"/>
              <w:left w:w="15" w:type="dxa"/>
              <w:bottom w:w="15" w:type="dxa"/>
              <w:right w:w="15" w:type="dxa"/>
            </w:tcMar>
            <w:vAlign w:val="center"/>
          </w:tcPr>
          <w:p/>
        </w:tc>
        <w:tc>
          <w:tcPr>
            <w:tcW w:w="1691" w:type="dxa"/>
            <w:tcBorders/>
            <w:tcMar>
              <w:top w:w="15" w:type="dxa"/>
              <w:left w:w="15" w:type="dxa"/>
              <w:bottom w:w="15" w:type="dxa"/>
              <w:right w:w="15" w:type="dxa"/>
            </w:tcMar>
            <w:vAlign w:val="center"/>
          </w:tcPr>
          <w:p/>
        </w:tc>
        <w:tc>
          <w:tcPr>
            <w:tcW w:w="5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73" w:type="dxa"/>
            <w:tcBorders/>
            <w:tcMar>
              <w:top w:w="15" w:type="dxa"/>
              <w:left w:w="15" w:type="dxa"/>
              <w:bottom w:w="15" w:type="dxa"/>
              <w:right w:w="15" w:type="dxa"/>
            </w:tcMar>
            <w:vAlign w:val="center"/>
          </w:tcPr>
          <w:p/>
        </w:tc>
        <w:tc>
          <w:tcPr>
            <w:tcW w:w="1662" w:type="dxa"/>
            <w:tcBorders/>
            <w:tcMar>
              <w:top w:w="15" w:type="dxa"/>
              <w:left w:w="15" w:type="dxa"/>
              <w:bottom w:w="15" w:type="dxa"/>
              <w:right w:w="15" w:type="dxa"/>
            </w:tcMar>
            <w:vAlign w:val="center"/>
          </w:tcPr>
          <w:p/>
        </w:tc>
        <w:tc>
          <w:tcPr>
            <w:tcW w:w="76" w:type="dxa"/>
            <w:tcBorders/>
            <w:tcMar>
              <w:top w:w="15" w:type="dxa"/>
              <w:left w:w="15" w:type="dxa"/>
              <w:bottom w:w="15" w:type="dxa"/>
              <w:right w:w="15" w:type="dxa"/>
            </w:tcMar>
            <w:vAlign w:val="center"/>
          </w:tcPr>
          <w:p/>
        </w:tc>
      </w:tr>
      <w:tr>
        <w:trPr>
          <w:trHeight w:val="24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Foreign Currency </w:t>
            </w:r>
            <w:r>
              <w:br/>
            </w:r>
            <w:r>
              <w:rPr>
                <w:rFonts w:ascii="Arial" w:hAnsi="Arial"/>
                <w:b/>
                <w:i w:val="false"/>
                <w:color w:val="000000"/>
                <w:sz w:val="14"/>
              </w:rPr>
              <w:t xml:space="preserve"> Translation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Hedging</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Defined Pension  </w:t>
            </w:r>
            <w:r>
              <w:br/>
            </w:r>
            <w:r>
              <w:rPr>
                <w:rFonts w:ascii="Arial" w:hAnsi="Arial"/>
                <w:b/>
                <w:i w:val="false"/>
                <w:color w:val="000000"/>
                <w:sz w:val="14"/>
              </w:rPr>
              <w:t xml:space="preserve"> and Other </w:t>
            </w:r>
            <w:r>
              <w:br/>
            </w:r>
            <w:r>
              <w:rPr>
                <w:rFonts w:ascii="Arial" w:hAnsi="Arial"/>
                <w:b/>
                <w:i w:val="false"/>
                <w:color w:val="000000"/>
                <w:sz w:val="14"/>
              </w:rPr>
              <w:t xml:space="preserve"> Post-Retirement </w:t>
            </w:r>
            <w:r>
              <w:br/>
            </w:r>
            <w:r>
              <w:rPr>
                <w:rFonts w:ascii="Arial" w:hAnsi="Arial"/>
                <w:b/>
                <w:i w:val="false"/>
                <w:color w:val="000000"/>
                <w:sz w:val="14"/>
              </w:rPr>
              <w:t xml:space="preserve"> Benefits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Accumulated Other </w:t>
            </w:r>
            <w:r>
              <w:br/>
            </w:r>
            <w:r>
              <w:rPr>
                <w:rFonts w:ascii="Arial" w:hAnsi="Arial"/>
                <w:b/>
                <w:i w:val="false"/>
                <w:color w:val="000000"/>
                <w:sz w:val="14"/>
              </w:rPr>
              <w:t xml:space="preserve"> Comprehensive  </w:t>
            </w:r>
            <w:r>
              <w:br/>
            </w:r>
            <w:r>
              <w:rPr>
                <w:rFonts w:ascii="Arial" w:hAnsi="Arial"/>
                <w:b/>
                <w:i w:val="false"/>
                <w:color w:val="000000"/>
                <w:sz w:val="14"/>
              </w:rPr>
              <w:t xml:space="preserve"> Loss Attributable to </w:t>
            </w:r>
            <w:r>
              <w:br/>
            </w:r>
            <w:r>
              <w:rPr>
                <w:rFonts w:ascii="Arial" w:hAnsi="Arial"/>
                <w:b/>
                <w:i w:val="false"/>
                <w:color w:val="000000"/>
                <w:sz w:val="14"/>
              </w:rPr>
              <w:t xml:space="preserve"> TechnipFMC plc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Accumulated Other </w:t>
            </w:r>
            <w:r>
              <w:br/>
            </w:r>
            <w:r>
              <w:rPr>
                <w:rFonts w:ascii="Arial" w:hAnsi="Arial"/>
                <w:b/>
                <w:i w:val="false"/>
                <w:color w:val="000000"/>
                <w:sz w:val="14"/>
              </w:rPr>
              <w:t xml:space="preserve"> Comprehensive </w:t>
            </w:r>
            <w:r>
              <w:br/>
            </w:r>
            <w:r>
              <w:rPr>
                <w:rFonts w:ascii="Arial" w:hAnsi="Arial"/>
                <w:b/>
                <w:i w:val="false"/>
                <w:color w:val="000000"/>
                <w:sz w:val="14"/>
              </w:rPr>
              <w:t xml:space="preserve"> Loss Attributable </w:t>
            </w:r>
            <w:r>
              <w:br/>
            </w:r>
            <w:r>
              <w:rPr>
                <w:rFonts w:ascii="Arial" w:hAnsi="Arial"/>
                <w:b/>
                <w:i w:val="false"/>
                <w:color w:val="000000"/>
                <w:sz w:val="14"/>
              </w:rPr>
              <w:t xml:space="preserve"> to Non-Controlling Interest </w:t>
            </w:r>
          </w:p>
        </w:tc>
      </w:tr>
      <w:tr>
        <w:trPr>
          <w:trHeight w:val="600" w:hRule="atLeast"/>
        </w:trPr>
        <w:tc>
          <w:tcPr>
            <w:tcW w:w="0" w:type="auto"/>
            <w:gridSpan w:val="3"/>
            <w:tcBorders/>
            <w:shd w:fill="cceeff"/>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Arial" w:hAnsi="Arial"/>
                <w:b/>
                <w:i w:val="false"/>
                <w:color w:val="000000"/>
                <w:sz w:val="16"/>
              </w:rPr>
              <w:t>March 31, 2025</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79" w:id="1145"/>
            <w:r>
              <w:rPr>
                <w:rFonts w:ascii="Arial" w:hAnsi="Arial"/>
                <w:b w:val="false"/>
                <w:i w:val="false"/>
                <w:color w:val="000000"/>
                <w:sz w:val="16"/>
              </w:rPr>
              <w:t>1,296.3</w:t>
            </w:r>
            <w:bookmarkEnd w:id="1145"/>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0" w:id="1146"/>
            <w:r>
              <w:rPr>
                <w:rFonts w:ascii="Arial" w:hAnsi="Arial"/>
                <w:b w:val="false"/>
                <w:i w:val="false"/>
                <w:color w:val="000000"/>
                <w:sz w:val="16"/>
              </w:rPr>
              <w:t>71.7</w:t>
            </w:r>
            <w:bookmarkEnd w:id="114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1" w:id="1147"/>
            <w:r>
              <w:rPr>
                <w:rFonts w:ascii="Arial" w:hAnsi="Arial"/>
                <w:b w:val="false"/>
                <w:i w:val="false"/>
                <w:color w:val="000000"/>
                <w:sz w:val="16"/>
              </w:rPr>
              <w:t>154.8</w:t>
            </w:r>
            <w:bookmarkEnd w:id="1147"/>
            <w:r>
              <w:rPr>
                <w:rFonts w:ascii="Arial" w:hAnsi="Arial"/>
                <w:b w:val="false"/>
                <w:i w:val="false"/>
                <w:color w:val="000000"/>
                <w:sz w:val="16"/>
              </w:rPr>
              <w:t xml:space="preserve"> )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2" w:id="1148"/>
            <w:r>
              <w:rPr>
                <w:rFonts w:ascii="Arial" w:hAnsi="Arial"/>
                <w:b w:val="false"/>
                <w:i w:val="false"/>
                <w:color w:val="000000"/>
                <w:sz w:val="16"/>
              </w:rPr>
              <w:t>1,522.8</w:t>
            </w:r>
            <w:bookmarkEnd w:id="1148"/>
            <w:r>
              <w:rPr>
                <w:rFonts w:ascii="Arial" w:hAnsi="Arial"/>
                <w:b w:val="false"/>
                <w:i w:val="false"/>
                <w:color w:val="000000"/>
                <w:sz w:val="16"/>
              </w:rPr>
              <w:t xml:space="preserve"> ) </w:t>
            </w:r>
          </w:p>
        </w:tc>
        <w:tc>
          <w:tcPr>
            <w:tcW w:w="5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6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3" w:id="1149"/>
            <w:r>
              <w:rPr>
                <w:rFonts w:ascii="Arial" w:hAnsi="Arial"/>
                <w:b w:val="false"/>
                <w:i w:val="false"/>
                <w:color w:val="000000"/>
                <w:sz w:val="16"/>
              </w:rPr>
              <w:t>6.1</w:t>
            </w:r>
            <w:bookmarkEnd w:id="1149"/>
            <w:r>
              <w:rPr>
                <w:rFonts w:ascii="Arial" w:hAnsi="Arial"/>
                <w:b w:val="false"/>
                <w:i w:val="false"/>
                <w:color w:val="000000"/>
                <w:sz w:val="16"/>
              </w:rPr>
              <w:t xml:space="preserve"> ) </w:t>
            </w:r>
          </w:p>
        </w:tc>
        <w:tc>
          <w:tcPr>
            <w:tcW w:w="76" w:type="dxa"/>
            <w:tcBorders>
              <w:top w:val="single" w:color="000000" w:sz="11"/>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before reclassifications, net of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4" w:id="1150"/>
            <w:r>
              <w:rPr>
                <w:rFonts w:ascii="Arial" w:hAnsi="Arial"/>
                <w:b w:val="false"/>
                <w:i w:val="false"/>
                <w:color w:val="000000"/>
                <w:sz w:val="16"/>
              </w:rPr>
              <w:t>121.2</w:t>
            </w:r>
            <w:bookmarkEnd w:id="115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5" w:id="1151"/>
            <w:r>
              <w:rPr>
                <w:rFonts w:ascii="Arial" w:hAnsi="Arial"/>
                <w:b w:val="false"/>
                <w:i w:val="false"/>
                <w:color w:val="000000"/>
                <w:sz w:val="16"/>
              </w:rPr>
              <w:t>50.7</w:t>
            </w:r>
            <w:bookmarkEnd w:id="115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86" w:id="1152"/>
            <w:r>
              <w:rPr>
                <w:rFonts w:ascii="Arial" w:hAnsi="Arial"/>
                <w:b w:val="false"/>
                <w:i w:val="false"/>
                <w:color w:val="000000"/>
                <w:sz w:val="16"/>
              </w:rPr>
              <w:t>3.4</w:t>
            </w:r>
            <w:bookmarkEnd w:id="1152"/>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7" w:id="1153"/>
            <w:r>
              <w:rPr>
                <w:rFonts w:ascii="Arial" w:hAnsi="Arial"/>
                <w:b w:val="false"/>
                <w:i w:val="false"/>
                <w:color w:val="000000"/>
                <w:sz w:val="16"/>
              </w:rPr>
              <w:t>168.5</w:t>
            </w:r>
            <w:bookmarkEnd w:id="1153"/>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8" w:id="1154"/>
            <w:r>
              <w:rPr>
                <w:rFonts w:ascii="Arial" w:hAnsi="Arial"/>
                <w:b w:val="false"/>
                <w:i w:val="false"/>
                <w:color w:val="000000"/>
                <w:sz w:val="16"/>
              </w:rPr>
              <w:t>0.2</w:t>
            </w:r>
            <w:bookmarkEnd w:id="1154"/>
            <w:r>
              <w:rPr>
                <w:rFonts w:ascii="Arial" w:hAnsi="Arial"/>
                <w:b w:val="false"/>
                <w:i w:val="false"/>
                <w:color w:val="000000"/>
                <w:sz w:val="16"/>
              </w:rPr>
              <w:t xml:space="preserve">   </w:t>
            </w:r>
          </w:p>
        </w:tc>
        <w:tc>
          <w:tcPr>
            <w:tcW w:w="76"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losses included in net income (loss), net of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89" w:id="1155"/>
            <w:r>
              <w:rPr>
                <w:rFonts w:ascii="Arial" w:hAnsi="Arial"/>
                <w:b w:val="false"/>
                <w:i w:val="false"/>
                <w:color w:val="000000"/>
                <w:sz w:val="16"/>
              </w:rPr>
              <w:t>—</w:t>
            </w:r>
            <w:bookmarkEnd w:id="115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0" w:id="1156"/>
            <w:r>
              <w:rPr>
                <w:rFonts w:ascii="Arial" w:hAnsi="Arial"/>
                <w:b w:val="false"/>
                <w:i w:val="false"/>
                <w:color w:val="000000"/>
                <w:sz w:val="16"/>
              </w:rPr>
              <w:t>4.8</w:t>
            </w:r>
            <w:bookmarkEnd w:id="115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1" w:id="1157"/>
            <w:r>
              <w:rPr>
                <w:rFonts w:ascii="Arial" w:hAnsi="Arial"/>
                <w:b w:val="false"/>
                <w:i w:val="false"/>
                <w:color w:val="000000"/>
                <w:sz w:val="16"/>
              </w:rPr>
              <w:t>2.4</w:t>
            </w:r>
            <w:bookmarkEnd w:id="1157"/>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2" w:id="1158"/>
            <w:r>
              <w:rPr>
                <w:rFonts w:ascii="Arial" w:hAnsi="Arial"/>
                <w:b w:val="false"/>
                <w:i w:val="false"/>
                <w:color w:val="000000"/>
                <w:sz w:val="16"/>
              </w:rPr>
              <w:t>7.2</w:t>
            </w:r>
            <w:bookmarkEnd w:id="1158"/>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3" w:id="1159"/>
            <w:r>
              <w:rPr>
                <w:rFonts w:ascii="Arial" w:hAnsi="Arial"/>
                <w:b w:val="false"/>
                <w:i w:val="false"/>
                <w:color w:val="000000"/>
                <w:sz w:val="16"/>
              </w:rPr>
              <w:t>—</w:t>
            </w:r>
            <w:bookmarkEnd w:id="1159"/>
            <w:r>
              <w:rPr>
                <w:rFonts w:ascii="Arial" w:hAnsi="Arial"/>
                <w:b w:val="false"/>
                <w:i w:val="false"/>
                <w:color w:val="000000"/>
                <w:sz w:val="16"/>
              </w:rPr>
              <w:t xml:space="preserve">   </w:t>
            </w:r>
          </w:p>
        </w:tc>
        <w:tc>
          <w:tcPr>
            <w:tcW w:w="76"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4" w:id="1160"/>
            <w:r>
              <w:rPr>
                <w:rFonts w:ascii="Arial" w:hAnsi="Arial"/>
                <w:b w:val="false"/>
                <w:i w:val="false"/>
                <w:color w:val="000000"/>
                <w:sz w:val="16"/>
              </w:rPr>
              <w:t>121.2</w:t>
            </w:r>
            <w:bookmarkEnd w:id="1160"/>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5" w:id="1161"/>
            <w:r>
              <w:rPr>
                <w:rFonts w:ascii="Arial" w:hAnsi="Arial"/>
                <w:b w:val="false"/>
                <w:i w:val="false"/>
                <w:color w:val="000000"/>
                <w:sz w:val="16"/>
              </w:rPr>
              <w:t>55.5</w:t>
            </w:r>
            <w:bookmarkEnd w:id="1161"/>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96" w:id="1162"/>
            <w:r>
              <w:rPr>
                <w:rFonts w:ascii="Arial" w:hAnsi="Arial"/>
                <w:b w:val="false"/>
                <w:i w:val="false"/>
                <w:color w:val="000000"/>
                <w:sz w:val="16"/>
              </w:rPr>
              <w:t>1.0</w:t>
            </w:r>
            <w:bookmarkEnd w:id="1162"/>
            <w:r>
              <w:rPr>
                <w:rFonts w:ascii="Arial" w:hAnsi="Arial"/>
                <w:b w:val="false"/>
                <w:i w:val="false"/>
                <w:color w:val="000000"/>
                <w:sz w:val="16"/>
              </w:rPr>
              <w:t xml:space="preserve"> )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7" w:id="1163"/>
            <w:r>
              <w:rPr>
                <w:rFonts w:ascii="Arial" w:hAnsi="Arial"/>
                <w:b w:val="false"/>
                <w:i w:val="false"/>
                <w:color w:val="000000"/>
                <w:sz w:val="16"/>
              </w:rPr>
              <w:t>175.7</w:t>
            </w:r>
            <w:bookmarkEnd w:id="1163"/>
            <w:r>
              <w:rPr>
                <w:rFonts w:ascii="Arial" w:hAnsi="Arial"/>
                <w:b w:val="false"/>
                <w:i w:val="false"/>
                <w:color w:val="000000"/>
                <w:sz w:val="16"/>
              </w:rPr>
              <w:t xml:space="preserve">   </w:t>
            </w:r>
          </w:p>
        </w:tc>
        <w:tc>
          <w:tcPr>
            <w:tcW w:w="52"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998" w:id="1164"/>
            <w:r>
              <w:rPr>
                <w:rFonts w:ascii="Arial" w:hAnsi="Arial"/>
                <w:b w:val="false"/>
                <w:i w:val="false"/>
                <w:color w:val="000000"/>
                <w:sz w:val="16"/>
              </w:rPr>
              <w:t>0.2</w:t>
            </w:r>
            <w:bookmarkEnd w:id="1164"/>
            <w:r>
              <w:rPr>
                <w:rFonts w:ascii="Arial" w:hAnsi="Arial"/>
                <w:b w:val="false"/>
                <w:i w:val="false"/>
                <w:color w:val="000000"/>
                <w:sz w:val="16"/>
              </w:rPr>
              <w:t xml:space="preserve">   </w:t>
            </w:r>
          </w:p>
        </w:tc>
        <w:tc>
          <w:tcPr>
            <w:tcW w:w="76" w:type="dxa"/>
            <w:tcBorders>
              <w:top w:val="single" w:color="000000" w:sz="11"/>
            </w:tcBorders>
            <w:shd w:fill="ffffff"/>
            <w:tcMar>
              <w:top w:w="30" w:type="dxa"/>
              <w:left w:w="15" w:type="dxa"/>
              <w:bottom w:w="30" w:type="dxa"/>
              <w:right w:w="15" w:type="dxa"/>
            </w:tcMar>
            <w:vAlign w:val="bottom"/>
          </w:tcPr>
          <w:p/>
        </w:tc>
      </w:tr>
      <w:tr>
        <w:trPr>
          <w:trHeight w:val="630" w:hRule="atLeast"/>
        </w:trPr>
        <w:tc>
          <w:tcPr>
            <w:tcW w:w="0" w:type="auto"/>
            <w:gridSpan w:val="3"/>
            <w:tcBorders/>
            <w:shd w:fill="cceeff"/>
            <w:tcMar>
              <w:top w:w="30" w:type="dxa"/>
              <w:left w:w="15" w:type="dxa"/>
              <w:bottom w:w="30" w:type="dxa"/>
              <w:right w:w="15" w:type="dxa"/>
            </w:tcMar>
            <w:vAlign w:val="top"/>
          </w:tcPr>
          <w:p>
            <w:pPr>
              <w:spacing w:before="0" w:after="0"/>
              <w:ind w:left="0"/>
              <w:jc w:val="both"/>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999" w:id="1165"/>
            <w:r>
              <w:rPr>
                <w:rFonts w:ascii="Arial" w:hAnsi="Arial"/>
                <w:b w:val="false"/>
                <w:i w:val="false"/>
                <w:color w:val="000000"/>
                <w:sz w:val="16"/>
              </w:rPr>
              <w:t>1,175.1</w:t>
            </w:r>
            <w:bookmarkEnd w:id="1165"/>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0" w:id="1166"/>
            <w:r>
              <w:rPr>
                <w:rFonts w:ascii="Arial" w:hAnsi="Arial"/>
                <w:b w:val="false"/>
                <w:i w:val="false"/>
                <w:color w:val="000000"/>
                <w:sz w:val="16"/>
              </w:rPr>
              <w:t>16.2</w:t>
            </w:r>
            <w:bookmarkEnd w:id="116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1" w:id="1167"/>
            <w:r>
              <w:rPr>
                <w:rFonts w:ascii="Arial" w:hAnsi="Arial"/>
                <w:b w:val="false"/>
                <w:i w:val="false"/>
                <w:color w:val="000000"/>
                <w:sz w:val="16"/>
              </w:rPr>
              <w:t>155.8</w:t>
            </w:r>
            <w:bookmarkEnd w:id="1167"/>
            <w:r>
              <w:rPr>
                <w:rFonts w:ascii="Arial" w:hAnsi="Arial"/>
                <w:b w:val="false"/>
                <w:i w:val="false"/>
                <w:color w:val="000000"/>
                <w:sz w:val="16"/>
              </w:rPr>
              <w:t xml:space="preserve"> )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2" w:id="1168"/>
            <w:r>
              <w:rPr>
                <w:rFonts w:ascii="Arial" w:hAnsi="Arial"/>
                <w:b w:val="false"/>
                <w:i w:val="false"/>
                <w:color w:val="000000"/>
                <w:sz w:val="16"/>
              </w:rPr>
              <w:t>1,347.1</w:t>
            </w:r>
            <w:bookmarkEnd w:id="1168"/>
            <w:r>
              <w:rPr>
                <w:rFonts w:ascii="Arial" w:hAnsi="Arial"/>
                <w:b w:val="false"/>
                <w:i w:val="false"/>
                <w:color w:val="000000"/>
                <w:sz w:val="16"/>
              </w:rPr>
              <w:t xml:space="preserve"> ) </w:t>
            </w:r>
          </w:p>
        </w:tc>
        <w:tc>
          <w:tcPr>
            <w:tcW w:w="5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6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3" w:id="1169"/>
            <w:r>
              <w:rPr>
                <w:rFonts w:ascii="Arial" w:hAnsi="Arial"/>
                <w:b w:val="false"/>
                <w:i w:val="false"/>
                <w:color w:val="000000"/>
                <w:sz w:val="16"/>
              </w:rPr>
              <w:t>5.9</w:t>
            </w:r>
            <w:bookmarkEnd w:id="1169"/>
            <w:r>
              <w:rPr>
                <w:rFonts w:ascii="Arial" w:hAnsi="Arial"/>
                <w:b w:val="false"/>
                <w:i w:val="false"/>
                <w:color w:val="000000"/>
                <w:sz w:val="16"/>
              </w:rPr>
              <w:t xml:space="preserve"> ) </w:t>
            </w:r>
          </w:p>
        </w:tc>
        <w:tc>
          <w:tcPr>
            <w:tcW w:w="76" w:type="dxa"/>
            <w:tcBorders>
              <w:top w:val="single" w:color="000000" w:sz="11"/>
            </w:tcBorders>
            <w:shd w:fill="cceeff"/>
            <w:tcMar>
              <w:top w:w="30" w:type="dxa"/>
              <w:left w:w="15" w:type="dxa"/>
              <w:bottom w:w="30" w:type="dxa"/>
              <w:right w:w="15" w:type="dxa"/>
            </w:tcMar>
            <w:vAlign w:val="bottom"/>
          </w:tcPr>
          <w:p/>
        </w:tc>
      </w:tr>
      <w:tr>
        <w:trPr>
          <w:trHeight w:val="21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March 31, 2024</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4" w:id="1170"/>
            <w:r>
              <w:rPr>
                <w:rFonts w:ascii="Arial" w:hAnsi="Arial"/>
                <w:b w:val="false"/>
                <w:i w:val="false"/>
                <w:color w:val="000000"/>
                <w:sz w:val="16"/>
              </w:rPr>
              <w:t>1,172.8</w:t>
            </w:r>
            <w:bookmarkEnd w:id="117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5" w:id="1171"/>
            <w:r>
              <w:rPr>
                <w:rFonts w:ascii="Arial" w:hAnsi="Arial"/>
                <w:b w:val="false"/>
                <w:i w:val="false"/>
                <w:color w:val="000000"/>
                <w:sz w:val="16"/>
              </w:rPr>
              <w:t>16.6</w:t>
            </w:r>
            <w:bookmarkEnd w:id="117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6" w:id="1172"/>
            <w:r>
              <w:rPr>
                <w:rFonts w:ascii="Arial" w:hAnsi="Arial"/>
                <w:b w:val="false"/>
                <w:i w:val="false"/>
                <w:color w:val="000000"/>
                <w:sz w:val="16"/>
              </w:rPr>
              <w:t>137.4</w:t>
            </w:r>
            <w:bookmarkEnd w:id="1172"/>
            <w:r>
              <w:rPr>
                <w:rFonts w:ascii="Arial" w:hAnsi="Arial"/>
                <w:b w:val="false"/>
                <w:i w:val="false"/>
                <w:color w:val="000000"/>
                <w:sz w:val="16"/>
              </w:rPr>
              <w:t xml:space="preserve"> )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7" w:id="1173"/>
            <w:r>
              <w:rPr>
                <w:rFonts w:ascii="Arial" w:hAnsi="Arial"/>
                <w:b w:val="false"/>
                <w:i w:val="false"/>
                <w:color w:val="000000"/>
                <w:sz w:val="16"/>
              </w:rPr>
              <w:t>1,326.8</w:t>
            </w:r>
            <w:bookmarkEnd w:id="1173"/>
            <w:r>
              <w:rPr>
                <w:rFonts w:ascii="Arial" w:hAnsi="Arial"/>
                <w:b w:val="false"/>
                <w:i w:val="false"/>
                <w:color w:val="000000"/>
                <w:sz w:val="16"/>
              </w:rPr>
              <w:t xml:space="preserve"> )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62"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8" w:id="1174"/>
            <w:r>
              <w:rPr>
                <w:rFonts w:ascii="Arial" w:hAnsi="Arial"/>
                <w:b w:val="false"/>
                <w:i w:val="false"/>
                <w:color w:val="000000"/>
                <w:sz w:val="16"/>
              </w:rPr>
              <w:t>5.9</w:t>
            </w:r>
            <w:bookmarkEnd w:id="1174"/>
            <w:r>
              <w:rPr>
                <w:rFonts w:ascii="Arial" w:hAnsi="Arial"/>
                <w:b w:val="false"/>
                <w:i w:val="false"/>
                <w:color w:val="000000"/>
                <w:sz w:val="16"/>
              </w:rPr>
              <w:t xml:space="preserve"> ) </w:t>
            </w:r>
          </w:p>
        </w:tc>
        <w:tc>
          <w:tcPr>
            <w:tcW w:w="76"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loss before reclassifications, net of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09" w:id="1175"/>
            <w:r>
              <w:rPr>
                <w:rFonts w:ascii="Arial" w:hAnsi="Arial"/>
                <w:b w:val="false"/>
                <w:i w:val="false"/>
                <w:color w:val="000000"/>
                <w:sz w:val="16"/>
              </w:rPr>
              <w:t>89.3</w:t>
            </w:r>
            <w:bookmarkEnd w:id="1175"/>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0" w:id="1176"/>
            <w:r>
              <w:rPr>
                <w:rFonts w:ascii="Arial" w:hAnsi="Arial"/>
                <w:b w:val="false"/>
                <w:i w:val="false"/>
                <w:color w:val="000000"/>
                <w:sz w:val="16"/>
              </w:rPr>
              <w:t>20.7</w:t>
            </w:r>
            <w:bookmarkEnd w:id="117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1" w:id="1177"/>
            <w:r>
              <w:rPr>
                <w:rFonts w:ascii="Arial" w:hAnsi="Arial"/>
                <w:b w:val="false"/>
                <w:i w:val="false"/>
                <w:color w:val="000000"/>
                <w:sz w:val="16"/>
              </w:rPr>
              <w:t>0.8</w:t>
            </w:r>
            <w:bookmarkEnd w:id="1177"/>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2" w:id="1178"/>
            <w:r>
              <w:rPr>
                <w:rFonts w:ascii="Arial" w:hAnsi="Arial"/>
                <w:b w:val="false"/>
                <w:i w:val="false"/>
                <w:color w:val="000000"/>
                <w:sz w:val="16"/>
              </w:rPr>
              <w:t>110.8</w:t>
            </w:r>
            <w:bookmarkEnd w:id="1178"/>
            <w:r>
              <w:rPr>
                <w:rFonts w:ascii="Arial" w:hAnsi="Arial"/>
                <w:b w:val="false"/>
                <w:i w:val="false"/>
                <w:color w:val="000000"/>
                <w:sz w:val="16"/>
              </w:rPr>
              <w:t xml:space="preserve"> ) </w:t>
            </w:r>
          </w:p>
        </w:tc>
        <w:tc>
          <w:tcPr>
            <w:tcW w:w="5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3" w:id="1179"/>
            <w:r>
              <w:rPr>
                <w:rFonts w:ascii="Arial" w:hAnsi="Arial"/>
                <w:b w:val="false"/>
                <w:i w:val="false"/>
                <w:color w:val="000000"/>
                <w:sz w:val="16"/>
              </w:rPr>
              <w:t>0.3</w:t>
            </w:r>
            <w:bookmarkEnd w:id="1179"/>
            <w:r>
              <w:rPr>
                <w:rFonts w:ascii="Arial" w:hAnsi="Arial"/>
                <w:b w:val="false"/>
                <w:i w:val="false"/>
                <w:color w:val="000000"/>
                <w:sz w:val="16"/>
              </w:rPr>
              <w:t xml:space="preserve"> ) </w:t>
            </w:r>
          </w:p>
        </w:tc>
        <w:tc>
          <w:tcPr>
            <w:tcW w:w="76"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(gains) losses included in net income, net of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14" w:id="1180"/>
            <w:r>
              <w:rPr>
                <w:rFonts w:ascii="Arial" w:hAnsi="Arial"/>
                <w:b w:val="false"/>
                <w:i w:val="false"/>
                <w:color w:val="000000"/>
                <w:sz w:val="16"/>
              </w:rPr>
              <w:t>—</w:t>
            </w:r>
            <w:bookmarkEnd w:id="118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5" w:id="1181"/>
            <w:r>
              <w:rPr>
                <w:rFonts w:ascii="Arial" w:hAnsi="Arial"/>
                <w:b w:val="false"/>
                <w:i w:val="false"/>
                <w:color w:val="000000"/>
                <w:sz w:val="16"/>
              </w:rPr>
              <w:t>3.7</w:t>
            </w:r>
            <w:bookmarkEnd w:id="118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16" w:id="1182"/>
            <w:r>
              <w:rPr>
                <w:rFonts w:ascii="Arial" w:hAnsi="Arial"/>
                <w:b w:val="false"/>
                <w:i w:val="false"/>
                <w:color w:val="000000"/>
                <w:sz w:val="16"/>
              </w:rPr>
              <w:t>3.0</w:t>
            </w:r>
            <w:bookmarkEnd w:id="1182"/>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7" w:id="1183"/>
            <w:r>
              <w:rPr>
                <w:rFonts w:ascii="Arial" w:hAnsi="Arial"/>
                <w:b w:val="false"/>
                <w:i w:val="false"/>
                <w:color w:val="000000"/>
                <w:sz w:val="16"/>
              </w:rPr>
              <w:t>0.7</w:t>
            </w:r>
            <w:bookmarkEnd w:id="1183"/>
            <w:r>
              <w:rPr>
                <w:rFonts w:ascii="Arial" w:hAnsi="Arial"/>
                <w:b w:val="false"/>
                <w:i w:val="false"/>
                <w:color w:val="000000"/>
                <w:sz w:val="16"/>
              </w:rPr>
              <w:t xml:space="preserve"> )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18" w:id="1184"/>
            <w:r>
              <w:rPr>
                <w:rFonts w:ascii="Arial" w:hAnsi="Arial"/>
                <w:b w:val="false"/>
                <w:i w:val="false"/>
                <w:color w:val="000000"/>
                <w:sz w:val="16"/>
              </w:rPr>
              <w:t>—</w:t>
            </w:r>
            <w:bookmarkEnd w:id="1184"/>
            <w:r>
              <w:rPr>
                <w:rFonts w:ascii="Arial" w:hAnsi="Arial"/>
                <w:b w:val="false"/>
                <w:i w:val="false"/>
                <w:color w:val="000000"/>
                <w:sz w:val="16"/>
              </w:rPr>
              <w:t xml:space="preserve">   </w:t>
            </w:r>
          </w:p>
        </w:tc>
        <w:tc>
          <w:tcPr>
            <w:tcW w:w="76"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19" w:id="1185"/>
            <w:r>
              <w:rPr>
                <w:rFonts w:ascii="Arial" w:hAnsi="Arial"/>
                <w:b w:val="false"/>
                <w:i w:val="false"/>
                <w:color w:val="000000"/>
                <w:sz w:val="16"/>
              </w:rPr>
              <w:t>89.3</w:t>
            </w:r>
            <w:bookmarkEnd w:id="1185"/>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0" w:id="1186"/>
            <w:r>
              <w:rPr>
                <w:rFonts w:ascii="Arial" w:hAnsi="Arial"/>
                <w:b w:val="false"/>
                <w:i w:val="false"/>
                <w:color w:val="000000"/>
                <w:sz w:val="16"/>
              </w:rPr>
              <w:t>24.4</w:t>
            </w:r>
            <w:bookmarkEnd w:id="1186"/>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21" w:id="1187"/>
            <w:r>
              <w:rPr>
                <w:rFonts w:ascii="Arial" w:hAnsi="Arial"/>
                <w:b w:val="false"/>
                <w:i w:val="false"/>
                <w:color w:val="000000"/>
                <w:sz w:val="16"/>
              </w:rPr>
              <w:t>2.2</w:t>
            </w:r>
            <w:bookmarkEnd w:id="1187"/>
            <w:r>
              <w:rPr>
                <w:rFonts w:ascii="Arial" w:hAnsi="Arial"/>
                <w:b w:val="false"/>
                <w:i w:val="false"/>
                <w:color w:val="000000"/>
                <w:sz w:val="16"/>
              </w:rPr>
              <w:t xml:space="preserve">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2" w:id="1188"/>
            <w:r>
              <w:rPr>
                <w:rFonts w:ascii="Arial" w:hAnsi="Arial"/>
                <w:b w:val="false"/>
                <w:i w:val="false"/>
                <w:color w:val="000000"/>
                <w:sz w:val="16"/>
              </w:rPr>
              <w:t>111.5</w:t>
            </w:r>
            <w:bookmarkEnd w:id="1188"/>
            <w:r>
              <w:rPr>
                <w:rFonts w:ascii="Arial" w:hAnsi="Arial"/>
                <w:b w:val="false"/>
                <w:i w:val="false"/>
                <w:color w:val="000000"/>
                <w:sz w:val="16"/>
              </w:rPr>
              <w:t xml:space="preserve"> ) </w:t>
            </w:r>
          </w:p>
        </w:tc>
        <w:tc>
          <w:tcPr>
            <w:tcW w:w="52"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3" w:id="1189"/>
            <w:r>
              <w:rPr>
                <w:rFonts w:ascii="Arial" w:hAnsi="Arial"/>
                <w:b w:val="false"/>
                <w:i w:val="false"/>
                <w:color w:val="000000"/>
                <w:sz w:val="16"/>
              </w:rPr>
              <w:t>0.3</w:t>
            </w:r>
            <w:bookmarkEnd w:id="1189"/>
            <w:r>
              <w:rPr>
                <w:rFonts w:ascii="Arial" w:hAnsi="Arial"/>
                <w:b w:val="false"/>
                <w:i w:val="false"/>
                <w:color w:val="000000"/>
                <w:sz w:val="16"/>
              </w:rPr>
              <w:t xml:space="preserve"> ) </w:t>
            </w:r>
          </w:p>
        </w:tc>
        <w:tc>
          <w:tcPr>
            <w:tcW w:w="76" w:type="dxa"/>
            <w:tcBorders>
              <w:top w:val="single" w:color="000000" w:sz="11"/>
            </w:tcBorders>
            <w:shd w:fill="ffffff"/>
            <w:tcMar>
              <w:top w:w="30" w:type="dxa"/>
              <w:left w:w="15" w:type="dxa"/>
              <w:bottom w:w="30" w:type="dxa"/>
              <w:right w:w="15" w:type="dxa"/>
            </w:tcMar>
            <w:vAlign w:val="bottom"/>
          </w:tcPr>
          <w:p/>
        </w:tc>
      </w:tr>
      <w:tr>
        <w:trPr>
          <w:trHeight w:val="6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4" w:id="1190"/>
            <w:r>
              <w:rPr>
                <w:rFonts w:ascii="Arial" w:hAnsi="Arial"/>
                <w:b w:val="false"/>
                <w:i w:val="false"/>
                <w:color w:val="000000"/>
                <w:sz w:val="16"/>
              </w:rPr>
              <w:t>1,262.1</w:t>
            </w:r>
            <w:bookmarkEnd w:id="1190"/>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5" w:id="1191"/>
            <w:r>
              <w:rPr>
                <w:rFonts w:ascii="Arial" w:hAnsi="Arial"/>
                <w:b w:val="false"/>
                <w:i w:val="false"/>
                <w:color w:val="000000"/>
                <w:sz w:val="16"/>
              </w:rPr>
              <w:t>41.0</w:t>
            </w:r>
            <w:bookmarkEnd w:id="1191"/>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6" w:id="1192"/>
            <w:r>
              <w:rPr>
                <w:rFonts w:ascii="Arial" w:hAnsi="Arial"/>
                <w:b w:val="false"/>
                <w:i w:val="false"/>
                <w:color w:val="000000"/>
                <w:sz w:val="16"/>
              </w:rPr>
              <w:t>135.2</w:t>
            </w:r>
            <w:bookmarkEnd w:id="1192"/>
            <w:r>
              <w:rPr>
                <w:rFonts w:ascii="Arial" w:hAnsi="Arial"/>
                <w:b w:val="false"/>
                <w:i w:val="false"/>
                <w:color w:val="000000"/>
                <w:sz w:val="16"/>
              </w:rPr>
              <w:t xml:space="preserve"> ) </w:t>
            </w:r>
          </w:p>
        </w:tc>
        <w:tc>
          <w:tcPr>
            <w:tcW w:w="63"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7" w:id="1193"/>
            <w:r>
              <w:rPr>
                <w:rFonts w:ascii="Arial" w:hAnsi="Arial"/>
                <w:b w:val="false"/>
                <w:i w:val="false"/>
                <w:color w:val="000000"/>
                <w:sz w:val="16"/>
              </w:rPr>
              <w:t>1,438.3</w:t>
            </w:r>
            <w:bookmarkEnd w:id="1193"/>
            <w:r>
              <w:rPr>
                <w:rFonts w:ascii="Arial" w:hAnsi="Arial"/>
                <w:b w:val="false"/>
                <w:i w:val="false"/>
                <w:color w:val="000000"/>
                <w:sz w:val="16"/>
              </w:rPr>
              <w:t xml:space="preserve"> ) </w:t>
            </w:r>
          </w:p>
        </w:tc>
        <w:tc>
          <w:tcPr>
            <w:tcW w:w="52"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6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8" w:id="1194"/>
            <w:r>
              <w:rPr>
                <w:rFonts w:ascii="Arial" w:hAnsi="Arial"/>
                <w:b w:val="false"/>
                <w:i w:val="false"/>
                <w:color w:val="000000"/>
                <w:sz w:val="16"/>
              </w:rPr>
              <w:t>6.2</w:t>
            </w:r>
            <w:bookmarkEnd w:id="1194"/>
            <w:r>
              <w:rPr>
                <w:rFonts w:ascii="Arial" w:hAnsi="Arial"/>
                <w:b w:val="false"/>
                <w:i w:val="false"/>
                <w:color w:val="000000"/>
                <w:sz w:val="16"/>
              </w:rPr>
              <w:t xml:space="preserve"> ) </w:t>
            </w:r>
          </w:p>
        </w:tc>
        <w:tc>
          <w:tcPr>
            <w:tcW w:w="76"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978" w:id="1195"/>
      <w:bookmarkEnd w:id="1195"/>
      <w:bookmarkStart w:name="f-962-1" w:id="1196"/>
      <w:bookmarkEnd w:id="1196"/>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962-2" w:id="1197"/>
      <w:bookmarkEnd w:id="1197"/>
      <w:bookmarkStart w:name="f-978-1" w:id="1198"/>
      <w:bookmarkEnd w:id="1198"/>
    </w:p>
    <w:p>
      <w:pPr>
        <w:spacing w:before="160" w:after="20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56"/>
        <w:gridCol w:w="4122"/>
        <w:gridCol w:w="560"/>
        <w:gridCol w:w="146"/>
        <w:gridCol w:w="950"/>
        <w:gridCol w:w="40"/>
        <w:gridCol w:w="40"/>
        <w:gridCol w:w="40"/>
        <w:gridCol w:w="40"/>
        <w:gridCol w:w="146"/>
        <w:gridCol w:w="893"/>
        <w:gridCol w:w="40"/>
        <w:gridCol w:w="40"/>
        <w:gridCol w:w="40"/>
        <w:gridCol w:w="40"/>
        <w:gridCol w:w="227"/>
        <w:gridCol w:w="1582"/>
        <w:gridCol w:w="63"/>
        <w:gridCol w:w="40"/>
        <w:gridCol w:w="40"/>
        <w:gridCol w:w="40"/>
        <w:gridCol w:w="186"/>
        <w:gridCol w:w="1691"/>
        <w:gridCol w:w="52"/>
        <w:gridCol w:w="40"/>
        <w:gridCol w:w="40"/>
        <w:gridCol w:w="40"/>
        <w:gridCol w:w="273"/>
        <w:gridCol w:w="1551"/>
        <w:gridCol w:w="76"/>
      </w:tblGrid>
      <w:tr>
        <w:trPr>
          <w:trHeight w:val="30" w:hRule="atLeast"/>
        </w:trPr>
        <w:tc>
          <w:tcPr>
            <w:tcW w:w="556" w:type="dxa"/>
            <w:tcBorders/>
            <w:tcMar>
              <w:top w:w="15" w:type="dxa"/>
              <w:left w:w="15" w:type="dxa"/>
              <w:bottom w:w="15" w:type="dxa"/>
              <w:right w:w="15" w:type="dxa"/>
            </w:tcMar>
            <w:vAlign w:val="center"/>
          </w:tcPr>
          <w:p/>
        </w:tc>
        <w:tc>
          <w:tcPr>
            <w:tcW w:w="4122" w:type="dxa"/>
            <w:tcBorders/>
            <w:tcMar>
              <w:top w:w="15" w:type="dxa"/>
              <w:left w:w="15" w:type="dxa"/>
              <w:bottom w:w="15" w:type="dxa"/>
              <w:right w:w="15" w:type="dxa"/>
            </w:tcMar>
            <w:vAlign w:val="center"/>
          </w:tcPr>
          <w:p/>
        </w:tc>
        <w:tc>
          <w:tcPr>
            <w:tcW w:w="56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9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89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27" w:type="dxa"/>
            <w:tcBorders/>
            <w:tcMar>
              <w:top w:w="15" w:type="dxa"/>
              <w:left w:w="15" w:type="dxa"/>
              <w:bottom w:w="15" w:type="dxa"/>
              <w:right w:w="15" w:type="dxa"/>
            </w:tcMar>
            <w:vAlign w:val="center"/>
          </w:tcPr>
          <w:p/>
        </w:tc>
        <w:tc>
          <w:tcPr>
            <w:tcW w:w="1582" w:type="dxa"/>
            <w:tcBorders/>
            <w:tcMar>
              <w:top w:w="15" w:type="dxa"/>
              <w:left w:w="15" w:type="dxa"/>
              <w:bottom w:w="15" w:type="dxa"/>
              <w:right w:w="15" w:type="dxa"/>
            </w:tcMar>
            <w:vAlign w:val="center"/>
          </w:tcPr>
          <w:p/>
        </w:tc>
        <w:tc>
          <w:tcPr>
            <w:tcW w:w="6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6" w:type="dxa"/>
            <w:tcBorders/>
            <w:tcMar>
              <w:top w:w="15" w:type="dxa"/>
              <w:left w:w="15" w:type="dxa"/>
              <w:bottom w:w="15" w:type="dxa"/>
              <w:right w:w="15" w:type="dxa"/>
            </w:tcMar>
            <w:vAlign w:val="center"/>
          </w:tcPr>
          <w:p/>
        </w:tc>
        <w:tc>
          <w:tcPr>
            <w:tcW w:w="1691" w:type="dxa"/>
            <w:tcBorders/>
            <w:tcMar>
              <w:top w:w="15" w:type="dxa"/>
              <w:left w:w="15" w:type="dxa"/>
              <w:bottom w:w="15" w:type="dxa"/>
              <w:right w:w="15" w:type="dxa"/>
            </w:tcMar>
            <w:vAlign w:val="center"/>
          </w:tcPr>
          <w:p/>
        </w:tc>
        <w:tc>
          <w:tcPr>
            <w:tcW w:w="5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73" w:type="dxa"/>
            <w:tcBorders/>
            <w:tcMar>
              <w:top w:w="15" w:type="dxa"/>
              <w:left w:w="15" w:type="dxa"/>
              <w:bottom w:w="15" w:type="dxa"/>
              <w:right w:w="15" w:type="dxa"/>
            </w:tcMar>
            <w:vAlign w:val="center"/>
          </w:tcPr>
          <w:p/>
        </w:tc>
        <w:tc>
          <w:tcPr>
            <w:tcW w:w="1551" w:type="dxa"/>
            <w:tcBorders/>
            <w:tcMar>
              <w:top w:w="15" w:type="dxa"/>
              <w:left w:w="15" w:type="dxa"/>
              <w:bottom w:w="15" w:type="dxa"/>
              <w:right w:w="15" w:type="dxa"/>
            </w:tcMar>
            <w:vAlign w:val="center"/>
          </w:tcPr>
          <w:p/>
        </w:tc>
        <w:tc>
          <w:tcPr>
            <w:tcW w:w="76" w:type="dxa"/>
            <w:tcBorders/>
            <w:tcMar>
              <w:top w:w="15" w:type="dxa"/>
              <w:left w:w="15" w:type="dxa"/>
              <w:bottom w:w="15" w:type="dxa"/>
              <w:right w:w="15" w:type="dxa"/>
            </w:tcMar>
            <w:vAlign w:val="center"/>
          </w:tcPr>
          <w:p/>
        </w:tc>
      </w:tr>
      <w:tr>
        <w:trPr>
          <w:trHeight w:val="141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Foreign Currency </w:t>
            </w:r>
            <w:r>
              <w:br/>
            </w:r>
            <w:r>
              <w:rPr>
                <w:rFonts w:ascii="Arial" w:hAnsi="Arial"/>
                <w:b/>
                <w:i w:val="false"/>
                <w:color w:val="000000"/>
                <w:sz w:val="14"/>
              </w:rPr>
              <w:t xml:space="preserve"> Translation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Hedging</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Defined Pension  </w:t>
            </w:r>
            <w:r>
              <w:br/>
            </w:r>
            <w:r>
              <w:rPr>
                <w:rFonts w:ascii="Arial" w:hAnsi="Arial"/>
                <w:b/>
                <w:i w:val="false"/>
                <w:color w:val="000000"/>
                <w:sz w:val="14"/>
              </w:rPr>
              <w:t xml:space="preserve"> and Other </w:t>
            </w:r>
            <w:r>
              <w:br/>
            </w:r>
            <w:r>
              <w:rPr>
                <w:rFonts w:ascii="Arial" w:hAnsi="Arial"/>
                <w:b/>
                <w:i w:val="false"/>
                <w:color w:val="000000"/>
                <w:sz w:val="14"/>
              </w:rPr>
              <w:t xml:space="preserve"> Post-Retirement </w:t>
            </w:r>
            <w:r>
              <w:br/>
            </w:r>
            <w:r>
              <w:rPr>
                <w:rFonts w:ascii="Arial" w:hAnsi="Arial"/>
                <w:b/>
                <w:i w:val="false"/>
                <w:color w:val="000000"/>
                <w:sz w:val="14"/>
              </w:rPr>
              <w:t xml:space="preserve"> Benefits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Accumulated Other </w:t>
            </w:r>
            <w:r>
              <w:br/>
            </w:r>
            <w:r>
              <w:rPr>
                <w:rFonts w:ascii="Arial" w:hAnsi="Arial"/>
                <w:b/>
                <w:i w:val="false"/>
                <w:color w:val="000000"/>
                <w:sz w:val="14"/>
              </w:rPr>
              <w:t xml:space="preserve"> Comprehensive  </w:t>
            </w:r>
            <w:r>
              <w:br/>
            </w:r>
            <w:r>
              <w:rPr>
                <w:rFonts w:ascii="Arial" w:hAnsi="Arial"/>
                <w:b/>
                <w:i w:val="false"/>
                <w:color w:val="000000"/>
                <w:sz w:val="14"/>
              </w:rPr>
              <w:t xml:space="preserve"> Loss Attributable to </w:t>
            </w:r>
            <w:r>
              <w:br/>
            </w:r>
            <w:r>
              <w:rPr>
                <w:rFonts w:ascii="Arial" w:hAnsi="Arial"/>
                <w:b/>
                <w:i w:val="false"/>
                <w:color w:val="000000"/>
                <w:sz w:val="14"/>
              </w:rPr>
              <w:t xml:space="preserve"> TechnipFMC plc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 xml:space="preserve">Accumulated Other </w:t>
            </w:r>
            <w:r>
              <w:br/>
            </w:r>
            <w:r>
              <w:rPr>
                <w:rFonts w:ascii="Arial" w:hAnsi="Arial"/>
                <w:b/>
                <w:i w:val="false"/>
                <w:color w:val="000000"/>
                <w:sz w:val="14"/>
              </w:rPr>
              <w:t xml:space="preserve"> Comprehensive </w:t>
            </w:r>
            <w:r>
              <w:br/>
            </w:r>
            <w:r>
              <w:rPr>
                <w:rFonts w:ascii="Arial" w:hAnsi="Arial"/>
                <w:b/>
                <w:i w:val="false"/>
                <w:color w:val="000000"/>
                <w:sz w:val="14"/>
              </w:rPr>
              <w:t xml:space="preserve"> Loss Attributable </w:t>
            </w:r>
            <w:r>
              <w:br/>
            </w:r>
            <w:r>
              <w:rPr>
                <w:rFonts w:ascii="Arial" w:hAnsi="Arial"/>
                <w:b/>
                <w:i w:val="false"/>
                <w:color w:val="000000"/>
                <w:sz w:val="14"/>
              </w:rPr>
              <w:t xml:space="preserve"> to Non-Controlling Interest </w:t>
            </w:r>
          </w:p>
        </w:tc>
      </w:tr>
      <w:tr>
        <w:trPr>
          <w:trHeight w:val="600" w:hRule="atLeast"/>
        </w:trPr>
        <w:tc>
          <w:tcPr>
            <w:tcW w:w="0" w:type="auto"/>
            <w:gridSpan w:val="3"/>
            <w:tcBorders/>
            <w:shd w:fill="cceeff"/>
            <w:tcMar>
              <w:top w:w="30" w:type="dxa"/>
              <w:left w:w="15" w:type="dxa"/>
              <w:bottom w:w="30" w:type="dxa"/>
              <w:right w:w="15" w:type="dxa"/>
            </w:tcMar>
            <w:vAlign w:val="bottom"/>
          </w:tcPr>
          <w:p>
            <w:pPr>
              <w:spacing w:before="0" w:after="0"/>
              <w:ind w:left="0"/>
              <w:jc w:val="both"/>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29" w:id="1199"/>
            <w:r>
              <w:rPr>
                <w:rFonts w:ascii="Arial" w:hAnsi="Arial"/>
                <w:b w:val="false"/>
                <w:i w:val="false"/>
                <w:color w:val="000000"/>
                <w:sz w:val="16"/>
              </w:rPr>
              <w:t>1,386.3</w:t>
            </w:r>
            <w:bookmarkEnd w:id="1199"/>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0" w:id="1200"/>
            <w:r>
              <w:rPr>
                <w:rFonts w:ascii="Arial" w:hAnsi="Arial"/>
                <w:b w:val="false"/>
                <w:i w:val="false"/>
                <w:color w:val="000000"/>
                <w:sz w:val="16"/>
              </w:rPr>
              <w:t>131.6</w:t>
            </w:r>
            <w:bookmarkEnd w:id="120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1" w:id="1201"/>
            <w:r>
              <w:rPr>
                <w:rFonts w:ascii="Arial" w:hAnsi="Arial"/>
                <w:b w:val="false"/>
                <w:i w:val="false"/>
                <w:color w:val="000000"/>
                <w:sz w:val="16"/>
              </w:rPr>
              <w:t>154.9</w:t>
            </w:r>
            <w:bookmarkEnd w:id="1201"/>
            <w:r>
              <w:rPr>
                <w:rFonts w:ascii="Arial" w:hAnsi="Arial"/>
                <w:b w:val="false"/>
                <w:i w:val="false"/>
                <w:color w:val="000000"/>
                <w:sz w:val="16"/>
              </w:rPr>
              <w:t xml:space="preserve"> )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2" w:id="1202"/>
            <w:r>
              <w:rPr>
                <w:rFonts w:ascii="Arial" w:hAnsi="Arial"/>
                <w:b w:val="false"/>
                <w:i w:val="false"/>
                <w:color w:val="000000"/>
                <w:sz w:val="16"/>
              </w:rPr>
              <w:t>1,672.8</w:t>
            </w:r>
            <w:bookmarkEnd w:id="1202"/>
            <w:r>
              <w:rPr>
                <w:rFonts w:ascii="Arial" w:hAnsi="Arial"/>
                <w:b w:val="false"/>
                <w:i w:val="false"/>
                <w:color w:val="000000"/>
                <w:sz w:val="16"/>
              </w:rPr>
              <w:t xml:space="preserve"> ) </w:t>
            </w:r>
          </w:p>
        </w:tc>
        <w:tc>
          <w:tcPr>
            <w:tcW w:w="5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5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3" w:id="1203"/>
            <w:r>
              <w:rPr>
                <w:rFonts w:ascii="Arial" w:hAnsi="Arial"/>
                <w:b w:val="false"/>
                <w:i w:val="false"/>
                <w:color w:val="000000"/>
                <w:sz w:val="16"/>
              </w:rPr>
              <w:t>6.2</w:t>
            </w:r>
            <w:bookmarkEnd w:id="1203"/>
            <w:r>
              <w:rPr>
                <w:rFonts w:ascii="Arial" w:hAnsi="Arial"/>
                <w:b w:val="false"/>
                <w:i w:val="false"/>
                <w:color w:val="000000"/>
                <w:sz w:val="16"/>
              </w:rPr>
              <w:t xml:space="preserve"> ) </w:t>
            </w:r>
          </w:p>
        </w:tc>
        <w:tc>
          <w:tcPr>
            <w:tcW w:w="76" w:type="dxa"/>
            <w:tcBorders>
              <w:top w:val="single" w:color="000000" w:sz="11"/>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before reclassifications, net of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4" w:id="1204"/>
            <w:r>
              <w:rPr>
                <w:rFonts w:ascii="Arial" w:hAnsi="Arial"/>
                <w:b w:val="false"/>
                <w:i w:val="false"/>
                <w:color w:val="000000"/>
                <w:sz w:val="16"/>
              </w:rPr>
              <w:t>211.2</w:t>
            </w:r>
            <w:bookmarkEnd w:id="120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5" w:id="1205"/>
            <w:r>
              <w:rPr>
                <w:rFonts w:ascii="Arial" w:hAnsi="Arial"/>
                <w:b w:val="false"/>
                <w:i w:val="false"/>
                <w:color w:val="000000"/>
                <w:sz w:val="16"/>
              </w:rPr>
              <w:t>109.9</w:t>
            </w:r>
            <w:bookmarkEnd w:id="120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36" w:id="1206"/>
            <w:r>
              <w:rPr>
                <w:rFonts w:ascii="Arial" w:hAnsi="Arial"/>
                <w:b w:val="false"/>
                <w:i w:val="false"/>
                <w:color w:val="000000"/>
                <w:sz w:val="16"/>
              </w:rPr>
              <w:t>5.7</w:t>
            </w:r>
            <w:bookmarkEnd w:id="1206"/>
            <w:r>
              <w:rPr>
                <w:rFonts w:ascii="Arial" w:hAnsi="Arial"/>
                <w:b w:val="false"/>
                <w:i w:val="false"/>
                <w:color w:val="000000"/>
                <w:sz w:val="16"/>
              </w:rPr>
              <w:t xml:space="preserve"> )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7" w:id="1207"/>
            <w:r>
              <w:rPr>
                <w:rFonts w:ascii="Arial" w:hAnsi="Arial"/>
                <w:b w:val="false"/>
                <w:i w:val="false"/>
                <w:color w:val="000000"/>
                <w:sz w:val="16"/>
              </w:rPr>
              <w:t>315.4</w:t>
            </w:r>
            <w:bookmarkEnd w:id="1207"/>
            <w:r>
              <w:rPr>
                <w:rFonts w:ascii="Arial" w:hAnsi="Arial"/>
                <w:b w:val="false"/>
                <w:i w:val="false"/>
                <w:color w:val="000000"/>
                <w:sz w:val="16"/>
              </w:rPr>
              <w:t xml:space="preserve">   </w:t>
            </w:r>
          </w:p>
        </w:tc>
        <w:tc>
          <w:tcPr>
            <w:tcW w:w="5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8" w:id="1208"/>
            <w:r>
              <w:rPr>
                <w:rFonts w:ascii="Arial" w:hAnsi="Arial"/>
                <w:b w:val="false"/>
                <w:i w:val="false"/>
                <w:color w:val="000000"/>
                <w:sz w:val="16"/>
              </w:rPr>
              <w:t>0.3</w:t>
            </w:r>
            <w:bookmarkEnd w:id="1208"/>
            <w:r>
              <w:rPr>
                <w:rFonts w:ascii="Arial" w:hAnsi="Arial"/>
                <w:b w:val="false"/>
                <w:i w:val="false"/>
                <w:color w:val="000000"/>
                <w:sz w:val="16"/>
              </w:rPr>
              <w:t xml:space="preserve">   </w:t>
            </w:r>
          </w:p>
        </w:tc>
        <w:tc>
          <w:tcPr>
            <w:tcW w:w="76"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losses included in net income (loss), net of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39" w:id="1209"/>
            <w:r>
              <w:rPr>
                <w:rFonts w:ascii="Arial" w:hAnsi="Arial"/>
                <w:b w:val="false"/>
                <w:i w:val="false"/>
                <w:color w:val="000000"/>
                <w:sz w:val="16"/>
              </w:rPr>
              <w:t>—</w:t>
            </w:r>
            <w:bookmarkEnd w:id="120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0" w:id="1210"/>
            <w:r>
              <w:rPr>
                <w:rFonts w:ascii="Arial" w:hAnsi="Arial"/>
                <w:b w:val="false"/>
                <w:i w:val="false"/>
                <w:color w:val="000000"/>
                <w:sz w:val="16"/>
              </w:rPr>
              <w:t>5.5</w:t>
            </w:r>
            <w:bookmarkEnd w:id="121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1" w:id="1211"/>
            <w:r>
              <w:rPr>
                <w:rFonts w:ascii="Arial" w:hAnsi="Arial"/>
                <w:b w:val="false"/>
                <w:i w:val="false"/>
                <w:color w:val="000000"/>
                <w:sz w:val="16"/>
              </w:rPr>
              <w:t>4.8</w:t>
            </w:r>
            <w:bookmarkEnd w:id="1211"/>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2" w:id="1212"/>
            <w:r>
              <w:rPr>
                <w:rFonts w:ascii="Arial" w:hAnsi="Arial"/>
                <w:b w:val="false"/>
                <w:i w:val="false"/>
                <w:color w:val="000000"/>
                <w:sz w:val="16"/>
              </w:rPr>
              <w:t>10.3</w:t>
            </w:r>
            <w:bookmarkEnd w:id="1212"/>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3" w:id="1213"/>
            <w:r>
              <w:rPr>
                <w:rFonts w:ascii="Arial" w:hAnsi="Arial"/>
                <w:b w:val="false"/>
                <w:i w:val="false"/>
                <w:color w:val="000000"/>
                <w:sz w:val="16"/>
              </w:rPr>
              <w:t>—</w:t>
            </w:r>
            <w:bookmarkEnd w:id="1213"/>
            <w:r>
              <w:rPr>
                <w:rFonts w:ascii="Arial" w:hAnsi="Arial"/>
                <w:b w:val="false"/>
                <w:i w:val="false"/>
                <w:color w:val="000000"/>
                <w:sz w:val="16"/>
              </w:rPr>
              <w:t xml:space="preserve">   </w:t>
            </w:r>
          </w:p>
        </w:tc>
        <w:tc>
          <w:tcPr>
            <w:tcW w:w="76"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4" w:id="1214"/>
            <w:r>
              <w:rPr>
                <w:rFonts w:ascii="Arial" w:hAnsi="Arial"/>
                <w:b w:val="false"/>
                <w:i w:val="false"/>
                <w:color w:val="000000"/>
                <w:sz w:val="16"/>
              </w:rPr>
              <w:t>211.2</w:t>
            </w:r>
            <w:bookmarkEnd w:id="121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5" w:id="1215"/>
            <w:r>
              <w:rPr>
                <w:rFonts w:ascii="Arial" w:hAnsi="Arial"/>
                <w:b w:val="false"/>
                <w:i w:val="false"/>
                <w:color w:val="000000"/>
                <w:sz w:val="16"/>
              </w:rPr>
              <w:t>115.4</w:t>
            </w:r>
            <w:bookmarkEnd w:id="1215"/>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46" w:id="1216"/>
            <w:r>
              <w:rPr>
                <w:rFonts w:ascii="Arial" w:hAnsi="Arial"/>
                <w:b w:val="false"/>
                <w:i w:val="false"/>
                <w:color w:val="000000"/>
                <w:sz w:val="16"/>
              </w:rPr>
              <w:t>0.9</w:t>
            </w:r>
            <w:bookmarkEnd w:id="1216"/>
            <w:r>
              <w:rPr>
                <w:rFonts w:ascii="Arial" w:hAnsi="Arial"/>
                <w:b w:val="false"/>
                <w:i w:val="false"/>
                <w:color w:val="000000"/>
                <w:sz w:val="16"/>
              </w:rPr>
              <w:t xml:space="preserve"> )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7" w:id="1217"/>
            <w:r>
              <w:rPr>
                <w:rFonts w:ascii="Arial" w:hAnsi="Arial"/>
                <w:b w:val="false"/>
                <w:i w:val="false"/>
                <w:color w:val="000000"/>
                <w:sz w:val="16"/>
              </w:rPr>
              <w:t>325.7</w:t>
            </w:r>
            <w:bookmarkEnd w:id="1217"/>
            <w:r>
              <w:rPr>
                <w:rFonts w:ascii="Arial" w:hAnsi="Arial"/>
                <w:b w:val="false"/>
                <w:i w:val="false"/>
                <w:color w:val="000000"/>
                <w:sz w:val="16"/>
              </w:rPr>
              <w:t xml:space="preserve">   </w:t>
            </w:r>
          </w:p>
        </w:tc>
        <w:tc>
          <w:tcPr>
            <w:tcW w:w="52"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48" w:id="1218"/>
            <w:r>
              <w:rPr>
                <w:rFonts w:ascii="Arial" w:hAnsi="Arial"/>
                <w:b w:val="false"/>
                <w:i w:val="false"/>
                <w:color w:val="000000"/>
                <w:sz w:val="16"/>
              </w:rPr>
              <w:t>0.3</w:t>
            </w:r>
            <w:bookmarkEnd w:id="1218"/>
            <w:r>
              <w:rPr>
                <w:rFonts w:ascii="Arial" w:hAnsi="Arial"/>
                <w:b w:val="false"/>
                <w:i w:val="false"/>
                <w:color w:val="000000"/>
                <w:sz w:val="16"/>
              </w:rPr>
              <w:t xml:space="preserve">   </w:t>
            </w:r>
          </w:p>
        </w:tc>
        <w:tc>
          <w:tcPr>
            <w:tcW w:w="76" w:type="dxa"/>
            <w:tcBorders>
              <w:top w:val="single" w:color="000000" w:sz="11"/>
            </w:tcBorders>
            <w:shd w:fill="ffffff"/>
            <w:tcMar>
              <w:top w:w="30" w:type="dxa"/>
              <w:left w:w="15" w:type="dxa"/>
              <w:bottom w:w="30" w:type="dxa"/>
              <w:right w:w="15" w:type="dxa"/>
            </w:tcMar>
            <w:vAlign w:val="bottom"/>
          </w:tcPr>
          <w:p/>
        </w:tc>
      </w:tr>
      <w:tr>
        <w:trPr>
          <w:trHeight w:val="630" w:hRule="atLeast"/>
        </w:trPr>
        <w:tc>
          <w:tcPr>
            <w:tcW w:w="0" w:type="auto"/>
            <w:gridSpan w:val="3"/>
            <w:tcBorders/>
            <w:shd w:fill="cceeff"/>
            <w:tcMar>
              <w:top w:w="30" w:type="dxa"/>
              <w:left w:w="15" w:type="dxa"/>
              <w:bottom w:w="30" w:type="dxa"/>
              <w:right w:w="15" w:type="dxa"/>
            </w:tcMar>
            <w:vAlign w:val="bottom"/>
          </w:tcPr>
          <w:p>
            <w:pPr>
              <w:spacing w:before="0" w:after="0"/>
              <w:ind w:left="0"/>
              <w:jc w:val="both"/>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49" w:id="1219"/>
            <w:r>
              <w:rPr>
                <w:rFonts w:ascii="Arial" w:hAnsi="Arial"/>
                <w:b w:val="false"/>
                <w:i w:val="false"/>
                <w:color w:val="000000"/>
                <w:sz w:val="16"/>
              </w:rPr>
              <w:t>1,175.1</w:t>
            </w:r>
            <w:bookmarkEnd w:id="1219"/>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0" w:id="1220"/>
            <w:r>
              <w:rPr>
                <w:rFonts w:ascii="Arial" w:hAnsi="Arial"/>
                <w:b w:val="false"/>
                <w:i w:val="false"/>
                <w:color w:val="000000"/>
                <w:sz w:val="16"/>
              </w:rPr>
              <w:t>16.2</w:t>
            </w:r>
            <w:bookmarkEnd w:id="122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1" w:id="1221"/>
            <w:r>
              <w:rPr>
                <w:rFonts w:ascii="Arial" w:hAnsi="Arial"/>
                <w:b w:val="false"/>
                <w:i w:val="false"/>
                <w:color w:val="000000"/>
                <w:sz w:val="16"/>
              </w:rPr>
              <w:t>155.8</w:t>
            </w:r>
            <w:bookmarkEnd w:id="1221"/>
            <w:r>
              <w:rPr>
                <w:rFonts w:ascii="Arial" w:hAnsi="Arial"/>
                <w:b w:val="false"/>
                <w:i w:val="false"/>
                <w:color w:val="000000"/>
                <w:sz w:val="16"/>
              </w:rPr>
              <w:t xml:space="preserve"> ) </w:t>
            </w:r>
          </w:p>
        </w:tc>
        <w:tc>
          <w:tcPr>
            <w:tcW w:w="63"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2" w:id="1222"/>
            <w:r>
              <w:rPr>
                <w:rFonts w:ascii="Arial" w:hAnsi="Arial"/>
                <w:b w:val="false"/>
                <w:i w:val="false"/>
                <w:color w:val="000000"/>
                <w:sz w:val="16"/>
              </w:rPr>
              <w:t>1,347.1</w:t>
            </w:r>
            <w:bookmarkEnd w:id="1222"/>
            <w:r>
              <w:rPr>
                <w:rFonts w:ascii="Arial" w:hAnsi="Arial"/>
                <w:b w:val="false"/>
                <w:i w:val="false"/>
                <w:color w:val="000000"/>
                <w:sz w:val="16"/>
              </w:rPr>
              <w:t xml:space="preserve"> ) </w:t>
            </w:r>
          </w:p>
        </w:tc>
        <w:tc>
          <w:tcPr>
            <w:tcW w:w="52"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5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3" w:id="1223"/>
            <w:r>
              <w:rPr>
                <w:rFonts w:ascii="Arial" w:hAnsi="Arial"/>
                <w:b w:val="false"/>
                <w:i w:val="false"/>
                <w:color w:val="000000"/>
                <w:sz w:val="16"/>
              </w:rPr>
              <w:t>5.9</w:t>
            </w:r>
            <w:bookmarkEnd w:id="1223"/>
            <w:r>
              <w:rPr>
                <w:rFonts w:ascii="Arial" w:hAnsi="Arial"/>
                <w:b w:val="false"/>
                <w:i w:val="false"/>
                <w:color w:val="000000"/>
                <w:sz w:val="16"/>
              </w:rPr>
              <w:t xml:space="preserve"> ) </w:t>
            </w:r>
          </w:p>
        </w:tc>
        <w:tc>
          <w:tcPr>
            <w:tcW w:w="76" w:type="dxa"/>
            <w:tcBorders>
              <w:top w:val="single" w:color="000000" w:sz="11"/>
            </w:tcBorders>
            <w:shd w:fill="cceeff"/>
            <w:tcMar>
              <w:top w:w="30" w:type="dxa"/>
              <w:left w:w="15" w:type="dxa"/>
              <w:bottom w:w="30" w:type="dxa"/>
              <w:right w:w="15" w:type="dxa"/>
            </w:tcMar>
            <w:vAlign w:val="bottom"/>
          </w:tcPr>
          <w:p/>
        </w:tc>
      </w:tr>
      <w:tr>
        <w:trPr>
          <w:trHeight w:val="210" w:hRule="atLeast"/>
        </w:trPr>
        <w:tc>
          <w:tcPr>
            <w:tcW w:w="0" w:type="auto"/>
            <w:gridSpan w:val="3"/>
            <w:tcBorders/>
            <w:tcMar>
              <w:top w:w="15" w:type="dxa"/>
              <w:left w:w="15" w:type="dxa"/>
              <w:bottom w:w="15" w:type="dxa"/>
              <w:right w:w="15" w:type="dxa"/>
            </w:tcMar>
            <w:vAlign w:val="center"/>
          </w:tcPr>
          <w:p/>
        </w:tc>
        <w:tc>
          <w:tcPr>
            <w:tcW w:w="0" w:type="auto"/>
            <w:gridSpan w:val="3"/>
            <w:tcBorders>
              <w:top w:val="doub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doub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doub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doub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double" w:color="000000" w:sz="11"/>
            </w:tcBorders>
            <w:tcMar>
              <w:top w:w="15" w:type="dxa"/>
              <w:left w:w="15" w:type="dxa"/>
              <w:bottom w:w="15" w:type="dxa"/>
              <w:right w:w="15" w:type="dxa"/>
            </w:tcMar>
            <w:vAlign w:val="center"/>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December 31, 2023</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4" w:id="1224"/>
            <w:r>
              <w:rPr>
                <w:rFonts w:ascii="Arial" w:hAnsi="Arial"/>
                <w:b w:val="false"/>
                <w:i w:val="false"/>
                <w:color w:val="000000"/>
                <w:sz w:val="16"/>
              </w:rPr>
              <w:t>1,120.5</w:t>
            </w:r>
            <w:bookmarkEnd w:id="122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55" w:id="1225"/>
            <w:r>
              <w:rPr>
                <w:rFonts w:ascii="Arial" w:hAnsi="Arial"/>
                <w:b w:val="false"/>
                <w:i w:val="false"/>
                <w:color w:val="000000"/>
                <w:sz w:val="16"/>
              </w:rPr>
              <w:t>20.9</w:t>
            </w:r>
            <w:bookmarkEnd w:id="122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6" w:id="1226"/>
            <w:r>
              <w:rPr>
                <w:rFonts w:ascii="Arial" w:hAnsi="Arial"/>
                <w:b w:val="false"/>
                <w:i w:val="false"/>
                <w:color w:val="000000"/>
                <w:sz w:val="16"/>
              </w:rPr>
              <w:t>142.4</w:t>
            </w:r>
            <w:bookmarkEnd w:id="1226"/>
            <w:r>
              <w:rPr>
                <w:rFonts w:ascii="Arial" w:hAnsi="Arial"/>
                <w:b w:val="false"/>
                <w:i w:val="false"/>
                <w:color w:val="000000"/>
                <w:sz w:val="16"/>
              </w:rPr>
              <w:t xml:space="preserve"> )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7" w:id="1227"/>
            <w:r>
              <w:rPr>
                <w:rFonts w:ascii="Arial" w:hAnsi="Arial"/>
                <w:b w:val="false"/>
                <w:i w:val="false"/>
                <w:color w:val="000000"/>
                <w:sz w:val="16"/>
              </w:rPr>
              <w:t>1,242.0</w:t>
            </w:r>
            <w:bookmarkEnd w:id="1227"/>
            <w:r>
              <w:rPr>
                <w:rFonts w:ascii="Arial" w:hAnsi="Arial"/>
                <w:b w:val="false"/>
                <w:i w:val="false"/>
                <w:color w:val="000000"/>
                <w:sz w:val="16"/>
              </w:rPr>
              <w:t xml:space="preserve"> )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51"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8" w:id="1228"/>
            <w:r>
              <w:rPr>
                <w:rFonts w:ascii="Arial" w:hAnsi="Arial"/>
                <w:b w:val="false"/>
                <w:i w:val="false"/>
                <w:color w:val="000000"/>
                <w:sz w:val="16"/>
              </w:rPr>
              <w:t>6.0</w:t>
            </w:r>
            <w:bookmarkEnd w:id="1228"/>
            <w:r>
              <w:rPr>
                <w:rFonts w:ascii="Arial" w:hAnsi="Arial"/>
                <w:b w:val="false"/>
                <w:i w:val="false"/>
                <w:color w:val="000000"/>
                <w:sz w:val="16"/>
              </w:rPr>
              <w:t xml:space="preserve"> ) </w:t>
            </w:r>
          </w:p>
        </w:tc>
        <w:tc>
          <w:tcPr>
            <w:tcW w:w="76" w:type="dxa"/>
            <w:tcBorders/>
            <w:shd w:fill="cceeff"/>
            <w:tcMar>
              <w:top w:w="30" w:type="dxa"/>
              <w:left w:w="15" w:type="dxa"/>
              <w:bottom w:w="30" w:type="dxa"/>
              <w:right w:w="15" w:type="dxa"/>
            </w:tcMar>
            <w:vAlign w:val="bottom"/>
          </w:tcPr>
          <w:p/>
        </w:tc>
      </w:tr>
      <w:tr>
        <w:trPr>
          <w:trHeight w:val="58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before reclassifications, net of tax</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59" w:id="1229"/>
            <w:r>
              <w:rPr>
                <w:rFonts w:ascii="Arial" w:hAnsi="Arial"/>
                <w:b w:val="false"/>
                <w:i w:val="false"/>
                <w:color w:val="000000"/>
                <w:sz w:val="16"/>
              </w:rPr>
              <w:t>152.1</w:t>
            </w:r>
            <w:bookmarkEnd w:id="1229"/>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0" w:id="1230"/>
            <w:r>
              <w:rPr>
                <w:rFonts w:ascii="Arial" w:hAnsi="Arial"/>
                <w:b w:val="false"/>
                <w:i w:val="false"/>
                <w:color w:val="000000"/>
                <w:sz w:val="16"/>
              </w:rPr>
              <w:t>55.1</w:t>
            </w:r>
            <w:bookmarkEnd w:id="1230"/>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1" w:id="1231"/>
            <w:r>
              <w:rPr>
                <w:rFonts w:ascii="Arial" w:hAnsi="Arial"/>
                <w:b w:val="false"/>
                <w:i w:val="false"/>
                <w:color w:val="000000"/>
                <w:sz w:val="16"/>
              </w:rPr>
              <w:t>3.3</w:t>
            </w:r>
            <w:bookmarkEnd w:id="1231"/>
            <w:r>
              <w:rPr>
                <w:rFonts w:ascii="Arial" w:hAnsi="Arial"/>
                <w:b w:val="false"/>
                <w:i w:val="false"/>
                <w:color w:val="000000"/>
                <w:sz w:val="16"/>
              </w:rPr>
              <w:t xml:space="preserve">   </w:t>
            </w:r>
          </w:p>
        </w:tc>
        <w:tc>
          <w:tcPr>
            <w:tcW w:w="63"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2" w:id="1232"/>
            <w:r>
              <w:rPr>
                <w:rFonts w:ascii="Arial" w:hAnsi="Arial"/>
                <w:b w:val="false"/>
                <w:i w:val="false"/>
                <w:color w:val="000000"/>
                <w:sz w:val="16"/>
              </w:rPr>
              <w:t>203.9</w:t>
            </w:r>
            <w:bookmarkEnd w:id="1232"/>
            <w:r>
              <w:rPr>
                <w:rFonts w:ascii="Arial" w:hAnsi="Arial"/>
                <w:b w:val="false"/>
                <w:i w:val="false"/>
                <w:color w:val="000000"/>
                <w:sz w:val="16"/>
              </w:rPr>
              <w:t xml:space="preserve"> ) </w:t>
            </w:r>
          </w:p>
        </w:tc>
        <w:tc>
          <w:tcPr>
            <w:tcW w:w="52"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3" w:id="1233"/>
            <w:r>
              <w:rPr>
                <w:rFonts w:ascii="Arial" w:hAnsi="Arial"/>
                <w:b w:val="false"/>
                <w:i w:val="false"/>
                <w:color w:val="000000"/>
                <w:sz w:val="16"/>
              </w:rPr>
              <w:t>0.2</w:t>
            </w:r>
            <w:bookmarkEnd w:id="1233"/>
            <w:r>
              <w:rPr>
                <w:rFonts w:ascii="Arial" w:hAnsi="Arial"/>
                <w:b w:val="false"/>
                <w:i w:val="false"/>
                <w:color w:val="000000"/>
                <w:sz w:val="16"/>
              </w:rPr>
              <w:t xml:space="preserve"> ) </w:t>
            </w:r>
          </w:p>
        </w:tc>
        <w:tc>
          <w:tcPr>
            <w:tcW w:w="76"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(gains) losses included in net income (loss), net of tax</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4" w:id="1234"/>
            <w:r>
              <w:rPr>
                <w:rFonts w:ascii="Arial" w:hAnsi="Arial"/>
                <w:b w:val="false"/>
                <w:i w:val="false"/>
                <w:color w:val="000000"/>
                <w:sz w:val="16"/>
              </w:rPr>
              <w:t>10.5</w:t>
            </w:r>
            <w:bookmarkEnd w:id="123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5" w:id="1235"/>
            <w:r>
              <w:rPr>
                <w:rFonts w:ascii="Arial" w:hAnsi="Arial"/>
                <w:b w:val="false"/>
                <w:i w:val="false"/>
                <w:color w:val="000000"/>
                <w:sz w:val="16"/>
              </w:rPr>
              <w:t>6.8</w:t>
            </w:r>
            <w:bookmarkEnd w:id="1235"/>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6" w:id="1236"/>
            <w:r>
              <w:rPr>
                <w:rFonts w:ascii="Arial" w:hAnsi="Arial"/>
                <w:b w:val="false"/>
                <w:i w:val="false"/>
                <w:color w:val="000000"/>
                <w:sz w:val="16"/>
              </w:rPr>
              <w:t>3.9</w:t>
            </w:r>
            <w:bookmarkEnd w:id="1236"/>
            <w:r>
              <w:rPr>
                <w:rFonts w:ascii="Arial" w:hAnsi="Arial"/>
                <w:b w:val="false"/>
                <w:i w:val="false"/>
                <w:color w:val="000000"/>
                <w:sz w:val="16"/>
              </w:rPr>
              <w:t xml:space="preserve">   </w:t>
            </w:r>
          </w:p>
        </w:tc>
        <w:tc>
          <w:tcPr>
            <w:tcW w:w="63"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7" w:id="1237"/>
            <w:r>
              <w:rPr>
                <w:rFonts w:ascii="Arial" w:hAnsi="Arial"/>
                <w:b w:val="false"/>
                <w:i w:val="false"/>
                <w:color w:val="000000"/>
                <w:sz w:val="16"/>
              </w:rPr>
              <w:t>7.6</w:t>
            </w:r>
            <w:bookmarkEnd w:id="1237"/>
            <w:r>
              <w:rPr>
                <w:rFonts w:ascii="Arial" w:hAnsi="Arial"/>
                <w:b w:val="false"/>
                <w:i w:val="false"/>
                <w:color w:val="000000"/>
                <w:sz w:val="16"/>
              </w:rPr>
              <w:t xml:space="preserve">   </w:t>
            </w:r>
          </w:p>
        </w:tc>
        <w:tc>
          <w:tcPr>
            <w:tcW w:w="52"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68" w:id="1238"/>
            <w:r>
              <w:rPr>
                <w:rFonts w:ascii="Arial" w:hAnsi="Arial"/>
                <w:b w:val="false"/>
                <w:i w:val="false"/>
                <w:color w:val="000000"/>
                <w:sz w:val="16"/>
              </w:rPr>
              <w:t>—</w:t>
            </w:r>
            <w:bookmarkEnd w:id="1238"/>
            <w:r>
              <w:rPr>
                <w:rFonts w:ascii="Arial" w:hAnsi="Arial"/>
                <w:b w:val="false"/>
                <w:i w:val="false"/>
                <w:color w:val="000000"/>
                <w:sz w:val="16"/>
              </w:rPr>
              <w:t xml:space="preserve">   </w:t>
            </w:r>
          </w:p>
        </w:tc>
        <w:tc>
          <w:tcPr>
            <w:tcW w:w="76"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comprehensive income (loss), net of tax</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69" w:id="1239"/>
            <w:r>
              <w:rPr>
                <w:rFonts w:ascii="Arial" w:hAnsi="Arial"/>
                <w:b w:val="false"/>
                <w:i w:val="false"/>
                <w:color w:val="000000"/>
                <w:sz w:val="16"/>
              </w:rPr>
              <w:t>141.6</w:t>
            </w:r>
            <w:bookmarkEnd w:id="1239"/>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0" w:id="1240"/>
            <w:r>
              <w:rPr>
                <w:rFonts w:ascii="Arial" w:hAnsi="Arial"/>
                <w:b w:val="false"/>
                <w:i w:val="false"/>
                <w:color w:val="000000"/>
                <w:sz w:val="16"/>
              </w:rPr>
              <w:t>61.9</w:t>
            </w:r>
            <w:bookmarkEnd w:id="1240"/>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71" w:id="1241"/>
            <w:r>
              <w:rPr>
                <w:rFonts w:ascii="Arial" w:hAnsi="Arial"/>
                <w:b w:val="false"/>
                <w:i w:val="false"/>
                <w:color w:val="000000"/>
                <w:sz w:val="16"/>
              </w:rPr>
              <w:t>7.2</w:t>
            </w:r>
            <w:bookmarkEnd w:id="1241"/>
            <w:r>
              <w:rPr>
                <w:rFonts w:ascii="Arial" w:hAnsi="Arial"/>
                <w:b w:val="false"/>
                <w:i w:val="false"/>
                <w:color w:val="000000"/>
                <w:sz w:val="16"/>
              </w:rPr>
              <w:t xml:space="preserve">   </w:t>
            </w:r>
          </w:p>
        </w:tc>
        <w:tc>
          <w:tcPr>
            <w:tcW w:w="63"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2" w:id="1242"/>
            <w:r>
              <w:rPr>
                <w:rFonts w:ascii="Arial" w:hAnsi="Arial"/>
                <w:b w:val="false"/>
                <w:i w:val="false"/>
                <w:color w:val="000000"/>
                <w:sz w:val="16"/>
              </w:rPr>
              <w:t>196.3</w:t>
            </w:r>
            <w:bookmarkEnd w:id="1242"/>
            <w:r>
              <w:rPr>
                <w:rFonts w:ascii="Arial" w:hAnsi="Arial"/>
                <w:b w:val="false"/>
                <w:i w:val="false"/>
                <w:color w:val="000000"/>
                <w:sz w:val="16"/>
              </w:rPr>
              <w:t xml:space="preserve"> ) </w:t>
            </w:r>
          </w:p>
        </w:tc>
        <w:tc>
          <w:tcPr>
            <w:tcW w:w="52"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3" w:id="1243"/>
            <w:r>
              <w:rPr>
                <w:rFonts w:ascii="Arial" w:hAnsi="Arial"/>
                <w:b w:val="false"/>
                <w:i w:val="false"/>
                <w:color w:val="000000"/>
                <w:sz w:val="16"/>
              </w:rPr>
              <w:t>0.2</w:t>
            </w:r>
            <w:bookmarkEnd w:id="1243"/>
            <w:r>
              <w:rPr>
                <w:rFonts w:ascii="Arial" w:hAnsi="Arial"/>
                <w:b w:val="false"/>
                <w:i w:val="false"/>
                <w:color w:val="000000"/>
                <w:sz w:val="16"/>
              </w:rPr>
              <w:t xml:space="preserve"> ) </w:t>
            </w:r>
          </w:p>
        </w:tc>
        <w:tc>
          <w:tcPr>
            <w:tcW w:w="76" w:type="dxa"/>
            <w:tcBorders>
              <w:top w:val="single" w:color="000000" w:sz="11"/>
            </w:tcBorders>
            <w:shd w:fill="ffffff"/>
            <w:tcMar>
              <w:top w:w="30" w:type="dxa"/>
              <w:left w:w="15" w:type="dxa"/>
              <w:bottom w:w="30" w:type="dxa"/>
              <w:right w:w="15" w:type="dxa"/>
            </w:tcMar>
            <w:vAlign w:val="bottom"/>
          </w:tcPr>
          <w:p/>
        </w:tc>
      </w:tr>
      <w:tr>
        <w:trPr>
          <w:trHeight w:val="6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June 30, 2024</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95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4" w:id="1244"/>
            <w:r>
              <w:rPr>
                <w:rFonts w:ascii="Arial" w:hAnsi="Arial"/>
                <w:b w:val="false"/>
                <w:i w:val="false"/>
                <w:color w:val="000000"/>
                <w:sz w:val="16"/>
              </w:rPr>
              <w:t>1,262.1</w:t>
            </w:r>
            <w:bookmarkEnd w:id="1244"/>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89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5" w:id="1245"/>
            <w:r>
              <w:rPr>
                <w:rFonts w:ascii="Arial" w:hAnsi="Arial"/>
                <w:b w:val="false"/>
                <w:i w:val="false"/>
                <w:color w:val="000000"/>
                <w:sz w:val="16"/>
              </w:rPr>
              <w:t>41.0</w:t>
            </w:r>
            <w:bookmarkEnd w:id="1245"/>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2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2"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6" w:id="1246"/>
            <w:r>
              <w:rPr>
                <w:rFonts w:ascii="Arial" w:hAnsi="Arial"/>
                <w:b w:val="false"/>
                <w:i w:val="false"/>
                <w:color w:val="000000"/>
                <w:sz w:val="16"/>
              </w:rPr>
              <w:t>135.2</w:t>
            </w:r>
            <w:bookmarkEnd w:id="1246"/>
            <w:r>
              <w:rPr>
                <w:rFonts w:ascii="Arial" w:hAnsi="Arial"/>
                <w:b w:val="false"/>
                <w:i w:val="false"/>
                <w:color w:val="000000"/>
                <w:sz w:val="16"/>
              </w:rPr>
              <w:t xml:space="preserve"> ) </w:t>
            </w:r>
          </w:p>
        </w:tc>
        <w:tc>
          <w:tcPr>
            <w:tcW w:w="63"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69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7" w:id="1247"/>
            <w:r>
              <w:rPr>
                <w:rFonts w:ascii="Arial" w:hAnsi="Arial"/>
                <w:b w:val="false"/>
                <w:i w:val="false"/>
                <w:color w:val="000000"/>
                <w:sz w:val="16"/>
              </w:rPr>
              <w:t>1,438.3</w:t>
            </w:r>
            <w:bookmarkEnd w:id="1247"/>
            <w:r>
              <w:rPr>
                <w:rFonts w:ascii="Arial" w:hAnsi="Arial"/>
                <w:b w:val="false"/>
                <w:i w:val="false"/>
                <w:color w:val="000000"/>
                <w:sz w:val="16"/>
              </w:rPr>
              <w:t xml:space="preserve"> ) </w:t>
            </w:r>
          </w:p>
        </w:tc>
        <w:tc>
          <w:tcPr>
            <w:tcW w:w="52"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73"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5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78" w:id="1248"/>
            <w:r>
              <w:rPr>
                <w:rFonts w:ascii="Arial" w:hAnsi="Arial"/>
                <w:b w:val="false"/>
                <w:i w:val="false"/>
                <w:color w:val="000000"/>
                <w:sz w:val="16"/>
              </w:rPr>
              <w:t>6.2</w:t>
            </w:r>
            <w:bookmarkEnd w:id="1248"/>
            <w:r>
              <w:rPr>
                <w:rFonts w:ascii="Arial" w:hAnsi="Arial"/>
                <w:b w:val="false"/>
                <w:i w:val="false"/>
                <w:color w:val="000000"/>
                <w:sz w:val="16"/>
              </w:rPr>
              <w:t xml:space="preserve"> ) </w:t>
            </w:r>
          </w:p>
        </w:tc>
        <w:tc>
          <w:tcPr>
            <w:tcW w:w="76"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978-1" w:id="1249"/>
      <w:bookmarkEnd w:id="1249"/>
      <w:bookmarkStart w:name="f-962-2" w:id="1250"/>
      <w:bookmarkEnd w:id="1250"/>
      <w:bookmarkStart w:name="f-1079" w:id="1251"/>
      <w:bookmarkEnd w:id="1251"/>
    </w:p>
    <w:p>
      <w:pPr>
        <w:spacing w:before="160" w:after="20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Reclassifications out of accumulated other comprehensive income (loss) consisted of the following:</w:t>
      </w:r>
      <w:r>
        <w:rPr>
          <w:rFonts w:ascii="Times New Roman" w:hAnsi="Times New Roman"/>
          <w:b w:val="false"/>
          <w:i w:val="false"/>
          <w:color w:val="000000"/>
          <w:sz w:val="22"/>
        </w:rPr>
        <w:t xml:space="preserve"> </w:t>
      </w:r>
    </w:p>
    <w:p>
      <w:pPr>
        <w:spacing w:before="0" w:after="0"/>
        <w:ind w:left="120"/>
        <w:jc w:val="left"/>
      </w:pPr>
      <w:bookmarkStart w:name="f-1079" w:id="1252"/>
      <w:bookmarkEnd w:id="1252"/>
    </w:p>
    <w:p>
      <w:pPr>
        <w:spacing w:before="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36"/>
        <w:gridCol w:w="3376"/>
        <w:gridCol w:w="639"/>
        <w:gridCol w:w="146"/>
        <w:gridCol w:w="1086"/>
        <w:gridCol w:w="40"/>
        <w:gridCol w:w="40"/>
        <w:gridCol w:w="40"/>
        <w:gridCol w:w="40"/>
        <w:gridCol w:w="146"/>
        <w:gridCol w:w="1074"/>
        <w:gridCol w:w="40"/>
        <w:gridCol w:w="40"/>
        <w:gridCol w:w="40"/>
        <w:gridCol w:w="40"/>
        <w:gridCol w:w="146"/>
        <w:gridCol w:w="1086"/>
        <w:gridCol w:w="40"/>
        <w:gridCol w:w="40"/>
        <w:gridCol w:w="40"/>
        <w:gridCol w:w="40"/>
        <w:gridCol w:w="146"/>
        <w:gridCol w:w="1087"/>
        <w:gridCol w:w="40"/>
        <w:gridCol w:w="40"/>
        <w:gridCol w:w="40"/>
        <w:gridCol w:w="40"/>
        <w:gridCol w:w="487"/>
        <w:gridCol w:w="2451"/>
        <w:gridCol w:w="488"/>
      </w:tblGrid>
      <w:tr>
        <w:trPr>
          <w:trHeight w:val="30" w:hRule="atLeast"/>
        </w:trPr>
        <w:tc>
          <w:tcPr>
            <w:tcW w:w="636" w:type="dxa"/>
            <w:tcBorders/>
            <w:tcMar>
              <w:top w:w="15" w:type="dxa"/>
              <w:left w:w="15" w:type="dxa"/>
              <w:bottom w:w="15" w:type="dxa"/>
              <w:right w:w="15" w:type="dxa"/>
            </w:tcMar>
            <w:vAlign w:val="center"/>
          </w:tcPr>
          <w:p/>
        </w:tc>
        <w:tc>
          <w:tcPr>
            <w:tcW w:w="3376" w:type="dxa"/>
            <w:tcBorders/>
            <w:tcMar>
              <w:top w:w="15" w:type="dxa"/>
              <w:left w:w="15" w:type="dxa"/>
              <w:bottom w:w="15" w:type="dxa"/>
              <w:right w:w="15" w:type="dxa"/>
            </w:tcMar>
            <w:vAlign w:val="center"/>
          </w:tcPr>
          <w:p/>
        </w:tc>
        <w:tc>
          <w:tcPr>
            <w:tcW w:w="639"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8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7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8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08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87" w:type="dxa"/>
            <w:tcBorders/>
            <w:tcMar>
              <w:top w:w="15" w:type="dxa"/>
              <w:left w:w="15" w:type="dxa"/>
              <w:bottom w:w="15" w:type="dxa"/>
              <w:right w:w="15" w:type="dxa"/>
            </w:tcMar>
            <w:vAlign w:val="center"/>
          </w:tcPr>
          <w:p/>
        </w:tc>
        <w:tc>
          <w:tcPr>
            <w:tcW w:w="2451" w:type="dxa"/>
            <w:tcBorders/>
            <w:tcMar>
              <w:top w:w="15" w:type="dxa"/>
              <w:left w:w="15" w:type="dxa"/>
              <w:bottom w:w="15" w:type="dxa"/>
              <w:right w:w="15" w:type="dxa"/>
            </w:tcMar>
            <w:vAlign w:val="center"/>
          </w:tcPr>
          <w:p/>
        </w:tc>
        <w:tc>
          <w:tcPr>
            <w:tcW w:w="488"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87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Details about Accumulated Other Comprehensive Income (loss) Components</w:t>
            </w:r>
            <w:r>
              <w:rPr>
                <w:rFonts w:ascii="Times New Roman" w:hAnsi="Times New Roman"/>
                <w:b w:val="false"/>
                <w:i w:val="false"/>
                <w:color w:val="000000"/>
                <w:sz w:val="22"/>
              </w:rPr>
              <w:t xml:space="preserve"> </w:t>
            </w:r>
          </w:p>
        </w:tc>
        <w:tc>
          <w:tcPr>
            <w:tcW w:w="0" w:type="auto"/>
            <w:gridSpan w:val="21"/>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Amount Reclassified out of Accumulated Other Comprehensive Income (Loss)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Affected Line Item in the Condensed Consolidated Statements of Income</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Gains (loss) on foreign currency translation</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Release of CTA income (loss)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0" w:id="1253"/>
            <w:r>
              <w:rPr>
                <w:rFonts w:ascii="Arial" w:hAnsi="Arial"/>
                <w:b w:val="false"/>
                <w:i w:val="false"/>
                <w:color w:val="000000"/>
                <w:sz w:val="16"/>
              </w:rPr>
              <w:t>—</w:t>
            </w:r>
            <w:bookmarkEnd w:id="125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1" w:id="1254"/>
            <w:r>
              <w:rPr>
                <w:rFonts w:ascii="Arial" w:hAnsi="Arial"/>
                <w:b w:val="false"/>
                <w:i w:val="false"/>
                <w:color w:val="000000"/>
                <w:sz w:val="16"/>
              </w:rPr>
              <w:t>—</w:t>
            </w:r>
            <w:bookmarkEnd w:id="125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2" w:id="1255"/>
            <w:r>
              <w:rPr>
                <w:rFonts w:ascii="Arial" w:hAnsi="Arial"/>
                <w:b w:val="false"/>
                <w:i w:val="false"/>
                <w:color w:val="000000"/>
                <w:sz w:val="16"/>
              </w:rPr>
              <w:t>—</w:t>
            </w:r>
            <w:bookmarkEnd w:id="125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83" w:id="1256"/>
            <w:r>
              <w:rPr>
                <w:rFonts w:ascii="Arial" w:hAnsi="Arial"/>
                <w:b w:val="false"/>
                <w:i w:val="false"/>
                <w:color w:val="000000"/>
                <w:sz w:val="16"/>
              </w:rPr>
              <w:t>10.5</w:t>
            </w:r>
            <w:bookmarkEnd w:id="125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p>
        </w:tc>
      </w:tr>
      <w:tr>
        <w:trPr>
          <w:trHeight w:val="360" w:hRule="atLeast"/>
        </w:trPr>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4" w:id="1257"/>
            <w:r>
              <w:rPr>
                <w:rFonts w:ascii="Arial" w:hAnsi="Arial"/>
                <w:b w:val="false"/>
                <w:i w:val="false"/>
                <w:color w:val="000000"/>
                <w:sz w:val="16"/>
              </w:rPr>
              <w:t>—</w:t>
            </w:r>
            <w:bookmarkEnd w:id="125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7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5" w:id="1258"/>
            <w:r>
              <w:rPr>
                <w:rFonts w:ascii="Arial" w:hAnsi="Arial"/>
                <w:b w:val="false"/>
                <w:i w:val="false"/>
                <w:color w:val="000000"/>
                <w:sz w:val="16"/>
              </w:rPr>
              <w:t>—</w:t>
            </w:r>
            <w:bookmarkEnd w:id="1258"/>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86" w:id="1259"/>
            <w:r>
              <w:rPr>
                <w:rFonts w:ascii="Arial" w:hAnsi="Arial"/>
                <w:b w:val="false"/>
                <w:i w:val="false"/>
                <w:color w:val="000000"/>
                <w:sz w:val="16"/>
              </w:rPr>
              <w:t>—</w:t>
            </w:r>
            <w:bookmarkEnd w:id="125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87" w:id="1260"/>
            <w:r>
              <w:rPr>
                <w:rFonts w:ascii="Arial" w:hAnsi="Arial"/>
                <w:b w:val="false"/>
                <w:i w:val="false"/>
                <w:color w:val="000000"/>
                <w:sz w:val="16"/>
              </w:rPr>
              <w:t>10.5</w:t>
            </w:r>
            <w:bookmarkEnd w:id="126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Gains (losses) on hedging instruments</w:t>
            </w:r>
            <w:r>
              <w:rPr>
                <w:rFonts w:ascii="Times New Roman" w:hAnsi="Times New Roman"/>
                <w:b w:val="false"/>
                <w:i w:val="false"/>
                <w:color w:val="000000"/>
                <w:sz w:val="22"/>
              </w:rPr>
              <w:t xml:space="preserve"> </w:t>
            </w: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Foreign exchange contracts</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88" w:id="1261"/>
            <w:r>
              <w:rPr>
                <w:rFonts w:ascii="Arial" w:hAnsi="Arial"/>
                <w:b w:val="false"/>
                <w:i w:val="false"/>
                <w:color w:val="000000"/>
                <w:sz w:val="16"/>
              </w:rPr>
              <w:t>14.0</w:t>
            </w:r>
            <w:bookmarkEnd w:id="126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7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89" w:id="1262"/>
            <w:r>
              <w:rPr>
                <w:rFonts w:ascii="Arial" w:hAnsi="Arial"/>
                <w:b w:val="false"/>
                <w:i w:val="false"/>
                <w:color w:val="000000"/>
                <w:sz w:val="16"/>
              </w:rPr>
              <w:t>2.6</w:t>
            </w:r>
            <w:bookmarkEnd w:id="126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90" w:id="1263"/>
            <w:r>
              <w:rPr>
                <w:rFonts w:ascii="Arial" w:hAnsi="Arial"/>
                <w:b w:val="false"/>
                <w:i w:val="false"/>
                <w:color w:val="000000"/>
                <w:sz w:val="16"/>
              </w:rPr>
              <w:t>22.8</w:t>
            </w:r>
            <w:bookmarkEnd w:id="1263"/>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91" w:id="1264"/>
            <w:r>
              <w:rPr>
                <w:rFonts w:ascii="Arial" w:hAnsi="Arial"/>
                <w:b w:val="false"/>
                <w:i w:val="false"/>
                <w:color w:val="000000"/>
                <w:sz w:val="16"/>
              </w:rPr>
              <w:t>1.7</w:t>
            </w:r>
            <w:bookmarkEnd w:id="126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2" w:id="1265"/>
            <w:r>
              <w:rPr>
                <w:rFonts w:ascii="Arial" w:hAnsi="Arial"/>
                <w:b w:val="false"/>
                <w:i w:val="false"/>
                <w:color w:val="000000"/>
                <w:sz w:val="16"/>
              </w:rPr>
              <w:t>13.0</w:t>
            </w:r>
            <w:bookmarkEnd w:id="126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3" w:id="1266"/>
            <w:r>
              <w:rPr>
                <w:rFonts w:ascii="Arial" w:hAnsi="Arial"/>
                <w:b w:val="false"/>
                <w:i w:val="false"/>
                <w:color w:val="000000"/>
                <w:sz w:val="16"/>
              </w:rPr>
              <w:t>2.3</w:t>
            </w:r>
            <w:bookmarkEnd w:id="126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4" w:id="1267"/>
            <w:r>
              <w:rPr>
                <w:rFonts w:ascii="Arial" w:hAnsi="Arial"/>
                <w:b w:val="false"/>
                <w:i w:val="false"/>
                <w:color w:val="000000"/>
                <w:sz w:val="16"/>
              </w:rPr>
              <w:t>25.5</w:t>
            </w:r>
            <w:bookmarkEnd w:id="126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5" w:id="1268"/>
            <w:r>
              <w:rPr>
                <w:rFonts w:ascii="Arial" w:hAnsi="Arial"/>
                <w:b w:val="false"/>
                <w:i w:val="false"/>
                <w:color w:val="000000"/>
                <w:sz w:val="16"/>
              </w:rPr>
              <w:t>2.9</w:t>
            </w:r>
            <w:bookmarkEnd w:id="126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sales</w:t>
            </w:r>
            <w:r>
              <w:rPr>
                <w:rFonts w:ascii="Times New Roman" w:hAnsi="Times New Roman"/>
                <w:b w:val="false"/>
                <w:i w:val="false"/>
                <w:color w:val="000000"/>
                <w:sz w:val="22"/>
              </w:rPr>
              <w:t xml:space="preserve"> </w:t>
            </w:r>
          </w:p>
        </w:tc>
      </w:tr>
      <w:tr>
        <w:trPr/>
      </w:tr>
      <w:tr>
        <w:trPr>
          <w:trHeight w:val="330" w:hRule="atLeast"/>
        </w:trPr>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96" w:id="1269"/>
            <w:r>
              <w:rPr>
                <w:rFonts w:ascii="Arial" w:hAnsi="Arial"/>
                <w:b w:val="false"/>
                <w:i w:val="false"/>
                <w:color w:val="000000"/>
                <w:sz w:val="16"/>
              </w:rPr>
              <w:t>6.0</w:t>
            </w:r>
            <w:bookmarkEnd w:id="126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7" w:id="1270"/>
            <w:r>
              <w:rPr>
                <w:rFonts w:ascii="Arial" w:hAnsi="Arial"/>
                <w:b w:val="false"/>
                <w:i w:val="false"/>
                <w:color w:val="000000"/>
                <w:sz w:val="16"/>
              </w:rPr>
              <w:t>5.7</w:t>
            </w:r>
            <w:bookmarkEnd w:id="127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098" w:id="1271"/>
            <w:r>
              <w:rPr>
                <w:rFonts w:ascii="Arial" w:hAnsi="Arial"/>
                <w:b w:val="false"/>
                <w:i w:val="false"/>
                <w:color w:val="000000"/>
                <w:sz w:val="16"/>
              </w:rPr>
              <w:t>9.0</w:t>
            </w:r>
            <w:bookmarkEnd w:id="127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099" w:id="1272"/>
            <w:r>
              <w:rPr>
                <w:rFonts w:ascii="Arial" w:hAnsi="Arial"/>
                <w:b w:val="false"/>
                <w:i w:val="false"/>
                <w:color w:val="000000"/>
                <w:sz w:val="16"/>
              </w:rPr>
              <w:t>8.5</w:t>
            </w:r>
            <w:bookmarkEnd w:id="127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0" w:id="1273"/>
            <w:r>
              <w:rPr>
                <w:rFonts w:ascii="Arial" w:hAnsi="Arial"/>
                <w:b w:val="false"/>
                <w:i w:val="false"/>
                <w:color w:val="000000"/>
                <w:sz w:val="16"/>
              </w:rPr>
              <w:t>7.0</w:t>
            </w:r>
            <w:bookmarkEnd w:id="1273"/>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1" w:id="1274"/>
            <w:r>
              <w:rPr>
                <w:rFonts w:ascii="Arial" w:hAnsi="Arial"/>
                <w:b w:val="false"/>
                <w:i w:val="false"/>
                <w:color w:val="000000"/>
                <w:sz w:val="16"/>
              </w:rPr>
              <w:t>5.4</w:t>
            </w:r>
            <w:bookmarkEnd w:id="127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2" w:id="1275"/>
            <w:r>
              <w:rPr>
                <w:rFonts w:ascii="Arial" w:hAnsi="Arial"/>
                <w:b w:val="false"/>
                <w:i w:val="false"/>
                <w:color w:val="000000"/>
                <w:sz w:val="16"/>
              </w:rPr>
              <w:t>6.3</w:t>
            </w:r>
            <w:bookmarkEnd w:id="1275"/>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3" w:id="1276"/>
            <w:r>
              <w:rPr>
                <w:rFonts w:ascii="Arial" w:hAnsi="Arial"/>
                <w:b w:val="false"/>
                <w:i w:val="false"/>
                <w:color w:val="000000"/>
                <w:sz w:val="16"/>
              </w:rPr>
              <w:t>9.7</w:t>
            </w:r>
            <w:bookmarkEnd w:id="1276"/>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(loss) before income taxes</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4" w:id="1277"/>
            <w:r>
              <w:rPr>
                <w:rFonts w:ascii="Arial" w:hAnsi="Arial"/>
                <w:b w:val="false"/>
                <w:i w:val="false"/>
                <w:color w:val="000000"/>
                <w:sz w:val="16"/>
              </w:rPr>
              <w:t>2.2</w:t>
            </w:r>
            <w:bookmarkEnd w:id="1277"/>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5" w:id="1278"/>
            <w:r>
              <w:rPr>
                <w:rFonts w:ascii="Arial" w:hAnsi="Arial"/>
                <w:b w:val="false"/>
                <w:i w:val="false"/>
                <w:color w:val="000000"/>
                <w:sz w:val="16"/>
              </w:rPr>
              <w:t>1.7</w:t>
            </w:r>
            <w:bookmarkEnd w:id="127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6" w:id="1279"/>
            <w:r>
              <w:rPr>
                <w:rFonts w:ascii="Arial" w:hAnsi="Arial"/>
                <w:b w:val="false"/>
                <w:i w:val="false"/>
                <w:color w:val="000000"/>
                <w:sz w:val="16"/>
              </w:rPr>
              <w:t>0.8</w:t>
            </w:r>
            <w:bookmarkEnd w:id="127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7" w:id="1280"/>
            <w:r>
              <w:rPr>
                <w:rFonts w:ascii="Arial" w:hAnsi="Arial"/>
                <w:b w:val="false"/>
                <w:i w:val="false"/>
                <w:color w:val="000000"/>
                <w:sz w:val="16"/>
              </w:rPr>
              <w:t>2.9</w:t>
            </w:r>
            <w:bookmarkEnd w:id="128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(benefit) for income taxes</w:t>
            </w:r>
            <w:r>
              <w:rPr>
                <w:rFonts w:ascii="Times New Roman" w:hAnsi="Times New Roman"/>
                <w:b w:val="false"/>
                <w:i w:val="false"/>
                <w:color w:val="000000"/>
                <w:sz w:val="22"/>
              </w:rPr>
              <w:t xml:space="preserve"> </w:t>
            </w:r>
          </w:p>
        </w:tc>
      </w:tr>
      <w:tr>
        <w:trPr>
          <w:trHeight w:val="360" w:hRule="atLeast"/>
        </w:trPr>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08" w:id="1281"/>
            <w:r>
              <w:rPr>
                <w:rFonts w:ascii="Arial" w:hAnsi="Arial"/>
                <w:b w:val="false"/>
                <w:i w:val="false"/>
                <w:color w:val="000000"/>
                <w:sz w:val="16"/>
              </w:rPr>
              <w:t>4.8</w:t>
            </w:r>
            <w:bookmarkEnd w:id="1281"/>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74"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09" w:id="1282"/>
            <w:r>
              <w:rPr>
                <w:rFonts w:ascii="Arial" w:hAnsi="Arial"/>
                <w:b w:val="false"/>
                <w:i w:val="false"/>
                <w:color w:val="000000"/>
                <w:sz w:val="16"/>
              </w:rPr>
              <w:t>3.7</w:t>
            </w:r>
            <w:bookmarkEnd w:id="1282"/>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0" w:id="1283"/>
            <w:r>
              <w:rPr>
                <w:rFonts w:ascii="Arial" w:hAnsi="Arial"/>
                <w:b w:val="false"/>
                <w:i w:val="false"/>
                <w:color w:val="000000"/>
                <w:sz w:val="16"/>
              </w:rPr>
              <w:t>5.5</w:t>
            </w:r>
            <w:bookmarkEnd w:id="1283"/>
            <w:r>
              <w:rPr>
                <w:rFonts w:ascii="Arial" w:hAnsi="Arial"/>
                <w:b w:val="false"/>
                <w:i w:val="false"/>
                <w:color w:val="000000"/>
                <w:sz w:val="16"/>
              </w:rPr>
              <w:t xml:space="preserve"> )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11" w:id="1284"/>
            <w:r>
              <w:rPr>
                <w:rFonts w:ascii="Arial" w:hAnsi="Arial"/>
                <w:b w:val="false"/>
                <w:i w:val="false"/>
                <w:color w:val="000000"/>
                <w:sz w:val="16"/>
              </w:rPr>
              <w:t>6.8</w:t>
            </w:r>
            <w:bookmarkEnd w:id="1284"/>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(loss)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Pension and other post-retirement benefits</w:t>
            </w:r>
            <w:r>
              <w:rPr>
                <w:rFonts w:ascii="Times New Roman" w:hAnsi="Times New Roman"/>
                <w:b w:val="false"/>
                <w:i w:val="false"/>
                <w:color w:val="000000"/>
                <w:sz w:val="22"/>
              </w:rPr>
              <w:t xml:space="preserve"> </w:t>
            </w: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doub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Amortization of prior service credit (cost)</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12" w:id="1285"/>
            <w:r>
              <w:rPr>
                <w:rFonts w:ascii="Arial" w:hAnsi="Arial"/>
                <w:b w:val="false"/>
                <w:i w:val="false"/>
                <w:color w:val="000000"/>
                <w:sz w:val="16"/>
              </w:rPr>
              <w:t>—</w:t>
            </w:r>
            <w:bookmarkEnd w:id="128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7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13" w:id="1286"/>
            <w:r>
              <w:rPr>
                <w:rFonts w:ascii="Arial" w:hAnsi="Arial"/>
                <w:b w:val="false"/>
                <w:i w:val="false"/>
                <w:color w:val="000000"/>
                <w:sz w:val="16"/>
              </w:rPr>
              <w:t>—</w:t>
            </w:r>
            <w:bookmarkEnd w:id="128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4" w:id="1287"/>
            <w:r>
              <w:rPr>
                <w:rFonts w:ascii="Arial" w:hAnsi="Arial"/>
                <w:b w:val="false"/>
                <w:i w:val="false"/>
                <w:color w:val="000000"/>
                <w:sz w:val="16"/>
              </w:rPr>
              <w:t>0.1</w:t>
            </w:r>
            <w:bookmarkEnd w:id="1287"/>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5" w:id="1288"/>
            <w:r>
              <w:rPr>
                <w:rFonts w:ascii="Arial" w:hAnsi="Arial"/>
                <w:b w:val="false"/>
                <w:i w:val="false"/>
                <w:color w:val="000000"/>
                <w:sz w:val="16"/>
              </w:rPr>
              <w:t>0.1</w:t>
            </w:r>
            <w:bookmarkEnd w:id="128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Amortization of net actuarial loss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6" w:id="1289"/>
            <w:r>
              <w:rPr>
                <w:rFonts w:ascii="Arial" w:hAnsi="Arial"/>
                <w:b w:val="false"/>
                <w:i w:val="false"/>
                <w:color w:val="000000"/>
                <w:sz w:val="16"/>
              </w:rPr>
              <w:t>3.0</w:t>
            </w:r>
            <w:bookmarkEnd w:id="1289"/>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7" w:id="1290"/>
            <w:r>
              <w:rPr>
                <w:rFonts w:ascii="Arial" w:hAnsi="Arial"/>
                <w:b w:val="false"/>
                <w:i w:val="false"/>
                <w:color w:val="000000"/>
                <w:sz w:val="16"/>
              </w:rPr>
              <w:t>3.0</w:t>
            </w:r>
            <w:bookmarkEnd w:id="1290"/>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8" w:id="1291"/>
            <w:r>
              <w:rPr>
                <w:rFonts w:ascii="Arial" w:hAnsi="Arial"/>
                <w:b w:val="false"/>
                <w:i w:val="false"/>
                <w:color w:val="000000"/>
                <w:sz w:val="16"/>
              </w:rPr>
              <w:t>6.0</w:t>
            </w:r>
            <w:bookmarkEnd w:id="1291"/>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19" w:id="1292"/>
            <w:r>
              <w:rPr>
                <w:rFonts w:ascii="Arial" w:hAnsi="Arial"/>
                <w:b w:val="false"/>
                <w:i w:val="false"/>
                <w:color w:val="000000"/>
                <w:sz w:val="16"/>
              </w:rPr>
              <w:t>5.1</w:t>
            </w:r>
            <w:bookmarkEnd w:id="1292"/>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r>
      <w:tr>
        <w:trPr>
          <w:trHeight w:val="585" w:hRule="atLeast"/>
        </w:trPr>
        <w:tc>
          <w:tcPr>
            <w:tcW w:w="0" w:type="auto"/>
            <w:gridSpan w:val="3"/>
            <w:tcBorders/>
            <w:shd w:fill="ffffff"/>
            <w:tcMar>
              <w:top w:w="30" w:type="dxa"/>
              <w:left w:w="19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Reclassification adjustment for net gain included in net income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0" w:id="1293"/>
            <w:r>
              <w:rPr>
                <w:rFonts w:ascii="Arial" w:hAnsi="Arial"/>
                <w:b w:val="false"/>
                <w:i w:val="false"/>
                <w:color w:val="000000"/>
                <w:sz w:val="16"/>
              </w:rPr>
              <w:t>—</w:t>
            </w:r>
            <w:bookmarkEnd w:id="129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1" w:id="1294"/>
            <w:r>
              <w:rPr>
                <w:rFonts w:ascii="Arial" w:hAnsi="Arial"/>
                <w:b w:val="false"/>
                <w:i w:val="false"/>
                <w:color w:val="000000"/>
                <w:sz w:val="16"/>
              </w:rPr>
              <w:t>—</w:t>
            </w:r>
            <w:bookmarkEnd w:id="129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2" w:id="1295"/>
            <w:r>
              <w:rPr>
                <w:rFonts w:ascii="Arial" w:hAnsi="Arial"/>
                <w:b w:val="false"/>
                <w:i w:val="false"/>
                <w:color w:val="000000"/>
                <w:sz w:val="16"/>
              </w:rPr>
              <w:t>—</w:t>
            </w:r>
            <w:bookmarkEnd w:id="129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3" w:id="1296"/>
            <w:r>
              <w:rPr>
                <w:rFonts w:ascii="Arial" w:hAnsi="Arial"/>
                <w:b w:val="false"/>
                <w:i w:val="false"/>
                <w:color w:val="000000"/>
                <w:sz w:val="16"/>
              </w:rPr>
              <w:t>2.3</w:t>
            </w:r>
            <w:bookmarkEnd w:id="129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Other income (expense), net</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24" w:id="1297"/>
            <w:r>
              <w:rPr>
                <w:rFonts w:ascii="Arial" w:hAnsi="Arial"/>
                <w:b w:val="false"/>
                <w:i w:val="false"/>
                <w:color w:val="000000"/>
                <w:sz w:val="16"/>
              </w:rPr>
              <w:t>3.0</w:t>
            </w:r>
            <w:bookmarkEnd w:id="1297"/>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25" w:id="1298"/>
            <w:r>
              <w:rPr>
                <w:rFonts w:ascii="Arial" w:hAnsi="Arial"/>
                <w:b w:val="false"/>
                <w:i w:val="false"/>
                <w:color w:val="000000"/>
                <w:sz w:val="16"/>
              </w:rPr>
              <w:t>3.0</w:t>
            </w:r>
            <w:bookmarkEnd w:id="1298"/>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26" w:id="1299"/>
            <w:r>
              <w:rPr>
                <w:rFonts w:ascii="Arial" w:hAnsi="Arial"/>
                <w:b w:val="false"/>
                <w:i w:val="false"/>
                <w:color w:val="000000"/>
                <w:sz w:val="16"/>
              </w:rPr>
              <w:t>6.1</w:t>
            </w:r>
            <w:bookmarkEnd w:id="1299"/>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27" w:id="1300"/>
            <w:r>
              <w:rPr>
                <w:rFonts w:ascii="Arial" w:hAnsi="Arial"/>
                <w:b w:val="false"/>
                <w:i w:val="false"/>
                <w:color w:val="000000"/>
                <w:sz w:val="16"/>
              </w:rPr>
              <w:t>2.9</w:t>
            </w:r>
            <w:bookmarkEnd w:id="1300"/>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Loss before income taxes</w:t>
            </w:r>
            <w:r>
              <w:rPr>
                <w:rFonts w:ascii="Times New Roman" w:hAnsi="Times New Roman"/>
                <w:b w:val="false"/>
                <w:i w:val="false"/>
                <w:color w:val="000000"/>
                <w:sz w:val="22"/>
              </w:rPr>
              <w:t xml:space="preserve"> </w:t>
            </w:r>
          </w:p>
        </w:tc>
      </w:tr>
      <w:tr>
        <w:trPr>
          <w:trHeight w:val="330" w:hRule="atLeast"/>
        </w:trPr>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28" w:id="1301"/>
            <w:r>
              <w:rPr>
                <w:rFonts w:ascii="Arial" w:hAnsi="Arial"/>
                <w:b w:val="false"/>
                <w:i w:val="false"/>
                <w:color w:val="000000"/>
                <w:sz w:val="16"/>
              </w:rPr>
              <w:t>0.6</w:t>
            </w:r>
            <w:bookmarkEnd w:id="1301"/>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29" w:id="1302"/>
            <w:r>
              <w:rPr>
                <w:rFonts w:ascii="Arial" w:hAnsi="Arial"/>
                <w:b w:val="false"/>
                <w:i w:val="false"/>
                <w:color w:val="000000"/>
                <w:sz w:val="16"/>
              </w:rPr>
              <w:t>—</w:t>
            </w:r>
            <w:bookmarkEnd w:id="130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0" w:id="1303"/>
            <w:r>
              <w:rPr>
                <w:rFonts w:ascii="Arial" w:hAnsi="Arial"/>
                <w:b w:val="false"/>
                <w:i w:val="false"/>
                <w:color w:val="000000"/>
                <w:sz w:val="16"/>
              </w:rPr>
              <w:t>1.3</w:t>
            </w:r>
            <w:bookmarkEnd w:id="1303"/>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31" w:id="1304"/>
            <w:r>
              <w:rPr>
                <w:rFonts w:ascii="Arial" w:hAnsi="Arial"/>
                <w:b w:val="false"/>
                <w:i w:val="false"/>
                <w:color w:val="000000"/>
                <w:sz w:val="16"/>
              </w:rPr>
              <w:t>1.0</w:t>
            </w:r>
            <w:bookmarkEnd w:id="130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(benefit) for income taxes</w:t>
            </w:r>
            <w:r>
              <w:rPr>
                <w:rFonts w:ascii="Times New Roman" w:hAnsi="Times New Roman"/>
                <w:b w:val="false"/>
                <w:i w:val="false"/>
                <w:color w:val="000000"/>
                <w:sz w:val="22"/>
              </w:rPr>
              <w:t xml:space="preserve"> </w:t>
            </w:r>
          </w:p>
        </w:tc>
      </w:tr>
      <w:tr>
        <w:trPr>
          <w:trHeight w:val="360" w:hRule="atLeast"/>
        </w:trPr>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2" w:id="1305"/>
            <w:r>
              <w:rPr>
                <w:rFonts w:ascii="Arial" w:hAnsi="Arial"/>
                <w:b w:val="false"/>
                <w:i w:val="false"/>
                <w:color w:val="000000"/>
                <w:sz w:val="16"/>
              </w:rPr>
              <w:t>2.4</w:t>
            </w:r>
            <w:bookmarkEnd w:id="1305"/>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7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3" w:id="1306"/>
            <w:r>
              <w:rPr>
                <w:rFonts w:ascii="Arial" w:hAnsi="Arial"/>
                <w:b w:val="false"/>
                <w:i w:val="false"/>
                <w:color w:val="000000"/>
                <w:sz w:val="16"/>
              </w:rPr>
              <w:t>3.0</w:t>
            </w:r>
            <w:bookmarkEnd w:id="1306"/>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4" w:id="1307"/>
            <w:r>
              <w:rPr>
                <w:rFonts w:ascii="Arial" w:hAnsi="Arial"/>
                <w:b w:val="false"/>
                <w:i w:val="false"/>
                <w:color w:val="000000"/>
                <w:sz w:val="16"/>
              </w:rPr>
              <w:t>4.8</w:t>
            </w:r>
            <w:bookmarkEnd w:id="1307"/>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08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35" w:id="1308"/>
            <w:r>
              <w:rPr>
                <w:rFonts w:ascii="Arial" w:hAnsi="Arial"/>
                <w:b w:val="false"/>
                <w:i w:val="false"/>
                <w:color w:val="000000"/>
                <w:sz w:val="16"/>
              </w:rPr>
              <w:t>3.9</w:t>
            </w:r>
            <w:bookmarkEnd w:id="1308"/>
            <w:r>
              <w:rPr>
                <w:rFonts w:ascii="Arial" w:hAnsi="Arial"/>
                <w:b w:val="false"/>
                <w:i w:val="false"/>
                <w:color w:val="000000"/>
                <w:sz w:val="16"/>
              </w:rPr>
              <w:t xml:space="preserve"> )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loss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079" w:id="1309"/>
      <w:bookmarkEnd w:id="1309"/>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r>
        <w:rPr>
          <w:rFonts w:ascii="Arial" w:hAnsi="Arial"/>
          <w:b w:val="false"/>
          <w:i w:val="false"/>
          <w:color w:val="000000"/>
          <w:sz w:val="16"/>
        </w:rPr>
        <w:t>These accumulated other comprehensive income components are included in the computation of net periodic pension cost.</w:t>
      </w:r>
      <w:r>
        <w:rPr>
          <w:rFonts w:ascii="Times New Roman" w:hAnsi="Times New Roman"/>
          <w:b w:val="false"/>
          <w:i w:val="false"/>
          <w:color w:val="000000"/>
          <w:sz w:val="22"/>
        </w:rPr>
        <w:t xml:space="preserve"> </w:t>
      </w:r>
    </w:p>
    <w:p>
      <w:pPr>
        <w:spacing w:before="0" w:after="0"/>
        <w:ind w:left="120"/>
        <w:jc w:val="left"/>
      </w:pPr>
      <w:bookmarkStart w:name="f-1079" w:id="1310"/>
      <w:bookmarkEnd w:id="1310"/>
      <w:bookmarkStart w:name="f-962-2" w:id="1311"/>
      <w:bookmarkEnd w:id="1311"/>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21</w:t>
      </w:r>
      <w:r>
        <w:rPr>
          <w:rFonts w:ascii="Times New Roman" w:hAnsi="Times New Roman"/>
          <w:b w:val="false"/>
          <w:i w:val="false"/>
          <w:color w:val="000000"/>
          <w:sz w:val="22"/>
        </w:rPr>
        <w:t xml:space="preserve"> </w:t>
      </w:r>
    </w:p>
    <w:p>
      <w:pPr>
        <w:spacing w:before="0" w:after="0"/>
        <w:ind w:left="120"/>
        <w:jc w:val="left"/>
      </w:pPr>
    </w:p>
    <w:bookmarkStart w:name="if5bce3d3882148cf91b6563d87cc4db5_118" w:id="1312"/>
    <w:p>
      <w:pPr>
        <w:spacing w:before="0" w:after="0"/>
        <w:ind w:left="120"/>
        <w:jc w:val="left"/>
      </w:pPr>
    </w:p>
    <w:bookmarkEnd w:id="1312"/>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13. </w:t>
      </w:r>
      <w:bookmarkStart w:name="f-1136" w:id="1313"/>
      <w:r>
        <w:rPr>
          <w:rFonts w:ascii="Arial" w:hAnsi="Arial"/>
          <w:b/>
          <w:i w:val="false"/>
          <w:color w:val="000000"/>
          <w:sz w:val="20"/>
        </w:rPr>
        <w:t>SUPPLIER FINANCE PROGRAM OBLIGATIONS</w:t>
      </w:r>
      <w:bookmarkEnd w:id="1313"/>
      <w:r>
        <w:rPr>
          <w:rFonts w:ascii="Arial" w:hAnsi="Arial"/>
          <w:b/>
          <w:i w:val="false"/>
          <w:color w:val="000000"/>
          <w:sz w:val="20"/>
        </w:rPr>
        <w:t xml:space="preserve"> </w:t>
      </w:r>
    </w:p>
    <w:p>
      <w:pPr>
        <w:spacing w:before="0" w:after="0"/>
        <w:ind w:left="120"/>
        <w:jc w:val="left"/>
      </w:pPr>
      <w:bookmarkStart w:name="f-1136-1" w:id="1314"/>
      <w:bookmarkEnd w:id="131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facilitate a supply chain finance program (“SCF”) that is administered by a third-party financial institution, which allows qualifying suppliers to sell their receivables from the Company to the SCF bank. These participating suppliers negotiate their outstanding receivable(s) directly with the SCF bank. We are not a party to those agreements, and the terms of our payment obligations are not impacted by a supplier’s participation in the SCF. We agree to pay the SCF bank based on the original invoice amounts and maturity dates as consistent with our accounts payables.</w:t>
      </w:r>
      <w:r>
        <w:rPr>
          <w:rFonts w:ascii="Times New Roman" w:hAnsi="Times New Roman"/>
          <w:b w:val="false"/>
          <w:i w:val="false"/>
          <w:color w:val="000000"/>
          <w:sz w:val="22"/>
        </w:rPr>
        <w:t xml:space="preserve"> </w:t>
      </w:r>
    </w:p>
    <w:p>
      <w:pPr>
        <w:spacing w:before="0" w:after="0"/>
        <w:ind w:left="120"/>
        <w:jc w:val="left"/>
      </w:pPr>
      <w:bookmarkStart w:name="f-1136-1" w:id="1315"/>
      <w:bookmarkEnd w:id="1315"/>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All outstanding amounts related to suppliers participating in the SCF are recorded within accounts payable, trade in our condensed consolidated balance sheets, and the associated payments are included in operating activities within our condensed consolidated statements of cash flows. As of June 30, 2025 and December 31, 2024, the amounts due to suppliers participating in the SCF were $ </w:t>
      </w:r>
      <w:bookmarkStart w:name="f-1137" w:id="1316"/>
      <w:r>
        <w:rPr>
          <w:rFonts w:ascii="Arial" w:hAnsi="Arial"/>
          <w:b w:val="false"/>
          <w:i w:val="false"/>
          <w:color w:val="000000"/>
          <w:sz w:val="20"/>
        </w:rPr>
        <w:t>124.8</w:t>
      </w:r>
      <w:bookmarkEnd w:id="1316"/>
      <w:r>
        <w:rPr>
          <w:rFonts w:ascii="Arial" w:hAnsi="Arial"/>
          <w:b w:val="false"/>
          <w:i w:val="false"/>
          <w:color w:val="000000"/>
          <w:sz w:val="20"/>
        </w:rPr>
        <w:t xml:space="preserve"> million and $ </w:t>
      </w:r>
      <w:bookmarkStart w:name="f-1138" w:id="1317"/>
      <w:r>
        <w:rPr>
          <w:rFonts w:ascii="Arial" w:hAnsi="Arial"/>
          <w:b w:val="false"/>
          <w:i w:val="false"/>
          <w:color w:val="000000"/>
          <w:sz w:val="20"/>
        </w:rPr>
        <w:t>121.2</w:t>
      </w:r>
      <w:bookmarkEnd w:id="1317"/>
      <w:r>
        <w:rPr>
          <w:rFonts w:ascii="Arial" w:hAnsi="Arial"/>
          <w:b w:val="false"/>
          <w:i w:val="false"/>
          <w:color w:val="000000"/>
          <w:sz w:val="20"/>
        </w:rPr>
        <w:t xml:space="preserve"> million, respectively. </w:t>
      </w:r>
    </w:p>
    <w:p>
      <w:pPr>
        <w:spacing w:before="0" w:after="0"/>
        <w:ind w:left="120"/>
        <w:jc w:val="left"/>
      </w:pPr>
      <w:bookmarkStart w:name="f-1136-1" w:id="1318"/>
      <w:bookmarkEnd w:id="1318"/>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21" w:id="1319"/>
    <w:p>
      <w:pPr>
        <w:spacing w:before="0" w:after="0"/>
        <w:ind w:left="120"/>
        <w:jc w:val="left"/>
      </w:pPr>
    </w:p>
    <w:bookmarkEnd w:id="1319"/>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14. </w:t>
      </w:r>
      <w:bookmarkStart w:name="f-1139" w:id="1320"/>
      <w:r>
        <w:rPr>
          <w:rFonts w:ascii="Arial" w:hAnsi="Arial"/>
          <w:b/>
          <w:i w:val="false"/>
          <w:color w:val="000000"/>
          <w:sz w:val="20"/>
        </w:rPr>
        <w:t>COMMITMENTS AND CONTINGENT LIABILITIES</w:t>
      </w:r>
      <w:bookmarkEnd w:id="1320"/>
      <w:r>
        <w:rPr>
          <w:rFonts w:ascii="Arial" w:hAnsi="Arial"/>
          <w:b/>
          <w:i w:val="false"/>
          <w:color w:val="000000"/>
          <w:sz w:val="20"/>
        </w:rPr>
        <w:t xml:space="preserve"> </w:t>
      </w:r>
    </w:p>
    <w:p>
      <w:pPr>
        <w:spacing w:before="0" w:after="0"/>
        <w:ind w:left="120"/>
        <w:jc w:val="left"/>
      </w:pPr>
      <w:bookmarkStart w:name="f-1139-1" w:id="1321"/>
      <w:bookmarkEnd w:id="1321"/>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Contingent liabilities associated with guarantees -</w:t>
      </w:r>
      <w:r>
        <w:rPr>
          <w:rFonts w:ascii="Times New Roman" w:hAnsi="Times New Roman"/>
          <w:b w:val="false"/>
          <w:i w:val="false"/>
          <w:color w:val="000000"/>
          <w:sz w:val="22"/>
        </w:rPr>
        <w:t xml:space="preserve"> </w:t>
      </w:r>
      <w:r>
        <w:rPr>
          <w:rFonts w:ascii="Arial" w:hAnsi="Arial"/>
          <w:b w:val="false"/>
          <w:i w:val="false"/>
          <w:color w:val="000000"/>
          <w:sz w:val="20"/>
        </w:rPr>
        <w:t xml:space="preserve">In the ordinary course of business, we enter into standby letters of credit, performance bonds, surety bonds, and other guarantees with financial institutions for the benefit of our customers, vendors, and other parties. The majority of these financial instruments expire within </w:t>
      </w:r>
      <w:bookmarkStart w:name="f-1140" w:id="1322"/>
      <w:r>
        <w:rPr>
          <w:rFonts w:ascii="Arial" w:hAnsi="Arial"/>
          <w:b w:val="false"/>
          <w:i w:val="false"/>
          <w:color w:val="000000"/>
          <w:sz w:val="20"/>
        </w:rPr>
        <w:t>five years</w:t>
      </w:r>
      <w:bookmarkEnd w:id="1322"/>
      <w:r>
        <w:rPr>
          <w:rFonts w:ascii="Arial" w:hAnsi="Arial"/>
          <w:b w:val="false"/>
          <w:i w:val="false"/>
          <w:color w:val="000000"/>
          <w:sz w:val="20"/>
        </w:rPr>
        <w:t xml:space="preserve"> . Management does not expect any of these financial instruments to result in losses that would have a material adverse effect on our condensed consolidated financial position, results of operations or cash flows. </w:t>
      </w:r>
    </w:p>
    <w:p>
      <w:pPr>
        <w:spacing w:before="0" w:after="0"/>
        <w:ind w:left="120"/>
        <w:jc w:val="left"/>
      </w:pPr>
      <w:bookmarkStart w:name="f-1139-1" w:id="1323"/>
      <w:bookmarkEnd w:id="1323"/>
      <w:bookmarkStart w:name="f-1141" w:id="1324"/>
      <w:bookmarkEnd w:id="132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Guarantees made by our consolidated subsidiaries consisted of the following:</w:t>
      </w:r>
      <w:r>
        <w:rPr>
          <w:rFonts w:ascii="Times New Roman" w:hAnsi="Times New Roman"/>
          <w:b w:val="false"/>
          <w:i w:val="false"/>
          <w:color w:val="000000"/>
          <w:sz w:val="22"/>
        </w:rPr>
        <w:t xml:space="preserve"> </w:t>
      </w:r>
    </w:p>
    <w:p>
      <w:pPr>
        <w:spacing w:before="0" w:after="0"/>
        <w:ind w:left="120"/>
        <w:jc w:val="left"/>
      </w:pPr>
      <w:bookmarkStart w:name="f-1141" w:id="1325"/>
      <w:bookmarkEnd w:id="1325"/>
    </w:p>
    <w:p>
      <w:pPr>
        <w:spacing w:before="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01"/>
        <w:gridCol w:w="9211"/>
        <w:gridCol w:w="506"/>
        <w:gridCol w:w="146"/>
        <w:gridCol w:w="1448"/>
        <w:gridCol w:w="40"/>
        <w:gridCol w:w="40"/>
        <w:gridCol w:w="40"/>
        <w:gridCol w:w="40"/>
        <w:gridCol w:w="155"/>
        <w:gridCol w:w="1464"/>
        <w:gridCol w:w="43"/>
      </w:tblGrid>
      <w:tr>
        <w:trPr>
          <w:trHeight w:val="30" w:hRule="atLeast"/>
        </w:trPr>
        <w:tc>
          <w:tcPr>
            <w:tcW w:w="501" w:type="dxa"/>
            <w:tcBorders/>
            <w:tcMar>
              <w:top w:w="15" w:type="dxa"/>
              <w:left w:w="15" w:type="dxa"/>
              <w:bottom w:w="15" w:type="dxa"/>
              <w:right w:w="15" w:type="dxa"/>
            </w:tcMar>
            <w:vAlign w:val="center"/>
          </w:tcPr>
          <w:p/>
        </w:tc>
        <w:tc>
          <w:tcPr>
            <w:tcW w:w="9211" w:type="dxa"/>
            <w:tcBorders/>
            <w:tcMar>
              <w:top w:w="15" w:type="dxa"/>
              <w:left w:w="15" w:type="dxa"/>
              <w:bottom w:w="15" w:type="dxa"/>
              <w:right w:w="15" w:type="dxa"/>
            </w:tcMar>
            <w:vAlign w:val="center"/>
          </w:tcPr>
          <w:p/>
        </w:tc>
        <w:tc>
          <w:tcPr>
            <w:tcW w:w="506"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4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464"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Financial guarantees</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2" w:id="1326"/>
            <w:r>
              <w:rPr>
                <w:rFonts w:ascii="Arial" w:hAnsi="Arial"/>
                <w:b w:val="false"/>
                <w:i w:val="false"/>
                <w:color w:val="000000"/>
                <w:sz w:val="16"/>
              </w:rPr>
              <w:t>152.5</w:t>
            </w:r>
            <w:bookmarkEnd w:id="1326"/>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3" w:id="1327"/>
            <w:r>
              <w:rPr>
                <w:rFonts w:ascii="Arial" w:hAnsi="Arial"/>
                <w:b w:val="false"/>
                <w:i w:val="false"/>
                <w:color w:val="000000"/>
                <w:sz w:val="16"/>
              </w:rPr>
              <w:t>134.8</w:t>
            </w:r>
            <w:bookmarkEnd w:id="1327"/>
            <w:r>
              <w:rPr>
                <w:rFonts w:ascii="Arial" w:hAnsi="Arial"/>
                <w:b w:val="false"/>
                <w:i w:val="false"/>
                <w:color w:val="000000"/>
                <w:sz w:val="16"/>
              </w:rPr>
              <w:t xml:space="preserve">   </w:t>
            </w:r>
          </w:p>
        </w:tc>
        <w:tc>
          <w:tcPr>
            <w:tcW w:w="43"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Performance guarantees</w:t>
            </w:r>
            <w:r>
              <w:rPr>
                <w:rFonts w:ascii="Times New Roman" w:hAnsi="Times New Roman"/>
                <w:b w:val="false"/>
                <w:i w:val="false"/>
                <w:color w:val="000000"/>
                <w:sz w:val="22"/>
              </w:rPr>
              <w:t xml:space="preserve"> </w:t>
            </w:r>
            <w:r>
              <w:rPr>
                <w:rFonts w:ascii="Arial" w:hAnsi="Arial"/>
                <w:b/>
                <w:i w:val="false"/>
                <w:color w:val="000000"/>
                <w:sz w:val="10"/>
              </w:rPr>
              <w:t>(b)</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4" w:id="1328"/>
            <w:r>
              <w:rPr>
                <w:rFonts w:ascii="Arial" w:hAnsi="Arial"/>
                <w:b w:val="false"/>
                <w:i w:val="false"/>
                <w:color w:val="000000"/>
                <w:sz w:val="16"/>
              </w:rPr>
              <w:t>2,043.2</w:t>
            </w:r>
            <w:bookmarkEnd w:id="132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5" w:id="1329"/>
            <w:r>
              <w:rPr>
                <w:rFonts w:ascii="Arial" w:hAnsi="Arial"/>
                <w:b w:val="false"/>
                <w:i w:val="false"/>
                <w:color w:val="000000"/>
                <w:sz w:val="16"/>
              </w:rPr>
              <w:t>1,868.1</w:t>
            </w:r>
            <w:bookmarkEnd w:id="1329"/>
            <w:r>
              <w:rPr>
                <w:rFonts w:ascii="Arial" w:hAnsi="Arial"/>
                <w:b w:val="false"/>
                <w:i w:val="false"/>
                <w:color w:val="000000"/>
                <w:sz w:val="16"/>
              </w:rPr>
              <w:t xml:space="preserve">   </w:t>
            </w:r>
          </w:p>
        </w:tc>
        <w:tc>
          <w:tcPr>
            <w:tcW w:w="43"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Maximum potential undiscounted payments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4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6" w:id="1330"/>
            <w:r>
              <w:rPr>
                <w:rFonts w:ascii="Arial" w:hAnsi="Arial"/>
                <w:b w:val="false"/>
                <w:i w:val="false"/>
                <w:color w:val="000000"/>
                <w:sz w:val="16"/>
              </w:rPr>
              <w:t>2,195.7</w:t>
            </w:r>
            <w:bookmarkEnd w:id="1330"/>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47" w:id="1331"/>
            <w:r>
              <w:rPr>
                <w:rFonts w:ascii="Arial" w:hAnsi="Arial"/>
                <w:b w:val="false"/>
                <w:i w:val="false"/>
                <w:color w:val="000000"/>
                <w:sz w:val="16"/>
              </w:rPr>
              <w:t>2,002.9</w:t>
            </w:r>
            <w:bookmarkEnd w:id="1331"/>
            <w:r>
              <w:rPr>
                <w:rFonts w:ascii="Arial" w:hAnsi="Arial"/>
                <w:b w:val="false"/>
                <w:i w:val="false"/>
                <w:color w:val="000000"/>
                <w:sz w:val="16"/>
              </w:rPr>
              <w:t xml:space="preserve">   </w:t>
            </w:r>
          </w:p>
        </w:tc>
        <w:tc>
          <w:tcPr>
            <w:tcW w:w="43"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141" w:id="1332"/>
      <w:bookmarkEnd w:id="1332"/>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r>
        <w:rPr>
          <w:rFonts w:ascii="Arial" w:hAnsi="Arial"/>
          <w:b w:val="false"/>
          <w:i w:val="false"/>
          <w:color w:val="000000"/>
          <w:sz w:val="16"/>
        </w:rPr>
        <w:t>Financial guarantees represent contracts that contingently require a guarantor to make payments to a guaranteed party based on changes in an underlying agreement that is related to an asset, a liability, or an equity security of the guaranteed party. These tend to be drawn down only if there is a failure to fulfill our financial obligations.</w:t>
      </w:r>
      <w:r>
        <w:rPr>
          <w:rFonts w:ascii="Times New Roman" w:hAnsi="Times New Roman"/>
          <w:b w:val="false"/>
          <w:i w:val="false"/>
          <w:color w:val="000000"/>
          <w:sz w:val="22"/>
        </w:rPr>
        <w:t xml:space="preserve"> </w:t>
      </w:r>
    </w:p>
    <w:p>
      <w:pPr>
        <w:spacing w:before="0" w:after="0"/>
        <w:ind w:left="120"/>
        <w:jc w:val="left"/>
      </w:pPr>
      <w:bookmarkStart w:name="f-1141" w:id="1333"/>
      <w:bookmarkEnd w:id="1333"/>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(b)</w:t>
      </w:r>
      <w:r>
        <w:rPr>
          <w:rFonts w:ascii="Times New Roman" w:hAnsi="Times New Roman"/>
          <w:b w:val="false"/>
          <w:i w:val="false"/>
          <w:color w:val="000000"/>
          <w:sz w:val="22"/>
        </w:rPr>
        <w:t xml:space="preserve"> </w:t>
      </w:r>
      <w:r>
        <w:rPr>
          <w:rFonts w:ascii="Arial" w:hAnsi="Arial"/>
          <w:b w:val="false"/>
          <w:i w:val="false"/>
          <w:color w:val="000000"/>
          <w:sz w:val="16"/>
        </w:rPr>
        <w:t>Performance guarantees represent contracts that contingently require a guarantor to make payments to a guaranteed party based on another entity's failure to perform under a non-financial obligating agreement. Events that trigger payment are performance-related, such as failure to ship a product or provide a service.</w:t>
      </w:r>
      <w:r>
        <w:rPr>
          <w:rFonts w:ascii="Times New Roman" w:hAnsi="Times New Roman"/>
          <w:b w:val="false"/>
          <w:i w:val="false"/>
          <w:color w:val="000000"/>
          <w:sz w:val="22"/>
        </w:rPr>
        <w:t xml:space="preserve"> </w:t>
      </w:r>
    </w:p>
    <w:p>
      <w:pPr>
        <w:spacing w:before="0" w:after="0"/>
        <w:ind w:left="120"/>
        <w:jc w:val="left"/>
      </w:pPr>
      <w:bookmarkStart w:name="f-1141" w:id="1334"/>
      <w:bookmarkEnd w:id="1334"/>
      <w:bookmarkStart w:name="f-1139-1" w:id="1335"/>
      <w:bookmarkEnd w:id="133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believe the ultimate resolution of our known contingencies will not materially adversely affect our</w:t>
      </w:r>
      <w:r>
        <w:rPr>
          <w:rFonts w:ascii="Times New Roman" w:hAnsi="Times New Roman"/>
          <w:b w:val="false"/>
          <w:i w:val="false"/>
          <w:color w:val="000000"/>
          <w:sz w:val="22"/>
        </w:rPr>
        <w:t xml:space="preserve"> </w:t>
      </w:r>
      <w:r>
        <w:rPr>
          <w:rFonts w:ascii="Arial" w:hAnsi="Arial"/>
          <w:b w:val="false"/>
          <w:i w:val="false"/>
          <w:color w:val="000000"/>
          <w:sz w:val="20"/>
          <w:shd w:fill="ffffff"/>
        </w:rPr>
        <w:t>condensed</w:t>
      </w:r>
      <w:r>
        <w:rPr>
          <w:rFonts w:ascii="Times New Roman" w:hAnsi="Times New Roman"/>
          <w:b w:val="false"/>
          <w:i w:val="false"/>
          <w:color w:val="000000"/>
          <w:sz w:val="22"/>
        </w:rPr>
        <w:t xml:space="preserve"> </w:t>
      </w:r>
      <w:r>
        <w:rPr>
          <w:rFonts w:ascii="Arial" w:hAnsi="Arial"/>
          <w:b w:val="false"/>
          <w:i w:val="false"/>
          <w:color w:val="000000"/>
          <w:sz w:val="20"/>
        </w:rPr>
        <w:t>consolidated financial position, results of operations, or cash flows.</w:t>
      </w:r>
      <w:r>
        <w:rPr>
          <w:rFonts w:ascii="Times New Roman" w:hAnsi="Times New Roman"/>
          <w:b w:val="false"/>
          <w:i w:val="false"/>
          <w:color w:val="000000"/>
          <w:sz w:val="22"/>
        </w:rPr>
        <w:t xml:space="preserve"> </w:t>
      </w:r>
    </w:p>
    <w:p>
      <w:pPr>
        <w:spacing w:before="0" w:after="0"/>
        <w:ind w:left="120"/>
        <w:jc w:val="left"/>
      </w:pPr>
      <w:bookmarkStart w:name="f-1139-1" w:id="1336"/>
      <w:bookmarkEnd w:id="1336"/>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Contingent liabilities associated with legal and tax matters -</w:t>
      </w:r>
      <w:r>
        <w:rPr>
          <w:rFonts w:ascii="Times New Roman" w:hAnsi="Times New Roman"/>
          <w:b w:val="false"/>
          <w:i w:val="false"/>
          <w:color w:val="000000"/>
          <w:sz w:val="22"/>
        </w:rPr>
        <w:t xml:space="preserve"> </w:t>
      </w:r>
      <w:r>
        <w:rPr>
          <w:rFonts w:ascii="Arial" w:hAnsi="Arial"/>
          <w:b w:val="false"/>
          <w:i w:val="false"/>
          <w:color w:val="000000"/>
          <w:sz w:val="20"/>
        </w:rPr>
        <w:t>We are involved in various pending or potential legal and tax actions or disputes in the ordinary course of our business. These actions and disputes can involve our agents, suppliers, clients, and venture partners, and can include claims related to payment of fees, service quality, and ownership arrangements, including certain put or call options. We are unable to predict the ultimate outcome of these actions because of their inherent uncertainty. However, we believe that the most probable, ultimate resolution of these matters will not have a material adverse effect on our condensed consolidated financial position, results of operations, or cash flows.</w:t>
      </w:r>
      <w:r>
        <w:rPr>
          <w:rFonts w:ascii="Times New Roman" w:hAnsi="Times New Roman"/>
          <w:b w:val="false"/>
          <w:i w:val="false"/>
          <w:color w:val="000000"/>
          <w:sz w:val="22"/>
        </w:rPr>
        <w:t xml:space="preserve"> </w:t>
      </w:r>
    </w:p>
    <w:p>
      <w:pPr>
        <w:spacing w:before="0" w:after="0"/>
        <w:ind w:left="120"/>
        <w:jc w:val="left"/>
      </w:pPr>
      <w:bookmarkStart w:name="f-1139-1" w:id="1337"/>
      <w:bookmarkEnd w:id="1337"/>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Contingent liabilities associated with liquidated damages</w:t>
      </w:r>
      <w:r>
        <w:rPr>
          <w:rFonts w:ascii="Times New Roman" w:hAnsi="Times New Roman"/>
          <w:b w:val="false"/>
          <w:i w:val="false"/>
          <w:color w:val="000000"/>
          <w:sz w:val="22"/>
        </w:rPr>
        <w:t xml:space="preserve"> </w:t>
      </w:r>
      <w:r>
        <w:rPr>
          <w:rFonts w:ascii="Arial" w:hAnsi="Arial"/>
          <w:b w:val="false"/>
          <w:i w:val="false"/>
          <w:color w:val="000000"/>
          <w:sz w:val="20"/>
        </w:rPr>
        <w:t>- Some of our contracts contain provisions that require us to pay liquidated damages if we are responsible for the failure to meet specified contractual milestone dates and the applicable customer asserts a conforming claim under these provisions. These contracts define the conditions under which our customers may make claims against us for liquidated damages. Based upon the evaluation of our performance and other commercial and legal analysis, management believes we have appropriately recognized probable liquidated damages as of June 30, 2025 and December 31, 2024, and that the ultimate resolution of such matters will not materially affect our condensed consolidated financial position, results of operations, or cash flows.</w:t>
      </w:r>
      <w:r>
        <w:rPr>
          <w:rFonts w:ascii="Times New Roman" w:hAnsi="Times New Roman"/>
          <w:b w:val="false"/>
          <w:i w:val="false"/>
          <w:color w:val="000000"/>
          <w:sz w:val="22"/>
        </w:rPr>
        <w:t xml:space="preserve"> </w:t>
      </w:r>
    </w:p>
    <w:p>
      <w:pPr>
        <w:spacing w:before="0" w:after="0"/>
        <w:ind w:left="120"/>
        <w:jc w:val="left"/>
      </w:pPr>
      <w:bookmarkStart w:name="f-1139-1" w:id="1338"/>
      <w:bookmarkEnd w:id="1338"/>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22</w:t>
      </w:r>
      <w:r>
        <w:rPr>
          <w:rFonts w:ascii="Times New Roman" w:hAnsi="Times New Roman"/>
          <w:b w:val="false"/>
          <w:i w:val="false"/>
          <w:color w:val="000000"/>
          <w:sz w:val="22"/>
        </w:rPr>
        <w:t xml:space="preserve"> </w:t>
      </w:r>
    </w:p>
    <w:p>
      <w:pPr>
        <w:spacing w:before="0" w:after="0"/>
        <w:ind w:left="120"/>
        <w:jc w:val="left"/>
      </w:pPr>
    </w:p>
    <w:bookmarkStart w:name="if5bce3d3882148cf91b6563d87cc4db5_124" w:id="1339"/>
    <w:p>
      <w:pPr>
        <w:spacing w:before="0" w:after="0"/>
        <w:ind w:left="120"/>
        <w:jc w:val="left"/>
      </w:pPr>
    </w:p>
    <w:bookmarkEnd w:id="1339"/>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15. </w:t>
      </w:r>
      <w:bookmarkStart w:name="f-1148" w:id="1340"/>
      <w:r>
        <w:rPr>
          <w:rFonts w:ascii="Arial" w:hAnsi="Arial"/>
          <w:b/>
          <w:i w:val="false"/>
          <w:color w:val="000000"/>
          <w:sz w:val="20"/>
        </w:rPr>
        <w:t>INCOME TAXES</w:t>
      </w:r>
      <w:bookmarkEnd w:id="1340"/>
      <w:r>
        <w:rPr>
          <w:rFonts w:ascii="Arial" w:hAnsi="Arial"/>
          <w:b/>
          <w:i w:val="false"/>
          <w:color w:val="000000"/>
          <w:sz w:val="20"/>
        </w:rPr>
        <w:t xml:space="preserve"> </w:t>
      </w:r>
    </w:p>
    <w:p>
      <w:pPr>
        <w:spacing w:before="0" w:after="0"/>
        <w:ind w:left="120"/>
        <w:jc w:val="left"/>
      </w:pPr>
      <w:bookmarkStart w:name="f-1148-1" w:id="1341"/>
      <w:bookmarkEnd w:id="1341"/>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The provision for income taxes for the three months ended June 30, 2025 and 2024 was $ </w:t>
      </w:r>
      <w:bookmarkStart w:name="f-1149" w:id="1342"/>
      <w:r>
        <w:rPr>
          <w:rFonts w:ascii="Arial" w:hAnsi="Arial"/>
          <w:b w:val="false"/>
          <w:i w:val="false"/>
          <w:color w:val="000000"/>
          <w:sz w:val="20"/>
        </w:rPr>
        <w:t>106.5</w:t>
      </w:r>
      <w:bookmarkEnd w:id="1342"/>
      <w:r>
        <w:rPr>
          <w:rFonts w:ascii="Arial" w:hAnsi="Arial"/>
          <w:b w:val="false"/>
          <w:i w:val="false"/>
          <w:color w:val="000000"/>
          <w:sz w:val="20"/>
        </w:rPr>
        <w:t xml:space="preserve"> million and $ </w:t>
      </w:r>
      <w:bookmarkStart w:name="f-1150" w:id="1343"/>
      <w:r>
        <w:rPr>
          <w:rFonts w:ascii="Arial" w:hAnsi="Arial"/>
          <w:b w:val="false"/>
          <w:i w:val="false"/>
          <w:color w:val="000000"/>
          <w:sz w:val="20"/>
        </w:rPr>
        <w:t>59.2</w:t>
      </w:r>
      <w:bookmarkEnd w:id="1343"/>
      <w:r>
        <w:rPr>
          <w:rFonts w:ascii="Arial" w:hAnsi="Arial"/>
          <w:b w:val="false"/>
          <w:i w:val="false"/>
          <w:color w:val="000000"/>
          <w:sz w:val="20"/>
        </w:rPr>
        <w:t xml:space="preserve"> million, respectively, resulting in effective tax rates of </w:t>
      </w:r>
      <w:bookmarkStart w:name="f-1151" w:id="1344"/>
      <w:r>
        <w:rPr>
          <w:rFonts w:ascii="Arial" w:hAnsi="Arial"/>
          <w:b w:val="false"/>
          <w:i w:val="false"/>
          <w:color w:val="000000"/>
          <w:sz w:val="20"/>
        </w:rPr>
        <w:t>28.4</w:t>
      </w:r>
      <w:bookmarkEnd w:id="1344"/>
      <w:r>
        <w:rPr>
          <w:rFonts w:ascii="Arial" w:hAnsi="Arial"/>
          <w:b w:val="false"/>
          <w:i w:val="false"/>
          <w:color w:val="000000"/>
          <w:sz w:val="20"/>
        </w:rPr>
        <w:t xml:space="preserve"> % and </w:t>
      </w:r>
      <w:bookmarkStart w:name="f-1152" w:id="1345"/>
      <w:r>
        <w:rPr>
          <w:rFonts w:ascii="Arial" w:hAnsi="Arial"/>
          <w:b w:val="false"/>
          <w:i w:val="false"/>
          <w:color w:val="000000"/>
          <w:sz w:val="20"/>
        </w:rPr>
        <w:t>24.1</w:t>
      </w:r>
      <w:bookmarkEnd w:id="1345"/>
      <w:r>
        <w:rPr>
          <w:rFonts w:ascii="Arial" w:hAnsi="Arial"/>
          <w:b w:val="false"/>
          <w:i w:val="false"/>
          <w:color w:val="000000"/>
          <w:sz w:val="20"/>
        </w:rPr>
        <w:t xml:space="preserve"> %, respectively. </w:t>
      </w:r>
    </w:p>
    <w:p>
      <w:pPr>
        <w:spacing w:before="0" w:after="0"/>
        <w:ind w:left="120"/>
        <w:jc w:val="left"/>
      </w:pPr>
      <w:bookmarkStart w:name="f-1148-1" w:id="1346"/>
      <w:bookmarkEnd w:id="134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The provision for income taxes for the six months ended June 30, 2025 and 2024 was $ </w:t>
      </w:r>
      <w:bookmarkStart w:name="f-1153" w:id="1347"/>
      <w:r>
        <w:rPr>
          <w:rFonts w:ascii="Arial" w:hAnsi="Arial"/>
          <w:b w:val="false"/>
          <w:i w:val="false"/>
          <w:color w:val="000000"/>
          <w:sz w:val="20"/>
        </w:rPr>
        <w:t>193.5</w:t>
      </w:r>
      <w:bookmarkEnd w:id="1347"/>
      <w:r>
        <w:rPr>
          <w:rFonts w:ascii="Arial" w:hAnsi="Arial"/>
          <w:b w:val="false"/>
          <w:i w:val="false"/>
          <w:color w:val="000000"/>
          <w:sz w:val="20"/>
        </w:rPr>
        <w:t xml:space="preserve"> million and $ </w:t>
      </w:r>
      <w:bookmarkStart w:name="f-1154" w:id="1348"/>
      <w:r>
        <w:rPr>
          <w:rFonts w:ascii="Arial" w:hAnsi="Arial"/>
          <w:b w:val="false"/>
          <w:i w:val="false"/>
          <w:color w:val="000000"/>
          <w:sz w:val="20"/>
        </w:rPr>
        <w:t>108.9</w:t>
      </w:r>
      <w:bookmarkEnd w:id="1348"/>
      <w:r>
        <w:rPr>
          <w:rFonts w:ascii="Arial" w:hAnsi="Arial"/>
          <w:b w:val="false"/>
          <w:i w:val="false"/>
          <w:color w:val="000000"/>
          <w:sz w:val="20"/>
        </w:rPr>
        <w:t xml:space="preserve"> million, respectively, resulting in effective tax rates of </w:t>
      </w:r>
      <w:bookmarkStart w:name="f-1155" w:id="1349"/>
      <w:r>
        <w:rPr>
          <w:rFonts w:ascii="Arial" w:hAnsi="Arial"/>
          <w:b w:val="false"/>
          <w:i w:val="false"/>
          <w:color w:val="000000"/>
          <w:sz w:val="20"/>
        </w:rPr>
        <w:t>32.0</w:t>
      </w:r>
      <w:bookmarkEnd w:id="1349"/>
      <w:r>
        <w:rPr>
          <w:rFonts w:ascii="Arial" w:hAnsi="Arial"/>
          <w:b w:val="false"/>
          <w:i w:val="false"/>
          <w:color w:val="000000"/>
          <w:sz w:val="20"/>
        </w:rPr>
        <w:t xml:space="preserve"> % and </w:t>
      </w:r>
      <w:bookmarkStart w:name="f-1156" w:id="1350"/>
      <w:r>
        <w:rPr>
          <w:rFonts w:ascii="Arial" w:hAnsi="Arial"/>
          <w:b w:val="false"/>
          <w:i w:val="false"/>
          <w:color w:val="000000"/>
          <w:sz w:val="20"/>
        </w:rPr>
        <w:t>23.9</w:t>
      </w:r>
      <w:bookmarkEnd w:id="1350"/>
      <w:r>
        <w:rPr>
          <w:rFonts w:ascii="Arial" w:hAnsi="Arial"/>
          <w:b w:val="false"/>
          <w:i w:val="false"/>
          <w:color w:val="000000"/>
          <w:sz w:val="20"/>
        </w:rPr>
        <w:t xml:space="preserve"> %, respectively. The increase in the effective tax rate was largely due to the change in geographical profit mix year-over-year in addition to accruals for uncertain tax positions and taxes on undistributed earnings. </w:t>
      </w:r>
    </w:p>
    <w:p>
      <w:pPr>
        <w:spacing w:before="0" w:after="0"/>
        <w:ind w:left="120"/>
        <w:jc w:val="left"/>
      </w:pPr>
      <w:bookmarkStart w:name="f-1148-1" w:id="1351"/>
      <w:bookmarkEnd w:id="1351"/>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Our effective tax rate can fluctuate depending on our country mix of earnings, since our foreign earnings are generally subject to higher tax rates than in the United Kingdom.</w:t>
      </w:r>
      <w:r>
        <w:rPr>
          <w:rFonts w:ascii="Times New Roman" w:hAnsi="Times New Roman"/>
          <w:b w:val="false"/>
          <w:i w:val="false"/>
          <w:color w:val="000000"/>
          <w:sz w:val="22"/>
        </w:rPr>
        <w:t xml:space="preserve"> </w:t>
      </w:r>
    </w:p>
    <w:p>
      <w:pPr>
        <w:spacing w:before="0" w:after="0"/>
        <w:ind w:left="120"/>
        <w:jc w:val="left"/>
      </w:pPr>
      <w:bookmarkStart w:name="f-1148-1" w:id="1352"/>
      <w:bookmarkEnd w:id="1352"/>
    </w:p>
    <w:bookmarkStart w:name="if5bce3d3882148cf91b6563d87cc4db5_127" w:id="1353"/>
    <w:p>
      <w:pPr>
        <w:spacing w:before="0" w:after="0"/>
        <w:ind w:left="120"/>
        <w:jc w:val="left"/>
      </w:pPr>
    </w:p>
    <w:bookmarkEnd w:id="1353"/>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16. </w:t>
      </w:r>
      <w:bookmarkStart w:name="f-1157" w:id="1354"/>
      <w:r>
        <w:rPr>
          <w:rFonts w:ascii="Arial" w:hAnsi="Arial"/>
          <w:b/>
          <w:i w:val="false"/>
          <w:color w:val="000000"/>
          <w:sz w:val="20"/>
        </w:rPr>
        <w:t>DERIVATIVE FINANCIAL INSTRUMENTS</w:t>
      </w:r>
      <w:bookmarkEnd w:id="1354"/>
      <w:r>
        <w:rPr>
          <w:rFonts w:ascii="Arial" w:hAnsi="Arial"/>
          <w:b/>
          <w:i w:val="false"/>
          <w:color w:val="000000"/>
          <w:sz w:val="20"/>
        </w:rPr>
        <w:t xml:space="preserve"> </w:t>
      </w:r>
    </w:p>
    <w:p>
      <w:pPr>
        <w:spacing w:before="0" w:after="0"/>
        <w:ind w:left="120"/>
        <w:jc w:val="left"/>
      </w:pPr>
      <w:bookmarkStart w:name="f-1157-1" w:id="1355"/>
      <w:bookmarkEnd w:id="135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purposes of mitigating the effect of changes in exchange rates, we hold derivative financial instruments to hedge the risks of certain identifiable and anticipated transactions and recorded assets and liabilities in our condensed consolidated balance sheets. The types of risks hedged are those relating to the variability of future earnings and cash flows caused by movements in foreign currency exchange rates. Our policy is to hold derivatives only for the purpose of hedging risks associated with anticipated foreign currency purchases and sales created in the normal course of business, and not for speculative purposes.</w:t>
      </w:r>
      <w:r>
        <w:rPr>
          <w:rFonts w:ascii="Times New Roman" w:hAnsi="Times New Roman"/>
          <w:b w:val="false"/>
          <w:i w:val="false"/>
          <w:color w:val="000000"/>
          <w:sz w:val="22"/>
        </w:rPr>
        <w:t xml:space="preserve"> </w:t>
      </w:r>
    </w:p>
    <w:p>
      <w:pPr>
        <w:spacing w:before="0" w:after="0"/>
        <w:ind w:left="120"/>
        <w:jc w:val="left"/>
      </w:pPr>
      <w:bookmarkStart w:name="f-1157-1" w:id="1356"/>
      <w:bookmarkEnd w:id="135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Generally, we enter into hedging relationships such that changes in the fair values or cash flows of the transactions being hedged are expected to be offset by corresponding changes in the fair value of the derivatives. For derivative instruments that qualify as a cash flow hedge, the effective portion of the gain or loss of the derivative, which does not include the time value component of a forward currency rate, is reported as a component of other comprehensive income (loss) (“OCI”) and reclassified into earnings in the same period or periods during which the hedged transaction affects earnings. For derivative instruments not designated as hedging instruments, any change in the fair value of those instruments is reflected in earnings in the period such change occurs.</w:t>
      </w:r>
      <w:r>
        <w:rPr>
          <w:rFonts w:ascii="Times New Roman" w:hAnsi="Times New Roman"/>
          <w:b w:val="false"/>
          <w:i w:val="false"/>
          <w:color w:val="000000"/>
          <w:sz w:val="22"/>
        </w:rPr>
        <w:t xml:space="preserve"> </w:t>
      </w:r>
    </w:p>
    <w:p>
      <w:pPr>
        <w:spacing w:before="0" w:after="0"/>
        <w:ind w:left="120"/>
        <w:jc w:val="left"/>
      </w:pPr>
      <w:bookmarkStart w:name="f-1157-1" w:id="1357"/>
      <w:bookmarkEnd w:id="135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hold the following types of derivative instruments:</w:t>
      </w:r>
      <w:r>
        <w:rPr>
          <w:rFonts w:ascii="Times New Roman" w:hAnsi="Times New Roman"/>
          <w:b w:val="false"/>
          <w:i w:val="false"/>
          <w:color w:val="000000"/>
          <w:sz w:val="22"/>
        </w:rPr>
        <w:t xml:space="preserve"> </w:t>
      </w:r>
    </w:p>
    <w:p>
      <w:pPr>
        <w:spacing w:before="0" w:after="0"/>
        <w:ind w:left="120"/>
        <w:jc w:val="left"/>
      </w:pPr>
      <w:bookmarkStart w:name="f-1157-1" w:id="1358"/>
      <w:bookmarkEnd w:id="1358"/>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Foreign exchange rate forward contracts</w:t>
      </w:r>
      <w:r>
        <w:rPr>
          <w:rFonts w:ascii="Times New Roman" w:hAnsi="Times New Roman"/>
          <w:b w:val="false"/>
          <w:i w:val="false"/>
          <w:color w:val="000000"/>
          <w:sz w:val="22"/>
        </w:rPr>
        <w:t xml:space="preserve"> </w:t>
      </w:r>
      <w:r>
        <w:rPr>
          <w:rFonts w:ascii="Arial" w:hAnsi="Arial"/>
          <w:b w:val="false"/>
          <w:i w:val="false"/>
          <w:color w:val="000000"/>
          <w:sz w:val="20"/>
        </w:rPr>
        <w:t xml:space="preserve">- The purpose of these instruments is to hedge the risk of changes in future cash flows of anticipated purchase or sale commitments denominated in foreign currencies and recorded assets and liabilities in our condensed consolidated balance sheets. </w:t>
      </w:r>
      <w:bookmarkStart w:name="f-1158" w:id="1359"/>
      <w:r>
        <w:rPr>
          <w:rFonts w:ascii="Arial" w:hAnsi="Arial"/>
          <w:b w:val="false"/>
          <w:i w:val="false"/>
          <w:color w:val="000000"/>
          <w:sz w:val="20"/>
        </w:rPr>
        <w:t>As of June 30, 2025, we held the following material net positions:</w:t>
      </w:r>
      <w:bookmarkEnd w:id="1359"/>
      <w:r>
        <w:rPr>
          <w:rFonts w:ascii="Arial" w:hAnsi="Arial"/>
          <w:b w:val="false"/>
          <w:i w:val="false"/>
          <w:color w:val="000000"/>
          <w:sz w:val="20"/>
        </w:rPr>
        <w:t xml:space="preserve"> </w:t>
      </w:r>
    </w:p>
    <w:p>
      <w:pPr>
        <w:spacing w:before="0" w:after="0"/>
        <w:ind w:left="120"/>
        <w:jc w:val="left"/>
      </w:pPr>
      <w:bookmarkStart w:name="f-1157-1" w:id="1360"/>
      <w:bookmarkEnd w:id="1360"/>
      <w:bookmarkStart w:name="f-1158-1" w:id="1361"/>
      <w:bookmarkEnd w:id="1361"/>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84"/>
        <w:gridCol w:w="8597"/>
        <w:gridCol w:w="386"/>
        <w:gridCol w:w="130"/>
        <w:gridCol w:w="1559"/>
        <w:gridCol w:w="40"/>
        <w:gridCol w:w="40"/>
        <w:gridCol w:w="40"/>
        <w:gridCol w:w="40"/>
        <w:gridCol w:w="790"/>
        <w:gridCol w:w="1548"/>
        <w:gridCol w:w="60"/>
      </w:tblGrid>
      <w:tr>
        <w:trPr>
          <w:trHeight w:val="30" w:hRule="atLeast"/>
        </w:trPr>
        <w:tc>
          <w:tcPr>
            <w:tcW w:w="384" w:type="dxa"/>
            <w:tcBorders/>
            <w:tcMar>
              <w:top w:w="15" w:type="dxa"/>
              <w:left w:w="15" w:type="dxa"/>
              <w:bottom w:w="15" w:type="dxa"/>
              <w:right w:w="15" w:type="dxa"/>
            </w:tcMar>
            <w:vAlign w:val="center"/>
          </w:tcPr>
          <w:p/>
        </w:tc>
        <w:tc>
          <w:tcPr>
            <w:tcW w:w="8597" w:type="dxa"/>
            <w:tcBorders/>
            <w:tcMar>
              <w:top w:w="15" w:type="dxa"/>
              <w:left w:w="15" w:type="dxa"/>
              <w:bottom w:w="15" w:type="dxa"/>
              <w:right w:w="15" w:type="dxa"/>
            </w:tcMar>
            <w:vAlign w:val="center"/>
          </w:tcPr>
          <w:p/>
        </w:tc>
        <w:tc>
          <w:tcPr>
            <w:tcW w:w="386"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155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790" w:type="dxa"/>
            <w:tcBorders/>
            <w:tcMar>
              <w:top w:w="15" w:type="dxa"/>
              <w:left w:w="15" w:type="dxa"/>
              <w:bottom w:w="15" w:type="dxa"/>
              <w:right w:w="15" w:type="dxa"/>
            </w:tcMar>
            <w:vAlign w:val="center"/>
          </w:tcPr>
          <w:p/>
        </w:tc>
        <w:tc>
          <w:tcPr>
            <w:tcW w:w="1548" w:type="dxa"/>
            <w:tcBorders/>
            <w:tcMar>
              <w:top w:w="15" w:type="dxa"/>
              <w:left w:w="15" w:type="dxa"/>
              <w:bottom w:w="15" w:type="dxa"/>
              <w:right w:w="15" w:type="dxa"/>
            </w:tcMar>
            <w:vAlign w:val="center"/>
          </w:tcPr>
          <w:p/>
        </w:tc>
        <w:tc>
          <w:tcPr>
            <w:tcW w:w="60" w:type="dxa"/>
            <w:tcBorders/>
            <w:tcMar>
              <w:top w:w="15" w:type="dxa"/>
              <w:left w:w="15" w:type="dxa"/>
              <w:bottom w:w="15" w:type="dxa"/>
              <w:right w:w="15" w:type="dxa"/>
            </w:tcMar>
            <w:vAlign w:val="center"/>
          </w:tcPr>
          <w:p/>
        </w:tc>
      </w:tr>
      <w:tr>
        <w:trPr>
          <w:trHeight w:val="600" w:hRule="atLeast"/>
        </w:trPr>
        <w:tc>
          <w:tcPr>
            <w:tcW w:w="0" w:type="auto"/>
            <w:gridSpan w:val="3"/>
            <w:tcBorders/>
            <w:shd w:fill="ffffff"/>
            <w:tcMar>
              <w:top w:w="15" w:type="dxa"/>
              <w:left w:w="15" w:type="dxa"/>
              <w:bottom w:w="15" w:type="dxa"/>
              <w:right w:w="15" w:type="dxa"/>
            </w:tcMar>
            <w:vAlign w:val="center"/>
          </w:tcPr>
          <w:p/>
        </w:tc>
        <w:tc>
          <w:tcPr>
            <w:tcW w:w="0" w:type="auto"/>
            <w:gridSpan w:val="9"/>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Net Notional Amount </w:t>
            </w:r>
            <w:r>
              <w:br/>
            </w:r>
            <w:r>
              <w:rPr>
                <w:rFonts w:ascii="Arial" w:hAnsi="Arial"/>
                <w:b/>
                <w:i w:val="false"/>
                <w:color w:val="000000"/>
                <w:sz w:val="16"/>
              </w:rPr>
              <w:t xml:space="preserve"> Bought (Sold) </w:t>
            </w: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15" w:type="dxa"/>
              <w:left w:w="15" w:type="dxa"/>
              <w:bottom w:w="15" w:type="dxa"/>
              <w:right w:w="15" w:type="dxa"/>
            </w:tcMar>
            <w:vAlign w:val="center"/>
          </w:tcPr>
          <w:p/>
        </w:tc>
        <w:tc>
          <w:tcPr>
            <w:tcW w:w="0" w:type="auto"/>
            <w:gridSpan w:val="3"/>
            <w:tcBorders>
              <w:top w:val="single" w:color="000000" w:sz="11"/>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USD Equivalent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Australian dollar</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59" w:id="1362"/>
            <w:r>
              <w:rPr>
                <w:rFonts w:ascii="Arial" w:hAnsi="Arial"/>
                <w:b w:val="false"/>
                <w:i w:val="false"/>
                <w:color w:val="000000"/>
                <w:sz w:val="16"/>
              </w:rPr>
              <w:t>351.4</w:t>
            </w:r>
            <w:bookmarkEnd w:id="136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0" w:id="1363"/>
            <w:r>
              <w:rPr>
                <w:rFonts w:ascii="Arial" w:hAnsi="Arial"/>
                <w:b w:val="false"/>
                <w:i w:val="false"/>
                <w:color w:val="000000"/>
                <w:sz w:val="16"/>
              </w:rPr>
              <w:t>229.6</w:t>
            </w:r>
            <w:bookmarkEnd w:id="1363"/>
            <w:r>
              <w:rPr>
                <w:rFonts w:ascii="Arial" w:hAnsi="Arial"/>
                <w:b w:val="false"/>
                <w:i w:val="false"/>
                <w:color w:val="000000"/>
                <w:sz w:val="16"/>
              </w:rPr>
              <w:t xml:space="preserve">   </w:t>
            </w:r>
          </w:p>
        </w:tc>
        <w:tc>
          <w:tcPr>
            <w:tcW w:w="6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Brazilian real</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1" w:id="1364"/>
            <w:r>
              <w:rPr>
                <w:rFonts w:ascii="Arial" w:hAnsi="Arial"/>
                <w:b w:val="false"/>
                <w:i w:val="false"/>
                <w:color w:val="000000"/>
                <w:sz w:val="16"/>
              </w:rPr>
              <w:t>2,046.0</w:t>
            </w:r>
            <w:bookmarkEnd w:id="136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2" w:id="1365"/>
            <w:r>
              <w:rPr>
                <w:rFonts w:ascii="Arial" w:hAnsi="Arial"/>
                <w:b w:val="false"/>
                <w:i w:val="false"/>
                <w:color w:val="000000"/>
                <w:sz w:val="16"/>
              </w:rPr>
              <w:t>373.7</w:t>
            </w:r>
            <w:bookmarkEnd w:id="1365"/>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British pound</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63" w:id="1366"/>
            <w:r>
              <w:rPr>
                <w:rFonts w:ascii="Arial" w:hAnsi="Arial"/>
                <w:b w:val="false"/>
                <w:i w:val="false"/>
                <w:color w:val="000000"/>
                <w:sz w:val="16"/>
              </w:rPr>
              <w:t>212.2</w:t>
            </w:r>
            <w:bookmarkEnd w:id="1366"/>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64" w:id="1367"/>
            <w:r>
              <w:rPr>
                <w:rFonts w:ascii="Arial" w:hAnsi="Arial"/>
                <w:b w:val="false"/>
                <w:i w:val="false"/>
                <w:color w:val="000000"/>
                <w:sz w:val="16"/>
              </w:rPr>
              <w:t>290.5</w:t>
            </w:r>
            <w:bookmarkEnd w:id="1367"/>
            <w:r>
              <w:rPr>
                <w:rFonts w:ascii="Arial" w:hAnsi="Arial"/>
                <w:b w:val="false"/>
                <w:i w:val="false"/>
                <w:color w:val="000000"/>
                <w:sz w:val="16"/>
              </w:rPr>
              <w:t xml:space="preserve"> )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Canadian dollar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5" w:id="1368"/>
            <w:r>
              <w:rPr>
                <w:rFonts w:ascii="Arial" w:hAnsi="Arial"/>
                <w:b w:val="false"/>
                <w:i w:val="false"/>
                <w:color w:val="000000"/>
                <w:sz w:val="16"/>
              </w:rPr>
              <w:t>21.4</w:t>
            </w:r>
            <w:bookmarkEnd w:id="136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6" w:id="1369"/>
            <w:r>
              <w:rPr>
                <w:rFonts w:ascii="Arial" w:hAnsi="Arial"/>
                <w:b w:val="false"/>
                <w:i w:val="false"/>
                <w:color w:val="000000"/>
                <w:sz w:val="16"/>
              </w:rPr>
              <w:t>15.7</w:t>
            </w:r>
            <w:bookmarkEnd w:id="1369"/>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Euro</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7" w:id="1370"/>
            <w:r>
              <w:rPr>
                <w:rFonts w:ascii="Arial" w:hAnsi="Arial"/>
                <w:b w:val="false"/>
                <w:i w:val="false"/>
                <w:color w:val="000000"/>
                <w:sz w:val="16"/>
              </w:rPr>
              <w:t>757.7</w:t>
            </w:r>
            <w:bookmarkEnd w:id="137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8" w:id="1371"/>
            <w:r>
              <w:rPr>
                <w:rFonts w:ascii="Arial" w:hAnsi="Arial"/>
                <w:b w:val="false"/>
                <w:i w:val="false"/>
                <w:color w:val="000000"/>
                <w:sz w:val="16"/>
              </w:rPr>
              <w:t>887.5</w:t>
            </w:r>
            <w:bookmarkEnd w:id="1371"/>
            <w:r>
              <w:rPr>
                <w:rFonts w:ascii="Arial" w:hAnsi="Arial"/>
                <w:b w:val="false"/>
                <w:i w:val="false"/>
                <w:color w:val="000000"/>
                <w:sz w:val="16"/>
              </w:rPr>
              <w:t xml:space="preserve">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Indian Rupee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69" w:id="1372"/>
            <w:r>
              <w:rPr>
                <w:rFonts w:ascii="Arial" w:hAnsi="Arial"/>
                <w:b w:val="false"/>
                <w:i w:val="false"/>
                <w:color w:val="000000"/>
                <w:sz w:val="16"/>
              </w:rPr>
              <w:t>475.0</w:t>
            </w:r>
            <w:bookmarkEnd w:id="137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0" w:id="1373"/>
            <w:r>
              <w:rPr>
                <w:rFonts w:ascii="Arial" w:hAnsi="Arial"/>
                <w:b w:val="false"/>
                <w:i w:val="false"/>
                <w:color w:val="000000"/>
                <w:sz w:val="16"/>
              </w:rPr>
              <w:t>5.5</w:t>
            </w:r>
            <w:bookmarkEnd w:id="1373"/>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Indonesian Rupiah</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71" w:id="1374"/>
            <w:r>
              <w:rPr>
                <w:rFonts w:ascii="Arial" w:hAnsi="Arial"/>
                <w:b w:val="false"/>
                <w:i w:val="false"/>
                <w:color w:val="000000"/>
                <w:sz w:val="16"/>
              </w:rPr>
              <w:t>311,105.9</w:t>
            </w:r>
            <w:bookmarkEnd w:id="1374"/>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72" w:id="1375"/>
            <w:r>
              <w:rPr>
                <w:rFonts w:ascii="Arial" w:hAnsi="Arial"/>
                <w:b w:val="false"/>
                <w:i w:val="false"/>
                <w:color w:val="000000"/>
                <w:sz w:val="16"/>
              </w:rPr>
              <w:t>19.2</w:t>
            </w:r>
            <w:bookmarkEnd w:id="1375"/>
            <w:r>
              <w:rPr>
                <w:rFonts w:ascii="Arial" w:hAnsi="Arial"/>
                <w:b w:val="false"/>
                <w:i w:val="false"/>
                <w:color w:val="000000"/>
                <w:sz w:val="16"/>
              </w:rPr>
              <w:t xml:space="preserve"> )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Malaysian Ringgit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3" w:id="1376"/>
            <w:r>
              <w:rPr>
                <w:rFonts w:ascii="Arial" w:hAnsi="Arial"/>
                <w:b w:val="false"/>
                <w:i w:val="false"/>
                <w:color w:val="000000"/>
                <w:sz w:val="16"/>
              </w:rPr>
              <w:t>293.0</w:t>
            </w:r>
            <w:bookmarkEnd w:id="137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4" w:id="1377"/>
            <w:r>
              <w:rPr>
                <w:rFonts w:ascii="Arial" w:hAnsi="Arial"/>
                <w:b w:val="false"/>
                <w:i w:val="false"/>
                <w:color w:val="000000"/>
                <w:sz w:val="16"/>
              </w:rPr>
              <w:t>69.6</w:t>
            </w:r>
            <w:bookmarkEnd w:id="1377"/>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Norwegian Krone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5" w:id="1378"/>
            <w:r>
              <w:rPr>
                <w:rFonts w:ascii="Arial" w:hAnsi="Arial"/>
                <w:b w:val="false"/>
                <w:i w:val="false"/>
                <w:color w:val="000000"/>
                <w:sz w:val="16"/>
              </w:rPr>
              <w:t>7,207.7</w:t>
            </w:r>
            <w:bookmarkEnd w:id="1378"/>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6" w:id="1379"/>
            <w:r>
              <w:rPr>
                <w:rFonts w:ascii="Arial" w:hAnsi="Arial"/>
                <w:b w:val="false"/>
                <w:i w:val="false"/>
                <w:color w:val="000000"/>
                <w:sz w:val="16"/>
              </w:rPr>
              <w:t>712.8</w:t>
            </w:r>
            <w:bookmarkEnd w:id="1379"/>
            <w:r>
              <w:rPr>
                <w:rFonts w:ascii="Arial" w:hAnsi="Arial"/>
                <w:b w:val="false"/>
                <w:i w:val="false"/>
                <w:color w:val="000000"/>
                <w:sz w:val="16"/>
              </w:rPr>
              <w:t xml:space="preserve">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Singapore dollar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7" w:id="1380"/>
            <w:r>
              <w:rPr>
                <w:rFonts w:ascii="Arial" w:hAnsi="Arial"/>
                <w:b w:val="false"/>
                <w:i w:val="false"/>
                <w:color w:val="000000"/>
                <w:sz w:val="16"/>
              </w:rPr>
              <w:t>106.3</w:t>
            </w:r>
            <w:bookmarkEnd w:id="138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8" w:id="1381"/>
            <w:r>
              <w:rPr>
                <w:rFonts w:ascii="Arial" w:hAnsi="Arial"/>
                <w:b w:val="false"/>
                <w:i w:val="false"/>
                <w:color w:val="000000"/>
                <w:sz w:val="16"/>
              </w:rPr>
              <w:t>83.4</w:t>
            </w:r>
            <w:bookmarkEnd w:id="1381"/>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Czech Koruna</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79" w:id="1382"/>
            <w:r>
              <w:rPr>
                <w:rFonts w:ascii="Arial" w:hAnsi="Arial"/>
                <w:b w:val="false"/>
                <w:i w:val="false"/>
                <w:color w:val="000000"/>
                <w:sz w:val="16"/>
              </w:rPr>
              <w:t>263.8</w:t>
            </w:r>
            <w:bookmarkEnd w:id="1382"/>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0" w:id="1383"/>
            <w:r>
              <w:rPr>
                <w:rFonts w:ascii="Arial" w:hAnsi="Arial"/>
                <w:b w:val="false"/>
                <w:i w:val="false"/>
                <w:color w:val="000000"/>
                <w:sz w:val="16"/>
              </w:rPr>
              <w:t>12.5</w:t>
            </w:r>
            <w:bookmarkEnd w:id="1383"/>
            <w:r>
              <w:rPr>
                <w:rFonts w:ascii="Arial" w:hAnsi="Arial"/>
                <w:b w:val="false"/>
                <w:i w:val="false"/>
                <w:color w:val="000000"/>
                <w:sz w:val="16"/>
              </w:rPr>
              <w:t xml:space="preserve">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Swedish Krona</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1" w:id="1384"/>
            <w:r>
              <w:rPr>
                <w:rFonts w:ascii="Arial" w:hAnsi="Arial"/>
                <w:b w:val="false"/>
                <w:i w:val="false"/>
                <w:color w:val="000000"/>
                <w:sz w:val="16"/>
              </w:rPr>
              <w:t>76.1</w:t>
            </w:r>
            <w:bookmarkEnd w:id="138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2" w:id="1385"/>
            <w:r>
              <w:rPr>
                <w:rFonts w:ascii="Arial" w:hAnsi="Arial"/>
                <w:b w:val="false"/>
                <w:i w:val="false"/>
                <w:color w:val="000000"/>
                <w:sz w:val="16"/>
              </w:rPr>
              <w:t>8.0</w:t>
            </w:r>
            <w:bookmarkEnd w:id="1385"/>
            <w:r>
              <w:rPr>
                <w:rFonts w:ascii="Arial" w:hAnsi="Arial"/>
                <w:b w:val="false"/>
                <w:i w:val="false"/>
                <w:color w:val="000000"/>
                <w:sz w:val="16"/>
              </w:rPr>
              <w:t xml:space="preserve">   </w:t>
            </w:r>
          </w:p>
        </w:tc>
        <w:tc>
          <w:tcPr>
            <w:tcW w:w="6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Polish Zloty</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3" w:id="1386"/>
            <w:r>
              <w:rPr>
                <w:rFonts w:ascii="Arial" w:hAnsi="Arial"/>
                <w:b w:val="false"/>
                <w:i w:val="false"/>
                <w:color w:val="000000"/>
                <w:sz w:val="16"/>
              </w:rPr>
              <w:t>41.4</w:t>
            </w:r>
            <w:bookmarkEnd w:id="138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4" w:id="1387"/>
            <w:r>
              <w:rPr>
                <w:rFonts w:ascii="Arial" w:hAnsi="Arial"/>
                <w:b w:val="false"/>
                <w:i w:val="false"/>
                <w:color w:val="000000"/>
                <w:sz w:val="16"/>
              </w:rPr>
              <w:t>11.4</w:t>
            </w:r>
            <w:bookmarkEnd w:id="1387"/>
            <w:r>
              <w:rPr>
                <w:rFonts w:ascii="Arial" w:hAnsi="Arial"/>
                <w:b w:val="false"/>
                <w:i w:val="false"/>
                <w:color w:val="000000"/>
                <w:sz w:val="16"/>
              </w:rPr>
              <w:t xml:space="preserve">   </w:t>
            </w:r>
          </w:p>
        </w:tc>
        <w:tc>
          <w:tcPr>
            <w:tcW w:w="6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U.S. dollar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85" w:id="1388"/>
            <w:r>
              <w:rPr>
                <w:rFonts w:ascii="Arial" w:hAnsi="Arial"/>
                <w:b w:val="false"/>
                <w:i w:val="false"/>
                <w:color w:val="000000"/>
                <w:sz w:val="16"/>
              </w:rPr>
              <w:t>2,035.3</w:t>
            </w:r>
            <w:bookmarkEnd w:id="1388"/>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86" w:id="1389"/>
            <w:r>
              <w:rPr>
                <w:rFonts w:ascii="Arial" w:hAnsi="Arial"/>
                <w:b w:val="false"/>
                <w:i w:val="false"/>
                <w:color w:val="000000"/>
                <w:sz w:val="16"/>
              </w:rPr>
              <w:t>2,035.3</w:t>
            </w:r>
            <w:bookmarkEnd w:id="1389"/>
            <w:r>
              <w:rPr>
                <w:rFonts w:ascii="Arial" w:hAnsi="Arial"/>
                <w:b w:val="false"/>
                <w:i w:val="false"/>
                <w:color w:val="000000"/>
                <w:sz w:val="16"/>
              </w:rPr>
              <w:t xml:space="preserve"> ) </w:t>
            </w:r>
          </w:p>
        </w:tc>
        <w:tc>
          <w:tcPr>
            <w:tcW w:w="60"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158-1" w:id="1390"/>
      <w:bookmarkEnd w:id="1390"/>
      <w:bookmarkStart w:name="f-1157-1" w:id="1391"/>
      <w:bookmarkEnd w:id="1391"/>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1157-2" w:id="1392"/>
      <w:bookmarkEnd w:id="1392"/>
      <w:bookmarkStart w:name="f-1158-2" w:id="1393"/>
      <w:bookmarkEnd w:id="1393"/>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Foreign exchange rate instruments embedded in purchase and sale contracts</w:t>
      </w:r>
      <w:r>
        <w:rPr>
          <w:rFonts w:ascii="Times New Roman" w:hAnsi="Times New Roman"/>
          <w:b w:val="false"/>
          <w:i w:val="false"/>
          <w:color w:val="000000"/>
          <w:sz w:val="22"/>
        </w:rPr>
        <w:t xml:space="preserve"> </w:t>
      </w:r>
      <w:r>
        <w:rPr>
          <w:rFonts w:ascii="Arial" w:hAnsi="Arial"/>
          <w:b w:val="false"/>
          <w:i w:val="false"/>
          <w:color w:val="000000"/>
          <w:sz w:val="20"/>
        </w:rPr>
        <w:t>- The purpose of these instruments is to match offsetting currency payments and receipts for particular projects or comply with government restrictions on the currency used to purchase goods in certain countries. As of June 30, 2025, our portfolio of these instruments included the following material net positions:</w:t>
      </w: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75"/>
        <w:gridCol w:w="8646"/>
        <w:gridCol w:w="379"/>
        <w:gridCol w:w="127"/>
        <w:gridCol w:w="1515"/>
        <w:gridCol w:w="40"/>
        <w:gridCol w:w="40"/>
        <w:gridCol w:w="40"/>
        <w:gridCol w:w="40"/>
        <w:gridCol w:w="779"/>
        <w:gridCol w:w="1551"/>
        <w:gridCol w:w="82"/>
      </w:tblGrid>
      <w:tr>
        <w:trPr>
          <w:trHeight w:val="30" w:hRule="atLeast"/>
        </w:trPr>
        <w:tc>
          <w:tcPr>
            <w:tcW w:w="375" w:type="dxa"/>
            <w:tcBorders/>
            <w:tcMar>
              <w:top w:w="15" w:type="dxa"/>
              <w:left w:w="15" w:type="dxa"/>
              <w:bottom w:w="15" w:type="dxa"/>
              <w:right w:w="15" w:type="dxa"/>
            </w:tcMar>
            <w:vAlign w:val="center"/>
          </w:tcPr>
          <w:p/>
        </w:tc>
        <w:tc>
          <w:tcPr>
            <w:tcW w:w="8646" w:type="dxa"/>
            <w:tcBorders/>
            <w:tcMar>
              <w:top w:w="15" w:type="dxa"/>
              <w:left w:w="15" w:type="dxa"/>
              <w:bottom w:w="15" w:type="dxa"/>
              <w:right w:w="15" w:type="dxa"/>
            </w:tcMar>
            <w:vAlign w:val="center"/>
          </w:tcPr>
          <w:p/>
        </w:tc>
        <w:tc>
          <w:tcPr>
            <w:tcW w:w="379" w:type="dxa"/>
            <w:tcBorders/>
            <w:tcMar>
              <w:top w:w="15" w:type="dxa"/>
              <w:left w:w="15" w:type="dxa"/>
              <w:bottom w:w="15" w:type="dxa"/>
              <w:right w:w="15" w:type="dxa"/>
            </w:tcMar>
            <w:vAlign w:val="center"/>
          </w:tcPr>
          <w:p/>
        </w:tc>
        <w:tc>
          <w:tcPr>
            <w:tcW w:w="127" w:type="dxa"/>
            <w:tcBorders/>
            <w:tcMar>
              <w:top w:w="15" w:type="dxa"/>
              <w:left w:w="15" w:type="dxa"/>
              <w:bottom w:w="15" w:type="dxa"/>
              <w:right w:w="15" w:type="dxa"/>
            </w:tcMar>
            <w:vAlign w:val="center"/>
          </w:tcPr>
          <w:p/>
        </w:tc>
        <w:tc>
          <w:tcPr>
            <w:tcW w:w="151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779" w:type="dxa"/>
            <w:tcBorders/>
            <w:tcMar>
              <w:top w:w="15" w:type="dxa"/>
              <w:left w:w="15" w:type="dxa"/>
              <w:bottom w:w="15" w:type="dxa"/>
              <w:right w:w="15" w:type="dxa"/>
            </w:tcMar>
            <w:vAlign w:val="center"/>
          </w:tcPr>
          <w:p/>
        </w:tc>
        <w:tc>
          <w:tcPr>
            <w:tcW w:w="1551" w:type="dxa"/>
            <w:tcBorders/>
            <w:tcMar>
              <w:top w:w="15" w:type="dxa"/>
              <w:left w:w="15" w:type="dxa"/>
              <w:bottom w:w="15" w:type="dxa"/>
              <w:right w:w="15" w:type="dxa"/>
            </w:tcMar>
            <w:vAlign w:val="center"/>
          </w:tcPr>
          <w:p/>
        </w:tc>
        <w:tc>
          <w:tcPr>
            <w:tcW w:w="82" w:type="dxa"/>
            <w:tcBorders/>
            <w:tcMar>
              <w:top w:w="15" w:type="dxa"/>
              <w:left w:w="15" w:type="dxa"/>
              <w:bottom w:w="15" w:type="dxa"/>
              <w:right w:w="15" w:type="dxa"/>
            </w:tcMar>
            <w:vAlign w:val="center"/>
          </w:tcPr>
          <w:p/>
        </w:tc>
      </w:tr>
      <w:tr>
        <w:trPr>
          <w:trHeight w:val="600" w:hRule="atLeast"/>
        </w:trPr>
        <w:tc>
          <w:tcPr>
            <w:tcW w:w="0" w:type="auto"/>
            <w:gridSpan w:val="3"/>
            <w:tcBorders/>
            <w:shd w:fill="ffffff"/>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Net Notional Amount </w:t>
            </w:r>
            <w:r>
              <w:br/>
            </w:r>
            <w:r>
              <w:rPr>
                <w:rFonts w:ascii="Arial" w:hAnsi="Arial"/>
                <w:b/>
                <w:i w:val="false"/>
                <w:color w:val="000000"/>
                <w:sz w:val="16"/>
              </w:rPr>
              <w:t xml:space="preserve"> Bought (Sold)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USD Equivalent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Brazilian real</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7" w:id="1394"/>
            <w:r>
              <w:rPr>
                <w:rFonts w:ascii="Arial" w:hAnsi="Arial"/>
                <w:b w:val="false"/>
                <w:i w:val="false"/>
                <w:color w:val="000000"/>
                <w:sz w:val="16"/>
              </w:rPr>
              <w:t>48.1</w:t>
            </w:r>
            <w:bookmarkEnd w:id="1394"/>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88" w:id="1395"/>
            <w:r>
              <w:rPr>
                <w:rFonts w:ascii="Arial" w:hAnsi="Arial"/>
                <w:b w:val="false"/>
                <w:i w:val="false"/>
                <w:color w:val="000000"/>
                <w:sz w:val="16"/>
              </w:rPr>
              <w:t>8.8</w:t>
            </w:r>
            <w:bookmarkEnd w:id="1395"/>
            <w:r>
              <w:rPr>
                <w:rFonts w:ascii="Arial" w:hAnsi="Arial"/>
                <w:b w:val="false"/>
                <w:i w:val="false"/>
                <w:color w:val="000000"/>
                <w:sz w:val="16"/>
              </w:rPr>
              <w:t xml:space="preserve">   </w:t>
            </w:r>
          </w:p>
        </w:tc>
        <w:tc>
          <w:tcPr>
            <w:tcW w:w="82"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Euro</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89" w:id="1396"/>
            <w:r>
              <w:rPr>
                <w:rFonts w:ascii="Arial" w:hAnsi="Arial"/>
                <w:b w:val="false"/>
                <w:i w:val="false"/>
                <w:color w:val="000000"/>
                <w:sz w:val="16"/>
              </w:rPr>
              <w:t>14.8</w:t>
            </w:r>
            <w:bookmarkEnd w:id="1396"/>
            <w:r>
              <w:rPr>
                <w:rFonts w:ascii="Arial" w:hAnsi="Arial"/>
                <w:b w:val="false"/>
                <w:i w:val="false"/>
                <w:color w:val="000000"/>
                <w:sz w:val="16"/>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90" w:id="1397"/>
            <w:r>
              <w:rPr>
                <w:rFonts w:ascii="Arial" w:hAnsi="Arial"/>
                <w:b w:val="false"/>
                <w:i w:val="false"/>
                <w:color w:val="000000"/>
                <w:sz w:val="16"/>
              </w:rPr>
              <w:t>17.3</w:t>
            </w:r>
            <w:bookmarkEnd w:id="1397"/>
            <w:r>
              <w:rPr>
                <w:rFonts w:ascii="Arial" w:hAnsi="Arial"/>
                <w:b w:val="false"/>
                <w:i w:val="false"/>
                <w:color w:val="000000"/>
                <w:sz w:val="16"/>
              </w:rPr>
              <w:t xml:space="preserve"> ) </w:t>
            </w:r>
          </w:p>
        </w:tc>
        <w:tc>
          <w:tcPr>
            <w:tcW w:w="82"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Norwegian krone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91" w:id="1398"/>
            <w:r>
              <w:rPr>
                <w:rFonts w:ascii="Arial" w:hAnsi="Arial"/>
                <w:b w:val="false"/>
                <w:i w:val="false"/>
                <w:color w:val="000000"/>
                <w:sz w:val="16"/>
              </w:rPr>
              <w:t>10.4</w:t>
            </w:r>
            <w:bookmarkEnd w:id="1398"/>
            <w:r>
              <w:rPr>
                <w:rFonts w:ascii="Arial" w:hAnsi="Arial"/>
                <w:b w:val="false"/>
                <w:i w:val="false"/>
                <w:color w:val="000000"/>
                <w:sz w:val="16"/>
              </w:rPr>
              <w:t xml:space="preserve"> )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192" w:id="1399"/>
            <w:r>
              <w:rPr>
                <w:rFonts w:ascii="Arial" w:hAnsi="Arial"/>
                <w:b w:val="false"/>
                <w:i w:val="false"/>
                <w:color w:val="000000"/>
                <w:sz w:val="16"/>
              </w:rPr>
              <w:t>1.0</w:t>
            </w:r>
            <w:bookmarkEnd w:id="1399"/>
            <w:r>
              <w:rPr>
                <w:rFonts w:ascii="Arial" w:hAnsi="Arial"/>
                <w:b w:val="false"/>
                <w:i w:val="false"/>
                <w:color w:val="000000"/>
                <w:sz w:val="16"/>
              </w:rPr>
              <w:t xml:space="preserve"> ) </w:t>
            </w:r>
          </w:p>
        </w:tc>
        <w:tc>
          <w:tcPr>
            <w:tcW w:w="82"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U.S. dollar</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3" w:id="1400"/>
            <w:r>
              <w:rPr>
                <w:rFonts w:ascii="Arial" w:hAnsi="Arial"/>
                <w:b w:val="false"/>
                <w:i w:val="false"/>
                <w:color w:val="000000"/>
                <w:sz w:val="16"/>
              </w:rPr>
              <w:t>9.9</w:t>
            </w:r>
            <w:bookmarkEnd w:id="1400"/>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4" w:id="1401"/>
            <w:r>
              <w:rPr>
                <w:rFonts w:ascii="Arial" w:hAnsi="Arial"/>
                <w:b w:val="false"/>
                <w:i w:val="false"/>
                <w:color w:val="000000"/>
                <w:sz w:val="16"/>
              </w:rPr>
              <w:t>9.9</w:t>
            </w:r>
            <w:bookmarkEnd w:id="1401"/>
            <w:r>
              <w:rPr>
                <w:rFonts w:ascii="Arial" w:hAnsi="Arial"/>
                <w:b w:val="false"/>
                <w:i w:val="false"/>
                <w:color w:val="000000"/>
                <w:sz w:val="16"/>
              </w:rPr>
              <w:t xml:space="preserve">   </w:t>
            </w:r>
          </w:p>
        </w:tc>
        <w:tc>
          <w:tcPr>
            <w:tcW w:w="82"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158-2" w:id="1402"/>
      <w:bookmarkEnd w:id="1402"/>
      <w:bookmarkStart w:name="f-1157-2" w:id="1403"/>
      <w:bookmarkEnd w:id="140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Fair value amounts for all outstanding derivative instruments have been determined using available market information and commonly accepted valuation methodologies. See </w:t>
      </w:r>
      <w:hyperlink w:anchor="if5bce3d3882148cf91b6563d87cc4db5_133">
        <w:r>
          <w:rPr>
            <w:rFonts w:ascii="Arial" w:hAnsi="Arial"/>
            <w:b w:val="false"/>
            <w:i w:val="false"/>
            <w:color w:val="000000"/>
            <w:sz w:val="20"/>
          </w:rPr>
          <w:t>Note 17</w:t>
        </w:r>
      </w:hyperlink>
      <w:r>
        <w:rPr>
          <w:rFonts w:ascii="Arial" w:hAnsi="Arial"/>
          <w:b w:val="false"/>
          <w:i w:val="false"/>
          <w:color w:val="000000"/>
          <w:sz w:val="20"/>
        </w:rPr>
        <w:t xml:space="preserve"> for further details. Accordingly, the estimates presented may not be indicative of the amounts we would realize in a current market exchange and may not be indicative of the gains or losses we may ultimately incur when these contracts are settled. </w:t>
      </w:r>
    </w:p>
    <w:p>
      <w:pPr>
        <w:spacing w:before="0" w:after="0"/>
        <w:ind w:left="120"/>
        <w:jc w:val="left"/>
      </w:pPr>
      <w:bookmarkStart w:name="f-1157-2" w:id="1404"/>
      <w:bookmarkEnd w:id="1404"/>
      <w:bookmarkStart w:name="f-1195" w:id="1405"/>
      <w:bookmarkEnd w:id="140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presents the location and fair value amounts of derivative instruments reported in the condensed consolidated balance sheets:</w:t>
      </w:r>
      <w:r>
        <w:rPr>
          <w:rFonts w:ascii="Times New Roman" w:hAnsi="Times New Roman"/>
          <w:b w:val="false"/>
          <w:i w:val="false"/>
          <w:color w:val="000000"/>
          <w:sz w:val="22"/>
        </w:rPr>
        <w:t xml:space="preserve"> </w:t>
      </w:r>
    </w:p>
    <w:p>
      <w:pPr>
        <w:spacing w:before="0" w:after="0"/>
        <w:ind w:left="120"/>
        <w:jc w:val="left"/>
      </w:pPr>
      <w:bookmarkStart w:name="f-1195" w:id="1406"/>
      <w:bookmarkEnd w:id="1406"/>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603"/>
        <w:gridCol w:w="6074"/>
        <w:gridCol w:w="607"/>
        <w:gridCol w:w="146"/>
        <w:gridCol w:w="1284"/>
        <w:gridCol w:w="40"/>
        <w:gridCol w:w="40"/>
        <w:gridCol w:w="40"/>
        <w:gridCol w:w="40"/>
        <w:gridCol w:w="168"/>
        <w:gridCol w:w="1310"/>
        <w:gridCol w:w="47"/>
        <w:gridCol w:w="40"/>
        <w:gridCol w:w="40"/>
        <w:gridCol w:w="40"/>
        <w:gridCol w:w="146"/>
        <w:gridCol w:w="1284"/>
        <w:gridCol w:w="40"/>
        <w:gridCol w:w="40"/>
        <w:gridCol w:w="40"/>
        <w:gridCol w:w="40"/>
        <w:gridCol w:w="168"/>
        <w:gridCol w:w="1310"/>
        <w:gridCol w:w="47"/>
      </w:tblGrid>
      <w:tr>
        <w:trPr>
          <w:trHeight w:val="30" w:hRule="atLeast"/>
        </w:trPr>
        <w:tc>
          <w:tcPr>
            <w:tcW w:w="603" w:type="dxa"/>
            <w:tcBorders/>
            <w:tcMar>
              <w:top w:w="15" w:type="dxa"/>
              <w:left w:w="15" w:type="dxa"/>
              <w:bottom w:w="15" w:type="dxa"/>
              <w:right w:w="15" w:type="dxa"/>
            </w:tcMar>
            <w:vAlign w:val="center"/>
          </w:tcPr>
          <w:p/>
        </w:tc>
        <w:tc>
          <w:tcPr>
            <w:tcW w:w="6074" w:type="dxa"/>
            <w:tcBorders/>
            <w:tcMar>
              <w:top w:w="15" w:type="dxa"/>
              <w:left w:w="15" w:type="dxa"/>
              <w:bottom w:w="15" w:type="dxa"/>
              <w:right w:w="15" w:type="dxa"/>
            </w:tcMar>
            <w:vAlign w:val="center"/>
          </w:tcPr>
          <w:p/>
        </w:tc>
        <w:tc>
          <w:tcPr>
            <w:tcW w:w="607"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68" w:type="dxa"/>
            <w:tcBorders/>
            <w:tcMar>
              <w:top w:w="15" w:type="dxa"/>
              <w:left w:w="15" w:type="dxa"/>
              <w:bottom w:w="15" w:type="dxa"/>
              <w:right w:w="15" w:type="dxa"/>
            </w:tcMar>
            <w:vAlign w:val="center"/>
          </w:tcPr>
          <w:p/>
        </w:tc>
        <w:tc>
          <w:tcPr>
            <w:tcW w:w="1310" w:type="dxa"/>
            <w:tcBorders/>
            <w:tcMar>
              <w:top w:w="15" w:type="dxa"/>
              <w:left w:w="15" w:type="dxa"/>
              <w:bottom w:w="15" w:type="dxa"/>
              <w:right w:w="15" w:type="dxa"/>
            </w:tcMar>
            <w:vAlign w:val="center"/>
          </w:tcPr>
          <w:p/>
        </w:tc>
        <w:tc>
          <w:tcPr>
            <w:tcW w:w="4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68" w:type="dxa"/>
            <w:tcBorders/>
            <w:tcMar>
              <w:top w:w="15" w:type="dxa"/>
              <w:left w:w="15" w:type="dxa"/>
              <w:bottom w:w="15" w:type="dxa"/>
              <w:right w:w="15" w:type="dxa"/>
            </w:tcMar>
            <w:vAlign w:val="center"/>
          </w:tcPr>
          <w:p/>
        </w:tc>
        <w:tc>
          <w:tcPr>
            <w:tcW w:w="1310" w:type="dxa"/>
            <w:tcBorders/>
            <w:tcMar>
              <w:top w:w="15" w:type="dxa"/>
              <w:left w:w="15" w:type="dxa"/>
              <w:bottom w:w="15" w:type="dxa"/>
              <w:right w:w="15" w:type="dxa"/>
            </w:tcMar>
            <w:vAlign w:val="center"/>
          </w:tcPr>
          <w:p/>
        </w:tc>
        <w:tc>
          <w:tcPr>
            <w:tcW w:w="47"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Assets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Liabilities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Assets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Liabilities</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Derivatives designated as hedging instruments</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Foreign exchange contracts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Current - Derivative financial instruments</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6" w:id="1407"/>
            <w:r>
              <w:rPr>
                <w:rFonts w:ascii="Arial" w:hAnsi="Arial"/>
                <w:b w:val="false"/>
                <w:i w:val="false"/>
                <w:color w:val="000000"/>
                <w:sz w:val="16"/>
              </w:rPr>
              <w:t>368.9</w:t>
            </w:r>
            <w:bookmarkEnd w:id="140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8"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7" w:id="1408"/>
            <w:r>
              <w:rPr>
                <w:rFonts w:ascii="Arial" w:hAnsi="Arial"/>
                <w:b w:val="false"/>
                <w:i w:val="false"/>
                <w:color w:val="000000"/>
                <w:sz w:val="16"/>
              </w:rPr>
              <w:t>307.8</w:t>
            </w:r>
            <w:bookmarkEnd w:id="1408"/>
            <w:r>
              <w:rPr>
                <w:rFonts w:ascii="Arial" w:hAnsi="Arial"/>
                <w:b w:val="false"/>
                <w:i w:val="false"/>
                <w:color w:val="000000"/>
                <w:sz w:val="16"/>
              </w:rPr>
              <w:t xml:space="preserve">   </w:t>
            </w:r>
          </w:p>
        </w:tc>
        <w:tc>
          <w:tcPr>
            <w:tcW w:w="4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8" w:id="1409"/>
            <w:r>
              <w:rPr>
                <w:rFonts w:ascii="Arial" w:hAnsi="Arial"/>
                <w:b w:val="false"/>
                <w:i w:val="false"/>
                <w:color w:val="000000"/>
                <w:sz w:val="16"/>
              </w:rPr>
              <w:t>324.6</w:t>
            </w:r>
            <w:bookmarkEnd w:id="140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8"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199" w:id="1410"/>
            <w:r>
              <w:rPr>
                <w:rFonts w:ascii="Arial" w:hAnsi="Arial"/>
                <w:b w:val="false"/>
                <w:i w:val="false"/>
                <w:color w:val="000000"/>
                <w:sz w:val="16"/>
              </w:rPr>
              <w:t>361.6</w:t>
            </w:r>
            <w:bookmarkEnd w:id="1410"/>
            <w:r>
              <w:rPr>
                <w:rFonts w:ascii="Arial" w:hAnsi="Arial"/>
                <w:b w:val="false"/>
                <w:i w:val="false"/>
                <w:color w:val="000000"/>
                <w:sz w:val="16"/>
              </w:rPr>
              <w:t xml:space="preserve">   </w:t>
            </w:r>
          </w:p>
        </w:tc>
        <w:tc>
          <w:tcPr>
            <w:tcW w:w="47"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Long-term - Derivative financial instruments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0" w:id="1411"/>
            <w:r>
              <w:rPr>
                <w:rFonts w:ascii="Arial" w:hAnsi="Arial"/>
                <w:b w:val="false"/>
                <w:i w:val="false"/>
                <w:color w:val="000000"/>
                <w:sz w:val="16"/>
              </w:rPr>
              <w:t>67.0</w:t>
            </w:r>
            <w:bookmarkEnd w:id="141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1" w:id="1412"/>
            <w:r>
              <w:rPr>
                <w:rFonts w:ascii="Arial" w:hAnsi="Arial"/>
                <w:b w:val="false"/>
                <w:i w:val="false"/>
                <w:color w:val="000000"/>
                <w:sz w:val="16"/>
              </w:rPr>
              <w:t>91.8</w:t>
            </w:r>
            <w:bookmarkEnd w:id="1412"/>
            <w:r>
              <w:rPr>
                <w:rFonts w:ascii="Arial" w:hAnsi="Arial"/>
                <w:b w:val="false"/>
                <w:i w:val="false"/>
                <w:color w:val="000000"/>
                <w:sz w:val="16"/>
              </w:rPr>
              <w:t xml:space="preserve">   </w:t>
            </w:r>
          </w:p>
        </w:tc>
        <w:tc>
          <w:tcPr>
            <w:tcW w:w="4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2" w:id="1413"/>
            <w:r>
              <w:rPr>
                <w:rFonts w:ascii="Arial" w:hAnsi="Arial"/>
                <w:b w:val="false"/>
                <w:i w:val="false"/>
                <w:color w:val="000000"/>
                <w:sz w:val="16"/>
              </w:rPr>
              <w:t>176.8</w:t>
            </w:r>
            <w:bookmarkEnd w:id="141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3" w:id="1414"/>
            <w:r>
              <w:rPr>
                <w:rFonts w:ascii="Arial" w:hAnsi="Arial"/>
                <w:b w:val="false"/>
                <w:i w:val="false"/>
                <w:color w:val="000000"/>
                <w:sz w:val="16"/>
              </w:rPr>
              <w:t>242.3</w:t>
            </w:r>
            <w:bookmarkEnd w:id="1414"/>
            <w:r>
              <w:rPr>
                <w:rFonts w:ascii="Arial" w:hAnsi="Arial"/>
                <w:b w:val="false"/>
                <w:i w:val="false"/>
                <w:color w:val="000000"/>
                <w:sz w:val="16"/>
              </w:rPr>
              <w:t xml:space="preserve">   </w:t>
            </w:r>
          </w:p>
        </w:tc>
        <w:tc>
          <w:tcPr>
            <w:tcW w:w="4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derivatives designated as hedging instruments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4" w:id="1415"/>
            <w:r>
              <w:rPr>
                <w:rFonts w:ascii="Arial" w:hAnsi="Arial"/>
                <w:b w:val="false"/>
                <w:i w:val="false"/>
                <w:color w:val="000000"/>
                <w:sz w:val="16"/>
              </w:rPr>
              <w:t>435.9</w:t>
            </w:r>
            <w:bookmarkEnd w:id="141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5" w:id="1416"/>
            <w:r>
              <w:rPr>
                <w:rFonts w:ascii="Arial" w:hAnsi="Arial"/>
                <w:b w:val="false"/>
                <w:i w:val="false"/>
                <w:color w:val="000000"/>
                <w:sz w:val="16"/>
              </w:rPr>
              <w:t>399.6</w:t>
            </w:r>
            <w:bookmarkEnd w:id="1416"/>
            <w:r>
              <w:rPr>
                <w:rFonts w:ascii="Arial" w:hAnsi="Arial"/>
                <w:b w:val="false"/>
                <w:i w:val="false"/>
                <w:color w:val="000000"/>
                <w:sz w:val="16"/>
              </w:rPr>
              <w:t xml:space="preserve">   </w:t>
            </w:r>
          </w:p>
        </w:tc>
        <w:tc>
          <w:tcPr>
            <w:tcW w:w="4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6" w:id="1417"/>
            <w:r>
              <w:rPr>
                <w:rFonts w:ascii="Arial" w:hAnsi="Arial"/>
                <w:b w:val="false"/>
                <w:i w:val="false"/>
                <w:color w:val="000000"/>
                <w:sz w:val="16"/>
              </w:rPr>
              <w:t>501.4</w:t>
            </w:r>
            <w:bookmarkEnd w:id="141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7" w:id="1418"/>
            <w:r>
              <w:rPr>
                <w:rFonts w:ascii="Arial" w:hAnsi="Arial"/>
                <w:b w:val="false"/>
                <w:i w:val="false"/>
                <w:color w:val="000000"/>
                <w:sz w:val="16"/>
              </w:rPr>
              <w:t>603.9</w:t>
            </w:r>
            <w:bookmarkEnd w:id="1418"/>
            <w:r>
              <w:rPr>
                <w:rFonts w:ascii="Arial" w:hAnsi="Arial"/>
                <w:b w:val="false"/>
                <w:i w:val="false"/>
                <w:color w:val="000000"/>
                <w:sz w:val="16"/>
              </w:rPr>
              <w:t xml:space="preserve">   </w:t>
            </w:r>
          </w:p>
        </w:tc>
        <w:tc>
          <w:tcPr>
            <w:tcW w:w="47"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Derivatives not designated as hedging instruments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Foreign exchange contracts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Current - Derivative financial instruments</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8" w:id="1419"/>
            <w:r>
              <w:rPr>
                <w:rFonts w:ascii="Arial" w:hAnsi="Arial"/>
                <w:b w:val="false"/>
                <w:i w:val="false"/>
                <w:color w:val="000000"/>
                <w:sz w:val="16"/>
              </w:rPr>
              <w:t>40.1</w:t>
            </w:r>
            <w:bookmarkEnd w:id="141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6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09" w:id="1420"/>
            <w:r>
              <w:rPr>
                <w:rFonts w:ascii="Arial" w:hAnsi="Arial"/>
                <w:b w:val="false"/>
                <w:i w:val="false"/>
                <w:color w:val="000000"/>
                <w:sz w:val="16"/>
              </w:rPr>
              <w:t>29.9</w:t>
            </w:r>
            <w:bookmarkEnd w:id="1420"/>
            <w:r>
              <w:rPr>
                <w:rFonts w:ascii="Arial" w:hAnsi="Arial"/>
                <w:b w:val="false"/>
                <w:i w:val="false"/>
                <w:color w:val="000000"/>
                <w:sz w:val="16"/>
              </w:rPr>
              <w:t xml:space="preserve">   </w:t>
            </w:r>
          </w:p>
        </w:tc>
        <w:tc>
          <w:tcPr>
            <w:tcW w:w="4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0" w:id="1421"/>
            <w:r>
              <w:rPr>
                <w:rFonts w:ascii="Arial" w:hAnsi="Arial"/>
                <w:b w:val="false"/>
                <w:i w:val="false"/>
                <w:color w:val="000000"/>
                <w:sz w:val="16"/>
              </w:rPr>
              <w:t>22.5</w:t>
            </w:r>
            <w:bookmarkEnd w:id="142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6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1" w:id="1422"/>
            <w:r>
              <w:rPr>
                <w:rFonts w:ascii="Arial" w:hAnsi="Arial"/>
                <w:b w:val="false"/>
                <w:i w:val="false"/>
                <w:color w:val="000000"/>
                <w:sz w:val="16"/>
              </w:rPr>
              <w:t>35.2</w:t>
            </w:r>
            <w:bookmarkEnd w:id="1422"/>
            <w:r>
              <w:rPr>
                <w:rFonts w:ascii="Arial" w:hAnsi="Arial"/>
                <w:b w:val="false"/>
                <w:i w:val="false"/>
                <w:color w:val="000000"/>
                <w:sz w:val="16"/>
              </w:rPr>
              <w:t xml:space="preserve">   </w:t>
            </w:r>
          </w:p>
        </w:tc>
        <w:tc>
          <w:tcPr>
            <w:tcW w:w="47"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386"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Long-term - Derivative financial instruments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2" w:id="1423"/>
            <w:r>
              <w:rPr>
                <w:rFonts w:ascii="Arial" w:hAnsi="Arial"/>
                <w:b w:val="false"/>
                <w:i w:val="false"/>
                <w:color w:val="000000"/>
                <w:sz w:val="16"/>
              </w:rPr>
              <w:t>8.5</w:t>
            </w:r>
            <w:bookmarkEnd w:id="1423"/>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3" w:id="1424"/>
            <w:r>
              <w:rPr>
                <w:rFonts w:ascii="Arial" w:hAnsi="Arial"/>
                <w:b w:val="false"/>
                <w:i w:val="false"/>
                <w:color w:val="000000"/>
                <w:sz w:val="16"/>
              </w:rPr>
              <w:t>0.1</w:t>
            </w:r>
            <w:bookmarkEnd w:id="1424"/>
            <w:r>
              <w:rPr>
                <w:rFonts w:ascii="Arial" w:hAnsi="Arial"/>
                <w:b w:val="false"/>
                <w:i w:val="false"/>
                <w:color w:val="000000"/>
                <w:sz w:val="16"/>
              </w:rPr>
              <w:t xml:space="preserve">   </w:t>
            </w:r>
          </w:p>
        </w:tc>
        <w:tc>
          <w:tcPr>
            <w:tcW w:w="4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4" w:id="1425"/>
            <w:r>
              <w:rPr>
                <w:rFonts w:ascii="Arial" w:hAnsi="Arial"/>
                <w:b w:val="false"/>
                <w:i w:val="false"/>
                <w:color w:val="000000"/>
                <w:sz w:val="16"/>
              </w:rPr>
              <w:t>—</w:t>
            </w:r>
            <w:bookmarkEnd w:id="142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5" w:id="1426"/>
            <w:r>
              <w:rPr>
                <w:rFonts w:ascii="Arial" w:hAnsi="Arial"/>
                <w:b w:val="false"/>
                <w:i w:val="false"/>
                <w:color w:val="000000"/>
                <w:sz w:val="16"/>
              </w:rPr>
              <w:t>0.2</w:t>
            </w:r>
            <w:bookmarkEnd w:id="1426"/>
            <w:r>
              <w:rPr>
                <w:rFonts w:ascii="Arial" w:hAnsi="Arial"/>
                <w:b w:val="false"/>
                <w:i w:val="false"/>
                <w:color w:val="000000"/>
                <w:sz w:val="16"/>
              </w:rPr>
              <w:t xml:space="preserve">   </w:t>
            </w:r>
          </w:p>
        </w:tc>
        <w:tc>
          <w:tcPr>
            <w:tcW w:w="47" w:type="dxa"/>
            <w:tcBorders/>
            <w:shd w:fill="cceeff"/>
            <w:tcMar>
              <w:top w:w="30" w:type="dxa"/>
              <w:left w:w="15" w:type="dxa"/>
              <w:bottom w:w="30" w:type="dxa"/>
              <w:right w:w="15" w:type="dxa"/>
            </w:tcMar>
            <w:vAlign w:val="bottom"/>
          </w:tcPr>
          <w:p/>
        </w:tc>
      </w:tr>
      <w:tr>
        <w:trPr>
          <w:trHeight w:val="34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derivatives not designated as hedging instruments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6" w:id="1427"/>
            <w:r>
              <w:rPr>
                <w:rFonts w:ascii="Arial" w:hAnsi="Arial"/>
                <w:b w:val="false"/>
                <w:i w:val="false"/>
                <w:color w:val="000000"/>
                <w:sz w:val="16"/>
              </w:rPr>
              <w:t>48.6</w:t>
            </w:r>
            <w:bookmarkEnd w:id="1427"/>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7" w:id="1428"/>
            <w:r>
              <w:rPr>
                <w:rFonts w:ascii="Arial" w:hAnsi="Arial"/>
                <w:b w:val="false"/>
                <w:i w:val="false"/>
                <w:color w:val="000000"/>
                <w:sz w:val="16"/>
              </w:rPr>
              <w:t>30.0</w:t>
            </w:r>
            <w:bookmarkEnd w:id="1428"/>
            <w:r>
              <w:rPr>
                <w:rFonts w:ascii="Arial" w:hAnsi="Arial"/>
                <w:b w:val="false"/>
                <w:i w:val="false"/>
                <w:color w:val="000000"/>
                <w:sz w:val="16"/>
              </w:rPr>
              <w:t xml:space="preserve">   </w:t>
            </w:r>
          </w:p>
        </w:tc>
        <w:tc>
          <w:tcPr>
            <w:tcW w:w="47"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8" w:id="1429"/>
            <w:r>
              <w:rPr>
                <w:rFonts w:ascii="Arial" w:hAnsi="Arial"/>
                <w:b w:val="false"/>
                <w:i w:val="false"/>
                <w:color w:val="000000"/>
                <w:sz w:val="16"/>
              </w:rPr>
              <w:t>22.5</w:t>
            </w:r>
            <w:bookmarkEnd w:id="1429"/>
            <w:r>
              <w:rPr>
                <w:rFonts w:ascii="Arial" w:hAnsi="Arial"/>
                <w:b w:val="false"/>
                <w:i w:val="false"/>
                <w:color w:val="000000"/>
                <w:sz w:val="16"/>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19" w:id="1430"/>
            <w:r>
              <w:rPr>
                <w:rFonts w:ascii="Arial" w:hAnsi="Arial"/>
                <w:b w:val="false"/>
                <w:i w:val="false"/>
                <w:color w:val="000000"/>
                <w:sz w:val="16"/>
              </w:rPr>
              <w:t>35.4</w:t>
            </w:r>
            <w:bookmarkEnd w:id="1430"/>
            <w:r>
              <w:rPr>
                <w:rFonts w:ascii="Arial" w:hAnsi="Arial"/>
                <w:b w:val="false"/>
                <w:i w:val="false"/>
                <w:color w:val="000000"/>
                <w:sz w:val="16"/>
              </w:rPr>
              <w:t xml:space="preserve">   </w:t>
            </w:r>
          </w:p>
        </w:tc>
        <w:tc>
          <w:tcPr>
            <w:tcW w:w="47" w:type="dxa"/>
            <w:tcBorders>
              <w:top w:val="single" w:color="000000" w:sz="11"/>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derivatives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0" w:id="1431"/>
            <w:r>
              <w:rPr>
                <w:rFonts w:ascii="Arial" w:hAnsi="Arial"/>
                <w:b w:val="false"/>
                <w:i w:val="false"/>
                <w:color w:val="000000"/>
                <w:sz w:val="16"/>
              </w:rPr>
              <w:t>484.5</w:t>
            </w:r>
            <w:bookmarkEnd w:id="1431"/>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1" w:id="1432"/>
            <w:r>
              <w:rPr>
                <w:rFonts w:ascii="Arial" w:hAnsi="Arial"/>
                <w:b w:val="false"/>
                <w:i w:val="false"/>
                <w:color w:val="000000"/>
                <w:sz w:val="16"/>
              </w:rPr>
              <w:t>429.6</w:t>
            </w:r>
            <w:bookmarkEnd w:id="1432"/>
            <w:r>
              <w:rPr>
                <w:rFonts w:ascii="Arial" w:hAnsi="Arial"/>
                <w:b w:val="false"/>
                <w:i w:val="false"/>
                <w:color w:val="000000"/>
                <w:sz w:val="16"/>
              </w:rPr>
              <w:t xml:space="preserve">   </w:t>
            </w:r>
          </w:p>
        </w:tc>
        <w:tc>
          <w:tcPr>
            <w:tcW w:w="47"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2" w:id="1433"/>
            <w:r>
              <w:rPr>
                <w:rFonts w:ascii="Arial" w:hAnsi="Arial"/>
                <w:b w:val="false"/>
                <w:i w:val="false"/>
                <w:color w:val="000000"/>
                <w:sz w:val="16"/>
              </w:rPr>
              <w:t>523.9</w:t>
            </w:r>
            <w:bookmarkEnd w:id="1433"/>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8"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3" w:id="1434"/>
            <w:r>
              <w:rPr>
                <w:rFonts w:ascii="Arial" w:hAnsi="Arial"/>
                <w:b w:val="false"/>
                <w:i w:val="false"/>
                <w:color w:val="000000"/>
                <w:sz w:val="16"/>
              </w:rPr>
              <w:t>639.3</w:t>
            </w:r>
            <w:bookmarkEnd w:id="1434"/>
            <w:r>
              <w:rPr>
                <w:rFonts w:ascii="Arial" w:hAnsi="Arial"/>
                <w:b w:val="false"/>
                <w:i w:val="false"/>
                <w:color w:val="000000"/>
                <w:sz w:val="16"/>
              </w:rPr>
              <w:t xml:space="preserve">   </w:t>
            </w:r>
          </w:p>
        </w:tc>
        <w:tc>
          <w:tcPr>
            <w:tcW w:w="47"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195" w:id="1435"/>
      <w:bookmarkEnd w:id="1435"/>
      <w:bookmarkStart w:name="f-1157-2" w:id="1436"/>
      <w:bookmarkEnd w:id="143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Cash flow hedges of forecasted transactions, net of tax, which qualify for hedge accounting, resulted in accumulated other comprehensive losses o</w:t>
      </w:r>
      <w:r>
        <w:rPr>
          <w:rFonts w:ascii="Times New Roman" w:hAnsi="Times New Roman"/>
          <w:b w:val="false"/>
          <w:i w:val="false"/>
          <w:color w:val="000000"/>
          <w:sz w:val="22"/>
        </w:rPr>
        <w:t xml:space="preserve"> </w:t>
      </w:r>
      <w:r>
        <w:rPr>
          <w:rFonts w:ascii="Arial" w:hAnsi="Arial"/>
          <w:b w:val="false"/>
          <w:i w:val="false"/>
          <w:color w:val="000000"/>
          <w:sz w:val="20"/>
          <w:shd w:fill="ffffff"/>
        </w:rPr>
        <w:t>f</w:t>
      </w:r>
      <w:r>
        <w:rPr>
          <w:rFonts w:ascii="Times New Roman" w:hAnsi="Times New Roman"/>
          <w:b w:val="false"/>
          <w:i w:val="false"/>
          <w:color w:val="000000"/>
          <w:sz w:val="22"/>
        </w:rPr>
        <w:t xml:space="preserve"> </w:t>
      </w:r>
      <w:r>
        <w:rPr>
          <w:rFonts w:ascii="Arial" w:hAnsi="Arial"/>
          <w:b w:val="false"/>
          <w:i w:val="false"/>
          <w:color w:val="000000"/>
          <w:sz w:val="20"/>
        </w:rPr>
        <w:t xml:space="preserve">$ </w:t>
      </w:r>
      <w:bookmarkStart w:name="f-1224" w:id="1437"/>
      <w:r>
        <w:rPr>
          <w:rFonts w:ascii="Arial" w:hAnsi="Arial"/>
          <w:b w:val="false"/>
          <w:i w:val="false"/>
          <w:color w:val="000000"/>
          <w:sz w:val="20"/>
        </w:rPr>
        <w:t>16.2</w:t>
      </w:r>
      <w:bookmarkEnd w:id="1437"/>
      <w:r>
        <w:rPr>
          <w:rFonts w:ascii="Arial" w:hAnsi="Arial"/>
          <w:b w:val="false"/>
          <w:i w:val="false"/>
          <w:color w:val="000000"/>
          <w:sz w:val="20"/>
        </w:rPr>
        <w:t xml:space="preserve"> million </w:t>
      </w:r>
      <w:r>
        <w:rPr>
          <w:rFonts w:ascii="Arial" w:hAnsi="Arial"/>
          <w:b w:val="false"/>
          <w:i w:val="false"/>
          <w:color w:val="000000"/>
          <w:sz w:val="20"/>
          <w:shd w:fill="ffffff"/>
        </w:rPr>
        <w:t xml:space="preserve">and $ </w:t>
      </w:r>
      <w:bookmarkStart w:name="f-1225" w:id="1438"/>
      <w:r>
        <w:rPr>
          <w:rFonts w:ascii="Arial" w:hAnsi="Arial"/>
          <w:b w:val="false"/>
          <w:i w:val="false"/>
          <w:color w:val="000000"/>
          <w:sz w:val="20"/>
        </w:rPr>
        <w:t>133.0</w:t>
      </w:r>
      <w:bookmarkEnd w:id="1438"/>
      <w:r>
        <w:rPr>
          <w:rFonts w:ascii="Arial" w:hAnsi="Arial"/>
          <w:b w:val="false"/>
          <w:i w:val="false"/>
          <w:color w:val="000000"/>
          <w:sz w:val="20"/>
          <w:shd w:fill="ffffff"/>
        </w:rPr>
        <w:t xml:space="preserve"> million, respectively, as of June 30, 2025 and December 31, 2024. We expect to transfer an approximate </w:t>
      </w:r>
      <w:r>
        <w:rPr>
          <w:rFonts w:ascii="Arial" w:hAnsi="Arial"/>
          <w:b w:val="false"/>
          <w:i w:val="false"/>
          <w:color w:val="000000"/>
          <w:sz w:val="20"/>
        </w:rPr>
        <w:t xml:space="preserve">$ </w:t>
      </w:r>
      <w:bookmarkStart w:name="f-1226" w:id="1439"/>
      <w:r>
        <w:rPr>
          <w:rFonts w:ascii="Arial" w:hAnsi="Arial"/>
          <w:b w:val="false"/>
          <w:i w:val="false"/>
          <w:color w:val="000000"/>
          <w:sz w:val="20"/>
        </w:rPr>
        <w:t>20.8</w:t>
      </w:r>
      <w:bookmarkEnd w:id="1439"/>
      <w:r>
        <w:rPr>
          <w:rFonts w:ascii="Arial" w:hAnsi="Arial"/>
          <w:b w:val="false"/>
          <w:i w:val="false"/>
          <w:color w:val="000000"/>
          <w:sz w:val="20"/>
        </w:rPr>
        <w:t xml:space="preserve"> million loss from accumulated OCI to earnings during the next 12 months when the anticipated transactions actually occur. All anticipated transactions currently being hedged are expected to occur by the first half of 2028. </w:t>
      </w:r>
    </w:p>
    <w:p>
      <w:pPr>
        <w:spacing w:before="0" w:after="0"/>
        <w:ind w:left="120"/>
        <w:jc w:val="left"/>
      </w:pPr>
      <w:bookmarkStart w:name="f-1157-2" w:id="1440"/>
      <w:bookmarkEnd w:id="1440"/>
      <w:bookmarkStart w:name="f-1227" w:id="1441"/>
      <w:bookmarkEnd w:id="1441"/>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presents the gains (losses) recognized in OCI related to derivative instruments designated as cash flow hedges:</w:t>
      </w:r>
      <w:r>
        <w:rPr>
          <w:rFonts w:ascii="Times New Roman" w:hAnsi="Times New Roman"/>
          <w:b w:val="false"/>
          <w:i w:val="false"/>
          <w:color w:val="000000"/>
          <w:sz w:val="22"/>
        </w:rPr>
        <w:t xml:space="preserve"> </w:t>
      </w:r>
    </w:p>
    <w:p>
      <w:pPr>
        <w:spacing w:before="0" w:after="0"/>
        <w:ind w:left="120"/>
        <w:jc w:val="left"/>
      </w:pPr>
      <w:bookmarkStart w:name="f-1227" w:id="1442"/>
      <w:bookmarkEnd w:id="1442"/>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45"/>
        <w:gridCol w:w="5496"/>
        <w:gridCol w:w="346"/>
        <w:gridCol w:w="146"/>
        <w:gridCol w:w="1584"/>
        <w:gridCol w:w="40"/>
        <w:gridCol w:w="40"/>
        <w:gridCol w:w="40"/>
        <w:gridCol w:w="40"/>
        <w:gridCol w:w="146"/>
        <w:gridCol w:w="1584"/>
        <w:gridCol w:w="40"/>
        <w:gridCol w:w="40"/>
        <w:gridCol w:w="40"/>
        <w:gridCol w:w="40"/>
        <w:gridCol w:w="146"/>
        <w:gridCol w:w="1590"/>
        <w:gridCol w:w="40"/>
        <w:gridCol w:w="40"/>
        <w:gridCol w:w="40"/>
        <w:gridCol w:w="40"/>
        <w:gridCol w:w="146"/>
        <w:gridCol w:w="1585"/>
        <w:gridCol w:w="40"/>
      </w:tblGrid>
      <w:tr>
        <w:trPr>
          <w:trHeight w:val="30" w:hRule="atLeast"/>
        </w:trPr>
        <w:tc>
          <w:tcPr>
            <w:tcW w:w="345" w:type="dxa"/>
            <w:tcBorders/>
            <w:tcMar>
              <w:top w:w="15" w:type="dxa"/>
              <w:left w:w="15" w:type="dxa"/>
              <w:bottom w:w="15" w:type="dxa"/>
              <w:right w:w="15" w:type="dxa"/>
            </w:tcMar>
            <w:vAlign w:val="center"/>
          </w:tcPr>
          <w:p/>
        </w:tc>
        <w:tc>
          <w:tcPr>
            <w:tcW w:w="5496" w:type="dxa"/>
            <w:tcBorders/>
            <w:tcMar>
              <w:top w:w="15" w:type="dxa"/>
              <w:left w:w="15" w:type="dxa"/>
              <w:bottom w:w="15" w:type="dxa"/>
              <w:right w:w="15" w:type="dxa"/>
            </w:tcMar>
            <w:vAlign w:val="center"/>
          </w:tcPr>
          <w:p/>
        </w:tc>
        <w:tc>
          <w:tcPr>
            <w:tcW w:w="346"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8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8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9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8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Gain (Loss) Recognized in OCI</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 June 30,</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 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Foreign exchange contracts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28" w:id="1443"/>
            <w:r>
              <w:rPr>
                <w:rFonts w:ascii="Arial" w:hAnsi="Arial"/>
                <w:b w:val="false"/>
                <w:i w:val="false"/>
                <w:color w:val="000000"/>
                <w:sz w:val="16"/>
              </w:rPr>
              <w:t>47.0</w:t>
            </w:r>
            <w:bookmarkEnd w:id="144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29" w:id="1444"/>
            <w:r>
              <w:rPr>
                <w:rFonts w:ascii="Arial" w:hAnsi="Arial"/>
                <w:b w:val="false"/>
                <w:i w:val="false"/>
                <w:color w:val="000000"/>
                <w:sz w:val="16"/>
              </w:rPr>
              <w:t>30.7</w:t>
            </w:r>
            <w:bookmarkEnd w:id="1444"/>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9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0" w:id="1445"/>
            <w:r>
              <w:rPr>
                <w:rFonts w:ascii="Arial" w:hAnsi="Arial"/>
                <w:b w:val="false"/>
                <w:i w:val="false"/>
                <w:color w:val="000000"/>
                <w:sz w:val="16"/>
              </w:rPr>
              <w:t>104.1</w:t>
            </w:r>
            <w:bookmarkEnd w:id="144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8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31" w:id="1446"/>
            <w:r>
              <w:rPr>
                <w:rFonts w:ascii="Arial" w:hAnsi="Arial"/>
                <w:b w:val="false"/>
                <w:i w:val="false"/>
                <w:color w:val="000000"/>
                <w:sz w:val="16"/>
              </w:rPr>
              <w:t>70.5</w:t>
            </w:r>
            <w:bookmarkEnd w:id="1446"/>
            <w:r>
              <w:rPr>
                <w:rFonts w:ascii="Arial" w:hAnsi="Arial"/>
                <w:b w:val="false"/>
                <w:i w:val="false"/>
                <w:color w:val="000000"/>
                <w:sz w:val="16"/>
              </w:rPr>
              <w:t xml:space="preserve"> ) </w:t>
            </w:r>
          </w:p>
        </w:tc>
        <w:tc>
          <w:tcPr>
            <w:tcW w:w="40" w:type="dxa"/>
            <w:tcBorders>
              <w:top w:val="sing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227" w:id="1447"/>
      <w:bookmarkEnd w:id="1447"/>
      <w:bookmarkStart w:name="f-1157-2" w:id="1448"/>
      <w:bookmarkEnd w:id="1448"/>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1157-3" w:id="1449"/>
      <w:bookmarkEnd w:id="1449"/>
      <w:bookmarkStart w:name="f-1232" w:id="1450"/>
      <w:bookmarkEnd w:id="145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represents the effect of cash flow hedge accounting in the condensed consolidated statements of income for the three and six months ended June 30, 2025 and 2024:</w:t>
      </w:r>
      <w:r>
        <w:rPr>
          <w:rFonts w:ascii="Times New Roman" w:hAnsi="Times New Roman"/>
          <w:b w:val="false"/>
          <w:i w:val="false"/>
          <w:color w:val="000000"/>
          <w:sz w:val="22"/>
        </w:rPr>
        <w:t xml:space="preserve"> </w:t>
      </w:r>
    </w:p>
    <w:p>
      <w:pPr>
        <w:spacing w:before="0" w:after="0"/>
        <w:ind w:left="120"/>
        <w:jc w:val="left"/>
      </w:pPr>
      <w:bookmarkStart w:name="f-1232" w:id="1451"/>
      <w:bookmarkEnd w:id="1451"/>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79"/>
        <w:gridCol w:w="3608"/>
        <w:gridCol w:w="480"/>
        <w:gridCol w:w="136"/>
        <w:gridCol w:w="1294"/>
        <w:gridCol w:w="41"/>
        <w:gridCol w:w="40"/>
        <w:gridCol w:w="40"/>
        <w:gridCol w:w="40"/>
        <w:gridCol w:w="136"/>
        <w:gridCol w:w="1142"/>
        <w:gridCol w:w="40"/>
        <w:gridCol w:w="40"/>
        <w:gridCol w:w="40"/>
        <w:gridCol w:w="40"/>
        <w:gridCol w:w="189"/>
        <w:gridCol w:w="1184"/>
        <w:gridCol w:w="58"/>
        <w:gridCol w:w="40"/>
        <w:gridCol w:w="40"/>
        <w:gridCol w:w="40"/>
        <w:gridCol w:w="153"/>
        <w:gridCol w:w="1169"/>
        <w:gridCol w:w="47"/>
        <w:gridCol w:w="40"/>
        <w:gridCol w:w="40"/>
        <w:gridCol w:w="40"/>
        <w:gridCol w:w="136"/>
        <w:gridCol w:w="1141"/>
        <w:gridCol w:w="40"/>
        <w:gridCol w:w="40"/>
        <w:gridCol w:w="40"/>
        <w:gridCol w:w="40"/>
        <w:gridCol w:w="195"/>
        <w:gridCol w:w="1306"/>
        <w:gridCol w:w="60"/>
      </w:tblGrid>
      <w:tr>
        <w:trPr>
          <w:trHeight w:val="30" w:hRule="atLeast"/>
        </w:trPr>
        <w:tc>
          <w:tcPr>
            <w:tcW w:w="479" w:type="dxa"/>
            <w:tcBorders/>
            <w:tcMar>
              <w:top w:w="15" w:type="dxa"/>
              <w:left w:w="15" w:type="dxa"/>
              <w:bottom w:w="15" w:type="dxa"/>
              <w:right w:w="15" w:type="dxa"/>
            </w:tcMar>
            <w:vAlign w:val="center"/>
          </w:tcPr>
          <w:p/>
        </w:tc>
        <w:tc>
          <w:tcPr>
            <w:tcW w:w="3608" w:type="dxa"/>
            <w:tcBorders/>
            <w:tcMar>
              <w:top w:w="15" w:type="dxa"/>
              <w:left w:w="15" w:type="dxa"/>
              <w:bottom w:w="15" w:type="dxa"/>
              <w:right w:w="15" w:type="dxa"/>
            </w:tcMar>
            <w:vAlign w:val="center"/>
          </w:tcPr>
          <w:p/>
        </w:tc>
        <w:tc>
          <w:tcPr>
            <w:tcW w:w="480"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1294" w:type="dxa"/>
            <w:tcBorders/>
            <w:tcMar>
              <w:top w:w="15" w:type="dxa"/>
              <w:left w:w="15" w:type="dxa"/>
              <w:bottom w:w="15" w:type="dxa"/>
              <w:right w:w="15" w:type="dxa"/>
            </w:tcMar>
            <w:vAlign w:val="center"/>
          </w:tcPr>
          <w:p/>
        </w:tc>
        <w:tc>
          <w:tcPr>
            <w:tcW w:w="4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114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9" w:type="dxa"/>
            <w:tcBorders/>
            <w:tcMar>
              <w:top w:w="15" w:type="dxa"/>
              <w:left w:w="15" w:type="dxa"/>
              <w:bottom w:w="15" w:type="dxa"/>
              <w:right w:w="15" w:type="dxa"/>
            </w:tcMar>
            <w:vAlign w:val="center"/>
          </w:tcPr>
          <w:p/>
        </w:tc>
        <w:tc>
          <w:tcPr>
            <w:tcW w:w="1184"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3" w:type="dxa"/>
            <w:tcBorders/>
            <w:tcMar>
              <w:top w:w="15" w:type="dxa"/>
              <w:left w:w="15" w:type="dxa"/>
              <w:bottom w:w="15" w:type="dxa"/>
              <w:right w:w="15" w:type="dxa"/>
            </w:tcMar>
            <w:vAlign w:val="center"/>
          </w:tcPr>
          <w:p/>
        </w:tc>
        <w:tc>
          <w:tcPr>
            <w:tcW w:w="1169" w:type="dxa"/>
            <w:tcBorders/>
            <w:tcMar>
              <w:top w:w="15" w:type="dxa"/>
              <w:left w:w="15" w:type="dxa"/>
              <w:bottom w:w="15" w:type="dxa"/>
              <w:right w:w="15" w:type="dxa"/>
            </w:tcMar>
            <w:vAlign w:val="center"/>
          </w:tcPr>
          <w:p/>
        </w:tc>
        <w:tc>
          <w:tcPr>
            <w:tcW w:w="4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114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95" w:type="dxa"/>
            <w:tcBorders/>
            <w:tcMar>
              <w:top w:w="15" w:type="dxa"/>
              <w:left w:w="15" w:type="dxa"/>
              <w:bottom w:w="15" w:type="dxa"/>
              <w:right w:w="15" w:type="dxa"/>
            </w:tcMar>
            <w:vAlign w:val="center"/>
          </w:tcPr>
          <w:p/>
        </w:tc>
        <w:tc>
          <w:tcPr>
            <w:tcW w:w="1306" w:type="dxa"/>
            <w:tcBorders/>
            <w:tcMar>
              <w:top w:w="15" w:type="dxa"/>
              <w:left w:w="15" w:type="dxa"/>
              <w:bottom w:w="15" w:type="dxa"/>
              <w:right w:w="15" w:type="dxa"/>
            </w:tcMar>
            <w:vAlign w:val="center"/>
          </w:tcPr>
          <w:p/>
        </w:tc>
        <w:tc>
          <w:tcPr>
            <w:tcW w:w="60"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4"/>
              </w:rPr>
              <w:t>(In millions)</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Three Months Ended 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Three Months Ended June 30, 2024</w:t>
            </w:r>
            <w:r>
              <w:rPr>
                <w:rFonts w:ascii="Times New Roman" w:hAnsi="Times New Roman"/>
                <w:b w:val="false"/>
                <w:i w:val="false"/>
                <w:color w:val="000000"/>
                <w:sz w:val="22"/>
              </w:rPr>
              <w:t xml:space="preserve"> </w:t>
            </w:r>
          </w:p>
        </w:tc>
      </w:tr>
      <w:tr>
        <w:trPr>
          <w:trHeight w:val="85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4"/>
              </w:rPr>
              <w:t>Total amount of income (expense) presented in the condensed consolidated statements of income associated with hedges and derivatives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Revenue</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Cost of sales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Other income (expense), net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Revenue</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Cost of sales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4"/>
              </w:rPr>
              <w:t>Other income (expense), net</w:t>
            </w:r>
            <w:r>
              <w:rPr>
                <w:rFonts w:ascii="Times New Roman" w:hAnsi="Times New Roman"/>
                <w:b w:val="false"/>
                <w:i w:val="false"/>
                <w:color w:val="000000"/>
                <w:sz w:val="22"/>
              </w:rPr>
              <w:t xml:space="preserve"> </w:t>
            </w:r>
          </w:p>
        </w:tc>
      </w:tr>
      <w:tr>
        <w:trPr/>
      </w:tr>
      <w:tr>
        <w:trPr/>
      </w:tr>
      <w:tr>
        <w:trPr>
          <w:trHeight w:val="585" w:hRule="atLeast"/>
        </w:trPr>
        <w:tc>
          <w:tcPr>
            <w:tcW w:w="0" w:type="auto"/>
            <w:gridSpan w:val="3"/>
            <w:tcBorders/>
            <w:shd w:fill="cceeff"/>
            <w:tcMar>
              <w:top w:w="30" w:type="dxa"/>
              <w:left w:w="150"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Amounts reclassified from accumulated OCI to income (loss)</w:t>
            </w:r>
            <w:r>
              <w:rPr>
                <w:rFonts w:ascii="Times New Roman" w:hAnsi="Times New Roman"/>
                <w:b w:val="false"/>
                <w:i w:val="false"/>
                <w:color w:val="000000"/>
                <w:sz w:val="22"/>
              </w:rPr>
              <w:t xml:space="preserve"> </w:t>
            </w:r>
          </w:p>
        </w:tc>
        <w:tc>
          <w:tcPr>
            <w:tcW w:w="13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29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33" w:id="1452"/>
            <w:r>
              <w:rPr>
                <w:rFonts w:ascii="Arial" w:hAnsi="Arial"/>
                <w:b w:val="false"/>
                <w:i w:val="false"/>
                <w:color w:val="000000"/>
                <w:sz w:val="14"/>
              </w:rPr>
              <w:t>14.0</w:t>
            </w:r>
            <w:bookmarkEnd w:id="1452"/>
            <w:r>
              <w:rPr>
                <w:rFonts w:ascii="Arial" w:hAnsi="Arial"/>
                <w:b w:val="false"/>
                <w:i w:val="false"/>
                <w:color w:val="000000"/>
                <w:sz w:val="14"/>
              </w:rPr>
              <w:t xml:space="preserve"> ) </w:t>
            </w:r>
          </w:p>
        </w:tc>
        <w:tc>
          <w:tcPr>
            <w:tcW w:w="41"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3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4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4" w:id="1453"/>
            <w:r>
              <w:rPr>
                <w:rFonts w:ascii="Arial" w:hAnsi="Arial"/>
                <w:b w:val="false"/>
                <w:i w:val="false"/>
                <w:color w:val="000000"/>
                <w:sz w:val="14"/>
              </w:rPr>
              <w:t>13.0</w:t>
            </w:r>
            <w:bookmarkEnd w:id="1453"/>
            <w:r>
              <w:rPr>
                <w:rFonts w:ascii="Arial" w:hAnsi="Arial"/>
                <w:b w:val="false"/>
                <w:i w:val="false"/>
                <w:color w:val="000000"/>
                <w:sz w:val="14"/>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9"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8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35" w:id="1454"/>
            <w:r>
              <w:rPr>
                <w:rFonts w:ascii="Arial" w:hAnsi="Arial"/>
                <w:b w:val="false"/>
                <w:i w:val="false"/>
                <w:color w:val="000000"/>
                <w:sz w:val="14"/>
              </w:rPr>
              <w:t>6.1</w:t>
            </w:r>
            <w:bookmarkEnd w:id="1454"/>
            <w:r>
              <w:rPr>
                <w:rFonts w:ascii="Arial" w:hAnsi="Arial"/>
                <w:b w:val="false"/>
                <w:i w:val="false"/>
                <w:color w:val="000000"/>
                <w:sz w:val="14"/>
              </w:rPr>
              <w:t xml:space="preserve"> ) </w:t>
            </w:r>
          </w:p>
        </w:tc>
        <w:tc>
          <w:tcPr>
            <w:tcW w:w="5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6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36" w:id="1455"/>
            <w:r>
              <w:rPr>
                <w:rFonts w:ascii="Arial" w:hAnsi="Arial"/>
                <w:b w:val="false"/>
                <w:i w:val="false"/>
                <w:color w:val="000000"/>
                <w:sz w:val="14"/>
              </w:rPr>
              <w:t>2.6</w:t>
            </w:r>
            <w:bookmarkEnd w:id="1455"/>
            <w:r>
              <w:rPr>
                <w:rFonts w:ascii="Arial" w:hAnsi="Arial"/>
                <w:b w:val="false"/>
                <w:i w:val="false"/>
                <w:color w:val="000000"/>
                <w:sz w:val="14"/>
              </w:rPr>
              <w:t xml:space="preserve"> ) </w:t>
            </w:r>
          </w:p>
        </w:tc>
        <w:tc>
          <w:tcPr>
            <w:tcW w:w="4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3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4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7" w:id="1456"/>
            <w:r>
              <w:rPr>
                <w:rFonts w:ascii="Arial" w:hAnsi="Arial"/>
                <w:b w:val="false"/>
                <w:i w:val="false"/>
                <w:color w:val="000000"/>
                <w:sz w:val="14"/>
              </w:rPr>
              <w:t>2.3</w:t>
            </w:r>
            <w:bookmarkEnd w:id="1456"/>
            <w:r>
              <w:rPr>
                <w:rFonts w:ascii="Arial" w:hAnsi="Arial"/>
                <w:b w:val="false"/>
                <w:i w:val="false"/>
                <w:color w:val="000000"/>
                <w:sz w:val="14"/>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30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8" w:id="1457"/>
            <w:r>
              <w:rPr>
                <w:rFonts w:ascii="Arial" w:hAnsi="Arial"/>
                <w:b w:val="false"/>
                <w:i w:val="false"/>
                <w:color w:val="000000"/>
                <w:sz w:val="14"/>
              </w:rPr>
              <w:t>5.7</w:t>
            </w:r>
            <w:bookmarkEnd w:id="1457"/>
            <w:r>
              <w:rPr>
                <w:rFonts w:ascii="Arial" w:hAnsi="Arial"/>
                <w:b w:val="false"/>
                <w:i w:val="false"/>
                <w:color w:val="000000"/>
                <w:sz w:val="14"/>
              </w:rPr>
              <w:t xml:space="preserve">   </w:t>
            </w:r>
          </w:p>
        </w:tc>
        <w:tc>
          <w:tcPr>
            <w:tcW w:w="6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0"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Amounts excluded from effectiveness testing</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39" w:id="1458"/>
            <w:r>
              <w:rPr>
                <w:rFonts w:ascii="Arial" w:hAnsi="Arial"/>
                <w:b w:val="false"/>
                <w:i w:val="false"/>
                <w:color w:val="000000"/>
                <w:sz w:val="14"/>
              </w:rPr>
              <w:t>5.8</w:t>
            </w:r>
            <w:bookmarkEnd w:id="1458"/>
            <w:r>
              <w:rPr>
                <w:rFonts w:ascii="Arial" w:hAnsi="Arial"/>
                <w:b w:val="false"/>
                <w:i w:val="false"/>
                <w:color w:val="000000"/>
                <w:sz w:val="14"/>
              </w:rPr>
              <w:t xml:space="preserve">   </w:t>
            </w:r>
          </w:p>
        </w:tc>
        <w:tc>
          <w:tcPr>
            <w:tcW w:w="41"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0" w:id="1459"/>
            <w:r>
              <w:rPr>
                <w:rFonts w:ascii="Arial" w:hAnsi="Arial"/>
                <w:b w:val="false"/>
                <w:i w:val="false"/>
                <w:color w:val="000000"/>
                <w:sz w:val="14"/>
              </w:rPr>
              <w:t>1.1</w:t>
            </w:r>
            <w:bookmarkEnd w:id="1459"/>
            <w:r>
              <w:rPr>
                <w:rFonts w:ascii="Arial" w:hAnsi="Arial"/>
                <w:b w:val="false"/>
                <w:i w:val="false"/>
                <w:color w:val="000000"/>
                <w:sz w:val="14"/>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41" w:id="1460"/>
            <w:r>
              <w:rPr>
                <w:rFonts w:ascii="Arial" w:hAnsi="Arial"/>
                <w:b w:val="false"/>
                <w:i w:val="false"/>
                <w:color w:val="000000"/>
                <w:sz w:val="14"/>
              </w:rPr>
              <w:t>9.1</w:t>
            </w:r>
            <w:bookmarkEnd w:id="1460"/>
            <w:r>
              <w:rPr>
                <w:rFonts w:ascii="Arial" w:hAnsi="Arial"/>
                <w:b w:val="false"/>
                <w:i w:val="false"/>
                <w:color w:val="000000"/>
                <w:sz w:val="14"/>
              </w:rPr>
              <w:t xml:space="preserve"> ) </w:t>
            </w:r>
          </w:p>
        </w:tc>
        <w:tc>
          <w:tcPr>
            <w:tcW w:w="5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2" w:id="1461"/>
            <w:r>
              <w:rPr>
                <w:rFonts w:ascii="Arial" w:hAnsi="Arial"/>
                <w:b w:val="false"/>
                <w:i w:val="false"/>
                <w:color w:val="000000"/>
                <w:sz w:val="14"/>
              </w:rPr>
              <w:t>5.8</w:t>
            </w:r>
            <w:bookmarkEnd w:id="1461"/>
            <w:r>
              <w:rPr>
                <w:rFonts w:ascii="Arial" w:hAnsi="Arial"/>
                <w:b w:val="false"/>
                <w:i w:val="false"/>
                <w:color w:val="000000"/>
                <w:sz w:val="14"/>
              </w:rPr>
              <w:t xml:space="preserve">   </w:t>
            </w:r>
          </w:p>
        </w:tc>
        <w:tc>
          <w:tcPr>
            <w:tcW w:w="4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43" w:id="1462"/>
            <w:r>
              <w:rPr>
                <w:rFonts w:ascii="Arial" w:hAnsi="Arial"/>
                <w:b w:val="false"/>
                <w:i w:val="false"/>
                <w:color w:val="000000"/>
                <w:sz w:val="14"/>
              </w:rPr>
              <w:t>6.8</w:t>
            </w:r>
            <w:bookmarkEnd w:id="1462"/>
            <w:r>
              <w:rPr>
                <w:rFonts w:ascii="Arial" w:hAnsi="Arial"/>
                <w:b w:val="false"/>
                <w:i w:val="false"/>
                <w:color w:val="000000"/>
                <w:sz w:val="14"/>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4" w:id="1463"/>
            <w:r>
              <w:rPr>
                <w:rFonts w:ascii="Arial" w:hAnsi="Arial"/>
                <w:b w:val="false"/>
                <w:i w:val="false"/>
                <w:color w:val="000000"/>
                <w:sz w:val="14"/>
              </w:rPr>
              <w:t>18.6</w:t>
            </w:r>
            <w:bookmarkEnd w:id="1463"/>
            <w:r>
              <w:rPr>
                <w:rFonts w:ascii="Arial" w:hAnsi="Arial"/>
                <w:b w:val="false"/>
                <w:i w:val="false"/>
                <w:color w:val="000000"/>
                <w:sz w:val="14"/>
              </w:rPr>
              <w:t xml:space="preserve">   </w:t>
            </w:r>
          </w:p>
        </w:tc>
        <w:tc>
          <w:tcPr>
            <w:tcW w:w="60"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4"/>
              </w:rPr>
              <w:t>Total cash flow hedge gain (loss) recognized in income</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45" w:id="1464"/>
            <w:r>
              <w:rPr>
                <w:rFonts w:ascii="Arial" w:hAnsi="Arial"/>
                <w:b w:val="false"/>
                <w:i w:val="false"/>
                <w:color w:val="000000"/>
                <w:sz w:val="14"/>
              </w:rPr>
              <w:t>8.2</w:t>
            </w:r>
            <w:bookmarkEnd w:id="1464"/>
            <w:r>
              <w:rPr>
                <w:rFonts w:ascii="Arial" w:hAnsi="Arial"/>
                <w:b w:val="false"/>
                <w:i w:val="false"/>
                <w:color w:val="000000"/>
                <w:sz w:val="14"/>
              </w:rPr>
              <w:t xml:space="preserve"> ) </w:t>
            </w:r>
          </w:p>
        </w:tc>
        <w:tc>
          <w:tcPr>
            <w:tcW w:w="41"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6" w:id="1465"/>
            <w:r>
              <w:rPr>
                <w:rFonts w:ascii="Arial" w:hAnsi="Arial"/>
                <w:b w:val="false"/>
                <w:i w:val="false"/>
                <w:color w:val="000000"/>
                <w:sz w:val="14"/>
              </w:rPr>
              <w:t>14.1</w:t>
            </w:r>
            <w:bookmarkEnd w:id="1465"/>
            <w:r>
              <w:rPr>
                <w:rFonts w:ascii="Arial" w:hAnsi="Arial"/>
                <w:b w:val="false"/>
                <w:i w:val="false"/>
                <w:color w:val="000000"/>
                <w:sz w:val="14"/>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47" w:id="1466"/>
            <w:r>
              <w:rPr>
                <w:rFonts w:ascii="Arial" w:hAnsi="Arial"/>
                <w:b w:val="false"/>
                <w:i w:val="false"/>
                <w:color w:val="000000"/>
                <w:sz w:val="14"/>
              </w:rPr>
              <w:t>15.2</w:t>
            </w:r>
            <w:bookmarkEnd w:id="1466"/>
            <w:r>
              <w:rPr>
                <w:rFonts w:ascii="Arial" w:hAnsi="Arial"/>
                <w:b w:val="false"/>
                <w:i w:val="false"/>
                <w:color w:val="000000"/>
                <w:sz w:val="14"/>
              </w:rPr>
              <w:t xml:space="preserve"> ) </w:t>
            </w:r>
          </w:p>
        </w:tc>
        <w:tc>
          <w:tcPr>
            <w:tcW w:w="5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48" w:id="1467"/>
            <w:r>
              <w:rPr>
                <w:rFonts w:ascii="Arial" w:hAnsi="Arial"/>
                <w:b w:val="false"/>
                <w:i w:val="false"/>
                <w:color w:val="000000"/>
                <w:sz w:val="14"/>
              </w:rPr>
              <w:t>3.2</w:t>
            </w:r>
            <w:bookmarkEnd w:id="1467"/>
            <w:r>
              <w:rPr>
                <w:rFonts w:ascii="Arial" w:hAnsi="Arial"/>
                <w:b w:val="false"/>
                <w:i w:val="false"/>
                <w:color w:val="000000"/>
                <w:sz w:val="14"/>
              </w:rPr>
              <w:t xml:space="preserve">   </w:t>
            </w:r>
          </w:p>
        </w:tc>
        <w:tc>
          <w:tcPr>
            <w:tcW w:w="4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49" w:id="1468"/>
            <w:r>
              <w:rPr>
                <w:rFonts w:ascii="Arial" w:hAnsi="Arial"/>
                <w:b w:val="false"/>
                <w:i w:val="false"/>
                <w:color w:val="000000"/>
                <w:sz w:val="14"/>
              </w:rPr>
              <w:t>4.5</w:t>
            </w:r>
            <w:bookmarkEnd w:id="1468"/>
            <w:r>
              <w:rPr>
                <w:rFonts w:ascii="Arial" w:hAnsi="Arial"/>
                <w:b w:val="false"/>
                <w:i w:val="false"/>
                <w:color w:val="000000"/>
                <w:sz w:val="14"/>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0" w:id="1469"/>
            <w:r>
              <w:rPr>
                <w:rFonts w:ascii="Arial" w:hAnsi="Arial"/>
                <w:b w:val="false"/>
                <w:i w:val="false"/>
                <w:color w:val="000000"/>
                <w:sz w:val="14"/>
              </w:rPr>
              <w:t>24.3</w:t>
            </w:r>
            <w:bookmarkEnd w:id="1469"/>
            <w:r>
              <w:rPr>
                <w:rFonts w:ascii="Arial" w:hAnsi="Arial"/>
                <w:b w:val="false"/>
                <w:i w:val="false"/>
                <w:color w:val="000000"/>
                <w:sz w:val="14"/>
              </w:rPr>
              <w:t xml:space="preserve">   </w:t>
            </w:r>
          </w:p>
        </w:tc>
        <w:tc>
          <w:tcPr>
            <w:tcW w:w="6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Gain (loss) recognized in income on derivatives not designated as hedging instruments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51" w:id="1470"/>
            <w:r>
              <w:rPr>
                <w:rFonts w:ascii="Arial" w:hAnsi="Arial"/>
                <w:b w:val="false"/>
                <w:i w:val="false"/>
                <w:color w:val="000000"/>
                <w:sz w:val="14"/>
              </w:rPr>
              <w:t>0.4</w:t>
            </w:r>
            <w:bookmarkEnd w:id="1470"/>
            <w:r>
              <w:rPr>
                <w:rFonts w:ascii="Arial" w:hAnsi="Arial"/>
                <w:b w:val="false"/>
                <w:i w:val="false"/>
                <w:color w:val="000000"/>
                <w:sz w:val="14"/>
              </w:rPr>
              <w:t xml:space="preserve"> ) </w:t>
            </w:r>
          </w:p>
        </w:tc>
        <w:tc>
          <w:tcPr>
            <w:tcW w:w="41"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2" w:id="1471"/>
            <w:r>
              <w:rPr>
                <w:rFonts w:ascii="Arial" w:hAnsi="Arial"/>
                <w:b w:val="false"/>
                <w:i w:val="false"/>
                <w:color w:val="000000"/>
                <w:sz w:val="14"/>
              </w:rPr>
              <w:t>13.2</w:t>
            </w:r>
            <w:bookmarkEnd w:id="1471"/>
            <w:r>
              <w:rPr>
                <w:rFonts w:ascii="Arial" w:hAnsi="Arial"/>
                <w:b w:val="false"/>
                <w:i w:val="false"/>
                <w:color w:val="000000"/>
                <w:sz w:val="14"/>
              </w:rPr>
              <w:t xml:space="preserve">   </w:t>
            </w:r>
          </w:p>
        </w:tc>
        <w:tc>
          <w:tcPr>
            <w:tcW w:w="5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3" w:id="1472"/>
            <w:r>
              <w:rPr>
                <w:rFonts w:ascii="Arial" w:hAnsi="Arial"/>
                <w:b w:val="false"/>
                <w:i w:val="false"/>
                <w:color w:val="000000"/>
                <w:sz w:val="14"/>
              </w:rPr>
              <w:t>0.4</w:t>
            </w:r>
            <w:bookmarkEnd w:id="1472"/>
            <w:r>
              <w:rPr>
                <w:rFonts w:ascii="Arial" w:hAnsi="Arial"/>
                <w:b w:val="false"/>
                <w:i w:val="false"/>
                <w:color w:val="000000"/>
                <w:sz w:val="14"/>
              </w:rPr>
              <w:t xml:space="preserve">   </w:t>
            </w:r>
          </w:p>
        </w:tc>
        <w:tc>
          <w:tcPr>
            <w:tcW w:w="4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54" w:id="1473"/>
            <w:r>
              <w:rPr>
                <w:rFonts w:ascii="Arial" w:hAnsi="Arial"/>
                <w:b w:val="false"/>
                <w:i w:val="false"/>
                <w:color w:val="000000"/>
                <w:sz w:val="14"/>
              </w:rPr>
              <w:t>8.4</w:t>
            </w:r>
            <w:bookmarkEnd w:id="1473"/>
            <w:r>
              <w:rPr>
                <w:rFonts w:ascii="Arial" w:hAnsi="Arial"/>
                <w:b w:val="false"/>
                <w:i w:val="false"/>
                <w:color w:val="000000"/>
                <w:sz w:val="14"/>
              </w:rPr>
              <w:t xml:space="preserve"> ) </w:t>
            </w:r>
          </w:p>
        </w:tc>
        <w:tc>
          <w:tcPr>
            <w:tcW w:w="6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4"/>
              </w:rPr>
              <w:t>Total(a)</w:t>
            </w:r>
            <w:r>
              <w:rPr>
                <w:rFonts w:ascii="Times New Roman" w:hAnsi="Times New Roman"/>
                <w:b w:val="false"/>
                <w:i w:val="false"/>
                <w:color w:val="000000"/>
                <w:sz w:val="22"/>
              </w:rPr>
              <w:t xml:space="preserve"> </w:t>
            </w:r>
          </w:p>
        </w:tc>
        <w:tc>
          <w:tcPr>
            <w:tcW w:w="13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29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55" w:id="1474"/>
            <w:r>
              <w:rPr>
                <w:rFonts w:ascii="Arial" w:hAnsi="Arial"/>
                <w:b w:val="false"/>
                <w:i w:val="false"/>
                <w:color w:val="000000"/>
                <w:sz w:val="14"/>
              </w:rPr>
              <w:t>8.6</w:t>
            </w:r>
            <w:bookmarkEnd w:id="1474"/>
            <w:r>
              <w:rPr>
                <w:rFonts w:ascii="Arial" w:hAnsi="Arial"/>
                <w:b w:val="false"/>
                <w:i w:val="false"/>
                <w:color w:val="000000"/>
                <w:sz w:val="14"/>
              </w:rPr>
              <w:t xml:space="preserve"> ) </w:t>
            </w:r>
          </w:p>
        </w:tc>
        <w:tc>
          <w:tcPr>
            <w:tcW w:w="41"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3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4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6" w:id="1475"/>
            <w:r>
              <w:rPr>
                <w:rFonts w:ascii="Arial" w:hAnsi="Arial"/>
                <w:b w:val="false"/>
                <w:i w:val="false"/>
                <w:color w:val="000000"/>
                <w:sz w:val="14"/>
              </w:rPr>
              <w:t>14.1</w:t>
            </w:r>
            <w:bookmarkEnd w:id="1475"/>
            <w:r>
              <w:rPr>
                <w:rFonts w:ascii="Arial" w:hAnsi="Arial"/>
                <w:b w:val="false"/>
                <w:i w:val="false"/>
                <w:color w:val="000000"/>
                <w:sz w:val="14"/>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8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8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57" w:id="1476"/>
            <w:r>
              <w:rPr>
                <w:rFonts w:ascii="Arial" w:hAnsi="Arial"/>
                <w:b w:val="false"/>
                <w:i w:val="false"/>
                <w:color w:val="000000"/>
                <w:sz w:val="14"/>
              </w:rPr>
              <w:t>2.0</w:t>
            </w:r>
            <w:bookmarkEnd w:id="1476"/>
            <w:r>
              <w:rPr>
                <w:rFonts w:ascii="Arial" w:hAnsi="Arial"/>
                <w:b w:val="false"/>
                <w:i w:val="false"/>
                <w:color w:val="000000"/>
                <w:sz w:val="14"/>
              </w:rPr>
              <w:t xml:space="preserve"> ) </w:t>
            </w:r>
          </w:p>
        </w:tc>
        <w:tc>
          <w:tcPr>
            <w:tcW w:w="58"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5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6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58" w:id="1477"/>
            <w:r>
              <w:rPr>
                <w:rFonts w:ascii="Arial" w:hAnsi="Arial"/>
                <w:b w:val="false"/>
                <w:i w:val="false"/>
                <w:color w:val="000000"/>
                <w:sz w:val="14"/>
              </w:rPr>
              <w:t>3.6</w:t>
            </w:r>
            <w:bookmarkEnd w:id="1477"/>
            <w:r>
              <w:rPr>
                <w:rFonts w:ascii="Arial" w:hAnsi="Arial"/>
                <w:b w:val="false"/>
                <w:i w:val="false"/>
                <w:color w:val="000000"/>
                <w:sz w:val="14"/>
              </w:rPr>
              <w:t xml:space="preserve">   </w:t>
            </w:r>
          </w:p>
        </w:tc>
        <w:tc>
          <w:tcPr>
            <w:tcW w:w="47"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3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14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4"/>
              </w:rPr>
              <w:t xml:space="preserve">( </w:t>
            </w:r>
            <w:bookmarkStart w:name="f-1259" w:id="1478"/>
            <w:r>
              <w:rPr>
                <w:rFonts w:ascii="Arial" w:hAnsi="Arial"/>
                <w:b w:val="false"/>
                <w:i w:val="false"/>
                <w:color w:val="000000"/>
                <w:sz w:val="14"/>
              </w:rPr>
              <w:t>4.5</w:t>
            </w:r>
            <w:bookmarkEnd w:id="1478"/>
            <w:r>
              <w:rPr>
                <w:rFonts w:ascii="Arial" w:hAnsi="Arial"/>
                <w:b w:val="false"/>
                <w:i w:val="false"/>
                <w:color w:val="000000"/>
                <w:sz w:val="14"/>
              </w:rPr>
              <w:t xml:space="preserve"> )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9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4"/>
              </w:rPr>
              <w:t>$</w:t>
            </w:r>
            <w:r>
              <w:rPr>
                <w:rFonts w:ascii="Times New Roman" w:hAnsi="Times New Roman"/>
                <w:b w:val="false"/>
                <w:i w:val="false"/>
                <w:color w:val="000000"/>
                <w:sz w:val="22"/>
              </w:rPr>
              <w:t xml:space="preserve"> </w:t>
            </w:r>
          </w:p>
        </w:tc>
        <w:tc>
          <w:tcPr>
            <w:tcW w:w="130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0" w:id="1479"/>
            <w:r>
              <w:rPr>
                <w:rFonts w:ascii="Arial" w:hAnsi="Arial"/>
                <w:b w:val="false"/>
                <w:i w:val="false"/>
                <w:color w:val="000000"/>
                <w:sz w:val="14"/>
              </w:rPr>
              <w:t>15.9</w:t>
            </w:r>
            <w:bookmarkEnd w:id="1479"/>
            <w:r>
              <w:rPr>
                <w:rFonts w:ascii="Arial" w:hAnsi="Arial"/>
                <w:b w:val="false"/>
                <w:i w:val="false"/>
                <w:color w:val="000000"/>
                <w:sz w:val="14"/>
              </w:rPr>
              <w:t xml:space="preserve">   </w:t>
            </w:r>
          </w:p>
        </w:tc>
        <w:tc>
          <w:tcPr>
            <w:tcW w:w="6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232" w:id="1480"/>
      <w:bookmarkEnd w:id="1480"/>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1232" w:id="1481"/>
      <w:bookmarkEnd w:id="1481"/>
    </w:p>
    <w:p>
      <w:pPr>
        <w:spacing w:before="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05"/>
        <w:gridCol w:w="3555"/>
        <w:gridCol w:w="507"/>
        <w:gridCol w:w="141"/>
        <w:gridCol w:w="1288"/>
        <w:gridCol w:w="41"/>
        <w:gridCol w:w="40"/>
        <w:gridCol w:w="40"/>
        <w:gridCol w:w="40"/>
        <w:gridCol w:w="139"/>
        <w:gridCol w:w="1131"/>
        <w:gridCol w:w="40"/>
        <w:gridCol w:w="40"/>
        <w:gridCol w:w="40"/>
        <w:gridCol w:w="40"/>
        <w:gridCol w:w="201"/>
        <w:gridCol w:w="1183"/>
        <w:gridCol w:w="58"/>
        <w:gridCol w:w="40"/>
        <w:gridCol w:w="40"/>
        <w:gridCol w:w="40"/>
        <w:gridCol w:w="162"/>
        <w:gridCol w:w="1165"/>
        <w:gridCol w:w="47"/>
        <w:gridCol w:w="40"/>
        <w:gridCol w:w="40"/>
        <w:gridCol w:w="40"/>
        <w:gridCol w:w="139"/>
        <w:gridCol w:w="1130"/>
        <w:gridCol w:w="40"/>
        <w:gridCol w:w="40"/>
        <w:gridCol w:w="40"/>
        <w:gridCol w:w="40"/>
        <w:gridCol w:w="201"/>
        <w:gridCol w:w="1303"/>
        <w:gridCol w:w="58"/>
      </w:tblGrid>
      <w:tr>
        <w:trPr>
          <w:trHeight w:val="30" w:hRule="atLeast"/>
        </w:trPr>
        <w:tc>
          <w:tcPr>
            <w:tcW w:w="505" w:type="dxa"/>
            <w:tcBorders/>
            <w:tcMar>
              <w:top w:w="15" w:type="dxa"/>
              <w:left w:w="15" w:type="dxa"/>
              <w:bottom w:w="15" w:type="dxa"/>
              <w:right w:w="15" w:type="dxa"/>
            </w:tcMar>
            <w:vAlign w:val="center"/>
          </w:tcPr>
          <w:p/>
        </w:tc>
        <w:tc>
          <w:tcPr>
            <w:tcW w:w="3555" w:type="dxa"/>
            <w:tcBorders/>
            <w:tcMar>
              <w:top w:w="15" w:type="dxa"/>
              <w:left w:w="15" w:type="dxa"/>
              <w:bottom w:w="15" w:type="dxa"/>
              <w:right w:w="15" w:type="dxa"/>
            </w:tcMar>
            <w:vAlign w:val="center"/>
          </w:tcPr>
          <w:p/>
        </w:tc>
        <w:tc>
          <w:tcPr>
            <w:tcW w:w="507" w:type="dxa"/>
            <w:tcBorders/>
            <w:tcMar>
              <w:top w:w="15" w:type="dxa"/>
              <w:left w:w="15" w:type="dxa"/>
              <w:bottom w:w="15" w:type="dxa"/>
              <w:right w:w="15" w:type="dxa"/>
            </w:tcMar>
            <w:vAlign w:val="center"/>
          </w:tcPr>
          <w:p/>
        </w:tc>
        <w:tc>
          <w:tcPr>
            <w:tcW w:w="141" w:type="dxa"/>
            <w:tcBorders/>
            <w:tcMar>
              <w:top w:w="15" w:type="dxa"/>
              <w:left w:w="15" w:type="dxa"/>
              <w:bottom w:w="15" w:type="dxa"/>
              <w:right w:w="15" w:type="dxa"/>
            </w:tcMar>
            <w:vAlign w:val="center"/>
          </w:tcPr>
          <w:p/>
        </w:tc>
        <w:tc>
          <w:tcPr>
            <w:tcW w:w="1288" w:type="dxa"/>
            <w:tcBorders/>
            <w:tcMar>
              <w:top w:w="15" w:type="dxa"/>
              <w:left w:w="15" w:type="dxa"/>
              <w:bottom w:w="15" w:type="dxa"/>
              <w:right w:w="15" w:type="dxa"/>
            </w:tcMar>
            <w:vAlign w:val="center"/>
          </w:tcPr>
          <w:p/>
        </w:tc>
        <w:tc>
          <w:tcPr>
            <w:tcW w:w="4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9" w:type="dxa"/>
            <w:tcBorders/>
            <w:tcMar>
              <w:top w:w="15" w:type="dxa"/>
              <w:left w:w="15" w:type="dxa"/>
              <w:bottom w:w="15" w:type="dxa"/>
              <w:right w:w="15" w:type="dxa"/>
            </w:tcMar>
            <w:vAlign w:val="center"/>
          </w:tcPr>
          <w:p/>
        </w:tc>
        <w:tc>
          <w:tcPr>
            <w:tcW w:w="113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1" w:type="dxa"/>
            <w:tcBorders/>
            <w:tcMar>
              <w:top w:w="15" w:type="dxa"/>
              <w:left w:w="15" w:type="dxa"/>
              <w:bottom w:w="15" w:type="dxa"/>
              <w:right w:w="15" w:type="dxa"/>
            </w:tcMar>
            <w:vAlign w:val="center"/>
          </w:tcPr>
          <w:p/>
        </w:tc>
        <w:tc>
          <w:tcPr>
            <w:tcW w:w="1183"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62" w:type="dxa"/>
            <w:tcBorders/>
            <w:tcMar>
              <w:top w:w="15" w:type="dxa"/>
              <w:left w:w="15" w:type="dxa"/>
              <w:bottom w:w="15" w:type="dxa"/>
              <w:right w:w="15" w:type="dxa"/>
            </w:tcMar>
            <w:vAlign w:val="center"/>
          </w:tcPr>
          <w:p/>
        </w:tc>
        <w:tc>
          <w:tcPr>
            <w:tcW w:w="1165" w:type="dxa"/>
            <w:tcBorders/>
            <w:tcMar>
              <w:top w:w="15" w:type="dxa"/>
              <w:left w:w="15" w:type="dxa"/>
              <w:bottom w:w="15" w:type="dxa"/>
              <w:right w:w="15" w:type="dxa"/>
            </w:tcMar>
            <w:vAlign w:val="center"/>
          </w:tcPr>
          <w:p/>
        </w:tc>
        <w:tc>
          <w:tcPr>
            <w:tcW w:w="4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9" w:type="dxa"/>
            <w:tcBorders/>
            <w:tcMar>
              <w:top w:w="15" w:type="dxa"/>
              <w:left w:w="15" w:type="dxa"/>
              <w:bottom w:w="15" w:type="dxa"/>
              <w:right w:w="15" w:type="dxa"/>
            </w:tcMar>
            <w:vAlign w:val="center"/>
          </w:tcPr>
          <w:p/>
        </w:tc>
        <w:tc>
          <w:tcPr>
            <w:tcW w:w="113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1" w:type="dxa"/>
            <w:tcBorders/>
            <w:tcMar>
              <w:top w:w="15" w:type="dxa"/>
              <w:left w:w="15" w:type="dxa"/>
              <w:bottom w:w="15" w:type="dxa"/>
              <w:right w:w="15" w:type="dxa"/>
            </w:tcMar>
            <w:vAlign w:val="center"/>
          </w:tcPr>
          <w:p/>
        </w:tc>
        <w:tc>
          <w:tcPr>
            <w:tcW w:w="1303" w:type="dxa"/>
            <w:tcBorders/>
            <w:tcMar>
              <w:top w:w="15" w:type="dxa"/>
              <w:left w:w="15" w:type="dxa"/>
              <w:bottom w:w="15" w:type="dxa"/>
              <w:right w:w="15" w:type="dxa"/>
            </w:tcMar>
            <w:vAlign w:val="center"/>
          </w:tcPr>
          <w:p/>
        </w:tc>
        <w:tc>
          <w:tcPr>
            <w:tcW w:w="58" w:type="dxa"/>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5"/>
              </w:rPr>
              <w:t>(In millions)</w:t>
            </w:r>
            <w:r>
              <w:rPr>
                <w:rFonts w:ascii="Times New Roman" w:hAnsi="Times New Roman"/>
                <w:b w:val="false"/>
                <w:i w:val="false"/>
                <w:color w:val="000000"/>
                <w:sz w:val="22"/>
              </w:rPr>
              <w:t xml:space="preserve"> </w:t>
            </w: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Six Months Ended 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Six Months Ended June 30, 2024</w:t>
            </w:r>
            <w:r>
              <w:rPr>
                <w:rFonts w:ascii="Times New Roman" w:hAnsi="Times New Roman"/>
                <w:b w:val="false"/>
                <w:i w:val="false"/>
                <w:color w:val="000000"/>
                <w:sz w:val="22"/>
              </w:rPr>
              <w:t xml:space="preserve"> </w:t>
            </w:r>
          </w:p>
        </w:tc>
      </w:tr>
      <w:tr>
        <w:trPr>
          <w:trHeight w:val="112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5"/>
              </w:rPr>
              <w:t>Total amount of income (expense) presented in the condensed consolidated statements of income associated with hedges and derivatives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Revenue</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Cost of sales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Other income (expense), net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Revenue</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Cost of sales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5"/>
              </w:rPr>
              <w:t>Other income (expense), net</w:t>
            </w:r>
            <w:r>
              <w:rPr>
                <w:rFonts w:ascii="Times New Roman" w:hAnsi="Times New Roman"/>
                <w:b w:val="false"/>
                <w:i w:val="false"/>
                <w:color w:val="000000"/>
                <w:sz w:val="22"/>
              </w:rPr>
              <w:t xml:space="preserve"> </w:t>
            </w:r>
          </w:p>
        </w:tc>
      </w:tr>
      <w:tr>
        <w:trPr>
          <w:trHeight w:val="585" w:hRule="atLeast"/>
        </w:trPr>
        <w:tc>
          <w:tcPr>
            <w:tcW w:w="0" w:type="auto"/>
            <w:gridSpan w:val="3"/>
            <w:tcBorders/>
            <w:shd w:fill="cceeff"/>
            <w:tcMar>
              <w:top w:w="30" w:type="dxa"/>
              <w:left w:w="150"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Amounts reclassified from accumulated OCI to income (loss)</w:t>
            </w:r>
            <w:r>
              <w:rPr>
                <w:rFonts w:ascii="Times New Roman" w:hAnsi="Times New Roman"/>
                <w:b w:val="false"/>
                <w:i w:val="false"/>
                <w:color w:val="000000"/>
                <w:sz w:val="22"/>
              </w:rPr>
              <w:t xml:space="preserve"> </w:t>
            </w:r>
          </w:p>
        </w:tc>
        <w:tc>
          <w:tcPr>
            <w:tcW w:w="141"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28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61" w:id="1482"/>
            <w:r>
              <w:rPr>
                <w:rFonts w:ascii="Arial" w:hAnsi="Arial"/>
                <w:b w:val="false"/>
                <w:i w:val="false"/>
                <w:color w:val="000000"/>
                <w:sz w:val="15"/>
              </w:rPr>
              <w:t>22.8</w:t>
            </w:r>
            <w:bookmarkEnd w:id="1482"/>
            <w:r>
              <w:rPr>
                <w:rFonts w:ascii="Arial" w:hAnsi="Arial"/>
                <w:b w:val="false"/>
                <w:i w:val="false"/>
                <w:color w:val="000000"/>
                <w:sz w:val="15"/>
              </w:rPr>
              <w:t xml:space="preserve"> ) </w:t>
            </w:r>
          </w:p>
        </w:tc>
        <w:tc>
          <w:tcPr>
            <w:tcW w:w="41"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39"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2" w:id="1483"/>
            <w:r>
              <w:rPr>
                <w:rFonts w:ascii="Arial" w:hAnsi="Arial"/>
                <w:b w:val="false"/>
                <w:i w:val="false"/>
                <w:color w:val="000000"/>
                <w:sz w:val="15"/>
              </w:rPr>
              <w:t>25.5</w:t>
            </w:r>
            <w:bookmarkEnd w:id="1483"/>
            <w:r>
              <w:rPr>
                <w:rFonts w:ascii="Arial" w:hAnsi="Arial"/>
                <w:b w:val="false"/>
                <w:i w:val="false"/>
                <w:color w:val="000000"/>
                <w:sz w:val="15"/>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1"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8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63" w:id="1484"/>
            <w:r>
              <w:rPr>
                <w:rFonts w:ascii="Arial" w:hAnsi="Arial"/>
                <w:b w:val="false"/>
                <w:i w:val="false"/>
                <w:color w:val="000000"/>
                <w:sz w:val="15"/>
              </w:rPr>
              <w:t>9.1</w:t>
            </w:r>
            <w:bookmarkEnd w:id="1484"/>
            <w:r>
              <w:rPr>
                <w:rFonts w:ascii="Arial" w:hAnsi="Arial"/>
                <w:b w:val="false"/>
                <w:i w:val="false"/>
                <w:color w:val="000000"/>
                <w:sz w:val="15"/>
              </w:rPr>
              <w:t xml:space="preserve"> ) </w:t>
            </w:r>
          </w:p>
        </w:tc>
        <w:tc>
          <w:tcPr>
            <w:tcW w:w="5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62"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6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64" w:id="1485"/>
            <w:r>
              <w:rPr>
                <w:rFonts w:ascii="Arial" w:hAnsi="Arial"/>
                <w:b w:val="false"/>
                <w:i w:val="false"/>
                <w:color w:val="000000"/>
                <w:sz w:val="15"/>
              </w:rPr>
              <w:t>1.7</w:t>
            </w:r>
            <w:bookmarkEnd w:id="1485"/>
            <w:r>
              <w:rPr>
                <w:rFonts w:ascii="Arial" w:hAnsi="Arial"/>
                <w:b w:val="false"/>
                <w:i w:val="false"/>
                <w:color w:val="000000"/>
                <w:sz w:val="15"/>
              </w:rPr>
              <w:t xml:space="preserve"> ) </w:t>
            </w:r>
          </w:p>
        </w:tc>
        <w:tc>
          <w:tcPr>
            <w:tcW w:w="4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39"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3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5" w:id="1486"/>
            <w:r>
              <w:rPr>
                <w:rFonts w:ascii="Arial" w:hAnsi="Arial"/>
                <w:b w:val="false"/>
                <w:i w:val="false"/>
                <w:color w:val="000000"/>
                <w:sz w:val="15"/>
              </w:rPr>
              <w:t>2.9</w:t>
            </w:r>
            <w:bookmarkEnd w:id="1486"/>
            <w:r>
              <w:rPr>
                <w:rFonts w:ascii="Arial" w:hAnsi="Arial"/>
                <w:b w:val="false"/>
                <w:i w:val="false"/>
                <w:color w:val="000000"/>
                <w:sz w:val="15"/>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1"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30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6" w:id="1487"/>
            <w:r>
              <w:rPr>
                <w:rFonts w:ascii="Arial" w:hAnsi="Arial"/>
                <w:b w:val="false"/>
                <w:i w:val="false"/>
                <w:color w:val="000000"/>
                <w:sz w:val="15"/>
              </w:rPr>
              <w:t>8.5</w:t>
            </w:r>
            <w:bookmarkEnd w:id="1487"/>
            <w:r>
              <w:rPr>
                <w:rFonts w:ascii="Arial" w:hAnsi="Arial"/>
                <w:b w:val="false"/>
                <w:i w:val="false"/>
                <w:color w:val="000000"/>
                <w:sz w:val="15"/>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0"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Amounts excluded from effectiveness testing</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7" w:id="1488"/>
            <w:r>
              <w:rPr>
                <w:rFonts w:ascii="Arial" w:hAnsi="Arial"/>
                <w:b w:val="false"/>
                <w:i w:val="false"/>
                <w:color w:val="000000"/>
                <w:sz w:val="15"/>
              </w:rPr>
              <w:t>8.0</w:t>
            </w:r>
            <w:bookmarkEnd w:id="1488"/>
            <w:r>
              <w:rPr>
                <w:rFonts w:ascii="Arial" w:hAnsi="Arial"/>
                <w:b w:val="false"/>
                <w:i w:val="false"/>
                <w:color w:val="000000"/>
                <w:sz w:val="15"/>
              </w:rPr>
              <w:t xml:space="preserve">   </w:t>
            </w:r>
          </w:p>
        </w:tc>
        <w:tc>
          <w:tcPr>
            <w:tcW w:w="41"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68" w:id="1489"/>
            <w:r>
              <w:rPr>
                <w:rFonts w:ascii="Arial" w:hAnsi="Arial"/>
                <w:b w:val="false"/>
                <w:i w:val="false"/>
                <w:color w:val="000000"/>
                <w:sz w:val="15"/>
              </w:rPr>
              <w:t>5.1</w:t>
            </w:r>
            <w:bookmarkEnd w:id="1489"/>
            <w:r>
              <w:rPr>
                <w:rFonts w:ascii="Arial" w:hAnsi="Arial"/>
                <w:b w:val="false"/>
                <w:i w:val="false"/>
                <w:color w:val="000000"/>
                <w:sz w:val="15"/>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69" w:id="1490"/>
            <w:r>
              <w:rPr>
                <w:rFonts w:ascii="Arial" w:hAnsi="Arial"/>
                <w:b w:val="false"/>
                <w:i w:val="false"/>
                <w:color w:val="000000"/>
                <w:sz w:val="15"/>
              </w:rPr>
              <w:t>20.1</w:t>
            </w:r>
            <w:bookmarkEnd w:id="1490"/>
            <w:r>
              <w:rPr>
                <w:rFonts w:ascii="Arial" w:hAnsi="Arial"/>
                <w:b w:val="false"/>
                <w:i w:val="false"/>
                <w:color w:val="000000"/>
                <w:sz w:val="15"/>
              </w:rPr>
              <w:t xml:space="preserve"> ) </w:t>
            </w:r>
          </w:p>
        </w:tc>
        <w:tc>
          <w:tcPr>
            <w:tcW w:w="58"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0" w:id="1491"/>
            <w:r>
              <w:rPr>
                <w:rFonts w:ascii="Arial" w:hAnsi="Arial"/>
                <w:b w:val="false"/>
                <w:i w:val="false"/>
                <w:color w:val="000000"/>
                <w:sz w:val="15"/>
              </w:rPr>
              <w:t>12.8</w:t>
            </w:r>
            <w:bookmarkEnd w:id="1491"/>
            <w:r>
              <w:rPr>
                <w:rFonts w:ascii="Arial" w:hAnsi="Arial"/>
                <w:b w:val="false"/>
                <w:i w:val="false"/>
                <w:color w:val="000000"/>
                <w:sz w:val="15"/>
              </w:rPr>
              <w:t xml:space="preserve">   </w:t>
            </w:r>
          </w:p>
        </w:tc>
        <w:tc>
          <w:tcPr>
            <w:tcW w:w="4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71" w:id="1492"/>
            <w:r>
              <w:rPr>
                <w:rFonts w:ascii="Arial" w:hAnsi="Arial"/>
                <w:b w:val="false"/>
                <w:i w:val="false"/>
                <w:color w:val="000000"/>
                <w:sz w:val="15"/>
              </w:rPr>
              <w:t>11.7</w:t>
            </w:r>
            <w:bookmarkEnd w:id="1492"/>
            <w:r>
              <w:rPr>
                <w:rFonts w:ascii="Arial" w:hAnsi="Arial"/>
                <w:b w:val="false"/>
                <w:i w:val="false"/>
                <w:color w:val="000000"/>
                <w:sz w:val="15"/>
              </w:rPr>
              <w:t xml:space="preserve"> )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2" w:id="1493"/>
            <w:r>
              <w:rPr>
                <w:rFonts w:ascii="Arial" w:hAnsi="Arial"/>
                <w:b w:val="false"/>
                <w:i w:val="false"/>
                <w:color w:val="000000"/>
                <w:sz w:val="15"/>
              </w:rPr>
              <w:t>13.7</w:t>
            </w:r>
            <w:bookmarkEnd w:id="1493"/>
            <w:r>
              <w:rPr>
                <w:rFonts w:ascii="Arial" w:hAnsi="Arial"/>
                <w:b w:val="false"/>
                <w:i w:val="false"/>
                <w:color w:val="000000"/>
                <w:sz w:val="15"/>
              </w:rPr>
              <w:t xml:space="preserve">   </w:t>
            </w:r>
          </w:p>
        </w:tc>
        <w:tc>
          <w:tcPr>
            <w:tcW w:w="58" w:type="dxa"/>
            <w:tcBorders/>
            <w:shd w:fill="ffffff"/>
            <w:tcMar>
              <w:top w:w="30" w:type="dxa"/>
              <w:left w:w="15" w:type="dxa"/>
              <w:bottom w:w="30" w:type="dxa"/>
              <w:right w:w="15" w:type="dxa"/>
            </w:tcMar>
            <w:vAlign w:val="bottom"/>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5"/>
              </w:rPr>
              <w:t>Total cash flow hedge gain (loss) recognized in income</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73" w:id="1494"/>
            <w:r>
              <w:rPr>
                <w:rFonts w:ascii="Arial" w:hAnsi="Arial"/>
                <w:b w:val="false"/>
                <w:i w:val="false"/>
                <w:color w:val="000000"/>
                <w:sz w:val="15"/>
              </w:rPr>
              <w:t>14.8</w:t>
            </w:r>
            <w:bookmarkEnd w:id="1494"/>
            <w:r>
              <w:rPr>
                <w:rFonts w:ascii="Arial" w:hAnsi="Arial"/>
                <w:b w:val="false"/>
                <w:i w:val="false"/>
                <w:color w:val="000000"/>
                <w:sz w:val="15"/>
              </w:rPr>
              <w:t xml:space="preserve"> ) </w:t>
            </w:r>
          </w:p>
        </w:tc>
        <w:tc>
          <w:tcPr>
            <w:tcW w:w="41"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4" w:id="1495"/>
            <w:r>
              <w:rPr>
                <w:rFonts w:ascii="Arial" w:hAnsi="Arial"/>
                <w:b w:val="false"/>
                <w:i w:val="false"/>
                <w:color w:val="000000"/>
                <w:sz w:val="15"/>
              </w:rPr>
              <w:t>30.6</w:t>
            </w:r>
            <w:bookmarkEnd w:id="1495"/>
            <w:r>
              <w:rPr>
                <w:rFonts w:ascii="Arial" w:hAnsi="Arial"/>
                <w:b w:val="false"/>
                <w:i w:val="false"/>
                <w:color w:val="000000"/>
                <w:sz w:val="15"/>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75" w:id="1496"/>
            <w:r>
              <w:rPr>
                <w:rFonts w:ascii="Arial" w:hAnsi="Arial"/>
                <w:b w:val="false"/>
                <w:i w:val="false"/>
                <w:color w:val="000000"/>
                <w:sz w:val="15"/>
              </w:rPr>
              <w:t>29.2</w:t>
            </w:r>
            <w:bookmarkEnd w:id="1496"/>
            <w:r>
              <w:rPr>
                <w:rFonts w:ascii="Arial" w:hAnsi="Arial"/>
                <w:b w:val="false"/>
                <w:i w:val="false"/>
                <w:color w:val="000000"/>
                <w:sz w:val="15"/>
              </w:rPr>
              <w:t xml:space="preserve"> ) </w:t>
            </w:r>
          </w:p>
        </w:tc>
        <w:tc>
          <w:tcPr>
            <w:tcW w:w="58"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6" w:id="1497"/>
            <w:r>
              <w:rPr>
                <w:rFonts w:ascii="Arial" w:hAnsi="Arial"/>
                <w:b w:val="false"/>
                <w:i w:val="false"/>
                <w:color w:val="000000"/>
                <w:sz w:val="15"/>
              </w:rPr>
              <w:t>11.1</w:t>
            </w:r>
            <w:bookmarkEnd w:id="1497"/>
            <w:r>
              <w:rPr>
                <w:rFonts w:ascii="Arial" w:hAnsi="Arial"/>
                <w:b w:val="false"/>
                <w:i w:val="false"/>
                <w:color w:val="000000"/>
                <w:sz w:val="15"/>
              </w:rPr>
              <w:t xml:space="preserve">   </w:t>
            </w:r>
          </w:p>
        </w:tc>
        <w:tc>
          <w:tcPr>
            <w:tcW w:w="4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77" w:id="1498"/>
            <w:r>
              <w:rPr>
                <w:rFonts w:ascii="Arial" w:hAnsi="Arial"/>
                <w:b w:val="false"/>
                <w:i w:val="false"/>
                <w:color w:val="000000"/>
                <w:sz w:val="15"/>
              </w:rPr>
              <w:t>8.8</w:t>
            </w:r>
            <w:bookmarkEnd w:id="1498"/>
            <w:r>
              <w:rPr>
                <w:rFonts w:ascii="Arial" w:hAnsi="Arial"/>
                <w:b w:val="false"/>
                <w:i w:val="false"/>
                <w:color w:val="000000"/>
                <w:sz w:val="15"/>
              </w:rPr>
              <w:t xml:space="preserve"> )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78" w:id="1499"/>
            <w:r>
              <w:rPr>
                <w:rFonts w:ascii="Arial" w:hAnsi="Arial"/>
                <w:b w:val="false"/>
                <w:i w:val="false"/>
                <w:color w:val="000000"/>
                <w:sz w:val="15"/>
              </w:rPr>
              <w:t>22.2</w:t>
            </w:r>
            <w:bookmarkEnd w:id="1499"/>
            <w:r>
              <w:rPr>
                <w:rFonts w:ascii="Arial" w:hAnsi="Arial"/>
                <w:b w:val="false"/>
                <w:i w:val="false"/>
                <w:color w:val="000000"/>
                <w:sz w:val="15"/>
              </w:rPr>
              <w:t xml:space="preserve">   </w:t>
            </w:r>
          </w:p>
        </w:tc>
        <w:tc>
          <w:tcPr>
            <w:tcW w:w="58"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r>
      <w:tr>
        <w:trPr>
          <w:trHeight w:val="58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Gain (loss) recognized in income on derivatives not designated as hedging instruments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79" w:id="1500"/>
            <w:r>
              <w:rPr>
                <w:rFonts w:ascii="Arial" w:hAnsi="Arial"/>
                <w:b w:val="false"/>
                <w:i w:val="false"/>
                <w:color w:val="000000"/>
                <w:sz w:val="15"/>
              </w:rPr>
              <w:t>1.6</w:t>
            </w:r>
            <w:bookmarkEnd w:id="1500"/>
            <w:r>
              <w:rPr>
                <w:rFonts w:ascii="Arial" w:hAnsi="Arial"/>
                <w:b w:val="false"/>
                <w:i w:val="false"/>
                <w:color w:val="000000"/>
                <w:sz w:val="15"/>
              </w:rPr>
              <w:t xml:space="preserve"> ) </w:t>
            </w:r>
          </w:p>
        </w:tc>
        <w:tc>
          <w:tcPr>
            <w:tcW w:w="41"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0" w:id="1501"/>
            <w:r>
              <w:rPr>
                <w:rFonts w:ascii="Arial" w:hAnsi="Arial"/>
                <w:b w:val="false"/>
                <w:i w:val="false"/>
                <w:color w:val="000000"/>
                <w:sz w:val="15"/>
              </w:rPr>
              <w:t>0.1</w:t>
            </w:r>
            <w:bookmarkEnd w:id="1501"/>
            <w:r>
              <w:rPr>
                <w:rFonts w:ascii="Arial" w:hAnsi="Arial"/>
                <w:b w:val="false"/>
                <w:i w:val="false"/>
                <w:color w:val="000000"/>
                <w:sz w:val="15"/>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1" w:id="1502"/>
            <w:r>
              <w:rPr>
                <w:rFonts w:ascii="Arial" w:hAnsi="Arial"/>
                <w:b w:val="false"/>
                <w:i w:val="false"/>
                <w:color w:val="000000"/>
                <w:sz w:val="15"/>
              </w:rPr>
              <w:t>31.9</w:t>
            </w:r>
            <w:bookmarkEnd w:id="1502"/>
            <w:r>
              <w:rPr>
                <w:rFonts w:ascii="Arial" w:hAnsi="Arial"/>
                <w:b w:val="false"/>
                <w:i w:val="false"/>
                <w:color w:val="000000"/>
                <w:sz w:val="15"/>
              </w:rPr>
              <w:t xml:space="preserve">   </w:t>
            </w:r>
          </w:p>
        </w:tc>
        <w:tc>
          <w:tcPr>
            <w:tcW w:w="58"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2" w:id="1503"/>
            <w:r>
              <w:rPr>
                <w:rFonts w:ascii="Arial" w:hAnsi="Arial"/>
                <w:b w:val="false"/>
                <w:i w:val="false"/>
                <w:color w:val="000000"/>
                <w:sz w:val="15"/>
              </w:rPr>
              <w:t>0.6</w:t>
            </w:r>
            <w:bookmarkEnd w:id="1503"/>
            <w:r>
              <w:rPr>
                <w:rFonts w:ascii="Arial" w:hAnsi="Arial"/>
                <w:b w:val="false"/>
                <w:i w:val="false"/>
                <w:color w:val="000000"/>
                <w:sz w:val="15"/>
              </w:rPr>
              <w:t xml:space="preserve">   </w:t>
            </w:r>
          </w:p>
        </w:tc>
        <w:tc>
          <w:tcPr>
            <w:tcW w:w="47"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83" w:id="1504"/>
            <w:r>
              <w:rPr>
                <w:rFonts w:ascii="Arial" w:hAnsi="Arial"/>
                <w:b w:val="false"/>
                <w:i w:val="false"/>
                <w:color w:val="000000"/>
                <w:sz w:val="15"/>
              </w:rPr>
              <w:t>29.8</w:t>
            </w:r>
            <w:bookmarkEnd w:id="1504"/>
            <w:r>
              <w:rPr>
                <w:rFonts w:ascii="Arial" w:hAnsi="Arial"/>
                <w:b w:val="false"/>
                <w:i w:val="false"/>
                <w:color w:val="000000"/>
                <w:sz w:val="15"/>
              </w:rPr>
              <w:t xml:space="preserve"> ) </w:t>
            </w:r>
          </w:p>
        </w:tc>
        <w:tc>
          <w:tcPr>
            <w:tcW w:w="58"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i w:val="false"/>
                <w:color w:val="000000"/>
                <w:sz w:val="15"/>
              </w:rPr>
              <w:t>Total</w:t>
            </w:r>
            <w:r>
              <w:rPr>
                <w:rFonts w:ascii="Times New Roman" w:hAnsi="Times New Roman"/>
                <w:b w:val="false"/>
                <w:i w:val="false"/>
                <w:color w:val="000000"/>
                <w:sz w:val="22"/>
              </w:rPr>
              <w:t xml:space="preserve"> </w:t>
            </w:r>
            <w:r>
              <w:rPr>
                <w:rFonts w:ascii="Arial" w:hAnsi="Arial"/>
                <w:b w:val="false"/>
                <w:i w:val="false"/>
                <w:color w:val="000000"/>
                <w:sz w:val="10"/>
              </w:rPr>
              <w:t>(a)</w:t>
            </w:r>
            <w:r>
              <w:rPr>
                <w:rFonts w:ascii="Times New Roman" w:hAnsi="Times New Roman"/>
                <w:b w:val="false"/>
                <w:i w:val="false"/>
                <w:color w:val="000000"/>
                <w:sz w:val="22"/>
              </w:rPr>
              <w:t xml:space="preserve"> </w:t>
            </w:r>
          </w:p>
        </w:tc>
        <w:tc>
          <w:tcPr>
            <w:tcW w:w="14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288"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84" w:id="1505"/>
            <w:r>
              <w:rPr>
                <w:rFonts w:ascii="Arial" w:hAnsi="Arial"/>
                <w:b w:val="false"/>
                <w:i w:val="false"/>
                <w:color w:val="000000"/>
                <w:sz w:val="15"/>
              </w:rPr>
              <w:t>16.4</w:t>
            </w:r>
            <w:bookmarkEnd w:id="1505"/>
            <w:r>
              <w:rPr>
                <w:rFonts w:ascii="Arial" w:hAnsi="Arial"/>
                <w:b w:val="false"/>
                <w:i w:val="false"/>
                <w:color w:val="000000"/>
                <w:sz w:val="15"/>
              </w:rPr>
              <w:t xml:space="preserve"> ) </w:t>
            </w:r>
          </w:p>
        </w:tc>
        <w:tc>
          <w:tcPr>
            <w:tcW w:w="41"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3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3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5" w:id="1506"/>
            <w:r>
              <w:rPr>
                <w:rFonts w:ascii="Arial" w:hAnsi="Arial"/>
                <w:b w:val="false"/>
                <w:i w:val="false"/>
                <w:color w:val="000000"/>
                <w:sz w:val="15"/>
              </w:rPr>
              <w:t>30.7</w:t>
            </w:r>
            <w:bookmarkEnd w:id="1506"/>
            <w:r>
              <w:rPr>
                <w:rFonts w:ascii="Arial" w:hAnsi="Arial"/>
                <w:b w:val="false"/>
                <w:i w:val="false"/>
                <w:color w:val="000000"/>
                <w:sz w:val="15"/>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8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6" w:id="1507"/>
            <w:r>
              <w:rPr>
                <w:rFonts w:ascii="Arial" w:hAnsi="Arial"/>
                <w:b w:val="false"/>
                <w:i w:val="false"/>
                <w:color w:val="000000"/>
                <w:sz w:val="15"/>
              </w:rPr>
              <w:t>2.7</w:t>
            </w:r>
            <w:bookmarkEnd w:id="1507"/>
            <w:r>
              <w:rPr>
                <w:rFonts w:ascii="Arial" w:hAnsi="Arial"/>
                <w:b w:val="false"/>
                <w:i w:val="false"/>
                <w:color w:val="000000"/>
                <w:sz w:val="15"/>
              </w:rPr>
              <w:t xml:space="preserve">   </w:t>
            </w:r>
          </w:p>
        </w:tc>
        <w:tc>
          <w:tcPr>
            <w:tcW w:w="58"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62"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65"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87" w:id="1508"/>
            <w:r>
              <w:rPr>
                <w:rFonts w:ascii="Arial" w:hAnsi="Arial"/>
                <w:b w:val="false"/>
                <w:i w:val="false"/>
                <w:color w:val="000000"/>
                <w:sz w:val="15"/>
              </w:rPr>
              <w:t>11.7</w:t>
            </w:r>
            <w:bookmarkEnd w:id="1508"/>
            <w:r>
              <w:rPr>
                <w:rFonts w:ascii="Arial" w:hAnsi="Arial"/>
                <w:b w:val="false"/>
                <w:i w:val="false"/>
                <w:color w:val="000000"/>
                <w:sz w:val="15"/>
              </w:rPr>
              <w:t xml:space="preserve">   </w:t>
            </w:r>
          </w:p>
        </w:tc>
        <w:tc>
          <w:tcPr>
            <w:tcW w:w="47"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39"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130"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88" w:id="1509"/>
            <w:r>
              <w:rPr>
                <w:rFonts w:ascii="Arial" w:hAnsi="Arial"/>
                <w:b w:val="false"/>
                <w:i w:val="false"/>
                <w:color w:val="000000"/>
                <w:sz w:val="15"/>
              </w:rPr>
              <w:t>8.8</w:t>
            </w:r>
            <w:bookmarkEnd w:id="1509"/>
            <w:r>
              <w:rPr>
                <w:rFonts w:ascii="Arial" w:hAnsi="Arial"/>
                <w:b w:val="false"/>
                <w:i w:val="false"/>
                <w:color w:val="000000"/>
                <w:sz w:val="15"/>
              </w:rPr>
              <w:t xml:space="preserve"> )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5"/>
              </w:rPr>
              <w:t>$</w:t>
            </w:r>
            <w:r>
              <w:rPr>
                <w:rFonts w:ascii="Times New Roman" w:hAnsi="Times New Roman"/>
                <w:b w:val="false"/>
                <w:i w:val="false"/>
                <w:color w:val="000000"/>
                <w:sz w:val="22"/>
              </w:rPr>
              <w:t xml:space="preserve"> </w:t>
            </w:r>
          </w:p>
        </w:tc>
        <w:tc>
          <w:tcPr>
            <w:tcW w:w="130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5"/>
              </w:rPr>
              <w:t xml:space="preserve">( </w:t>
            </w:r>
            <w:bookmarkStart w:name="f-1289" w:id="1510"/>
            <w:r>
              <w:rPr>
                <w:rFonts w:ascii="Arial" w:hAnsi="Arial"/>
                <w:b w:val="false"/>
                <w:i w:val="false"/>
                <w:color w:val="000000"/>
                <w:sz w:val="15"/>
              </w:rPr>
              <w:t>7.6</w:t>
            </w:r>
            <w:bookmarkEnd w:id="1510"/>
            <w:r>
              <w:rPr>
                <w:rFonts w:ascii="Arial" w:hAnsi="Arial"/>
                <w:b w:val="false"/>
                <w:i w:val="false"/>
                <w:color w:val="000000"/>
                <w:sz w:val="15"/>
              </w:rPr>
              <w:t xml:space="preserve"> ) </w:t>
            </w:r>
          </w:p>
        </w:tc>
        <w:tc>
          <w:tcPr>
            <w:tcW w:w="58"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232" w:id="1511"/>
      <w:bookmarkEnd w:id="1511"/>
      <w:bookmarkStart w:name="f-1157-3" w:id="1512"/>
      <w:bookmarkEnd w:id="1512"/>
    </w:p>
    <w:p>
      <w:pPr>
        <w:pBdr>
          <w:left w:space="13"/>
        </w:pBdr>
        <w:spacing w:before="0" w:after="60"/>
        <w:ind w:left="480"/>
        <w:jc w:val="left"/>
      </w:pPr>
      <w:r>
        <w:rPr>
          <w:rFonts w:ascii="Times New Roman" w:hAnsi="Times New Roman"/>
          <w:b w:val="false"/>
          <w:i w:val="false"/>
          <w:color w:val="000000"/>
          <w:sz w:val="22"/>
        </w:rPr>
        <w:t xml:space="preserve"> </w:t>
      </w:r>
      <w:bookmarkStart w:name="f-1232-1" w:id="1513"/>
      <w:bookmarkEnd w:id="1513"/>
      <w:r>
        <w:rPr>
          <w:rFonts w:ascii="Arial" w:hAnsi="Arial"/>
          <w:b w:val="false"/>
          <w:i w:val="false"/>
          <w:color w:val="000000"/>
          <w:sz w:val="16"/>
        </w:rPr>
        <w:t>(a)</w:t>
      </w:r>
      <w:bookmarkStart w:name="f-1232-1" w:id="1514"/>
      <w:r>
        <w:rPr>
          <w:rFonts w:ascii="Times New Roman" w:hAnsi="Times New Roman"/>
          <w:b w:val="false"/>
          <w:i w:val="false"/>
          <w:color w:val="000000"/>
          <w:sz w:val="22"/>
        </w:rPr>
        <w:t xml:space="preserve"> </w:t>
      </w:r>
      <w:bookmarkEnd w:id="1514"/>
      <w:bookmarkStart w:name="f-1232-1" w:id="1515"/>
      <w:bookmarkEnd w:id="1515"/>
      <w:bookmarkStart w:name="f-1232-2" w:id="1516"/>
      <w:r>
        <w:rPr>
          <w:rFonts w:ascii="Arial" w:hAnsi="Arial"/>
          <w:b w:val="false"/>
          <w:i w:val="false"/>
          <w:color w:val="000000"/>
          <w:sz w:val="16"/>
        </w:rPr>
        <w:t>The total effect of cash flow hedge accounting on selling, general and administrative expense is not material for the three and six months ended June 30, 2025 and 2024.</w:t>
      </w:r>
      <w:bookmarkEnd w:id="1516"/>
      <w:r>
        <w:rPr>
          <w:rFonts w:ascii="Arial" w:hAnsi="Arial"/>
          <w:b w:val="false"/>
          <w:i w:val="false"/>
          <w:color w:val="000000"/>
          <w:sz w:val="16"/>
        </w:rPr>
        <w:t xml:space="preserve"> </w:t>
      </w:r>
    </w:p>
    <w:p>
      <w:pPr>
        <w:spacing w:before="0" w:after="0"/>
        <w:ind w:left="120"/>
        <w:jc w:val="left"/>
      </w:pPr>
      <w:bookmarkStart w:name="f-1157-3" w:id="1517"/>
      <w:bookmarkEnd w:id="1517"/>
    </w:p>
    <w:p>
      <w:pPr>
        <w:pBdr>
          <w:left w:space="13"/>
        </w:pBdr>
        <w:spacing w:before="0" w:after="60"/>
        <w:ind w:left="48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1157-3" w:id="1518"/>
      <w:bookmarkEnd w:id="1518"/>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Balance Sheet Offsetting -</w:t>
      </w:r>
      <w:r>
        <w:rPr>
          <w:rFonts w:ascii="Times New Roman" w:hAnsi="Times New Roman"/>
          <w:b w:val="false"/>
          <w:i w:val="false"/>
          <w:color w:val="000000"/>
          <w:sz w:val="22"/>
        </w:rPr>
        <w:t xml:space="preserve"> </w:t>
      </w:r>
      <w:r>
        <w:rPr>
          <w:rFonts w:ascii="Arial" w:hAnsi="Arial"/>
          <w:b w:val="false"/>
          <w:i w:val="false"/>
          <w:color w:val="000000"/>
          <w:sz w:val="20"/>
        </w:rPr>
        <w:t xml:space="preserve">We execute derivative contracts with counterparties that consent to a master netting agreement, which permits net settlement of the gross derivative assets against gross derivative liabilities. Each instrument is accounted for individually, and assets and liabilities are not offset. As of June 30, 2025 and December 31, 2024, we had no collateralized derivative contracts. </w:t>
      </w:r>
      <w:bookmarkStart w:name="f-1291" w:id="1519"/>
      <w:bookmarkEnd w:id="1519"/>
      <w:bookmarkStart w:name="f-1290" w:id="1520"/>
      <w:r>
        <w:rPr>
          <w:rFonts w:ascii="Arial" w:hAnsi="Arial"/>
          <w:b w:val="false"/>
          <w:i w:val="false"/>
          <w:color w:val="000000"/>
          <w:sz w:val="20"/>
        </w:rPr>
        <w:t>The following tables present both gross and net information of recognized derivative instruments:</w:t>
      </w:r>
      <w:bookmarkEnd w:id="1520"/>
      <w:bookmarkStart w:name="f-1291" w:id="1521"/>
      <w:r>
        <w:rPr>
          <w:rFonts w:ascii="Arial" w:hAnsi="Arial"/>
          <w:b w:val="false"/>
          <w:i w:val="false"/>
          <w:color w:val="000000"/>
          <w:sz w:val="20"/>
        </w:rPr>
        <w:t xml:space="preserve"> </w:t>
      </w:r>
      <w:bookmarkEnd w:id="1521"/>
    </w:p>
    <w:p>
      <w:pPr>
        <w:spacing w:before="0" w:after="0"/>
        <w:ind w:left="120"/>
        <w:jc w:val="left"/>
      </w:pPr>
      <w:bookmarkStart w:name="f-1157-3" w:id="1522"/>
      <w:bookmarkEnd w:id="1522"/>
      <w:bookmarkStart w:name="f-1291-1" w:id="1523"/>
      <w:bookmarkEnd w:id="1523"/>
      <w:bookmarkStart w:name="f-1290-1" w:id="1524"/>
      <w:bookmarkEnd w:id="1524"/>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2"/>
        <w:gridCol w:w="3086"/>
        <w:gridCol w:w="354"/>
        <w:gridCol w:w="203"/>
        <w:gridCol w:w="1324"/>
        <w:gridCol w:w="56"/>
        <w:gridCol w:w="40"/>
        <w:gridCol w:w="40"/>
        <w:gridCol w:w="40"/>
        <w:gridCol w:w="180"/>
        <w:gridCol w:w="1331"/>
        <w:gridCol w:w="50"/>
        <w:gridCol w:w="40"/>
        <w:gridCol w:w="40"/>
        <w:gridCol w:w="40"/>
        <w:gridCol w:w="146"/>
        <w:gridCol w:w="1291"/>
        <w:gridCol w:w="40"/>
        <w:gridCol w:w="40"/>
        <w:gridCol w:w="40"/>
        <w:gridCol w:w="40"/>
        <w:gridCol w:w="203"/>
        <w:gridCol w:w="1324"/>
        <w:gridCol w:w="56"/>
        <w:gridCol w:w="40"/>
        <w:gridCol w:w="40"/>
        <w:gridCol w:w="40"/>
        <w:gridCol w:w="180"/>
        <w:gridCol w:w="1331"/>
        <w:gridCol w:w="50"/>
        <w:gridCol w:w="40"/>
        <w:gridCol w:w="40"/>
        <w:gridCol w:w="40"/>
        <w:gridCol w:w="146"/>
        <w:gridCol w:w="1291"/>
        <w:gridCol w:w="40"/>
      </w:tblGrid>
      <w:tr>
        <w:trPr>
          <w:trHeight w:val="30" w:hRule="atLeast"/>
        </w:trPr>
        <w:tc>
          <w:tcPr>
            <w:tcW w:w="352" w:type="dxa"/>
            <w:tcBorders/>
            <w:tcMar>
              <w:top w:w="15" w:type="dxa"/>
              <w:left w:w="15" w:type="dxa"/>
              <w:bottom w:w="15" w:type="dxa"/>
              <w:right w:w="15" w:type="dxa"/>
            </w:tcMar>
            <w:vAlign w:val="center"/>
          </w:tcPr>
          <w:p/>
        </w:tc>
        <w:tc>
          <w:tcPr>
            <w:tcW w:w="3086" w:type="dxa"/>
            <w:tcBorders/>
            <w:tcMar>
              <w:top w:w="15" w:type="dxa"/>
              <w:left w:w="15" w:type="dxa"/>
              <w:bottom w:w="15" w:type="dxa"/>
              <w:right w:w="15" w:type="dxa"/>
            </w:tcMar>
            <w:vAlign w:val="center"/>
          </w:tcPr>
          <w:p/>
        </w:tc>
        <w:tc>
          <w:tcPr>
            <w:tcW w:w="354" w:type="dxa"/>
            <w:tcBorders/>
            <w:tcMar>
              <w:top w:w="15" w:type="dxa"/>
              <w:left w:w="15" w:type="dxa"/>
              <w:bottom w:w="15" w:type="dxa"/>
              <w:right w:w="15" w:type="dxa"/>
            </w:tcMar>
            <w:vAlign w:val="center"/>
          </w:tcPr>
          <w:p/>
        </w:tc>
        <w:tc>
          <w:tcPr>
            <w:tcW w:w="203" w:type="dxa"/>
            <w:tcBorders/>
            <w:tcMar>
              <w:top w:w="15" w:type="dxa"/>
              <w:left w:w="15" w:type="dxa"/>
              <w:bottom w:w="15" w:type="dxa"/>
              <w:right w:w="15" w:type="dxa"/>
            </w:tcMar>
            <w:vAlign w:val="center"/>
          </w:tcPr>
          <w:p/>
        </w:tc>
        <w:tc>
          <w:tcPr>
            <w:tcW w:w="1324"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0" w:type="dxa"/>
            <w:tcBorders/>
            <w:tcMar>
              <w:top w:w="15" w:type="dxa"/>
              <w:left w:w="15" w:type="dxa"/>
              <w:bottom w:w="15" w:type="dxa"/>
              <w:right w:w="15" w:type="dxa"/>
            </w:tcMar>
            <w:vAlign w:val="center"/>
          </w:tcPr>
          <w:p/>
        </w:tc>
        <w:tc>
          <w:tcPr>
            <w:tcW w:w="1331"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03" w:type="dxa"/>
            <w:tcBorders/>
            <w:tcMar>
              <w:top w:w="15" w:type="dxa"/>
              <w:left w:w="15" w:type="dxa"/>
              <w:bottom w:w="15" w:type="dxa"/>
              <w:right w:w="15" w:type="dxa"/>
            </w:tcMar>
            <w:vAlign w:val="center"/>
          </w:tcPr>
          <w:p/>
        </w:tc>
        <w:tc>
          <w:tcPr>
            <w:tcW w:w="1324" w:type="dxa"/>
            <w:tcBorders/>
            <w:tcMar>
              <w:top w:w="15" w:type="dxa"/>
              <w:left w:w="15" w:type="dxa"/>
              <w:bottom w:w="15" w:type="dxa"/>
              <w:right w:w="15" w:type="dxa"/>
            </w:tcMar>
            <w:vAlign w:val="center"/>
          </w:tcPr>
          <w:p/>
        </w:tc>
        <w:tc>
          <w:tcPr>
            <w:tcW w:w="5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80" w:type="dxa"/>
            <w:tcBorders/>
            <w:tcMar>
              <w:top w:w="15" w:type="dxa"/>
              <w:left w:w="15" w:type="dxa"/>
              <w:bottom w:w="15" w:type="dxa"/>
              <w:right w:w="15" w:type="dxa"/>
            </w:tcMar>
            <w:vAlign w:val="center"/>
          </w:tcPr>
          <w:p/>
        </w:tc>
        <w:tc>
          <w:tcPr>
            <w:tcW w:w="1331"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15"/>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r>
      <w:tr>
        <w:trPr>
          <w:trHeight w:val="198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Gross Amount Recognized</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Gross Amounts Not Offset, Permitted Under Master Netting Agreements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Net Amount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Gross Amount Recognized</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Gross Amounts Not Offset, Permitted Under Master Netting Agreements</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Net Amount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assets</w:t>
            </w:r>
            <w:r>
              <w:rPr>
                <w:rFonts w:ascii="Times New Roman" w:hAnsi="Times New Roman"/>
                <w:b w:val="false"/>
                <w:i w:val="false"/>
                <w:color w:val="000000"/>
                <w:sz w:val="22"/>
              </w:rPr>
              <w:t xml:space="preserve"> </w:t>
            </w:r>
          </w:p>
        </w:tc>
        <w:tc>
          <w:tcPr>
            <w:tcW w:w="20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2" w:id="1525"/>
            <w:r>
              <w:rPr>
                <w:rFonts w:ascii="Arial" w:hAnsi="Arial"/>
                <w:b w:val="false"/>
                <w:i w:val="false"/>
                <w:color w:val="000000"/>
                <w:sz w:val="16"/>
              </w:rPr>
              <w:t>484.5</w:t>
            </w:r>
            <w:bookmarkEnd w:id="1525"/>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0"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93" w:id="1526"/>
            <w:r>
              <w:rPr>
                <w:rFonts w:ascii="Arial" w:hAnsi="Arial"/>
                <w:b w:val="false"/>
                <w:i w:val="false"/>
                <w:color w:val="000000"/>
                <w:sz w:val="16"/>
              </w:rPr>
              <w:t>305.0</w:t>
            </w:r>
            <w:bookmarkEnd w:id="1526"/>
            <w:r>
              <w:rPr>
                <w:rFonts w:ascii="Arial" w:hAnsi="Arial"/>
                <w:b w:val="false"/>
                <w:i w:val="false"/>
                <w:color w:val="000000"/>
                <w:sz w:val="16"/>
              </w:rPr>
              <w:t xml:space="preserve"> ) </w:t>
            </w:r>
          </w:p>
        </w:tc>
        <w:tc>
          <w:tcPr>
            <w:tcW w:w="5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4" w:id="1527"/>
            <w:r>
              <w:rPr>
                <w:rFonts w:ascii="Arial" w:hAnsi="Arial"/>
                <w:b w:val="false"/>
                <w:i w:val="false"/>
                <w:color w:val="000000"/>
                <w:sz w:val="16"/>
              </w:rPr>
              <w:t>179.5</w:t>
            </w:r>
            <w:bookmarkEnd w:id="1527"/>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203"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5" w:id="1528"/>
            <w:r>
              <w:rPr>
                <w:rFonts w:ascii="Arial" w:hAnsi="Arial"/>
                <w:b w:val="false"/>
                <w:i w:val="false"/>
                <w:color w:val="000000"/>
                <w:sz w:val="16"/>
              </w:rPr>
              <w:t>523.9</w:t>
            </w:r>
            <w:bookmarkEnd w:id="1528"/>
            <w:r>
              <w:rPr>
                <w:rFonts w:ascii="Arial" w:hAnsi="Arial"/>
                <w:b w:val="false"/>
                <w:i w:val="false"/>
                <w:color w:val="000000"/>
                <w:sz w:val="16"/>
              </w:rPr>
              <w:t xml:space="preserve">   </w:t>
            </w:r>
          </w:p>
        </w:tc>
        <w:tc>
          <w:tcPr>
            <w:tcW w:w="56"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80"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96" w:id="1529"/>
            <w:r>
              <w:rPr>
                <w:rFonts w:ascii="Arial" w:hAnsi="Arial"/>
                <w:b w:val="false"/>
                <w:i w:val="false"/>
                <w:color w:val="000000"/>
                <w:sz w:val="16"/>
              </w:rPr>
              <w:t>284.6</w:t>
            </w:r>
            <w:bookmarkEnd w:id="1529"/>
            <w:r>
              <w:rPr>
                <w:rFonts w:ascii="Arial" w:hAnsi="Arial"/>
                <w:b w:val="false"/>
                <w:i w:val="false"/>
                <w:color w:val="000000"/>
                <w:sz w:val="16"/>
              </w:rPr>
              <w:t xml:space="preserve"> ) </w:t>
            </w:r>
          </w:p>
        </w:tc>
        <w:tc>
          <w:tcPr>
            <w:tcW w:w="5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7" w:id="1530"/>
            <w:r>
              <w:rPr>
                <w:rFonts w:ascii="Arial" w:hAnsi="Arial"/>
                <w:b w:val="false"/>
                <w:i w:val="false"/>
                <w:color w:val="000000"/>
                <w:sz w:val="16"/>
              </w:rPr>
              <w:t>239.3</w:t>
            </w:r>
            <w:bookmarkEnd w:id="153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Derivative liabilities</w:t>
            </w:r>
            <w:r>
              <w:rPr>
                <w:rFonts w:ascii="Times New Roman" w:hAnsi="Times New Roman"/>
                <w:b w:val="false"/>
                <w:i w:val="false"/>
                <w:color w:val="000000"/>
                <w:sz w:val="22"/>
              </w:rPr>
              <w:t xml:space="preserve"> </w:t>
            </w:r>
          </w:p>
        </w:tc>
        <w:tc>
          <w:tcPr>
            <w:tcW w:w="203"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298" w:id="1531"/>
            <w:r>
              <w:rPr>
                <w:rFonts w:ascii="Arial" w:hAnsi="Arial"/>
                <w:b w:val="false"/>
                <w:i w:val="false"/>
                <w:color w:val="000000"/>
                <w:sz w:val="16"/>
              </w:rPr>
              <w:t>429.6</w:t>
            </w:r>
            <w:bookmarkEnd w:id="1531"/>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80"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299" w:id="1532"/>
            <w:r>
              <w:rPr>
                <w:rFonts w:ascii="Arial" w:hAnsi="Arial"/>
                <w:b w:val="false"/>
                <w:i w:val="false"/>
                <w:color w:val="000000"/>
                <w:sz w:val="16"/>
              </w:rPr>
              <w:t>305.0</w:t>
            </w:r>
            <w:bookmarkEnd w:id="1532"/>
            <w:r>
              <w:rPr>
                <w:rFonts w:ascii="Arial" w:hAnsi="Arial"/>
                <w:b w:val="false"/>
                <w:i w:val="false"/>
                <w:color w:val="000000"/>
                <w:sz w:val="16"/>
              </w:rPr>
              <w:t xml:space="preserve"> )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0" w:id="1533"/>
            <w:r>
              <w:rPr>
                <w:rFonts w:ascii="Arial" w:hAnsi="Arial"/>
                <w:b w:val="false"/>
                <w:i w:val="false"/>
                <w:color w:val="000000"/>
                <w:sz w:val="16"/>
              </w:rPr>
              <w:t>124.6</w:t>
            </w:r>
            <w:bookmarkEnd w:id="153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203"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1" w:id="1534"/>
            <w:r>
              <w:rPr>
                <w:rFonts w:ascii="Arial" w:hAnsi="Arial"/>
                <w:b w:val="false"/>
                <w:i w:val="false"/>
                <w:color w:val="000000"/>
                <w:sz w:val="16"/>
              </w:rPr>
              <w:t>639.3</w:t>
            </w:r>
            <w:bookmarkEnd w:id="1534"/>
            <w:r>
              <w:rPr>
                <w:rFonts w:ascii="Arial" w:hAnsi="Arial"/>
                <w:b w:val="false"/>
                <w:i w:val="false"/>
                <w:color w:val="000000"/>
                <w:sz w:val="16"/>
              </w:rPr>
              <w:t xml:space="preserve">   </w:t>
            </w:r>
          </w:p>
        </w:tc>
        <w:tc>
          <w:tcPr>
            <w:tcW w:w="56"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80"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xml:space="preserve">( </w:t>
            </w:r>
            <w:bookmarkStart w:name="f-1302" w:id="1535"/>
            <w:r>
              <w:rPr>
                <w:rFonts w:ascii="Arial" w:hAnsi="Arial"/>
                <w:b w:val="false"/>
                <w:i w:val="false"/>
                <w:color w:val="000000"/>
                <w:sz w:val="16"/>
              </w:rPr>
              <w:t>284.6</w:t>
            </w:r>
            <w:bookmarkEnd w:id="1535"/>
            <w:r>
              <w:rPr>
                <w:rFonts w:ascii="Arial" w:hAnsi="Arial"/>
                <w:b w:val="false"/>
                <w:i w:val="false"/>
                <w:color w:val="000000"/>
                <w:sz w:val="16"/>
              </w:rPr>
              <w:t xml:space="preserve"> )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3" w:id="1536"/>
            <w:r>
              <w:rPr>
                <w:rFonts w:ascii="Arial" w:hAnsi="Arial"/>
                <w:b w:val="false"/>
                <w:i w:val="false"/>
                <w:color w:val="000000"/>
                <w:sz w:val="16"/>
              </w:rPr>
              <w:t>354.7</w:t>
            </w:r>
            <w:bookmarkEnd w:id="153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290-1" w:id="1537"/>
      <w:bookmarkEnd w:id="1537"/>
      <w:bookmarkStart w:name="f-1291-1" w:id="1538"/>
      <w:bookmarkEnd w:id="1538"/>
      <w:bookmarkStart w:name="f-1157-3" w:id="1539"/>
      <w:bookmarkEnd w:id="1539"/>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25</w:t>
      </w:r>
      <w:r>
        <w:rPr>
          <w:rFonts w:ascii="Times New Roman" w:hAnsi="Times New Roman"/>
          <w:b w:val="false"/>
          <w:i w:val="false"/>
          <w:color w:val="000000"/>
          <w:sz w:val="22"/>
        </w:rPr>
        <w:t xml:space="preserve"> </w:t>
      </w:r>
    </w:p>
    <w:p>
      <w:pPr>
        <w:spacing w:before="0" w:after="0"/>
        <w:ind w:left="120"/>
        <w:jc w:val="left"/>
      </w:pPr>
    </w:p>
    <w:bookmarkStart w:name="if5bce3d3882148cf91b6563d87cc4db5_133" w:id="1540"/>
    <w:p>
      <w:pPr>
        <w:spacing w:before="0" w:after="0"/>
        <w:ind w:left="120"/>
        <w:jc w:val="left"/>
      </w:pPr>
    </w:p>
    <w:bookmarkEnd w:id="1540"/>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17. </w:t>
      </w:r>
      <w:bookmarkStart w:name="f-1304" w:id="1541"/>
      <w:r>
        <w:rPr>
          <w:rFonts w:ascii="Arial" w:hAnsi="Arial"/>
          <w:b/>
          <w:i w:val="false"/>
          <w:color w:val="000000"/>
          <w:sz w:val="20"/>
        </w:rPr>
        <w:t>FAIR VALUE MEASUREMENTS</w:t>
      </w:r>
      <w:bookmarkEnd w:id="1541"/>
      <w:r>
        <w:rPr>
          <w:rFonts w:ascii="Arial" w:hAnsi="Arial"/>
          <w:b/>
          <w:i w:val="false"/>
          <w:color w:val="000000"/>
          <w:sz w:val="20"/>
        </w:rPr>
        <w:t xml:space="preserve"> </w:t>
      </w:r>
    </w:p>
    <w:p>
      <w:pPr>
        <w:spacing w:before="0" w:after="0"/>
        <w:ind w:left="120"/>
        <w:jc w:val="left"/>
      </w:pPr>
      <w:bookmarkStart w:name="f-1304-1" w:id="1542"/>
      <w:bookmarkEnd w:id="1542"/>
      <w:bookmarkStart w:name="f-1305" w:id="1543"/>
      <w:bookmarkEnd w:id="1543"/>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Assets and liabilities measured at fair value on a recurring basis were as follows:</w:t>
      </w:r>
      <w:r>
        <w:rPr>
          <w:rFonts w:ascii="Times New Roman" w:hAnsi="Times New Roman"/>
          <w:b w:val="false"/>
          <w:i w:val="false"/>
          <w:color w:val="000000"/>
          <w:sz w:val="22"/>
        </w:rPr>
        <w:t xml:space="preserve"> </w:t>
      </w:r>
    </w:p>
    <w:p>
      <w:pPr>
        <w:spacing w:before="0" w:after="0"/>
        <w:ind w:left="120"/>
        <w:jc w:val="left"/>
      </w:pPr>
      <w:bookmarkStart w:name="f-1305" w:id="1544"/>
      <w:bookmarkEnd w:id="1544"/>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51"/>
        <w:gridCol w:w="3908"/>
        <w:gridCol w:w="454"/>
        <w:gridCol w:w="146"/>
        <w:gridCol w:w="794"/>
        <w:gridCol w:w="40"/>
        <w:gridCol w:w="40"/>
        <w:gridCol w:w="40"/>
        <w:gridCol w:w="40"/>
        <w:gridCol w:w="146"/>
        <w:gridCol w:w="799"/>
        <w:gridCol w:w="40"/>
        <w:gridCol w:w="40"/>
        <w:gridCol w:w="40"/>
        <w:gridCol w:w="40"/>
        <w:gridCol w:w="146"/>
        <w:gridCol w:w="795"/>
        <w:gridCol w:w="40"/>
        <w:gridCol w:w="40"/>
        <w:gridCol w:w="40"/>
        <w:gridCol w:w="40"/>
        <w:gridCol w:w="196"/>
        <w:gridCol w:w="794"/>
        <w:gridCol w:w="54"/>
        <w:gridCol w:w="40"/>
        <w:gridCol w:w="40"/>
        <w:gridCol w:w="40"/>
        <w:gridCol w:w="146"/>
        <w:gridCol w:w="795"/>
        <w:gridCol w:w="40"/>
        <w:gridCol w:w="40"/>
        <w:gridCol w:w="40"/>
        <w:gridCol w:w="40"/>
        <w:gridCol w:w="146"/>
        <w:gridCol w:w="799"/>
        <w:gridCol w:w="40"/>
        <w:gridCol w:w="40"/>
        <w:gridCol w:w="40"/>
        <w:gridCol w:w="40"/>
        <w:gridCol w:w="146"/>
        <w:gridCol w:w="795"/>
        <w:gridCol w:w="40"/>
        <w:gridCol w:w="40"/>
        <w:gridCol w:w="40"/>
        <w:gridCol w:w="40"/>
        <w:gridCol w:w="196"/>
        <w:gridCol w:w="794"/>
        <w:gridCol w:w="54"/>
      </w:tblGrid>
      <w:tr>
        <w:trPr>
          <w:trHeight w:val="30" w:hRule="atLeast"/>
        </w:trPr>
        <w:tc>
          <w:tcPr>
            <w:tcW w:w="451" w:type="dxa"/>
            <w:tcBorders/>
            <w:tcMar>
              <w:top w:w="15" w:type="dxa"/>
              <w:left w:w="15" w:type="dxa"/>
              <w:bottom w:w="15" w:type="dxa"/>
              <w:right w:w="15" w:type="dxa"/>
            </w:tcMar>
            <w:vAlign w:val="center"/>
          </w:tcPr>
          <w:p/>
        </w:tc>
        <w:tc>
          <w:tcPr>
            <w:tcW w:w="3908" w:type="dxa"/>
            <w:tcBorders/>
            <w:tcMar>
              <w:top w:w="15" w:type="dxa"/>
              <w:left w:w="15" w:type="dxa"/>
              <w:bottom w:w="15" w:type="dxa"/>
              <w:right w:w="15" w:type="dxa"/>
            </w:tcMar>
            <w:vAlign w:val="center"/>
          </w:tcPr>
          <w:p/>
        </w:tc>
        <w:tc>
          <w:tcPr>
            <w:tcW w:w="45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96" w:type="dxa"/>
            <w:tcBorders/>
            <w:tcMar>
              <w:top w:w="15" w:type="dxa"/>
              <w:left w:w="15" w:type="dxa"/>
              <w:bottom w:w="15" w:type="dxa"/>
              <w:right w:w="15" w:type="dxa"/>
            </w:tcMar>
            <w:vAlign w:val="center"/>
          </w:tcPr>
          <w:p/>
        </w:tc>
        <w:tc>
          <w:tcPr>
            <w:tcW w:w="794" w:type="dxa"/>
            <w:tcBorders/>
            <w:tcMar>
              <w:top w:w="15" w:type="dxa"/>
              <w:left w:w="15" w:type="dxa"/>
              <w:bottom w:w="15" w:type="dxa"/>
              <w:right w:w="15" w:type="dxa"/>
            </w:tcMar>
            <w:vAlign w:val="center"/>
          </w:tcPr>
          <w:p/>
        </w:tc>
        <w:tc>
          <w:tcPr>
            <w:tcW w:w="5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79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96" w:type="dxa"/>
            <w:tcBorders/>
            <w:tcMar>
              <w:top w:w="15" w:type="dxa"/>
              <w:left w:w="15" w:type="dxa"/>
              <w:bottom w:w="15" w:type="dxa"/>
              <w:right w:w="15" w:type="dxa"/>
            </w:tcMar>
            <w:vAlign w:val="center"/>
          </w:tcPr>
          <w:p/>
        </w:tc>
        <w:tc>
          <w:tcPr>
            <w:tcW w:w="794" w:type="dxa"/>
            <w:tcBorders/>
            <w:tcMar>
              <w:top w:w="15" w:type="dxa"/>
              <w:left w:w="15" w:type="dxa"/>
              <w:bottom w:w="15" w:type="dxa"/>
              <w:right w:w="15" w:type="dxa"/>
            </w:tcMar>
            <w:vAlign w:val="center"/>
          </w:tcPr>
          <w:p/>
        </w:tc>
        <w:tc>
          <w:tcPr>
            <w:tcW w:w="54"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 2025</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2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December 31, 2024</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Total</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1</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3</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Total</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1</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2</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Level 3</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Assets</w:t>
            </w:r>
            <w:r>
              <w:rPr>
                <w:rFonts w:ascii="Times New Roman" w:hAnsi="Times New Roman"/>
                <w:b w:val="false"/>
                <w:i w:val="false"/>
                <w:color w:val="000000"/>
                <w:sz w:val="22"/>
              </w:rPr>
              <w:t xml:space="preserve"> </w:t>
            </w: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top w:val="single" w:color="000000" w:sz="11"/>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Investments</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Equity securities</w:t>
            </w:r>
            <w:r>
              <w:rPr>
                <w:rFonts w:ascii="Times New Roman" w:hAnsi="Times New Roman"/>
                <w:b w:val="false"/>
                <w:i w:val="false"/>
                <w:color w:val="000000"/>
                <w:sz w:val="22"/>
              </w:rPr>
              <w:t xml:space="preserve"> </w:t>
            </w: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6" w:id="1545"/>
            <w:r>
              <w:rPr>
                <w:rFonts w:ascii="Arial" w:hAnsi="Arial"/>
                <w:b w:val="false"/>
                <w:i w:val="false"/>
                <w:color w:val="000000"/>
                <w:sz w:val="16"/>
              </w:rPr>
              <w:t>29.7</w:t>
            </w:r>
            <w:bookmarkEnd w:id="1545"/>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7" w:id="1546"/>
            <w:r>
              <w:rPr>
                <w:rFonts w:ascii="Arial" w:hAnsi="Arial"/>
                <w:b w:val="false"/>
                <w:i w:val="false"/>
                <w:color w:val="000000"/>
                <w:sz w:val="16"/>
              </w:rPr>
              <w:t>29.7</w:t>
            </w:r>
            <w:bookmarkEnd w:id="1546"/>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8" w:id="1547"/>
            <w:r>
              <w:rPr>
                <w:rFonts w:ascii="Arial" w:hAnsi="Arial"/>
                <w:b w:val="false"/>
                <w:i w:val="false"/>
                <w:color w:val="000000"/>
                <w:sz w:val="16"/>
              </w:rPr>
              <w:t>—</w:t>
            </w:r>
            <w:bookmarkEnd w:id="1547"/>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09" w:id="1548"/>
            <w:r>
              <w:rPr>
                <w:rFonts w:ascii="Arial" w:hAnsi="Arial"/>
                <w:b w:val="false"/>
                <w:i w:val="false"/>
                <w:color w:val="000000"/>
                <w:sz w:val="16"/>
              </w:rPr>
              <w:t>—</w:t>
            </w:r>
            <w:bookmarkEnd w:id="1548"/>
            <w:r>
              <w:rPr>
                <w:rFonts w:ascii="Arial" w:hAnsi="Arial"/>
                <w:b w:val="false"/>
                <w:i w:val="false"/>
                <w:color w:val="000000"/>
                <w:sz w:val="16"/>
              </w:rPr>
              <w:t xml:space="preserve">   </w:t>
            </w:r>
          </w:p>
        </w:tc>
        <w:tc>
          <w:tcPr>
            <w:tcW w:w="54"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0" w:id="1549"/>
            <w:r>
              <w:rPr>
                <w:rFonts w:ascii="Arial" w:hAnsi="Arial"/>
                <w:b w:val="false"/>
                <w:i w:val="false"/>
                <w:color w:val="000000"/>
                <w:sz w:val="16"/>
              </w:rPr>
              <w:t>26.5</w:t>
            </w:r>
            <w:bookmarkEnd w:id="1549"/>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1" w:id="1550"/>
            <w:r>
              <w:rPr>
                <w:rFonts w:ascii="Arial" w:hAnsi="Arial"/>
                <w:b w:val="false"/>
                <w:i w:val="false"/>
                <w:color w:val="000000"/>
                <w:sz w:val="16"/>
              </w:rPr>
              <w:t>26.5</w:t>
            </w:r>
            <w:bookmarkEnd w:id="1550"/>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2" w:id="1551"/>
            <w:r>
              <w:rPr>
                <w:rFonts w:ascii="Arial" w:hAnsi="Arial"/>
                <w:b w:val="false"/>
                <w:i w:val="false"/>
                <w:color w:val="000000"/>
                <w:sz w:val="16"/>
              </w:rPr>
              <w:t>—</w:t>
            </w:r>
            <w:bookmarkEnd w:id="1551"/>
            <w:r>
              <w:rPr>
                <w:rFonts w:ascii="Arial" w:hAnsi="Arial"/>
                <w:b w:val="false"/>
                <w:i w:val="false"/>
                <w:color w:val="000000"/>
                <w:sz w:val="16"/>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3" w:id="1552"/>
            <w:r>
              <w:rPr>
                <w:rFonts w:ascii="Arial" w:hAnsi="Arial"/>
                <w:b w:val="false"/>
                <w:i w:val="false"/>
                <w:color w:val="000000"/>
                <w:sz w:val="16"/>
              </w:rPr>
              <w:t>—</w:t>
            </w:r>
            <w:bookmarkEnd w:id="1552"/>
            <w:r>
              <w:rPr>
                <w:rFonts w:ascii="Arial" w:hAnsi="Arial"/>
                <w:b w:val="false"/>
                <w:i w:val="false"/>
                <w:color w:val="000000"/>
                <w:sz w:val="16"/>
              </w:rPr>
              <w:t xml:space="preserve">   </w:t>
            </w:r>
          </w:p>
        </w:tc>
        <w:tc>
          <w:tcPr>
            <w:tcW w:w="54"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Money market and stable value funds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4" w:id="1553"/>
            <w:r>
              <w:rPr>
                <w:rFonts w:ascii="Arial" w:hAnsi="Arial"/>
                <w:b w:val="false"/>
                <w:i w:val="false"/>
                <w:color w:val="000000"/>
                <w:sz w:val="16"/>
              </w:rPr>
              <w:t>3.2</w:t>
            </w:r>
            <w:bookmarkEnd w:id="155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5" w:id="1554"/>
            <w:r>
              <w:rPr>
                <w:rFonts w:ascii="Arial" w:hAnsi="Arial"/>
                <w:b w:val="false"/>
                <w:i w:val="false"/>
                <w:color w:val="000000"/>
                <w:sz w:val="16"/>
              </w:rPr>
              <w:t>—</w:t>
            </w:r>
            <w:bookmarkEnd w:id="1554"/>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6" w:id="1555"/>
            <w:r>
              <w:rPr>
                <w:rFonts w:ascii="Arial" w:hAnsi="Arial"/>
                <w:b w:val="false"/>
                <w:i w:val="false"/>
                <w:color w:val="000000"/>
                <w:sz w:val="16"/>
              </w:rPr>
              <w:t>2.7</w:t>
            </w:r>
            <w:bookmarkEnd w:id="155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7" w:id="1556"/>
            <w:r>
              <w:rPr>
                <w:rFonts w:ascii="Arial" w:hAnsi="Arial"/>
                <w:b w:val="false"/>
                <w:i w:val="false"/>
                <w:color w:val="000000"/>
                <w:sz w:val="16"/>
              </w:rPr>
              <w:t>—</w:t>
            </w:r>
            <w:bookmarkEnd w:id="1556"/>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8" w:id="1557"/>
            <w:r>
              <w:rPr>
                <w:rFonts w:ascii="Arial" w:hAnsi="Arial"/>
                <w:b w:val="false"/>
                <w:i w:val="false"/>
                <w:color w:val="000000"/>
                <w:sz w:val="16"/>
              </w:rPr>
              <w:t>3.0</w:t>
            </w:r>
            <w:bookmarkEnd w:id="155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19" w:id="1558"/>
            <w:r>
              <w:rPr>
                <w:rFonts w:ascii="Arial" w:hAnsi="Arial"/>
                <w:b w:val="false"/>
                <w:i w:val="false"/>
                <w:color w:val="000000"/>
                <w:sz w:val="16"/>
              </w:rPr>
              <w:t>—</w:t>
            </w:r>
            <w:bookmarkEnd w:id="155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0" w:id="1559"/>
            <w:r>
              <w:rPr>
                <w:rFonts w:ascii="Arial" w:hAnsi="Arial"/>
                <w:b w:val="false"/>
                <w:i w:val="false"/>
                <w:color w:val="000000"/>
                <w:sz w:val="16"/>
              </w:rPr>
              <w:t>2.6</w:t>
            </w:r>
            <w:bookmarkEnd w:id="155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1" w:id="1560"/>
            <w:r>
              <w:rPr>
                <w:rFonts w:ascii="Arial" w:hAnsi="Arial"/>
                <w:b w:val="false"/>
                <w:i w:val="false"/>
                <w:color w:val="000000"/>
                <w:sz w:val="16"/>
              </w:rPr>
              <w:t>—</w:t>
            </w:r>
            <w:bookmarkEnd w:id="1560"/>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Derivative financial instruments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Foreign exchange contracts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2" w:id="1561"/>
            <w:r>
              <w:rPr>
                <w:rFonts w:ascii="Arial" w:hAnsi="Arial"/>
                <w:b w:val="false"/>
                <w:i w:val="false"/>
                <w:color w:val="000000"/>
                <w:sz w:val="16"/>
              </w:rPr>
              <w:t>484.5</w:t>
            </w:r>
            <w:bookmarkEnd w:id="156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3" w:id="1562"/>
            <w:r>
              <w:rPr>
                <w:rFonts w:ascii="Arial" w:hAnsi="Arial"/>
                <w:b w:val="false"/>
                <w:i w:val="false"/>
                <w:color w:val="000000"/>
                <w:sz w:val="16"/>
              </w:rPr>
              <w:t>—</w:t>
            </w:r>
            <w:bookmarkEnd w:id="156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4" w:id="1563"/>
            <w:r>
              <w:rPr>
                <w:rFonts w:ascii="Arial" w:hAnsi="Arial"/>
                <w:b w:val="false"/>
                <w:i w:val="false"/>
                <w:color w:val="000000"/>
                <w:sz w:val="16"/>
              </w:rPr>
              <w:t>484.5</w:t>
            </w:r>
            <w:bookmarkEnd w:id="156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5" w:id="1564"/>
            <w:r>
              <w:rPr>
                <w:rFonts w:ascii="Arial" w:hAnsi="Arial"/>
                <w:b w:val="false"/>
                <w:i w:val="false"/>
                <w:color w:val="000000"/>
                <w:sz w:val="16"/>
              </w:rPr>
              <w:t>—</w:t>
            </w:r>
            <w:bookmarkEnd w:id="1564"/>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6" w:id="1565"/>
            <w:r>
              <w:rPr>
                <w:rFonts w:ascii="Arial" w:hAnsi="Arial"/>
                <w:b w:val="false"/>
                <w:i w:val="false"/>
                <w:color w:val="000000"/>
                <w:sz w:val="16"/>
              </w:rPr>
              <w:t>523.9</w:t>
            </w:r>
            <w:bookmarkEnd w:id="1565"/>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7" w:id="1566"/>
            <w:r>
              <w:rPr>
                <w:rFonts w:ascii="Arial" w:hAnsi="Arial"/>
                <w:b w:val="false"/>
                <w:i w:val="false"/>
                <w:color w:val="000000"/>
                <w:sz w:val="16"/>
              </w:rPr>
              <w:t>—</w:t>
            </w:r>
            <w:bookmarkEnd w:id="1566"/>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8" w:id="1567"/>
            <w:r>
              <w:rPr>
                <w:rFonts w:ascii="Arial" w:hAnsi="Arial"/>
                <w:b w:val="false"/>
                <w:i w:val="false"/>
                <w:color w:val="000000"/>
                <w:sz w:val="16"/>
              </w:rPr>
              <w:t>523.9</w:t>
            </w:r>
            <w:bookmarkEnd w:id="156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29" w:id="1568"/>
            <w:r>
              <w:rPr>
                <w:rFonts w:ascii="Arial" w:hAnsi="Arial"/>
                <w:b w:val="false"/>
                <w:i w:val="false"/>
                <w:color w:val="000000"/>
                <w:sz w:val="16"/>
              </w:rPr>
              <w:t>—</w:t>
            </w:r>
            <w:bookmarkEnd w:id="1568"/>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assets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0" w:id="1569"/>
            <w:r>
              <w:rPr>
                <w:rFonts w:ascii="Arial" w:hAnsi="Arial"/>
                <w:b w:val="false"/>
                <w:i w:val="false"/>
                <w:color w:val="000000"/>
                <w:sz w:val="16"/>
              </w:rPr>
              <w:t>517.4</w:t>
            </w:r>
            <w:bookmarkEnd w:id="1569"/>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1" w:id="1570"/>
            <w:r>
              <w:rPr>
                <w:rFonts w:ascii="Arial" w:hAnsi="Arial"/>
                <w:b w:val="false"/>
                <w:i w:val="false"/>
                <w:color w:val="000000"/>
                <w:sz w:val="16"/>
              </w:rPr>
              <w:t>29.7</w:t>
            </w:r>
            <w:bookmarkEnd w:id="1570"/>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2" w:id="1571"/>
            <w:r>
              <w:rPr>
                <w:rFonts w:ascii="Arial" w:hAnsi="Arial"/>
                <w:b w:val="false"/>
                <w:i w:val="false"/>
                <w:color w:val="000000"/>
                <w:sz w:val="16"/>
              </w:rPr>
              <w:t>487.2</w:t>
            </w:r>
            <w:bookmarkEnd w:id="1571"/>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3" w:id="1572"/>
            <w:r>
              <w:rPr>
                <w:rFonts w:ascii="Arial" w:hAnsi="Arial"/>
                <w:b w:val="false"/>
                <w:i w:val="false"/>
                <w:color w:val="000000"/>
                <w:sz w:val="16"/>
              </w:rPr>
              <w:t>—</w:t>
            </w:r>
            <w:bookmarkEnd w:id="1572"/>
            <w:r>
              <w:rPr>
                <w:rFonts w:ascii="Arial" w:hAnsi="Arial"/>
                <w:b w:val="false"/>
                <w:i w:val="false"/>
                <w:color w:val="000000"/>
                <w:sz w:val="16"/>
              </w:rPr>
              <w:t xml:space="preserve">   </w:t>
            </w:r>
          </w:p>
        </w:tc>
        <w:tc>
          <w:tcPr>
            <w:tcW w:w="54"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4" w:id="1573"/>
            <w:r>
              <w:rPr>
                <w:rFonts w:ascii="Arial" w:hAnsi="Arial"/>
                <w:b w:val="false"/>
                <w:i w:val="false"/>
                <w:color w:val="000000"/>
                <w:sz w:val="16"/>
              </w:rPr>
              <w:t>553.4</w:t>
            </w:r>
            <w:bookmarkEnd w:id="1573"/>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5" w:id="1574"/>
            <w:r>
              <w:rPr>
                <w:rFonts w:ascii="Arial" w:hAnsi="Arial"/>
                <w:b w:val="false"/>
                <w:i w:val="false"/>
                <w:color w:val="000000"/>
                <w:sz w:val="16"/>
              </w:rPr>
              <w:t>26.5</w:t>
            </w:r>
            <w:bookmarkEnd w:id="1574"/>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6" w:id="1575"/>
            <w:r>
              <w:rPr>
                <w:rFonts w:ascii="Arial" w:hAnsi="Arial"/>
                <w:b w:val="false"/>
                <w:i w:val="false"/>
                <w:color w:val="000000"/>
                <w:sz w:val="16"/>
              </w:rPr>
              <w:t>526.5</w:t>
            </w:r>
            <w:bookmarkEnd w:id="1575"/>
            <w:r>
              <w:rPr>
                <w:rFonts w:ascii="Arial" w:hAnsi="Arial"/>
                <w:b w:val="false"/>
                <w:i w:val="false"/>
                <w:color w:val="000000"/>
                <w:sz w:val="16"/>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7" w:id="1576"/>
            <w:r>
              <w:rPr>
                <w:rFonts w:ascii="Arial" w:hAnsi="Arial"/>
                <w:b w:val="false"/>
                <w:i w:val="false"/>
                <w:color w:val="000000"/>
                <w:sz w:val="16"/>
              </w:rPr>
              <w:t>—</w:t>
            </w:r>
            <w:bookmarkEnd w:id="1576"/>
            <w:r>
              <w:rPr>
                <w:rFonts w:ascii="Arial" w:hAnsi="Arial"/>
                <w:b w:val="false"/>
                <w:i w:val="false"/>
                <w:color w:val="000000"/>
                <w:sz w:val="16"/>
              </w:rPr>
              <w:t xml:space="preserve">   </w:t>
            </w:r>
          </w:p>
        </w:tc>
        <w:tc>
          <w:tcPr>
            <w:tcW w:w="54"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Liabilities</w:t>
            </w:r>
            <w:r>
              <w:rPr>
                <w:rFonts w:ascii="Times New Roman" w:hAnsi="Times New Roman"/>
                <w:b w:val="false"/>
                <w:i w:val="false"/>
                <w:color w:val="000000"/>
                <w:sz w:val="22"/>
              </w:rPr>
              <w:t xml:space="preserve"> </w:t>
            </w: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top w:val="double" w:color="000000" w:sz="11"/>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Derivative financial instruments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30" w:hRule="atLeast"/>
        </w:trPr>
        <w:tc>
          <w:tcPr>
            <w:tcW w:w="0" w:type="auto"/>
            <w:gridSpan w:val="3"/>
            <w:tcBorders/>
            <w:shd w:fill="ffffff"/>
            <w:tcMar>
              <w:top w:w="30" w:type="dxa"/>
              <w:left w:w="19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Foreign exchange contracts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8" w:id="1577"/>
            <w:r>
              <w:rPr>
                <w:rFonts w:ascii="Arial" w:hAnsi="Arial"/>
                <w:b w:val="false"/>
                <w:i w:val="false"/>
                <w:color w:val="000000"/>
                <w:sz w:val="16"/>
              </w:rPr>
              <w:t>429.6</w:t>
            </w:r>
            <w:bookmarkEnd w:id="1577"/>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39" w:id="1578"/>
            <w:r>
              <w:rPr>
                <w:rFonts w:ascii="Arial" w:hAnsi="Arial"/>
                <w:b w:val="false"/>
                <w:i w:val="false"/>
                <w:color w:val="000000"/>
                <w:sz w:val="16"/>
              </w:rPr>
              <w:t>—</w:t>
            </w:r>
            <w:bookmarkEnd w:id="1578"/>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0" w:id="1579"/>
            <w:r>
              <w:rPr>
                <w:rFonts w:ascii="Arial" w:hAnsi="Arial"/>
                <w:b w:val="false"/>
                <w:i w:val="false"/>
                <w:color w:val="000000"/>
                <w:sz w:val="16"/>
              </w:rPr>
              <w:t>429.6</w:t>
            </w:r>
            <w:bookmarkEnd w:id="1579"/>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1" w:id="1580"/>
            <w:r>
              <w:rPr>
                <w:rFonts w:ascii="Arial" w:hAnsi="Arial"/>
                <w:b w:val="false"/>
                <w:i w:val="false"/>
                <w:color w:val="000000"/>
                <w:sz w:val="16"/>
              </w:rPr>
              <w:t>—</w:t>
            </w:r>
            <w:bookmarkEnd w:id="1580"/>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2" w:id="1581"/>
            <w:r>
              <w:rPr>
                <w:rFonts w:ascii="Arial" w:hAnsi="Arial"/>
                <w:b w:val="false"/>
                <w:i w:val="false"/>
                <w:color w:val="000000"/>
                <w:sz w:val="16"/>
              </w:rPr>
              <w:t>639.3</w:t>
            </w:r>
            <w:bookmarkEnd w:id="1581"/>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3" w:id="1582"/>
            <w:r>
              <w:rPr>
                <w:rFonts w:ascii="Arial" w:hAnsi="Arial"/>
                <w:b w:val="false"/>
                <w:i w:val="false"/>
                <w:color w:val="000000"/>
                <w:sz w:val="16"/>
              </w:rPr>
              <w:t>—</w:t>
            </w:r>
            <w:bookmarkEnd w:id="1582"/>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4" w:id="1583"/>
            <w:r>
              <w:rPr>
                <w:rFonts w:ascii="Arial" w:hAnsi="Arial"/>
                <w:b w:val="false"/>
                <w:i w:val="false"/>
                <w:color w:val="000000"/>
                <w:sz w:val="16"/>
              </w:rPr>
              <w:t>639.3</w:t>
            </w:r>
            <w:bookmarkEnd w:id="1583"/>
            <w:r>
              <w:rPr>
                <w:rFonts w:ascii="Arial" w:hAnsi="Arial"/>
                <w:b w:val="false"/>
                <w:i w:val="false"/>
                <w:color w:val="000000"/>
                <w:sz w:val="16"/>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5" w:id="1584"/>
            <w:r>
              <w:rPr>
                <w:rFonts w:ascii="Arial" w:hAnsi="Arial"/>
                <w:b w:val="false"/>
                <w:i w:val="false"/>
                <w:color w:val="000000"/>
                <w:sz w:val="16"/>
              </w:rPr>
              <w:t>—</w:t>
            </w:r>
            <w:bookmarkEnd w:id="1584"/>
            <w:r>
              <w:rPr>
                <w:rFonts w:ascii="Arial" w:hAnsi="Arial"/>
                <w:b w:val="false"/>
                <w:i w:val="false"/>
                <w:color w:val="000000"/>
                <w:sz w:val="16"/>
              </w:rPr>
              <w:t xml:space="preserve">   </w:t>
            </w:r>
          </w:p>
        </w:tc>
        <w:tc>
          <w:tcPr>
            <w:tcW w:w="54"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liabilities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6" w:id="1585"/>
            <w:r>
              <w:rPr>
                <w:rFonts w:ascii="Arial" w:hAnsi="Arial"/>
                <w:b w:val="false"/>
                <w:i w:val="false"/>
                <w:color w:val="000000"/>
                <w:sz w:val="16"/>
              </w:rPr>
              <w:t>429.6</w:t>
            </w:r>
            <w:bookmarkEnd w:id="1585"/>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7" w:id="1586"/>
            <w:r>
              <w:rPr>
                <w:rFonts w:ascii="Arial" w:hAnsi="Arial"/>
                <w:b w:val="false"/>
                <w:i w:val="false"/>
                <w:color w:val="000000"/>
                <w:sz w:val="16"/>
              </w:rPr>
              <w:t>—</w:t>
            </w:r>
            <w:bookmarkEnd w:id="1586"/>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8" w:id="1587"/>
            <w:r>
              <w:rPr>
                <w:rFonts w:ascii="Arial" w:hAnsi="Arial"/>
                <w:b w:val="false"/>
                <w:i w:val="false"/>
                <w:color w:val="000000"/>
                <w:sz w:val="16"/>
              </w:rPr>
              <w:t>429.6</w:t>
            </w:r>
            <w:bookmarkEnd w:id="1587"/>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49" w:id="1588"/>
            <w:r>
              <w:rPr>
                <w:rFonts w:ascii="Arial" w:hAnsi="Arial"/>
                <w:b w:val="false"/>
                <w:i w:val="false"/>
                <w:color w:val="000000"/>
                <w:sz w:val="16"/>
              </w:rPr>
              <w:t>—</w:t>
            </w:r>
            <w:bookmarkEnd w:id="1588"/>
            <w:r>
              <w:rPr>
                <w:rFonts w:ascii="Arial" w:hAnsi="Arial"/>
                <w:b w:val="false"/>
                <w:i w:val="false"/>
                <w:color w:val="000000"/>
                <w:sz w:val="16"/>
              </w:rPr>
              <w:t xml:space="preserve">   </w:t>
            </w:r>
          </w:p>
        </w:tc>
        <w:tc>
          <w:tcPr>
            <w:tcW w:w="54"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0" w:id="1589"/>
            <w:r>
              <w:rPr>
                <w:rFonts w:ascii="Arial" w:hAnsi="Arial"/>
                <w:b w:val="false"/>
                <w:i w:val="false"/>
                <w:color w:val="000000"/>
                <w:sz w:val="16"/>
              </w:rPr>
              <w:t>639.3</w:t>
            </w:r>
            <w:bookmarkEnd w:id="1589"/>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9"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1" w:id="1590"/>
            <w:r>
              <w:rPr>
                <w:rFonts w:ascii="Arial" w:hAnsi="Arial"/>
                <w:b w:val="false"/>
                <w:i w:val="false"/>
                <w:color w:val="000000"/>
                <w:sz w:val="16"/>
              </w:rPr>
              <w:t>—</w:t>
            </w:r>
            <w:bookmarkEnd w:id="1590"/>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2" w:id="1591"/>
            <w:r>
              <w:rPr>
                <w:rFonts w:ascii="Arial" w:hAnsi="Arial"/>
                <w:b w:val="false"/>
                <w:i w:val="false"/>
                <w:color w:val="000000"/>
                <w:sz w:val="16"/>
              </w:rPr>
              <w:t>639.3</w:t>
            </w:r>
            <w:bookmarkEnd w:id="1591"/>
            <w:r>
              <w:rPr>
                <w:rFonts w:ascii="Arial" w:hAnsi="Arial"/>
                <w:b w:val="false"/>
                <w:i w:val="false"/>
                <w:color w:val="000000"/>
                <w:sz w:val="16"/>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9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794"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bookmarkStart w:name="f-1353" w:id="1592"/>
            <w:r>
              <w:rPr>
                <w:rFonts w:ascii="Arial" w:hAnsi="Arial"/>
                <w:b w:val="false"/>
                <w:i w:val="false"/>
                <w:color w:val="000000"/>
                <w:sz w:val="16"/>
              </w:rPr>
              <w:t>—</w:t>
            </w:r>
            <w:bookmarkEnd w:id="1592"/>
            <w:r>
              <w:rPr>
                <w:rFonts w:ascii="Arial" w:hAnsi="Arial"/>
                <w:b w:val="false"/>
                <w:i w:val="false"/>
                <w:color w:val="000000"/>
                <w:sz w:val="16"/>
              </w:rPr>
              <w:t xml:space="preserve">   </w:t>
            </w:r>
          </w:p>
        </w:tc>
        <w:tc>
          <w:tcPr>
            <w:tcW w:w="54"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305" w:id="1593"/>
      <w:bookmarkEnd w:id="1593"/>
      <w:bookmarkStart w:name="f-1304-1" w:id="1594"/>
      <w:bookmarkEnd w:id="1594"/>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Equity securities -</w:t>
      </w:r>
      <w:r>
        <w:rPr>
          <w:rFonts w:ascii="Times New Roman" w:hAnsi="Times New Roman"/>
          <w:b w:val="false"/>
          <w:i w:val="false"/>
          <w:color w:val="000000"/>
          <w:sz w:val="22"/>
        </w:rPr>
        <w:t xml:space="preserve"> </w:t>
      </w:r>
      <w:r>
        <w:rPr>
          <w:rFonts w:ascii="Arial" w:hAnsi="Arial"/>
          <w:b w:val="false"/>
          <w:i w:val="false"/>
          <w:color w:val="000000"/>
          <w:sz w:val="20"/>
        </w:rPr>
        <w:t>The fair value measurement of our traded securities is based on quoted prices that we have the ability to access in public markets.</w:t>
      </w:r>
      <w:r>
        <w:rPr>
          <w:rFonts w:ascii="Times New Roman" w:hAnsi="Times New Roman"/>
          <w:b w:val="false"/>
          <w:i w:val="false"/>
          <w:color w:val="000000"/>
          <w:sz w:val="22"/>
        </w:rPr>
        <w:t xml:space="preserve"> </w:t>
      </w:r>
    </w:p>
    <w:p>
      <w:pPr>
        <w:spacing w:before="0" w:after="0"/>
        <w:ind w:left="120"/>
        <w:jc w:val="left"/>
      </w:pPr>
      <w:bookmarkStart w:name="f-1304-1" w:id="1595"/>
      <w:bookmarkEnd w:id="1595"/>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Money market and stable value funds</w:t>
      </w:r>
      <w:r>
        <w:rPr>
          <w:rFonts w:ascii="Times New Roman" w:hAnsi="Times New Roman"/>
          <w:b w:val="false"/>
          <w:i w:val="false"/>
          <w:color w:val="000000"/>
          <w:sz w:val="22"/>
        </w:rPr>
        <w:t xml:space="preserve"> </w:t>
      </w:r>
      <w:r>
        <w:rPr>
          <w:rFonts w:ascii="Arial" w:hAnsi="Arial"/>
          <w:b w:val="false"/>
          <w:i w:val="false"/>
          <w:color w:val="000000"/>
          <w:sz w:val="20"/>
        </w:rPr>
        <w:t>- These funds are valued at the net asset value of the shares held at the end of the quarter, which is based on the fair value of the underlying investments using information reported by our investment advisor at quarter-end. These funds include fixed income and other investments measured at fair value. Certain investments that are measured at fair value using net asset value per share (or its equivalent) have not been classified in the fair value hierarchy.</w:t>
      </w:r>
      <w:r>
        <w:rPr>
          <w:rFonts w:ascii="Times New Roman" w:hAnsi="Times New Roman"/>
          <w:b w:val="false"/>
          <w:i w:val="false"/>
          <w:color w:val="000000"/>
          <w:sz w:val="22"/>
        </w:rPr>
        <w:t xml:space="preserve"> </w:t>
      </w:r>
    </w:p>
    <w:p>
      <w:pPr>
        <w:spacing w:before="0" w:after="0"/>
        <w:ind w:left="120"/>
        <w:jc w:val="left"/>
      </w:pPr>
      <w:bookmarkStart w:name="f-1304-1" w:id="1596"/>
      <w:bookmarkEnd w:id="1596"/>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Derivative financial instruments -</w:t>
      </w:r>
      <w:r>
        <w:rPr>
          <w:rFonts w:ascii="Times New Roman" w:hAnsi="Times New Roman"/>
          <w:b w:val="false"/>
          <w:i w:val="false"/>
          <w:color w:val="000000"/>
          <w:sz w:val="22"/>
        </w:rPr>
        <w:t xml:space="preserve"> </w:t>
      </w:r>
      <w:r>
        <w:rPr>
          <w:rFonts w:ascii="Arial" w:hAnsi="Arial"/>
          <w:b w:val="false"/>
          <w:i w:val="false"/>
          <w:color w:val="000000"/>
          <w:sz w:val="20"/>
        </w:rPr>
        <w:t>We use the income approach as the valuation technique to measure the fair value of foreign currency derivative instruments on a recurring basis. This approach calculates the present value of the future cash flow by measuring the change from the derivative contract rate and the published market indicative currency rate, multiplied by the contract notional values. Credit risk is then incorporated by reducing the derivative’s fair value in asset positions by the result of multiplying the present value of the portfolio by the counterparty’s published credit spread. Portfolios in a liability position are adjusted by the same calculation; however, a spread representing our credit spread is used. Our credit spread, and the credit spread of other counterparties not publicly available, are approximated by using the spread of similar companies in the same industry, of similar size, and with the same credit rating.</w:t>
      </w:r>
      <w:r>
        <w:rPr>
          <w:rFonts w:ascii="Times New Roman" w:hAnsi="Times New Roman"/>
          <w:b w:val="false"/>
          <w:i w:val="false"/>
          <w:color w:val="000000"/>
          <w:sz w:val="22"/>
        </w:rPr>
        <w:t xml:space="preserve"> </w:t>
      </w:r>
    </w:p>
    <w:p>
      <w:pPr>
        <w:spacing w:before="0" w:after="0"/>
        <w:ind w:left="120"/>
        <w:jc w:val="left"/>
      </w:pPr>
      <w:bookmarkStart w:name="f-1304-1" w:id="1597"/>
      <w:bookmarkEnd w:id="1597"/>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We currently have no credit-risk-related contingent features in our agreements with the financial institutions that would require us to post collateral for derivative positions in a liability position. See </w:t>
      </w:r>
      <w:hyperlink w:anchor="if5bce3d3882148cf91b6563d87cc4db5_127">
        <w:r>
          <w:rPr>
            <w:rFonts w:ascii="Arial" w:hAnsi="Arial"/>
            <w:b w:val="false"/>
            <w:i w:val="false"/>
            <w:color w:val="000000"/>
            <w:sz w:val="20"/>
          </w:rPr>
          <w:t>Note 16</w:t>
        </w:r>
      </w:hyperlink>
      <w:r>
        <w:rPr>
          <w:rFonts w:ascii="Arial" w:hAnsi="Arial"/>
          <w:b w:val="false"/>
          <w:i w:val="false"/>
          <w:color w:val="000000"/>
          <w:sz w:val="20"/>
        </w:rPr>
        <w:t xml:space="preserve"> for further details. </w:t>
      </w:r>
    </w:p>
    <w:p>
      <w:pPr>
        <w:spacing w:before="0" w:after="0"/>
        <w:ind w:left="120"/>
        <w:jc w:val="left"/>
      </w:pPr>
      <w:bookmarkStart w:name="f-1304-1" w:id="1598"/>
      <w:bookmarkEnd w:id="1598"/>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Other fair value disclosures</w:t>
      </w:r>
      <w:r>
        <w:rPr>
          <w:rFonts w:ascii="Times New Roman" w:hAnsi="Times New Roman"/>
          <w:b w:val="false"/>
          <w:i w:val="false"/>
          <w:color w:val="000000"/>
          <w:sz w:val="22"/>
        </w:rPr>
        <w:t xml:space="preserve"> </w:t>
      </w:r>
    </w:p>
    <w:p>
      <w:pPr>
        <w:spacing w:before="0" w:after="0"/>
        <w:ind w:left="120"/>
        <w:jc w:val="left"/>
      </w:pPr>
      <w:bookmarkStart w:name="f-1304-1" w:id="1599"/>
      <w:bookmarkEnd w:id="159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carrying amounts of cash and cash equivalents, trade receivables, accounts payable, short-term debt, debt associated with our bank borrowings, credit facilities, as well as amounts included in other current assets and other current liabilities that meet the definition of financial instruments, approximate fair value.</w:t>
      </w:r>
      <w:r>
        <w:rPr>
          <w:rFonts w:ascii="Times New Roman" w:hAnsi="Times New Roman"/>
          <w:b w:val="false"/>
          <w:i w:val="false"/>
          <w:color w:val="000000"/>
          <w:sz w:val="22"/>
        </w:rPr>
        <w:t xml:space="preserve"> </w:t>
      </w:r>
    </w:p>
    <w:p>
      <w:pPr>
        <w:spacing w:before="0" w:after="0"/>
        <w:ind w:left="120"/>
        <w:jc w:val="left"/>
      </w:pPr>
      <w:bookmarkStart w:name="f-1304-1" w:id="1600"/>
      <w:bookmarkEnd w:id="1600"/>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Fair value of debt</w:t>
      </w:r>
      <w:r>
        <w:rPr>
          <w:rFonts w:ascii="Times New Roman" w:hAnsi="Times New Roman"/>
          <w:b w:val="false"/>
          <w:i w:val="false"/>
          <w:color w:val="000000"/>
          <w:sz w:val="22"/>
        </w:rPr>
        <w:t xml:space="preserve"> </w:t>
      </w:r>
      <w:r>
        <w:rPr>
          <w:rFonts w:ascii="Arial" w:hAnsi="Arial"/>
          <w:b w:val="false"/>
          <w:i w:val="false"/>
          <w:color w:val="000000"/>
          <w:sz w:val="20"/>
        </w:rPr>
        <w:t xml:space="preserve">- We use a market approach to determine the fair value of our fixed-rate debt using observable market data, which results in a Level 2 fair value measurement. The estimated fair value of our private placement notes and senior notes was $ </w:t>
      </w:r>
      <w:bookmarkStart w:name="f-1354" w:id="1601"/>
      <w:r>
        <w:rPr>
          <w:rFonts w:ascii="Arial" w:hAnsi="Arial"/>
          <w:b w:val="false"/>
          <w:i w:val="false"/>
          <w:color w:val="000000"/>
          <w:sz w:val="20"/>
        </w:rPr>
        <w:t>483.7</w:t>
      </w:r>
      <w:bookmarkEnd w:id="1601"/>
      <w:r>
        <w:rPr>
          <w:rFonts w:ascii="Arial" w:hAnsi="Arial"/>
          <w:b w:val="false"/>
          <w:i w:val="false"/>
          <w:color w:val="000000"/>
          <w:sz w:val="20"/>
        </w:rPr>
        <w:t xml:space="preserve"> million and $ </w:t>
      </w:r>
      <w:bookmarkStart w:name="f-1355" w:id="1602"/>
      <w:r>
        <w:rPr>
          <w:rFonts w:ascii="Arial" w:hAnsi="Arial"/>
          <w:b w:val="false"/>
          <w:i w:val="false"/>
          <w:color w:val="000000"/>
          <w:sz w:val="20"/>
        </w:rPr>
        <w:t>666.0</w:t>
      </w:r>
      <w:bookmarkEnd w:id="1602"/>
      <w:r>
        <w:rPr>
          <w:rFonts w:ascii="Arial" w:hAnsi="Arial"/>
          <w:b w:val="false"/>
          <w:i w:val="false"/>
          <w:color w:val="000000"/>
          <w:sz w:val="20"/>
        </w:rPr>
        <w:t xml:space="preserve"> million as of June 30, 2025 and December 31, 2024, respectively. </w:t>
      </w:r>
    </w:p>
    <w:p>
      <w:pPr>
        <w:spacing w:before="0" w:after="0"/>
        <w:ind w:left="120"/>
        <w:jc w:val="left"/>
      </w:pPr>
      <w:bookmarkStart w:name="f-1304-1" w:id="1603"/>
      <w:bookmarkEnd w:id="1603"/>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Credit risk -</w:t>
      </w:r>
      <w:r>
        <w:rPr>
          <w:rFonts w:ascii="Times New Roman" w:hAnsi="Times New Roman"/>
          <w:b w:val="false"/>
          <w:i w:val="false"/>
          <w:color w:val="000000"/>
          <w:sz w:val="22"/>
        </w:rPr>
        <w:t xml:space="preserve"> </w:t>
      </w:r>
      <w:r>
        <w:rPr>
          <w:rFonts w:ascii="Arial" w:hAnsi="Arial"/>
          <w:b w:val="false"/>
          <w:i w:val="false"/>
          <w:color w:val="000000"/>
          <w:sz w:val="20"/>
        </w:rPr>
        <w:t>By their nature, financial instruments involve risk, including credit risk, for non-performance by counterparties. Financial instruments that potentially subject us to credit risk primarily consist of trade receivables and derivative contracts. We manage the credit risk on financial instruments by transacting only with what management believes are financially secure counterparties, requiring credit approvals and credit limits and monitoring counterparties’ financial condition. Our maximum exposure to credit loss in the event of non-performance by the counterparty is limited to the amount drawn and outstanding on the financial instrument. Allowances for losses on trade receivables are established based on collectability assessments. We mitigate credit risk on</w:t>
      </w:r>
      <w:r>
        <w:rPr>
          <w:rFonts w:ascii="Times New Roman" w:hAnsi="Times New Roman"/>
          <w:b w:val="false"/>
          <w:i w:val="false"/>
          <w:color w:val="000000"/>
          <w:sz w:val="22"/>
        </w:rPr>
        <w:t xml:space="preserve"> </w:t>
      </w:r>
    </w:p>
    <w:p>
      <w:pPr>
        <w:spacing w:before="0" w:after="0"/>
        <w:ind w:left="120"/>
        <w:jc w:val="left"/>
      </w:pPr>
      <w:bookmarkStart w:name="f-1304-1" w:id="1604"/>
      <w:bookmarkEnd w:id="1604"/>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bookmarkStart w:name="f-1304-2" w:id="1605"/>
      <w:bookmarkEnd w:id="1605"/>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derivative contracts by executing contracts only with counterparties that consent to a master netting agreement, which permits the net settlement of gross derivative assets against gross derivative liabilities.</w:t>
      </w:r>
      <w:r>
        <w:rPr>
          <w:rFonts w:ascii="Times New Roman" w:hAnsi="Times New Roman"/>
          <w:b w:val="false"/>
          <w:i w:val="false"/>
          <w:color w:val="000000"/>
          <w:sz w:val="22"/>
        </w:rPr>
        <w:t xml:space="preserve"> </w:t>
      </w:r>
    </w:p>
    <w:p>
      <w:pPr>
        <w:spacing w:before="0" w:after="0"/>
        <w:ind w:left="120"/>
        <w:jc w:val="left"/>
      </w:pPr>
      <w:bookmarkStart w:name="f-1304-2" w:id="1606"/>
      <w:bookmarkEnd w:id="1606"/>
    </w:p>
    <w:bookmarkStart w:name="if5bce3d3882148cf91b6563d87cc4db5_136" w:id="1607"/>
    <w:p>
      <w:pPr>
        <w:spacing w:before="0" w:after="0"/>
        <w:ind w:left="120"/>
        <w:jc w:val="left"/>
      </w:pPr>
    </w:p>
    <w:bookmarkEnd w:id="1607"/>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18. </w:t>
      </w:r>
      <w:bookmarkStart w:name="f-1356" w:id="1608"/>
      <w:r>
        <w:rPr>
          <w:rFonts w:ascii="Arial" w:hAnsi="Arial"/>
          <w:b/>
          <w:i w:val="false"/>
          <w:color w:val="000000"/>
          <w:sz w:val="20"/>
        </w:rPr>
        <w:t>DISPOSAL OF MEASUREMENT SOLUTIONS BUSINESS AND OTHER TRANSACTIONS</w:t>
      </w:r>
      <w:bookmarkEnd w:id="1608"/>
      <w:r>
        <w:rPr>
          <w:rFonts w:ascii="Arial" w:hAnsi="Arial"/>
          <w:b/>
          <w:i w:val="false"/>
          <w:color w:val="000000"/>
          <w:sz w:val="20"/>
        </w:rPr>
        <w:t xml:space="preserve"> </w:t>
      </w:r>
    </w:p>
    <w:p>
      <w:pPr>
        <w:spacing w:before="0" w:after="0"/>
        <w:ind w:left="120"/>
        <w:jc w:val="left"/>
      </w:pPr>
      <w:bookmarkStart w:name="f-1356-1" w:id="1609"/>
      <w:bookmarkEnd w:id="1609"/>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On March 11, 2024, we completed the sale of equity interests and assets of the Company’s Measurement Solutions business (the “MSB”) for cash proceeds of $ </w:t>
      </w:r>
      <w:bookmarkStart w:name="f-1357" w:id="1610"/>
      <w:r>
        <w:rPr>
          <w:rFonts w:ascii="Arial" w:hAnsi="Arial"/>
          <w:b w:val="false"/>
          <w:i w:val="false"/>
          <w:color w:val="000000"/>
          <w:sz w:val="20"/>
        </w:rPr>
        <w:t>186.1</w:t>
      </w:r>
      <w:bookmarkEnd w:id="1610"/>
      <w:r>
        <w:rPr>
          <w:rFonts w:ascii="Arial" w:hAnsi="Arial"/>
          <w:b w:val="false"/>
          <w:i w:val="false"/>
          <w:color w:val="000000"/>
          <w:sz w:val="20"/>
        </w:rPr>
        <w:t xml:space="preserve">  million. As part of the Surface Technologies segment, MSB encompassed terminal management solutions and metering products and systems and included engineering and manufacturing locations in North America and Europe. </w:t>
      </w:r>
    </w:p>
    <w:p>
      <w:pPr>
        <w:spacing w:before="0" w:after="0"/>
        <w:ind w:left="120"/>
        <w:jc w:val="left"/>
      </w:pPr>
      <w:bookmarkStart w:name="f-1356-1" w:id="1611"/>
      <w:bookmarkEnd w:id="1611"/>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We recorded transaction costs associated with the sale of $ </w:t>
      </w:r>
      <w:bookmarkStart w:name="f-1358" w:id="1612"/>
      <w:r>
        <w:rPr>
          <w:rFonts w:ascii="Arial" w:hAnsi="Arial"/>
          <w:b w:val="false"/>
          <w:i w:val="false"/>
          <w:color w:val="000000"/>
          <w:sz w:val="20"/>
        </w:rPr>
        <w:t>5.2</w:t>
      </w:r>
      <w:bookmarkEnd w:id="1612"/>
      <w:r>
        <w:rPr>
          <w:rFonts w:ascii="Arial" w:hAnsi="Arial"/>
          <w:b w:val="false"/>
          <w:i w:val="false"/>
          <w:color w:val="000000"/>
          <w:sz w:val="20"/>
        </w:rPr>
        <w:t xml:space="preserve">  million, during the three months ended March 31, 2024. These transaction costs are included within restructuring, impairment, and other charges in our condensed consolidated statement of income. </w:t>
      </w:r>
    </w:p>
    <w:p>
      <w:pPr>
        <w:spacing w:before="0" w:after="0"/>
        <w:ind w:left="120"/>
        <w:jc w:val="left"/>
      </w:pPr>
      <w:bookmarkStart w:name="f-1356-1" w:id="1613"/>
      <w:bookmarkEnd w:id="1613"/>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FMC Technologies (UK) Pension Plan Buy-In</w:t>
      </w:r>
      <w:r>
        <w:rPr>
          <w:rFonts w:ascii="Times New Roman" w:hAnsi="Times New Roman"/>
          <w:b w:val="false"/>
          <w:i w:val="false"/>
          <w:color w:val="000000"/>
          <w:sz w:val="22"/>
        </w:rPr>
        <w:t xml:space="preserve"> </w:t>
      </w:r>
    </w:p>
    <w:p>
      <w:pPr>
        <w:spacing w:before="0" w:after="0"/>
        <w:ind w:left="120"/>
        <w:jc w:val="left"/>
      </w:pPr>
      <w:bookmarkStart w:name="f-1356-1" w:id="1614"/>
      <w:bookmarkEnd w:id="1614"/>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During 2024, </w:t>
      </w:r>
      <w:bookmarkStart w:name="f-1359" w:id="1615"/>
      <w:r>
        <w:rPr>
          <w:rFonts w:ascii="Arial" w:hAnsi="Arial"/>
          <w:b w:val="false"/>
          <w:i w:val="false"/>
          <w:color w:val="000000"/>
          <w:sz w:val="20"/>
        </w:rPr>
        <w:t>two</w:t>
      </w:r>
      <w:bookmarkEnd w:id="1615"/>
      <w:r>
        <w:rPr>
          <w:rFonts w:ascii="Arial" w:hAnsi="Arial"/>
          <w:b w:val="false"/>
          <w:i w:val="false"/>
          <w:color w:val="000000"/>
          <w:sz w:val="20"/>
        </w:rPr>
        <w:t xml:space="preserve"> of the U.K. pension plans entered into a buy-in contract for all their members. Under the buy-in contract terms, the responsibility to pay pension benefits still rests with the plans and the obligation is still recorded by the Company. In July 2024, the U.K. Court of Appeal upheld a ruling of the U.K. High Court in Virgin Media Ltd v. NTL Pension Trustees II Ltd case, a matter that we were not a party to or involved in. The court ruled that certain historical amendments purportedly made to Virgin Media’s U.K. defined benefit plan were legally invalid because they had not been accompanied by necessary actuarial confirmation. </w:t>
      </w:r>
    </w:p>
    <w:p>
      <w:pPr>
        <w:spacing w:before="0" w:after="0"/>
        <w:ind w:left="120"/>
        <w:jc w:val="left"/>
      </w:pPr>
      <w:bookmarkStart w:name="f-1356-1" w:id="1616"/>
      <w:bookmarkEnd w:id="1616"/>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Following this ruling, the U.K. Government has confirmed that it will introduce legislation to address the issues arising from the judgment. The proposed legislation is expected to allow affected pension plans to retrospectively obtain written actuarial confirmation that historic benefit changes complied with the necessary statutory requirements. We are currently monitoring legislative progress, further guidance and legal challenges to assess any potential implications for our U.K. pension plans.</w:t>
      </w:r>
      <w:r>
        <w:rPr>
          <w:rFonts w:ascii="Times New Roman" w:hAnsi="Times New Roman"/>
          <w:b w:val="false"/>
          <w:i w:val="false"/>
          <w:color w:val="000000"/>
          <w:sz w:val="22"/>
        </w:rPr>
        <w:t xml:space="preserve"> </w:t>
      </w:r>
    </w:p>
    <w:p>
      <w:pPr>
        <w:spacing w:before="0" w:after="0"/>
        <w:ind w:left="120"/>
        <w:jc w:val="left"/>
      </w:pPr>
      <w:bookmarkStart w:name="f-1356-1" w:id="1617"/>
      <w:bookmarkEnd w:id="1617"/>
    </w:p>
    <w:bookmarkStart w:name="if5bce3d3882148cf91b6563d87cc4db5_142" w:id="1618"/>
    <w:p>
      <w:pPr>
        <w:spacing w:before="0" w:after="0"/>
        <w:ind w:left="120"/>
        <w:jc w:val="left"/>
      </w:pPr>
    </w:p>
    <w:bookmarkEnd w:id="1618"/>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 xml:space="preserve">NOTE 19. </w:t>
      </w:r>
      <w:bookmarkStart w:name="f-1360" w:id="1619"/>
      <w:r>
        <w:rPr>
          <w:rFonts w:ascii="Arial" w:hAnsi="Arial"/>
          <w:b/>
          <w:i w:val="false"/>
          <w:color w:val="000000"/>
          <w:sz w:val="20"/>
        </w:rPr>
        <w:t>SUBSEQUENT EVENTS</w:t>
      </w:r>
      <w:bookmarkEnd w:id="1619"/>
      <w:r>
        <w:rPr>
          <w:rFonts w:ascii="Arial" w:hAnsi="Arial"/>
          <w:b/>
          <w:i w:val="false"/>
          <w:color w:val="000000"/>
          <w:sz w:val="20"/>
        </w:rPr>
        <w:t xml:space="preserve"> </w:t>
      </w:r>
    </w:p>
    <w:p>
      <w:pPr>
        <w:spacing w:before="0" w:after="0"/>
        <w:ind w:left="120"/>
        <w:jc w:val="left"/>
      </w:pPr>
      <w:bookmarkStart w:name="f-1360-1" w:id="1620"/>
      <w:bookmarkEnd w:id="1620"/>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On July 22, 2025, the Company announced that its Board of Directors authorized and declared a quarterly cash dividend of $ </w:t>
      </w:r>
      <w:bookmarkStart w:name="f-1361" w:id="1621"/>
      <w:r>
        <w:rPr>
          <w:rFonts w:ascii="Arial" w:hAnsi="Arial"/>
          <w:b w:val="false"/>
          <w:i w:val="false"/>
          <w:color w:val="000000"/>
          <w:sz w:val="20"/>
        </w:rPr>
        <w:t>0.05</w:t>
      </w:r>
      <w:bookmarkEnd w:id="1621"/>
      <w:r>
        <w:rPr>
          <w:rFonts w:ascii="Arial" w:hAnsi="Arial"/>
          <w:b w:val="false"/>
          <w:i w:val="false"/>
          <w:color w:val="000000"/>
          <w:sz w:val="20"/>
        </w:rPr>
        <w:t xml:space="preserve"> per share, payable on September 3, 2025 to shareholders of record as of the close of business on the New York Stock Exchange on August 19, 2025. The ex-dividend date is August 19, 2025. </w:t>
      </w:r>
    </w:p>
    <w:p>
      <w:pPr>
        <w:spacing w:before="0" w:after="0"/>
        <w:ind w:left="120"/>
        <w:jc w:val="left"/>
      </w:pPr>
      <w:bookmarkStart w:name="f-1360-1" w:id="1622"/>
      <w:bookmarkEnd w:id="1622"/>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July 4, 2025, the One Big Beautiful Bill Act (the “OBBBA”) was signed into law in the United States. Key provisions of the OBBBA include permanent extension of once-temporary provisions of the Tax Cuts and Jobs Act of 2017 (TCJA), along with the introduction of other significant changes that may impact the Company. The legislation has multiple effective dates, with certain provisions effective in 2025 and others implemented through 2027. We are currently evaluating the impact of the OBBBA on our consolidated financial statements, including the potential remeasurement of deferred tax assets and liabilities.</w:t>
      </w:r>
      <w:r>
        <w:rPr>
          <w:rFonts w:ascii="Times New Roman" w:hAnsi="Times New Roman"/>
          <w:b w:val="false"/>
          <w:i w:val="false"/>
          <w:color w:val="000000"/>
          <w:sz w:val="22"/>
        </w:rPr>
        <w:t xml:space="preserve"> </w:t>
      </w:r>
    </w:p>
    <w:p>
      <w:pPr>
        <w:spacing w:before="0" w:after="0"/>
        <w:ind w:left="120"/>
        <w:jc w:val="left"/>
      </w:pPr>
      <w:bookmarkStart w:name="f-1360-1" w:id="1623"/>
      <w:bookmarkEnd w:id="1623"/>
    </w:p>
    <w:p>
      <w:pPr>
        <w:spacing w:before="160" w:after="20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27</w:t>
      </w:r>
      <w:r>
        <w:rPr>
          <w:rFonts w:ascii="Times New Roman" w:hAnsi="Times New Roman"/>
          <w:b w:val="false"/>
          <w:i w:val="false"/>
          <w:color w:val="000000"/>
          <w:sz w:val="22"/>
        </w:rPr>
        <w:t xml:space="preserve"> </w:t>
      </w:r>
    </w:p>
    <w:p>
      <w:pPr>
        <w:spacing w:before="0" w:after="0"/>
        <w:ind w:left="120"/>
        <w:jc w:val="left"/>
      </w:pPr>
    </w:p>
    <w:bookmarkStart w:name="if5bce3d3882148cf91b6563d87cc4db5_145" w:id="1624"/>
    <w:p>
      <w:pPr>
        <w:spacing w:before="0" w:after="0"/>
        <w:ind w:left="120"/>
        <w:jc w:val="left"/>
      </w:pPr>
    </w:p>
    <w:bookmarkEnd w:id="1624"/>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2. MANAGEMENT’S DISCUSSION AND ANALYSIS OF FINANCIAL CONDITION AND RESULTS OF OPERATIONS</w:t>
      </w:r>
      <w:r>
        <w:rPr>
          <w:rFonts w:ascii="Times New Roman" w:hAnsi="Times New Roman"/>
          <w:b w:val="false"/>
          <w:i w:val="false"/>
          <w:color w:val="000000"/>
          <w:sz w:val="22"/>
        </w:rPr>
        <w:t xml:space="preserve"> </w:t>
      </w:r>
    </w:p>
    <w:p>
      <w:pPr>
        <w:spacing w:before="0" w:after="0"/>
        <w:ind w:left="120"/>
        <w:jc w:val="left"/>
      </w:pPr>
    </w:p>
    <w:bookmarkStart w:name="if5bce3d3882148cf91b6563d87cc4db5_148" w:id="1625"/>
    <w:p>
      <w:pPr>
        <w:spacing w:before="0" w:after="0"/>
        <w:ind w:left="120"/>
        <w:jc w:val="left"/>
      </w:pPr>
    </w:p>
    <w:bookmarkEnd w:id="1625"/>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BUSINESS OUTLOOK</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Overall Outlook</w:t>
      </w:r>
      <w:r>
        <w:rPr>
          <w:rFonts w:ascii="Times New Roman" w:hAnsi="Times New Roman"/>
          <w:b w:val="false"/>
          <w:i w:val="false"/>
          <w:color w:val="000000"/>
          <w:sz w:val="22"/>
        </w:rPr>
        <w:t xml:space="preserve"> </w:t>
      </w:r>
      <w:r>
        <w:rPr>
          <w:rFonts w:ascii="Arial" w:hAnsi="Arial"/>
          <w:b w:val="false"/>
          <w:i w:val="false"/>
          <w:color w:val="000000"/>
          <w:sz w:val="20"/>
        </w:rPr>
        <w:t>– Economic growth is expected to continue in 2025, although it remains vulnerable to persistent inflationary pressures, global trade tensions, and regional conflicts. Central banks continue to navigate a balance between growth and price stability — with progress uneven across regions. At the same time, economic sanctions and other measures imposed to end persistent geopolitical conflicts create additional risks to global energy markets, underscoring the strategic importance of energy security worldwide.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maintain a positive long-term outlook for both oil and natural gas given anticipated growth in energy demand. Growth in near-term oil supply is likely to be supported by OPEC+ as member nations restore previously curtailed production. However, affordability and energy security remain major considerations. Our long-term outlook is further supported by our clients’ prioritization of the development of conventional oil and natural gas resources, while also progressing energy transition efforts.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believe that offshore and Middle East markets will maintain investment preference for operators, with deepwater attracting a growing share of global capital flows, driven by much-improved economic returns and broad access to these resources. We also expect an increasing role for technology innovation in the delivery of both conventional and new energy supply. In that context, TechnipFMC is well positioned to translate our technological, operational, and financial strength into value for our clients, employees, and shareholders.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2024, we announced a differentiated set of awards, with three integrated Engineering, Procurement, Construction, and Installation (iEPCI™) projects all representing first-of-its-kind solutions. The Mero 3 HISEP® project was our first iEPCI™ for Petrobras and the first to utilize subsea processing to capture carbon dioxide (“CO</w:t>
      </w:r>
      <w:r>
        <w:rPr>
          <w:rFonts w:ascii="Times New Roman" w:hAnsi="Times New Roman"/>
          <w:b w:val="false"/>
          <w:i w:val="false"/>
          <w:color w:val="000000"/>
          <w:sz w:val="22"/>
        </w:rPr>
        <w:t xml:space="preserve"> </w:t>
      </w:r>
      <w:r>
        <w:rPr>
          <w:rFonts w:ascii="Arial" w:hAnsi="Arial"/>
          <w:b w:val="false"/>
          <w:i w:val="false"/>
          <w:color w:val="000000"/>
          <w:sz w:val="13"/>
        </w:rPr>
        <w:t>2</w:t>
      </w:r>
      <w:r>
        <w:rPr>
          <w:rFonts w:ascii="Times New Roman" w:hAnsi="Times New Roman"/>
          <w:b w:val="false"/>
          <w:i w:val="false"/>
          <w:color w:val="000000"/>
          <w:sz w:val="22"/>
        </w:rPr>
        <w:t xml:space="preserve"> </w:t>
      </w:r>
      <w:r>
        <w:rPr>
          <w:rFonts w:ascii="Arial" w:hAnsi="Arial"/>
          <w:b w:val="false"/>
          <w:i w:val="false"/>
          <w:color w:val="000000"/>
          <w:sz w:val="20"/>
        </w:rPr>
        <w:t>”) directly from the well stream for injection back into the reservoir, all on the seafloor. The Shell Sparta project was our first iEPCI™ to employ a 20,000-psi production system in the Paleogene play in the Gulf of America. And finally, we were awarded the first iEPCI™ encompassing an all-electric subsea system for carbon capture and storage from the Northern Endurance Partnership, a joint venture between bp, Equinor, and TotalEnergies. Each of these projects provides a unique solution to an industry challenge and exemplifies our differentiated technology portfolio that is creating new market opportunities for our company in existing offshore basins.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evidenced by these awards, we believe that offshore will play a meaningful role in the development of renewable energy resources and the reduction of carbon emissions. Our efforts are focused on three main pillars: greenhouse gas (GHG) removal, offshore floating renewables, and hydrogen solutions. We are also building on our partnerships as we look to expand our position as the leading architect for offshore energy.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 our New Energy business, we announced a new collaboration agreement in 2024 to deliver the industry’s first full water-column solution for offshore floating wind. Together with Prysmian, the leader in cabling solutions for the energy transition, we will combine our expertise in system design and integration capabilities in dynamic offshore applications to provide an iEPCI™ solution for the offshore floating wind market. We continue to create unique opportunities where we can leverage our onshore and offshore expertise and demonstrated project execution capabilities into leadership positions in evolving energy markets.</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Subsea</w:t>
      </w:r>
      <w:r>
        <w:rPr>
          <w:rFonts w:ascii="Times New Roman" w:hAnsi="Times New Roman"/>
          <w:b w:val="false"/>
          <w:i w:val="false"/>
          <w:color w:val="000000"/>
          <w:sz w:val="22"/>
        </w:rPr>
        <w:t xml:space="preserve"> </w:t>
      </w:r>
      <w:r>
        <w:rPr>
          <w:rFonts w:ascii="Arial" w:hAnsi="Arial"/>
          <w:b w:val="false"/>
          <w:i w:val="false"/>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Innovative approaches to subsea projects, like our iEPCI™ solution, have improved project economics through more efficient design and installation of the entire subsea field architecture. Our integrated commercial model, iEPCI™, brought together the complementary work scopes of the SPS with the SURF, and installation vessels. iEPCI™ created a new market and helped expand the deepwater opportunity set for our clients and has grown to represent nearly one-third of the addressable subsea market.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the subsea industry continues to evolve, we are driving simplification, standardization, and industrialization to reduce cycle times and further reduce costs. An example of this is Subsea 2.0®, our pre-engineered configurable product offering. This technology simplifies projects by leveraging a Configure-to-Order (CTO) model that further accelerates time to first production while driving greater efficiencies for TechnipFMC.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28</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With Subsea 2.0® and CTO, we have designed an architecture, process, tools, and culture that are scalable and transformational to the future of our company. Subsea 2.0® has allowed us to redefine our sourcing strategy and transform our manufacturing flow, resulting in up to 25 percent lower product cost and a shortened 12-month delivery time for subsea production equipment</w:t>
      </w:r>
      <w:r>
        <w:rPr>
          <w:rFonts w:ascii="Times New Roman" w:hAnsi="Times New Roman"/>
          <w:b w:val="false"/>
          <w:i w:val="false"/>
          <w:color w:val="000000"/>
          <w:sz w:val="22"/>
        </w:rPr>
        <w:t xml:space="preserve"> </w:t>
      </w:r>
      <w:r>
        <w:rPr>
          <w:rFonts w:ascii="Arial" w:hAnsi="Arial"/>
          <w:b w:val="false"/>
          <w:i/>
          <w:color w:val="000000"/>
          <w:sz w:val="20"/>
        </w:rPr>
        <w:t>—</w:t>
      </w:r>
      <w:r>
        <w:rPr>
          <w:rFonts w:ascii="Times New Roman" w:hAnsi="Times New Roman"/>
          <w:b w:val="false"/>
          <w:i w:val="false"/>
          <w:color w:val="000000"/>
          <w:sz w:val="22"/>
        </w:rPr>
        <w:t xml:space="preserve"> </w:t>
      </w:r>
      <w:r>
        <w:rPr>
          <w:rFonts w:ascii="Arial" w:hAnsi="Arial"/>
          <w:b w:val="false"/>
          <w:i w:val="false"/>
          <w:color w:val="000000"/>
          <w:sz w:val="20"/>
        </w:rPr>
        <w:t>savings that are both real and sustainable. This has paved the way for other products within our portfolio to adopt a similar operating model, enabling an enterprise-wide way of working.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Given the significant improvement in project economics, more offshore discoveries can be developed economically below today’s oil prices. We believe these fundamental changes are sustainable, as a result of new business models and technology pioneered by our company.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There is also momentum in new offshore frontiers as nations look to expand economic growth through the development of more recent resource discoveries. In late 2024, we were awarded an iEPCI™ contract for TotalEnergies’ GranMorgu project — the first subsea development in Suriname. In Namibia, there have been multiple discoveries, and operators have initiated appraisal drilling campaigns. We believe additional countries will seek to develop deepwater resources in other new frontiers during this decade, yielding additional inbound orders well beyond those projects currently in discussion.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Offshore development is likely to remain a significant part of many of our customers’ portfolios, not only because of improved economics, but because of the size and accessibility of these resources. We estimate over 35 MMBD of new oil production will be required by 2040 to meet future energy demand. Approximately 10 MMBD of the increase is expected to come from new deepwater production, which is significantly above the current level of offshore production.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After securing $20.2 billion of Subsea orders over the past two calendar years, our unique visibility into the market gives us confidence we will exceed $10 billion of inbound in the current year — ensuring we deliver on our guidance of $30 billion over the three-years ending 2025. These orders are expected to include a more diversified mix of opportunities and further market adoption of our Subsea 2.0® CTO platform and iEPCI™ commercial model. We also foresee the expanding reach of Subsea Services, derived from an aging installed base that continues to grow.</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we look beyond the current year, client discussions remain focused on future project activity as they seek to secure the quality capacity needed to execute their offshore developments. Our visibility into this pipeline of longer-term opportunities is supported by a growing list of named projects identified for potential final investment decision that extend beyond the historical planning horizon. This gives us confidence that activity will remain strong through the end of the decade.</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color w:val="000000"/>
          <w:sz w:val="20"/>
        </w:rPr>
        <w:t>Surface Technologies</w:t>
      </w:r>
      <w:r>
        <w:rPr>
          <w:rFonts w:ascii="Times New Roman" w:hAnsi="Times New Roman"/>
          <w:b w:val="false"/>
          <w:i w:val="false"/>
          <w:color w:val="000000"/>
          <w:sz w:val="22"/>
        </w:rPr>
        <w:t xml:space="preserve"> </w:t>
      </w:r>
      <w:r>
        <w:rPr>
          <w:rFonts w:ascii="Arial" w:hAnsi="Arial"/>
          <w:b w:val="false"/>
          <w:i w:val="false"/>
          <w:color w:val="000000"/>
          <w:sz w:val="20"/>
        </w:rPr>
        <w:t>– International markets comprise a significant portion of segment revenue, representing over 60 percent in 2024. We continue to benefit from our exposure to the North Sea, Asia Pacific, and the Middle East. TechnipFMC’s unique capabilities in these markets — which demand higher-specification equipment and local presence, including a services footprint — provide a platform for us to extend our leadership in these geographies.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North American activity is among the most susceptible to lower commodity prices given the relatively high cost of development in the region. For TechnipFMC, our surface activities on U.S. land are expected to represent just five percent of total Company revenue in 2025.</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Investment in international markets is less cyclical, as most activities are undertaken by national oil companies with long-term investment horizons and a lower cost of development. This is most evident in the Middle East, where we have made the investment needed to assist our customers in achieving their desired growth in production. This represents a differentiated growth opportunity for our company.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29</w:t>
      </w:r>
      <w:r>
        <w:rPr>
          <w:rFonts w:ascii="Times New Roman" w:hAnsi="Times New Roman"/>
          <w:b w:val="false"/>
          <w:i w:val="false"/>
          <w:color w:val="000000"/>
          <w:sz w:val="22"/>
        </w:rPr>
        <w:t xml:space="preserve"> </w:t>
      </w:r>
    </w:p>
    <w:p>
      <w:pPr>
        <w:spacing w:before="0" w:after="0"/>
        <w:ind w:left="120"/>
        <w:jc w:val="left"/>
      </w:pPr>
    </w:p>
    <w:bookmarkStart w:name="if5bce3d3882148cf91b6563d87cc4db5_151" w:id="1626"/>
    <w:p>
      <w:pPr>
        <w:spacing w:before="0" w:after="0"/>
        <w:ind w:left="120"/>
        <w:jc w:val="left"/>
      </w:pPr>
    </w:p>
    <w:bookmarkEnd w:id="1626"/>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CONSOLIDATED RESULTS OF OPERATIONS OF 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THREE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9"/>
        <w:gridCol w:w="6154"/>
        <w:gridCol w:w="581"/>
        <w:gridCol w:w="146"/>
        <w:gridCol w:w="1311"/>
        <w:gridCol w:w="40"/>
        <w:gridCol w:w="40"/>
        <w:gridCol w:w="40"/>
        <w:gridCol w:w="40"/>
        <w:gridCol w:w="146"/>
        <w:gridCol w:w="1311"/>
        <w:gridCol w:w="40"/>
        <w:gridCol w:w="40"/>
        <w:gridCol w:w="40"/>
        <w:gridCol w:w="40"/>
        <w:gridCol w:w="146"/>
        <w:gridCol w:w="1296"/>
        <w:gridCol w:w="40"/>
        <w:gridCol w:w="40"/>
        <w:gridCol w:w="40"/>
        <w:gridCol w:w="40"/>
        <w:gridCol w:w="130"/>
        <w:gridCol w:w="1294"/>
        <w:gridCol w:w="40"/>
      </w:tblGrid>
      <w:tr>
        <w:trPr>
          <w:trHeight w:val="30" w:hRule="atLeast"/>
        </w:trPr>
        <w:tc>
          <w:tcPr>
            <w:tcW w:w="579" w:type="dxa"/>
            <w:tcBorders/>
            <w:tcMar>
              <w:top w:w="15" w:type="dxa"/>
              <w:left w:w="15" w:type="dxa"/>
              <w:bottom w:w="15" w:type="dxa"/>
              <w:right w:w="15" w:type="dxa"/>
            </w:tcMar>
            <w:vAlign w:val="center"/>
          </w:tcPr>
          <w:p/>
        </w:tc>
        <w:tc>
          <w:tcPr>
            <w:tcW w:w="6154" w:type="dxa"/>
            <w:tcBorders/>
            <w:tcMar>
              <w:top w:w="15" w:type="dxa"/>
              <w:left w:w="15" w:type="dxa"/>
              <w:bottom w:w="15" w:type="dxa"/>
              <w:right w:w="15" w:type="dxa"/>
            </w:tcMar>
            <w:vAlign w:val="center"/>
          </w:tcPr>
          <w:p/>
        </w:tc>
        <w:tc>
          <w:tcPr>
            <w:tcW w:w="58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129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2,534.7 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2,325.6 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209.1 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Costs and expenses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sales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1,941.4 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1,824.7 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116.7 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Selling, general and administrative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173.2 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174.9 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Research and development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(7.2)</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Restructuring, impairment and other expenses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16.4 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14.0 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583.3 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costs and expenses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2,145.1 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2,017.2 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127.9 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6.3 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expense,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(10.7)</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(44.1)</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33.4 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75.7 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10.3 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296.2 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interest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(14.4)</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(21.4)</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374.8 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245.5 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129.3 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(benefit) for income taxes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106.5 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59.2 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47.3 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79.9 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268.3 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186.3 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82.0 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loss attributable to non-controlling interests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500.0 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attributable to TechnipFMC plc</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269.5 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186.5 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83.0 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44.5 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140" w:after="180"/>
        <w:ind w:left="120"/>
        <w:jc w:val="left"/>
      </w:pPr>
      <w:r>
        <w:rPr>
          <w:rFonts w:ascii="Times New Roman" w:hAnsi="Times New Roman"/>
          <w:b w:val="false"/>
          <w:i w:val="false"/>
          <w:color w:val="000000"/>
          <w:sz w:val="22"/>
        </w:rPr>
        <w:t xml:space="preserve"> </w:t>
      </w:r>
      <w:r>
        <w:rPr>
          <w:rFonts w:ascii="Arial" w:hAnsi="Arial"/>
          <w:b/>
          <w:i/>
          <w:color w:val="000000"/>
          <w:sz w:val="20"/>
        </w:rPr>
        <w:t>Revenue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Revenue increased by $209.1 million during the three months ended June 30, 2025, compared to the same period in 2024. The increase was primarily attributable to higher Subsea revenue which increased by $207.2 million. This growth was driven by the conversion of a higher backlog, up 11.1% as of December 31, 2024, compared to December 31, 2023, resulting in increased activity across iEPCI</w:t>
      </w:r>
      <w:r>
        <w:rPr>
          <w:rFonts w:ascii="Times New Roman" w:hAnsi="Times New Roman"/>
          <w:b w:val="false"/>
          <w:i w:val="false"/>
          <w:color w:val="000000"/>
          <w:sz w:val="22"/>
        </w:rPr>
        <w:t xml:space="preserve"> </w:t>
      </w:r>
      <w:r>
        <w:rPr>
          <w:rFonts w:ascii="Arial" w:hAnsi="Arial"/>
          <w:b w:val="false"/>
          <w:i w:val="false"/>
          <w:color w:val="000000"/>
          <w:sz w:val="13"/>
        </w:rPr>
        <w:t>TM</w:t>
      </w:r>
      <w:r>
        <w:rPr>
          <w:rFonts w:ascii="Times New Roman" w:hAnsi="Times New Roman"/>
          <w:b w:val="false"/>
          <w:i w:val="false"/>
          <w:color w:val="000000"/>
          <w:sz w:val="22"/>
        </w:rPr>
        <w:t xml:space="preserve"> </w:t>
      </w:r>
      <w:r>
        <w:rPr>
          <w:rFonts w:ascii="Arial" w:hAnsi="Arial"/>
          <w:b w:val="false"/>
          <w:i w:val="false"/>
          <w:color w:val="000000"/>
          <w:sz w:val="20"/>
        </w:rPr>
        <w:t>, flexible supply and services activities, particularly in Brazil, Israel, Norway and Nigeria. Surface Technologies revenue increased by $1.9 million for the same comparable period, reflecting a $19.0 million increase from higher activity in the Middle East, Europe and other international markets. This increase was largely offset by a $17.1 million decline in revenue due to lower activity in North America and Latin America.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Gross Profit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Gross profit (revenue less cost of sales) increased to $593.3 million during the three months ended June 30, 2025, compared to $500.9 million in the prior-year period. Subsea gross profit increased year-over-year by $87.6 million, of which $45.2 million was due to volume increase and $42.4 million due to favorable activity mix. Surface Technologies gross profit increased year-over-year by $5.9 million, primarily due to $15.2 million of gross profit growth from higher activity in the Middle East and Europe, partially offset by lower activity in North America and other international markets, which collectively decreased gross profit by $9.3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Selling, General and Administrative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Selling, general and administrative expense was largely unchanged year-over-year.</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Restructuring, impairment and other expenses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incurred $16.4 million of restructuring, impairment and other expenses during the three months ended June 30, 2025, that was primarily attributable to $18.2 million of business transformation initiatives within Surface Technologies, offset by $1.8 million in other credits.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30</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Other Expense, Net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income (expense), net, includes gains and losses associated with the remeasurement of net monetary assets and liabilities, gains and losses on sales of property, plant and equipment, and non-operating gains and losses. The net expense decreased $33.4 million year-over-year, primarily due to a $29.8 million reduction in foreign currency losses, resulting from the impact of hedge positions.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Income from Equity Affiliates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the three months ended June 30, 2025 and 2024, we recorded income from equity method affiliates of $10.3 million and $2.6 million, respectively. The year-over-year increase was driven by higher operational activity of our joint ventures.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Net Interest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Net interest expense of $14.4 million decreased by $7.0 million in the three months ended June 30, 2025, compared to the same period in 2024, primarily due to the net decrease in outstanding debt.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Provision for Income Taxes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provision for income taxes for the three months ended June 30, 2025 and 2024 was $106.5 million and $59.2 million, respectively, resulting in effective tax rates of 28.4% and 24.1%, respectively. The increase in the effective tax rate was largely due to the change in geographical profit mix year-over-year in addition to accruals for uncertain tax positions and taxes on undistributed earnings.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31</w:t>
      </w:r>
      <w:r>
        <w:rPr>
          <w:rFonts w:ascii="Times New Roman" w:hAnsi="Times New Roman"/>
          <w:b w:val="false"/>
          <w:i w:val="false"/>
          <w:color w:val="000000"/>
          <w:sz w:val="22"/>
        </w:rPr>
        <w:t xml:space="preserve"> </w:t>
      </w:r>
    </w:p>
    <w:p>
      <w:pPr>
        <w:spacing w:before="0" w:after="0"/>
        <w:ind w:left="120"/>
        <w:jc w:val="left"/>
      </w:pPr>
    </w:p>
    <w:bookmarkStart w:name="if5bce3d3882148cf91b6563d87cc4db5_154" w:id="1627"/>
    <w:p>
      <w:pPr>
        <w:spacing w:before="0" w:after="0"/>
        <w:ind w:left="120"/>
        <w:jc w:val="left"/>
      </w:pPr>
    </w:p>
    <w:bookmarkEnd w:id="1627"/>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CONSOLIDATED RESULTS OF OPERATIONS OF 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SIX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0" w:after="120"/>
        <w:ind w:left="120"/>
        <w:jc w:val="center"/>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79"/>
        <w:gridCol w:w="6148"/>
        <w:gridCol w:w="581"/>
        <w:gridCol w:w="146"/>
        <w:gridCol w:w="1311"/>
        <w:gridCol w:w="40"/>
        <w:gridCol w:w="40"/>
        <w:gridCol w:w="40"/>
        <w:gridCol w:w="40"/>
        <w:gridCol w:w="146"/>
        <w:gridCol w:w="1311"/>
        <w:gridCol w:w="40"/>
        <w:gridCol w:w="40"/>
        <w:gridCol w:w="40"/>
        <w:gridCol w:w="40"/>
        <w:gridCol w:w="146"/>
        <w:gridCol w:w="1296"/>
        <w:gridCol w:w="40"/>
        <w:gridCol w:w="40"/>
        <w:gridCol w:w="40"/>
        <w:gridCol w:w="40"/>
        <w:gridCol w:w="130"/>
        <w:gridCol w:w="1300"/>
        <w:gridCol w:w="40"/>
      </w:tblGrid>
      <w:tr>
        <w:trPr>
          <w:trHeight w:val="30" w:hRule="atLeast"/>
        </w:trPr>
        <w:tc>
          <w:tcPr>
            <w:tcW w:w="579" w:type="dxa"/>
            <w:tcBorders/>
            <w:tcMar>
              <w:top w:w="15" w:type="dxa"/>
              <w:left w:w="15" w:type="dxa"/>
              <w:bottom w:w="15" w:type="dxa"/>
              <w:right w:w="15" w:type="dxa"/>
            </w:tcMar>
            <w:vAlign w:val="center"/>
          </w:tcPr>
          <w:p/>
        </w:tc>
        <w:tc>
          <w:tcPr>
            <w:tcW w:w="6148" w:type="dxa"/>
            <w:tcBorders/>
            <w:tcMar>
              <w:top w:w="15" w:type="dxa"/>
              <w:left w:w="15" w:type="dxa"/>
              <w:bottom w:w="15" w:type="dxa"/>
              <w:right w:w="15" w:type="dxa"/>
            </w:tcMar>
            <w:vAlign w:val="center"/>
          </w:tcPr>
          <w:p/>
        </w:tc>
        <w:tc>
          <w:tcPr>
            <w:tcW w:w="58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0" w:type="dxa"/>
            <w:tcBorders/>
            <w:tcMar>
              <w:top w:w="15" w:type="dxa"/>
              <w:left w:w="15" w:type="dxa"/>
              <w:bottom w:w="15" w:type="dxa"/>
              <w:right w:w="15" w:type="dxa"/>
            </w:tcMar>
            <w:vAlign w:val="center"/>
          </w:tcPr>
          <w:p/>
        </w:tc>
        <w:tc>
          <w:tcPr>
            <w:tcW w:w="130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shd w:fill="ffffff"/>
            <w:tcMar>
              <w:top w:w="15" w:type="dxa"/>
              <w:left w:w="15" w:type="dxa"/>
              <w:bottom w:w="15" w:type="dxa"/>
              <w:right w:w="15" w:type="dxa"/>
            </w:tcMar>
            <w:vAlign w:val="center"/>
          </w:tcPr>
          <w:p/>
        </w:tc>
        <w:tc>
          <w:tcPr>
            <w:tcW w:w="0" w:type="auto"/>
            <w:gridSpan w:val="9"/>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9"/>
            <w:tcBorders/>
            <w:shd w:fill="ffffff"/>
            <w:tcMar>
              <w:top w:w="15" w:type="dxa"/>
              <w:left w:w="15" w:type="dxa"/>
              <w:bottom w:w="15" w:type="dxa"/>
              <w:right w:w="15" w:type="dxa"/>
            </w:tcMar>
            <w:vAlign w:val="center"/>
          </w:tcPr>
          <w:p/>
        </w:tc>
      </w:tr>
      <w:tr>
        <w:trPr>
          <w:trHeight w:val="330" w:hRule="atLeast"/>
        </w:trPr>
        <w:tc>
          <w:tcPr>
            <w:tcW w:w="0" w:type="auto"/>
            <w:gridSpan w:val="3"/>
            <w:tcBorders/>
            <w:shd w:fill="ffffff"/>
            <w:tcMar>
              <w:top w:w="15" w:type="dxa"/>
              <w:left w:w="15" w:type="dxa"/>
              <w:bottom w:w="15" w:type="dxa"/>
              <w:right w:w="15" w:type="dxa"/>
            </w:tcMar>
            <w:vAlign w:val="center"/>
          </w:tcPr>
          <w:p/>
        </w:tc>
        <w:tc>
          <w:tcPr>
            <w:tcW w:w="0" w:type="auto"/>
            <w:gridSpan w:val="9"/>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9"/>
            <w:tcBorders/>
            <w:shd w:fill="ffffff"/>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4,768.3 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4,367.6 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400.7 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240" w:hRule="atLeast"/>
        </w:trPr>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color w:val="000000"/>
                <w:sz w:val="16"/>
              </w:rPr>
              <w:t>Costs and expenses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Cost of sales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3,710.1 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3,525.3 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184.8 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Selling, general and administrative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357.4 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334.7 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Research and development expense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33.2 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0.4 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Restructuring, impairment and other expenses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7.4 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137.8 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costs and expenses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4,118.3 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3,900.2 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218.1 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5.6 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420" w:hRule="atLeast"/>
        </w:trPr>
        <w:tc>
          <w:tcPr>
            <w:tcW w:w="0" w:type="auto"/>
            <w:gridSpan w:val="3"/>
            <w:tcBorders/>
            <w:shd w:fill="ffff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Other expense, net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(40.3)</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(56.4)</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16.1 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15"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Gain on disposal of Measurement Solutions business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75.2 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(75.2)</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(100.0)</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Income from equity affiliates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15.7 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392.5 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interest expense</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(24.3)</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(34.1)</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Income before income taxes</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605.1 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456.1 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149.0 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32.7 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Provision for income taxes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193.5 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108.9 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84.6 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77.7 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w:t>
            </w:r>
            <w:r>
              <w:rPr>
                <w:rFonts w:ascii="Times New Roman" w:hAnsi="Times New Roman"/>
                <w:b w:val="false"/>
                <w:i w:val="false"/>
                <w:color w:val="000000"/>
                <w:sz w:val="22"/>
              </w:rPr>
              <w:t xml:space="preserve"> </w:t>
            </w: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411.6 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347.2 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64.4 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18.5 </w:t>
            </w:r>
            <w:r>
              <w:rPr>
                <w:rFonts w:ascii="Times New Roman" w:hAnsi="Times New Roman"/>
                <w:b w:val="false"/>
                <w:i w:val="false"/>
                <w:color w:val="000000"/>
                <w:sz w:val="22"/>
              </w:rPr>
              <w:t xml:space="preserve"> </w:t>
            </w:r>
          </w:p>
        </w:tc>
        <w:tc>
          <w:tcPr>
            <w:tcW w:w="40" w:type="dxa"/>
            <w:tcBorders>
              <w:top w:val="single" w:color="000000" w:sz="11"/>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84"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Net (income) attributable to non-controlling interests</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(0.1)</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(3.6)</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97.2 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income attributable to TechnipFMC plc</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411.5 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343.6 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67.9 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19.8 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center"/>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Revenue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Revenue increased by $400.7 million during the six months ended June 30, 2025, compared to the prior year period. The increase was primarily attributable to higher Subsea revenue which increased by $408.6 million. This growth was driven by the conversion of a backlog, up 11.1% higher as of December 31, 2024, when compared to December 31, 2023, resulting in increased revenue activity across iEPCI™, flexible supply and services activities, particularly in Norway, Indonesia, Israel, Brazil and Nigeria. Surface Technologies revenue decreased by $7.9 million for the same comparable period, reflecting a $42.0 million decrease from lower activity in North America, Europe, Latin America, Africa and the sale of MSB. This decrease was partially offset by a $34.1 million increase in revenue from higher activity in the Middle East.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Gross Profit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Gross profit (revenue less cost of sales) increased to $1,058.2 million during the six months ended June 30, 2025 compared to $842.3 million in the prior-year period. Subsea gross profit increased year-over-year by $209.0 million, of which $128.4 million was due to favorable activity mix and $80.6 million due to volume increase. Surface Technologies gross profit increased by $5.8 million compared to the same period in 2024. The increase was primarily due to a $26.8 million improvement in the Middle East and Europe, partially offset by lower activity in North America, the other international markets and the sale of MSB during the six months ended June 30, 2024, which collectively decreased gross profit by $21.0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Selling, General and Administrative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Selling, general and administrative expense increased by $22.7 million during the six months ended June 30, 2025, compared to the same period in 2024, primarily driven by higher employee costs in support of increased business activities.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32</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Restructuring, impairment and other expenses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incurred $17.6 million of restructuring, impairment and other expenses during the six months ended June 30, 2025, that was primarily attributable to $16.4 million of business transformation initiatives within Surface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Other Expense, Net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Other income (expense), net, includes gains and losses associated with the remeasurement of net monetary assets and liabilities, gains and losses on sales of property, plant and equipment, and non-operating gains and losses. The net decrease in expense of $16.1 million was driven by a decrease in foreign currency loss of $22.2 million, which was partially offset by an increase in miscellaneous other non-operating charges.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Gain on disposal of Measurement Solutions business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the three months ended March 31, 2024, we recognized a gain of $75.2 million from the sale of equity interests and assets of MSB.</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Income from Equity Affiliates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the six months ended June 30, 2025 and 2024, we recorded income from equity method affiliates of $19.7 million and $4.0 million, respectively, driven by an increase in operational activity of our joint ventures.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Net Interest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Net interest expense of $24.3 million decreased by $9.8 million in the six months ended June 30, 2025, compared to the same period in 2024, primarily due to the reduction in outstanding debt.</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Provision for Income Taxes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provision for income taxes for the six months ended June 30, 2025 and 2024 was $193.5 million and $108.9 million, respectively, resulting in effective tax rates of 32.0% and 23.9%, respectively. The increase in the effective tax rate was largely due to the change in geographical profit mix year-over-year in addition to accruals for uncertain tax positions and taxes on undistributed earnings.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57" w:id="1628"/>
    <w:p>
      <w:pPr>
        <w:spacing w:before="0" w:after="0"/>
        <w:ind w:left="120"/>
        <w:jc w:val="left"/>
      </w:pPr>
    </w:p>
    <w:bookmarkEnd w:id="1628"/>
    <w:p>
      <w:pPr>
        <w:spacing w:before="0" w:after="0"/>
        <w:ind w:left="120"/>
        <w:jc w:val="left"/>
      </w:pPr>
    </w:p>
    <w:p>
      <w:pPr>
        <w:spacing w:before="18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SEGMENT RESULTS OF OPERATIONS OF 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THREE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Subsea</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6159"/>
        <w:gridCol w:w="394"/>
        <w:gridCol w:w="146"/>
        <w:gridCol w:w="1312"/>
        <w:gridCol w:w="217"/>
        <w:gridCol w:w="40"/>
        <w:gridCol w:w="40"/>
        <w:gridCol w:w="40"/>
        <w:gridCol w:w="146"/>
        <w:gridCol w:w="1312"/>
        <w:gridCol w:w="217"/>
        <w:gridCol w:w="40"/>
        <w:gridCol w:w="40"/>
        <w:gridCol w:w="40"/>
        <w:gridCol w:w="146"/>
        <w:gridCol w:w="1298"/>
        <w:gridCol w:w="40"/>
        <w:gridCol w:w="40"/>
        <w:gridCol w:w="40"/>
        <w:gridCol w:w="40"/>
        <w:gridCol w:w="128"/>
        <w:gridCol w:w="1287"/>
        <w:gridCol w:w="40"/>
      </w:tblGrid>
      <w:tr>
        <w:trPr>
          <w:trHeight w:val="30" w:hRule="atLeast"/>
        </w:trPr>
        <w:tc>
          <w:tcPr>
            <w:tcW w:w="392" w:type="dxa"/>
            <w:tcBorders/>
            <w:tcMar>
              <w:top w:w="15" w:type="dxa"/>
              <w:left w:w="15" w:type="dxa"/>
              <w:bottom w:w="15" w:type="dxa"/>
              <w:right w:w="15" w:type="dxa"/>
            </w:tcMar>
            <w:vAlign w:val="center"/>
          </w:tcPr>
          <w:p/>
        </w:tc>
        <w:tc>
          <w:tcPr>
            <w:tcW w:w="6159"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128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 and pts.)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2,216.3 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2,009.1 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8"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207.2 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380.3 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277.7 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8"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102.6 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36.9 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17.2 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13.8 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 pts.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revenue increased by $207.2 million during the three months ended June 30, 2025, compared to the same period in 2024, driven by increased backlog in 2024 related to higher energy demand and upstream spending, further aided by our unique commercial offerings. $170.2 million of the increase in revenue was from Brazil, $72.0 million from Israel, $53.8 million from Norway and $53.6 million from Nigeria, driven by higher iEPCI™, flexible supply and services activities. The rest of the world contributed a net decrease of $142.4 million primarily due to completion of projects in the United States of $143.4 million.</w:t>
      </w: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33</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operating profit for the three months ended June 30, 2025 increased by $102.6 million compared to the prior-year period. This was largely due to favorable activity mix, which contributed $42.4 million, and higher volume which added $45.2 million. Operating expenses decreased by $15.0 million, driven by greater cost efficiency relative to the prior year.</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Surface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6180"/>
        <w:gridCol w:w="394"/>
        <w:gridCol w:w="146"/>
        <w:gridCol w:w="1301"/>
        <w:gridCol w:w="217"/>
        <w:gridCol w:w="40"/>
        <w:gridCol w:w="40"/>
        <w:gridCol w:w="40"/>
        <w:gridCol w:w="146"/>
        <w:gridCol w:w="1301"/>
        <w:gridCol w:w="217"/>
        <w:gridCol w:w="40"/>
        <w:gridCol w:w="40"/>
        <w:gridCol w:w="40"/>
        <w:gridCol w:w="146"/>
        <w:gridCol w:w="1289"/>
        <w:gridCol w:w="40"/>
        <w:gridCol w:w="40"/>
        <w:gridCol w:w="40"/>
        <w:gridCol w:w="40"/>
        <w:gridCol w:w="129"/>
        <w:gridCol w:w="1296"/>
        <w:gridCol w:w="40"/>
      </w:tblGrid>
      <w:tr>
        <w:trPr>
          <w:trHeight w:val="30" w:hRule="atLeast"/>
        </w:trPr>
        <w:tc>
          <w:tcPr>
            <w:tcW w:w="392" w:type="dxa"/>
            <w:tcBorders/>
            <w:tcMar>
              <w:top w:w="15" w:type="dxa"/>
              <w:left w:w="15" w:type="dxa"/>
              <w:bottom w:w="15" w:type="dxa"/>
              <w:right w:w="15" w:type="dxa"/>
            </w:tcMar>
            <w:vAlign w:val="center"/>
          </w:tcPr>
          <w:p/>
        </w:tc>
        <w:tc>
          <w:tcPr>
            <w:tcW w:w="6180"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1"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1"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8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29" w:type="dxa"/>
            <w:tcBorders/>
            <w:tcMar>
              <w:top w:w="15" w:type="dxa"/>
              <w:left w:w="15" w:type="dxa"/>
              <w:bottom w:w="15" w:type="dxa"/>
              <w:right w:w="15" w:type="dxa"/>
            </w:tcMar>
            <w:vAlign w:val="center"/>
          </w:tcPr>
          <w:p/>
        </w:tc>
        <w:tc>
          <w:tcPr>
            <w:tcW w:w="129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 and pts.)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318.4 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316.5 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0.6 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23.4 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1"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8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(7.2)</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(23.5)</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24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7.3 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9.7 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(2.4) pts.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revenue increased by $1.9 million for the same comparable period, reflecting a $19.0 million increase from higher activity in the Middle East, Europe and other international markets. This increase was largely offset by a $17.1 million decline in revenue due to lower activity in North America and Latin America.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operating profit decreased by $7.2 million compared to the prior-year period, primarily driven by $15.5 million of higher restructuring and impairment costs incurred in the second quarter of 2025. Excluding this item, operating profit increased by $8.3 million compared to the same period in 2024 primarily due to improved profitability through growth and enhanced operational efficiency in the Middle East and Europe.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Corporate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3"/>
        <w:gridCol w:w="6473"/>
        <w:gridCol w:w="355"/>
        <w:gridCol w:w="146"/>
        <w:gridCol w:w="1336"/>
        <w:gridCol w:w="40"/>
        <w:gridCol w:w="40"/>
        <w:gridCol w:w="40"/>
        <w:gridCol w:w="40"/>
        <w:gridCol w:w="146"/>
        <w:gridCol w:w="1336"/>
        <w:gridCol w:w="40"/>
        <w:gridCol w:w="40"/>
        <w:gridCol w:w="40"/>
        <w:gridCol w:w="40"/>
        <w:gridCol w:w="146"/>
        <w:gridCol w:w="1333"/>
        <w:gridCol w:w="40"/>
        <w:gridCol w:w="40"/>
        <w:gridCol w:w="40"/>
        <w:gridCol w:w="40"/>
        <w:gridCol w:w="134"/>
        <w:gridCol w:w="1336"/>
        <w:gridCol w:w="40"/>
      </w:tblGrid>
      <w:tr>
        <w:trPr>
          <w:trHeight w:val="30" w:hRule="atLeast"/>
        </w:trPr>
        <w:tc>
          <w:tcPr>
            <w:tcW w:w="353" w:type="dxa"/>
            <w:tcBorders/>
            <w:tcMar>
              <w:top w:w="15" w:type="dxa"/>
              <w:left w:w="15" w:type="dxa"/>
              <w:bottom w:w="15" w:type="dxa"/>
              <w:right w:w="15" w:type="dxa"/>
            </w:tcMar>
            <w:vAlign w:val="center"/>
          </w:tcPr>
          <w:p/>
        </w:tc>
        <w:tc>
          <w:tcPr>
            <w:tcW w:w="6473" w:type="dxa"/>
            <w:tcBorders/>
            <w:tcMar>
              <w:top w:w="15" w:type="dxa"/>
              <w:left w:w="15" w:type="dxa"/>
              <w:bottom w:w="15" w:type="dxa"/>
              <w:right w:w="15" w:type="dxa"/>
            </w:tcMar>
            <w:vAlign w:val="center"/>
          </w:tcPr>
          <w:p/>
        </w:tc>
        <w:tc>
          <w:tcPr>
            <w:tcW w:w="355"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4" w:type="dxa"/>
            <w:tcBorders/>
            <w:tcMar>
              <w:top w:w="15" w:type="dxa"/>
              <w:left w:w="15" w:type="dxa"/>
              <w:bottom w:w="15" w:type="dxa"/>
              <w:right w:w="15" w:type="dxa"/>
            </w:tcMar>
            <w:vAlign w:val="center"/>
          </w:tcPr>
          <w:p/>
        </w:tc>
        <w:tc>
          <w:tcPr>
            <w:tcW w:w="133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Corporate expense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(26.6)</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6"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(23.7)</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(2.9)</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(12.2)</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Corporate expense increased by $2.9 million, compared to the prior-year period, and was related to costs associated with our support functions, such as corporate staff expenses, share-based compensation expense, and other employee benefits.</w:t>
      </w:r>
      <w:r>
        <w:rPr>
          <w:rFonts w:ascii="Times New Roman" w:hAnsi="Times New Roman"/>
          <w:b w:val="false"/>
          <w:i w:val="false"/>
          <w:color w:val="000000"/>
          <w:sz w:val="22"/>
        </w:rPr>
        <w:t xml:space="preserve"> </w:t>
      </w:r>
    </w:p>
    <w:p>
      <w:pPr>
        <w:spacing w:before="0" w:after="0"/>
        <w:ind w:left="120"/>
        <w:jc w:val="left"/>
      </w:pPr>
    </w:p>
    <w:p>
      <w:pPr>
        <w:spacing w:before="18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60" w:id="1629"/>
    <w:p>
      <w:pPr>
        <w:spacing w:before="0" w:after="0"/>
        <w:ind w:left="120"/>
        <w:jc w:val="left"/>
      </w:pPr>
    </w:p>
    <w:bookmarkEnd w:id="1629"/>
    <w:p>
      <w:pPr>
        <w:spacing w:before="0" w:after="0"/>
        <w:ind w:left="120"/>
        <w:jc w:val="left"/>
      </w:pPr>
    </w:p>
    <w:p>
      <w:pPr>
        <w:spacing w:before="24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SEGMENT RESULTS OF OPERATIONS OF 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SIX MONTHS ENDED JUNE 30, 2025 AND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Subsea</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6170"/>
        <w:gridCol w:w="394"/>
        <w:gridCol w:w="146"/>
        <w:gridCol w:w="1314"/>
        <w:gridCol w:w="217"/>
        <w:gridCol w:w="40"/>
        <w:gridCol w:w="40"/>
        <w:gridCol w:w="40"/>
        <w:gridCol w:w="146"/>
        <w:gridCol w:w="1314"/>
        <w:gridCol w:w="217"/>
        <w:gridCol w:w="40"/>
        <w:gridCol w:w="40"/>
        <w:gridCol w:w="40"/>
        <w:gridCol w:w="146"/>
        <w:gridCol w:w="1300"/>
        <w:gridCol w:w="40"/>
        <w:gridCol w:w="40"/>
        <w:gridCol w:w="40"/>
        <w:gridCol w:w="40"/>
        <w:gridCol w:w="129"/>
        <w:gridCol w:w="1289"/>
        <w:gridCol w:w="40"/>
      </w:tblGrid>
      <w:tr>
        <w:trPr>
          <w:trHeight w:val="30" w:hRule="atLeast"/>
        </w:trPr>
        <w:tc>
          <w:tcPr>
            <w:tcW w:w="392" w:type="dxa"/>
            <w:tcBorders/>
            <w:tcMar>
              <w:top w:w="15" w:type="dxa"/>
              <w:left w:w="15" w:type="dxa"/>
              <w:bottom w:w="15" w:type="dxa"/>
              <w:right w:w="15" w:type="dxa"/>
            </w:tcMar>
            <w:vAlign w:val="center"/>
          </w:tcPr>
          <w:p/>
        </w:tc>
        <w:tc>
          <w:tcPr>
            <w:tcW w:w="6170"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4"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14"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29" w:type="dxa"/>
            <w:tcBorders/>
            <w:tcMar>
              <w:top w:w="15" w:type="dxa"/>
              <w:left w:w="15" w:type="dxa"/>
              <w:bottom w:w="15" w:type="dxa"/>
              <w:right w:w="15" w:type="dxa"/>
            </w:tcMar>
            <w:vAlign w:val="center"/>
          </w:tcPr>
          <w:p/>
        </w:tc>
        <w:tc>
          <w:tcPr>
            <w:tcW w:w="128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40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 and pts.)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4,152.5 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4"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3,743.9 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408.6 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10.9 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628.2 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14"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434.3 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193.9 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44.6 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15.1 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 pts.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revenue increased by $408.6 million during the six months ended June 30, 2025, compared to the same period in 2024, driven by increased backlog during 2024 related to higher energy demand and upstream spending, further aided by our unique commercial offerings. $124.7 million of the increase in revenue was from Norway, $124.3 million from Indonesia, $108.7 million from Israel, $97.5 million from Brazil and $88.7 million from Nigeria, driven by higher iEPCI™, flexible supply and services activities. The rest of the world contributed a net decrease of $133.2 million primarily due to completion of projects in the United States of $210.2 million.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34</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Subsea operating profit for the six months ended June 30, 2025 increased by $193.9 million compared to the prior-year period. This was largely due to favorable activity mix, which contributed $128.4 million, and higher volume, which added $80.6 million. These improvements were partially offset by a $15.1 million increase in operating expense related to higher activity.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Surface Technologies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92"/>
        <w:gridCol w:w="6182"/>
        <w:gridCol w:w="394"/>
        <w:gridCol w:w="146"/>
        <w:gridCol w:w="1302"/>
        <w:gridCol w:w="217"/>
        <w:gridCol w:w="40"/>
        <w:gridCol w:w="40"/>
        <w:gridCol w:w="40"/>
        <w:gridCol w:w="146"/>
        <w:gridCol w:w="1302"/>
        <w:gridCol w:w="217"/>
        <w:gridCol w:w="40"/>
        <w:gridCol w:w="40"/>
        <w:gridCol w:w="40"/>
        <w:gridCol w:w="146"/>
        <w:gridCol w:w="1299"/>
        <w:gridCol w:w="40"/>
        <w:gridCol w:w="40"/>
        <w:gridCol w:w="40"/>
        <w:gridCol w:w="40"/>
        <w:gridCol w:w="134"/>
        <w:gridCol w:w="1297"/>
        <w:gridCol w:w="40"/>
      </w:tblGrid>
      <w:tr>
        <w:trPr>
          <w:trHeight w:val="30" w:hRule="atLeast"/>
        </w:trPr>
        <w:tc>
          <w:tcPr>
            <w:tcW w:w="392" w:type="dxa"/>
            <w:tcBorders/>
            <w:tcMar>
              <w:top w:w="15" w:type="dxa"/>
              <w:left w:w="15" w:type="dxa"/>
              <w:bottom w:w="15" w:type="dxa"/>
              <w:right w:w="15" w:type="dxa"/>
            </w:tcMar>
            <w:vAlign w:val="center"/>
          </w:tcPr>
          <w:p/>
        </w:tc>
        <w:tc>
          <w:tcPr>
            <w:tcW w:w="6182" w:type="dxa"/>
            <w:tcBorders/>
            <w:tcMar>
              <w:top w:w="15" w:type="dxa"/>
              <w:left w:w="15" w:type="dxa"/>
              <w:bottom w:w="15" w:type="dxa"/>
              <w:right w:w="15" w:type="dxa"/>
            </w:tcMar>
            <w:vAlign w:val="center"/>
          </w:tcPr>
          <w:p/>
        </w:tc>
        <w:tc>
          <w:tcPr>
            <w:tcW w:w="394"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02" w:type="dxa"/>
            <w:tcBorders/>
            <w:tcMar>
              <w:top w:w="15" w:type="dxa"/>
              <w:left w:w="15" w:type="dxa"/>
              <w:bottom w:w="15" w:type="dxa"/>
              <w:right w:w="15" w:type="dxa"/>
            </w:tcMar>
            <w:vAlign w:val="center"/>
          </w:tcPr>
          <w:p/>
        </w:tc>
        <w:tc>
          <w:tcPr>
            <w:tcW w:w="21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299"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4" w:type="dxa"/>
            <w:tcBorders/>
            <w:tcMar>
              <w:top w:w="15" w:type="dxa"/>
              <w:left w:w="15" w:type="dxa"/>
              <w:bottom w:w="15" w:type="dxa"/>
              <w:right w:w="15" w:type="dxa"/>
            </w:tcMar>
            <w:vAlign w:val="center"/>
          </w:tcPr>
          <w:p/>
        </w:tc>
        <w:tc>
          <w:tcPr>
            <w:tcW w:w="129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 and pts.)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Revenue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615.8 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2"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623.7 </w:t>
            </w:r>
            <w:r>
              <w:rPr>
                <w:rFonts w:ascii="Times New Roman" w:hAnsi="Times New Roman"/>
                <w:b w:val="false"/>
                <w:i w:val="false"/>
                <w:color w:val="000000"/>
                <w:sz w:val="22"/>
              </w:rPr>
              <w:t xml:space="preserve"> </w:t>
            </w:r>
          </w:p>
        </w:tc>
        <w:tc>
          <w:tcPr>
            <w:tcW w:w="217"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9"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(7.9)</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w:t>
            </w:r>
            <w:r>
              <w:rPr>
                <w:rFonts w:ascii="Times New Roman" w:hAnsi="Times New Roman"/>
                <w:b w:val="false"/>
                <w:i w:val="false"/>
                <w:color w:val="000000"/>
                <w:sz w:val="22"/>
              </w:rPr>
              <w:t xml:space="preserve"> </w:t>
            </w: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53.6 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02"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134.0 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46"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299"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(80.4)</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(60.0)</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270" w:hRule="atLeast"/>
        </w:trPr>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15" w:type="dxa"/>
              <w:left w:w="15" w:type="dxa"/>
              <w:bottom w:w="15" w:type="dxa"/>
              <w:right w:w="15" w:type="dxa"/>
            </w:tcMar>
            <w:vAlign w:val="center"/>
          </w:tcP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Operating profit as a percentage of revenue</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8.7 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21.5 </w:t>
            </w:r>
            <w:r>
              <w:rPr>
                <w:rFonts w:ascii="Times New Roman" w:hAnsi="Times New Roman"/>
                <w:b w:val="false"/>
                <w:i w:val="false"/>
                <w:color w:val="000000"/>
                <w:sz w:val="22"/>
              </w:rPr>
              <w:t xml:space="preserve"> </w:t>
            </w:r>
          </w:p>
        </w:tc>
        <w:tc>
          <w:tcPr>
            <w:tcW w:w="217"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(12.8) pts.</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revenue decreased by $7.9 million for the same comparable period, reflecting a $42.0 million decrease from lower activity in North America, Europe, Latin America, Africa and the sale of MSB. This decrease was partially offset by a $34.1 million increase in revenue from higher activity in the Middle East.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Surface Technologies operating profit decreased by $80.4 million, compared to the same period in 2024, and was primarily driven by the $75.2 million gain on the sale of MSB during the first quarter of 2024 and $16.4 million higher restructuring and impairment costs recorded during the six months ended June 30, 2025. Excluding these exceptional items, operating profit increased by $11.2 million compared to the same period in 2024. This increase was primarily due to $23.3 million of improved profitability from the Middle East and Europe, partially offset by lower activity in North America and the other international markets, which collectively resulted in a decrease of $12.1 million of operating profit.</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Corporate Expense</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53"/>
        <w:gridCol w:w="6478"/>
        <w:gridCol w:w="355"/>
        <w:gridCol w:w="146"/>
        <w:gridCol w:w="1337"/>
        <w:gridCol w:w="40"/>
        <w:gridCol w:w="40"/>
        <w:gridCol w:w="40"/>
        <w:gridCol w:w="40"/>
        <w:gridCol w:w="146"/>
        <w:gridCol w:w="1337"/>
        <w:gridCol w:w="40"/>
        <w:gridCol w:w="40"/>
        <w:gridCol w:w="40"/>
        <w:gridCol w:w="40"/>
        <w:gridCol w:w="146"/>
        <w:gridCol w:w="1331"/>
        <w:gridCol w:w="40"/>
        <w:gridCol w:w="40"/>
        <w:gridCol w:w="40"/>
        <w:gridCol w:w="40"/>
        <w:gridCol w:w="134"/>
        <w:gridCol w:w="1331"/>
        <w:gridCol w:w="40"/>
      </w:tblGrid>
      <w:tr>
        <w:trPr>
          <w:trHeight w:val="30" w:hRule="atLeast"/>
        </w:trPr>
        <w:tc>
          <w:tcPr>
            <w:tcW w:w="353" w:type="dxa"/>
            <w:tcBorders/>
            <w:tcMar>
              <w:top w:w="15" w:type="dxa"/>
              <w:left w:w="15" w:type="dxa"/>
              <w:bottom w:w="15" w:type="dxa"/>
              <w:right w:w="15" w:type="dxa"/>
            </w:tcMar>
            <w:vAlign w:val="center"/>
          </w:tcPr>
          <w:p/>
        </w:tc>
        <w:tc>
          <w:tcPr>
            <w:tcW w:w="6478" w:type="dxa"/>
            <w:tcBorders/>
            <w:tcMar>
              <w:top w:w="15" w:type="dxa"/>
              <w:left w:w="15" w:type="dxa"/>
              <w:bottom w:w="15" w:type="dxa"/>
              <w:right w:w="15" w:type="dxa"/>
            </w:tcMar>
            <w:vAlign w:val="center"/>
          </w:tcPr>
          <w:p/>
        </w:tc>
        <w:tc>
          <w:tcPr>
            <w:tcW w:w="355"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33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4" w:type="dxa"/>
            <w:tcBorders/>
            <w:tcMar>
              <w:top w:w="15" w:type="dxa"/>
              <w:left w:w="15" w:type="dxa"/>
              <w:bottom w:w="15" w:type="dxa"/>
              <w:right w:w="15" w:type="dxa"/>
            </w:tcMar>
            <w:vAlign w:val="center"/>
          </w:tcPr>
          <w:p/>
        </w:tc>
        <w:tc>
          <w:tcPr>
            <w:tcW w:w="133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15" w:type="dxa"/>
              <w:left w:w="15" w:type="dxa"/>
              <w:bottom w:w="15" w:type="dxa"/>
              <w:right w:w="15" w:type="dxa"/>
            </w:tcMar>
            <w:vAlign w:val="center"/>
          </w:tcPr>
          <w:p/>
        </w:tc>
      </w:tr>
      <w:tr>
        <w:trPr>
          <w:trHeight w:val="465"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June 30,</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Change</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 except %)</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Corporate expense</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(52.4)</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(55.9)</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3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3.5 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Corporate expense decreased by $3.5 million, compared to the prior-year period, primarily driven by $5.2 million of transaction costs associated with the sale of MSB during the six months ended June 30,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66" w:id="1630"/>
    <w:p>
      <w:pPr>
        <w:spacing w:before="0" w:after="0"/>
        <w:ind w:left="120"/>
        <w:jc w:val="left"/>
      </w:pPr>
    </w:p>
    <w:bookmarkEnd w:id="1630"/>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INBOUND ORDERS AND ORDER BACKLOG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Inbound orders -</w:t>
      </w:r>
      <w:r>
        <w:rPr>
          <w:rFonts w:ascii="Times New Roman" w:hAnsi="Times New Roman"/>
          <w:b w:val="false"/>
          <w:i w:val="false"/>
          <w:color w:val="000000"/>
          <w:sz w:val="22"/>
        </w:rPr>
        <w:t xml:space="preserve"> </w:t>
      </w:r>
      <w:r>
        <w:rPr>
          <w:rFonts w:ascii="Arial" w:hAnsi="Arial"/>
          <w:b w:val="false"/>
          <w:i w:val="false"/>
          <w:color w:val="000000"/>
          <w:sz w:val="20"/>
        </w:rPr>
        <w:t>Inbound orders represent the estimated sales value of confirmed customer orders received during the reporting period.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5350"/>
        <w:gridCol w:w="441"/>
        <w:gridCol w:w="146"/>
        <w:gridCol w:w="1575"/>
        <w:gridCol w:w="40"/>
        <w:gridCol w:w="40"/>
        <w:gridCol w:w="40"/>
        <w:gridCol w:w="40"/>
        <w:gridCol w:w="146"/>
        <w:gridCol w:w="1575"/>
        <w:gridCol w:w="40"/>
        <w:gridCol w:w="40"/>
        <w:gridCol w:w="40"/>
        <w:gridCol w:w="40"/>
        <w:gridCol w:w="146"/>
        <w:gridCol w:w="1575"/>
        <w:gridCol w:w="40"/>
        <w:gridCol w:w="40"/>
        <w:gridCol w:w="40"/>
        <w:gridCol w:w="40"/>
        <w:gridCol w:w="146"/>
        <w:gridCol w:w="1575"/>
        <w:gridCol w:w="40"/>
      </w:tblGrid>
      <w:tr>
        <w:trPr>
          <w:trHeight w:val="30" w:hRule="atLeast"/>
        </w:trPr>
        <w:tc>
          <w:tcPr>
            <w:tcW w:w="439" w:type="dxa"/>
            <w:tcBorders/>
            <w:tcMar>
              <w:top w:w="15" w:type="dxa"/>
              <w:left w:w="15" w:type="dxa"/>
              <w:bottom w:w="15" w:type="dxa"/>
              <w:right w:w="15" w:type="dxa"/>
            </w:tcMar>
            <w:vAlign w:val="center"/>
          </w:tcPr>
          <w:p/>
        </w:tc>
        <w:tc>
          <w:tcPr>
            <w:tcW w:w="5350"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7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7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7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57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21"/>
            <w:tcBorders>
              <w:bottom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Inbound Orders</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Three Months Ended June 30,</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9"/>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Six Months Ended June 30,</w:t>
            </w:r>
            <w:r>
              <w:rPr>
                <w:rFonts w:ascii="Times New Roman" w:hAnsi="Times New Roman"/>
                <w:b w:val="false"/>
                <w:i w:val="false"/>
                <w:color w:val="000000"/>
                <w:sz w:val="22"/>
              </w:rPr>
              <w:t xml:space="preserve"> </w:t>
            </w:r>
          </w:p>
        </w:tc>
      </w:tr>
      <w:tr>
        <w:trPr>
          <w:trHeight w:val="34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2025</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2024</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2,553.1 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2,838.0 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5,338.6 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5,241.8 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277.9 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254.2 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581.5 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624.8 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inbound orders</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2,831.0 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3,092.2 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5,920.1 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57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5,866.6 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35</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Order backlog -</w:t>
      </w:r>
      <w:r>
        <w:rPr>
          <w:rFonts w:ascii="Times New Roman" w:hAnsi="Times New Roman"/>
          <w:b w:val="false"/>
          <w:i w:val="false"/>
          <w:color w:val="000000"/>
          <w:sz w:val="22"/>
        </w:rPr>
        <w:t xml:space="preserve"> </w:t>
      </w:r>
      <w:r>
        <w:rPr>
          <w:rFonts w:ascii="Arial" w:hAnsi="Arial"/>
          <w:b w:val="false"/>
          <w:i w:val="false"/>
          <w:color w:val="000000"/>
          <w:sz w:val="20"/>
        </w:rPr>
        <w:t xml:space="preserve">Order backlog is calculated as the estimated sales value of unfilled, confirmed customer orders at the reporting date. Backlog reflects the transaction price for products and services for which we have a material right, but work has not been performed. See </w:t>
      </w:r>
      <w:hyperlink w:anchor="if5bce3d3882148cf91b6563d87cc4db5_52">
        <w:r>
          <w:rPr>
            <w:rFonts w:ascii="Arial" w:hAnsi="Arial"/>
            <w:b w:val="false"/>
            <w:i w:val="false"/>
            <w:color w:val="000000"/>
            <w:sz w:val="20"/>
          </w:rPr>
          <w:t>Note 3</w:t>
        </w:r>
      </w:hyperlink>
      <w:r>
        <w:rPr>
          <w:rFonts w:ascii="Arial" w:hAnsi="Arial"/>
          <w:b w:val="false"/>
          <w:i w:val="false"/>
          <w:color w:val="000000"/>
          <w:sz w:val="20"/>
        </w:rPr>
        <w:t xml:space="preserve">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9313"/>
        <w:gridCol w:w="441"/>
        <w:gridCol w:w="146"/>
        <w:gridCol w:w="1467"/>
        <w:gridCol w:w="40"/>
        <w:gridCol w:w="40"/>
        <w:gridCol w:w="40"/>
        <w:gridCol w:w="40"/>
        <w:gridCol w:w="155"/>
        <w:gridCol w:w="1470"/>
        <w:gridCol w:w="43"/>
      </w:tblGrid>
      <w:tr>
        <w:trPr>
          <w:trHeight w:val="30" w:hRule="atLeast"/>
        </w:trPr>
        <w:tc>
          <w:tcPr>
            <w:tcW w:w="439" w:type="dxa"/>
            <w:tcBorders/>
            <w:tcMar>
              <w:top w:w="15" w:type="dxa"/>
              <w:left w:w="15" w:type="dxa"/>
              <w:bottom w:w="15" w:type="dxa"/>
              <w:right w:w="15" w:type="dxa"/>
            </w:tcMar>
            <w:vAlign w:val="center"/>
          </w:tcPr>
          <w:p/>
        </w:tc>
        <w:tc>
          <w:tcPr>
            <w:tcW w:w="9313" w:type="dxa"/>
            <w:tcBorders/>
            <w:tcMar>
              <w:top w:w="15" w:type="dxa"/>
              <w:left w:w="15" w:type="dxa"/>
              <w:bottom w:w="15" w:type="dxa"/>
              <w:right w:w="15" w:type="dxa"/>
            </w:tcMar>
            <w:vAlign w:val="center"/>
          </w:tcPr>
          <w:p/>
        </w:tc>
        <w:tc>
          <w:tcPr>
            <w:tcW w:w="441"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46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55" w:type="dxa"/>
            <w:tcBorders/>
            <w:tcMar>
              <w:top w:w="15" w:type="dxa"/>
              <w:left w:w="15" w:type="dxa"/>
              <w:bottom w:w="15" w:type="dxa"/>
              <w:right w:w="15" w:type="dxa"/>
            </w:tcMar>
            <w:vAlign w:val="center"/>
          </w:tcPr>
          <w:p/>
        </w:tc>
        <w:tc>
          <w:tcPr>
            <w:tcW w:w="1470" w:type="dxa"/>
            <w:tcBorders/>
            <w:tcMar>
              <w:top w:w="15" w:type="dxa"/>
              <w:left w:w="15" w:type="dxa"/>
              <w:bottom w:w="15" w:type="dxa"/>
              <w:right w:w="15" w:type="dxa"/>
            </w:tcMar>
            <w:vAlign w:val="center"/>
          </w:tcPr>
          <w:p/>
        </w:tc>
        <w:tc>
          <w:tcPr>
            <w:tcW w:w="43"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Order Backlog</w:t>
            </w:r>
            <w:r>
              <w:rPr>
                <w:rFonts w:ascii="Times New Roman" w:hAnsi="Times New Roman"/>
                <w:b w:val="false"/>
                <w:i w:val="false"/>
                <w:color w:val="000000"/>
                <w:sz w:val="22"/>
              </w:rPr>
              <w:t xml:space="preserve"> </w:t>
            </w:r>
          </w:p>
        </w:tc>
      </w:tr>
      <w:tr>
        <w:trPr>
          <w:trHeight w:val="6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Subsea</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7"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15,810.0 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5"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13,518.1 </w:t>
            </w:r>
            <w:r>
              <w:rPr>
                <w:rFonts w:ascii="Times New Roman" w:hAnsi="Times New Roman"/>
                <w:b w:val="false"/>
                <w:i w:val="false"/>
                <w:color w:val="000000"/>
                <w:sz w:val="22"/>
              </w:rPr>
              <w:t xml:space="preserve"> </w:t>
            </w:r>
          </w:p>
        </w:tc>
        <w:tc>
          <w:tcPr>
            <w:tcW w:w="43" w:type="dxa"/>
            <w:tcBorders>
              <w:top w:val="single" w:color="000000" w:sz="11"/>
            </w:tcBorders>
            <w:shd w:fill="cceeff"/>
            <w:tcMar>
              <w:top w:w="30" w:type="dxa"/>
              <w:left w:w="15" w:type="dxa"/>
              <w:bottom w:w="30" w:type="dxa"/>
              <w:right w:w="15" w:type="dxa"/>
            </w:tcMar>
            <w:vAlign w:val="bottom"/>
          </w:tcPr>
          <w:p/>
        </w:tc>
      </w:tr>
      <w:tr>
        <w:trPr>
          <w:trHeight w:val="33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Surface Technologies</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835.9 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858.2 </w:t>
            </w:r>
            <w:r>
              <w:rPr>
                <w:rFonts w:ascii="Times New Roman" w:hAnsi="Times New Roman"/>
                <w:b w:val="false"/>
                <w:i w:val="false"/>
                <w:color w:val="000000"/>
                <w:sz w:val="22"/>
              </w:rPr>
              <w:t xml:space="preserve"> </w:t>
            </w:r>
          </w:p>
        </w:tc>
        <w:tc>
          <w:tcPr>
            <w:tcW w:w="43" w:type="dxa"/>
            <w:tcBorders/>
            <w:shd w:fill="ffffff"/>
            <w:tcMar>
              <w:top w:w="30" w:type="dxa"/>
              <w:left w:w="15" w:type="dxa"/>
              <w:bottom w:w="30" w:type="dxa"/>
              <w:right w:w="15" w:type="dxa"/>
            </w:tcMar>
            <w:vAlign w:val="bottom"/>
          </w:tcPr>
          <w:p/>
        </w:tc>
      </w:tr>
      <w:tr>
        <w:trPr>
          <w:trHeight w:val="36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Total order backlog</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67"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16,645.9 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55"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470" w:type="dxa"/>
            <w:tcBorders>
              <w:top w:val="single" w:color="000000" w:sz="11"/>
              <w:bottom w:val="doub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14,376.3 </w:t>
            </w:r>
            <w:r>
              <w:rPr>
                <w:rFonts w:ascii="Times New Roman" w:hAnsi="Times New Roman"/>
                <w:b w:val="false"/>
                <w:i w:val="false"/>
                <w:color w:val="000000"/>
                <w:sz w:val="22"/>
              </w:rPr>
              <w:t xml:space="preserve"> </w:t>
            </w:r>
          </w:p>
        </w:tc>
        <w:tc>
          <w:tcPr>
            <w:tcW w:w="43" w:type="dxa"/>
            <w:tcBorders>
              <w:top w:val="single" w:color="000000" w:sz="11"/>
              <w:bottom w:val="double" w:color="000000" w:sz="11"/>
            </w:tcBorders>
            <w:shd w:fill="ccee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Subsea -</w:t>
      </w:r>
      <w:r>
        <w:rPr>
          <w:rFonts w:ascii="Times New Roman" w:hAnsi="Times New Roman"/>
          <w:b w:val="false"/>
          <w:i w:val="false"/>
          <w:color w:val="000000"/>
          <w:sz w:val="22"/>
        </w:rPr>
        <w:t xml:space="preserve"> </w:t>
      </w:r>
      <w:r>
        <w:rPr>
          <w:rFonts w:ascii="Arial" w:hAnsi="Arial"/>
          <w:b w:val="false"/>
          <w:i w:val="false"/>
          <w:color w:val="000000"/>
          <w:sz w:val="20"/>
        </w:rPr>
        <w:t>Subsea backlog of $15,810.0 million as of June 30, 2025 increased by $2,291.9 million compared to December 31, 2024, and was composed of various subsea projects, including TotalEnergies GranMorgu and Mozambique LNG; Equinor Raia, Johan Sverdrup Phase 3 and Rosebank; Shell Gato do Mato, Bonga North and Sparta; Petrobras Mero 3 HISEP® and Buzios 6; bp NEP and Kaskida; Energean Katlan and ExxonMobil Whiptail.</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Surface Technologies -</w:t>
      </w:r>
      <w:r>
        <w:rPr>
          <w:rFonts w:ascii="Times New Roman" w:hAnsi="Times New Roman"/>
          <w:b w:val="false"/>
          <w:i w:val="false"/>
          <w:color w:val="000000"/>
          <w:sz w:val="22"/>
        </w:rPr>
        <w:t xml:space="preserve"> </w:t>
      </w:r>
      <w:r>
        <w:rPr>
          <w:rFonts w:ascii="Arial" w:hAnsi="Arial"/>
          <w:b w:val="false"/>
          <w:i w:val="false"/>
          <w:color w:val="000000"/>
          <w:sz w:val="20"/>
        </w:rPr>
        <w:t>Order backlog for Surface Technologies as of June 30, 2025 decreased by $22.3 million compared to December 31, 2024. Surface Technologies’ backlog of $835.9 million as of June 30, 2025, was composed primarily of projects for customers in the Middle East, namely ADNOC and Saudi Aramco. The remaining backlog was composed of various projects in the rest of the world.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69" w:id="1631"/>
    <w:p>
      <w:pPr>
        <w:spacing w:before="0" w:after="0"/>
        <w:ind w:left="120"/>
        <w:jc w:val="left"/>
      </w:pPr>
    </w:p>
    <w:bookmarkEnd w:id="1631"/>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LIQUIDITY AND CAPITAL RESOURCES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Most of our cash is managed centrally and flows through bank accounts controlled and maintained by TechnipFMC globally in various jurisdictions to best meet the liquidity needs of our global operations.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Net Cash -</w:t>
      </w:r>
      <w:r>
        <w:rPr>
          <w:rFonts w:ascii="Times New Roman" w:hAnsi="Times New Roman"/>
          <w:b w:val="false"/>
          <w:i w:val="false"/>
          <w:color w:val="000000"/>
          <w:sz w:val="22"/>
        </w:rPr>
        <w:t xml:space="preserve"> </w:t>
      </w:r>
      <w:r>
        <w:rPr>
          <w:rFonts w:ascii="Arial" w:hAnsi="Arial"/>
          <w:b w:val="false"/>
          <w:i w:val="false"/>
          <w:color w:val="000000"/>
          <w:sz w:val="20"/>
        </w:rPr>
        <w:t>Net cash is a non-GAAP financial measure reflecting cash and cash equivalents, net of debt. Management uses this non-GAAP financial measure to evaluate our capital structure and financial leverage. We believe net cash is a meaningful financial measure that may assist investors in understanding our financial condition and recognizing underlying trends in our capital structure. Net cash should not be considered an alternative to, or more meaningful than, cash and cash equivalents as determined in accordance with GAAP or as an indicator of our operating performance or liquidity.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provides a reconciliation of our cash and cash equivalents to net cash, utilizing details of classifications from our condensed consolidated balance sheets: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76"/>
        <w:gridCol w:w="8888"/>
        <w:gridCol w:w="378"/>
        <w:gridCol w:w="146"/>
        <w:gridCol w:w="1703"/>
        <w:gridCol w:w="40"/>
        <w:gridCol w:w="40"/>
        <w:gridCol w:w="40"/>
        <w:gridCol w:w="40"/>
        <w:gridCol w:w="174"/>
        <w:gridCol w:w="1721"/>
        <w:gridCol w:w="48"/>
      </w:tblGrid>
      <w:tr>
        <w:trPr>
          <w:trHeight w:val="30" w:hRule="atLeast"/>
        </w:trPr>
        <w:tc>
          <w:tcPr>
            <w:tcW w:w="376" w:type="dxa"/>
            <w:tcBorders/>
            <w:tcMar>
              <w:top w:w="15" w:type="dxa"/>
              <w:left w:w="15" w:type="dxa"/>
              <w:bottom w:w="15" w:type="dxa"/>
              <w:right w:w="15" w:type="dxa"/>
            </w:tcMar>
            <w:vAlign w:val="center"/>
          </w:tcPr>
          <w:p/>
        </w:tc>
        <w:tc>
          <w:tcPr>
            <w:tcW w:w="8888" w:type="dxa"/>
            <w:tcBorders/>
            <w:tcMar>
              <w:top w:w="15" w:type="dxa"/>
              <w:left w:w="15" w:type="dxa"/>
              <w:bottom w:w="15" w:type="dxa"/>
              <w:right w:w="15" w:type="dxa"/>
            </w:tcMar>
            <w:vAlign w:val="center"/>
          </w:tcPr>
          <w:p/>
        </w:tc>
        <w:tc>
          <w:tcPr>
            <w:tcW w:w="378" w:type="dxa"/>
            <w:tcBorders/>
            <w:tcMar>
              <w:top w:w="15" w:type="dxa"/>
              <w:left w:w="15" w:type="dxa"/>
              <w:bottom w:w="15" w:type="dxa"/>
              <w:right w:w="15" w:type="dxa"/>
            </w:tcMar>
            <w:vAlign w:val="center"/>
          </w:tcPr>
          <w:p/>
        </w:tc>
        <w:tc>
          <w:tcPr>
            <w:tcW w:w="146" w:type="dxa"/>
            <w:tcBorders/>
            <w:tcMar>
              <w:top w:w="15" w:type="dxa"/>
              <w:left w:w="15" w:type="dxa"/>
              <w:bottom w:w="15" w:type="dxa"/>
              <w:right w:w="15" w:type="dxa"/>
            </w:tcMar>
            <w:vAlign w:val="center"/>
          </w:tcPr>
          <w:p/>
        </w:tc>
        <w:tc>
          <w:tcPr>
            <w:tcW w:w="1703"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74" w:type="dxa"/>
            <w:tcBorders/>
            <w:tcMar>
              <w:top w:w="15" w:type="dxa"/>
              <w:left w:w="15" w:type="dxa"/>
              <w:bottom w:w="15" w:type="dxa"/>
              <w:right w:w="15" w:type="dxa"/>
            </w:tcMar>
            <w:vAlign w:val="center"/>
          </w:tcPr>
          <w:p/>
        </w:tc>
        <w:tc>
          <w:tcPr>
            <w:tcW w:w="1721" w:type="dxa"/>
            <w:tcBorders/>
            <w:tcMar>
              <w:top w:w="15" w:type="dxa"/>
              <w:left w:w="15" w:type="dxa"/>
              <w:bottom w:w="15" w:type="dxa"/>
              <w:right w:w="15" w:type="dxa"/>
            </w:tcMar>
            <w:vAlign w:val="center"/>
          </w:tcPr>
          <w:p/>
        </w:tc>
        <w:tc>
          <w:tcPr>
            <w:tcW w:w="48" w:type="dxa"/>
            <w:tcBorders/>
            <w:tcMar>
              <w:top w:w="15" w:type="dxa"/>
              <w:left w:w="15" w:type="dxa"/>
              <w:bottom w:w="15" w:type="dxa"/>
              <w:right w:w="15" w:type="dxa"/>
            </w:tcMar>
            <w:vAlign w:val="center"/>
          </w:tcPr>
          <w:p/>
        </w:tc>
      </w:tr>
      <w:tr>
        <w:trPr>
          <w:trHeight w:val="60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(In millions)</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June 30, </w:t>
            </w:r>
            <w:r>
              <w:br/>
            </w:r>
            <w:r>
              <w:rPr>
                <w:rFonts w:ascii="Arial" w:hAnsi="Arial"/>
                <w:b/>
                <w:i w:val="false"/>
                <w:color w:val="000000"/>
                <w:sz w:val="16"/>
              </w:rPr>
              <w:t xml:space="preserve"> 2025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December 31, </w:t>
            </w:r>
            <w:r>
              <w:br/>
            </w:r>
            <w:r>
              <w:rPr>
                <w:rFonts w:ascii="Arial" w:hAnsi="Arial"/>
                <w:b/>
                <w:i w:val="false"/>
                <w:color w:val="000000"/>
                <w:sz w:val="16"/>
              </w:rPr>
              <w:t xml:space="preserve"> 2024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Cash and cash equivalents</w:t>
            </w:r>
            <w:r>
              <w:rPr>
                <w:rFonts w:ascii="Times New Roman" w:hAnsi="Times New Roman"/>
                <w:b w:val="false"/>
                <w:i w:val="false"/>
                <w:color w:val="000000"/>
                <w:sz w:val="22"/>
              </w:rPr>
              <w:t xml:space="preserve"> </w:t>
            </w:r>
          </w:p>
        </w:tc>
        <w:tc>
          <w:tcPr>
            <w:tcW w:w="146"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03"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950.0 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4"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21"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1,157.7 </w:t>
            </w:r>
            <w:r>
              <w:rPr>
                <w:rFonts w:ascii="Times New Roman" w:hAnsi="Times New Roman"/>
                <w:b w:val="false"/>
                <w:i w:val="false"/>
                <w:color w:val="000000"/>
                <w:sz w:val="22"/>
              </w:rPr>
              <w:t xml:space="preserve"> </w:t>
            </w:r>
          </w:p>
        </w:tc>
        <w:tc>
          <w:tcPr>
            <w:tcW w:w="48"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Short-term debt and current portion of long-term debt</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(271.2)</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(277.9)</w:t>
            </w:r>
            <w:r>
              <w:rPr>
                <w:rFonts w:ascii="Times New Roman" w:hAnsi="Times New Roman"/>
                <w:b w:val="false"/>
                <w:i w:val="false"/>
                <w:color w:val="000000"/>
                <w:sz w:val="22"/>
              </w:rPr>
              <w:t xml:space="preserve"> </w:t>
            </w:r>
          </w:p>
        </w:tc>
        <w:tc>
          <w:tcPr>
            <w:tcW w:w="48"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Long-term debt, less current portion</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(425.1)</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(607.3)</w:t>
            </w:r>
            <w:r>
              <w:rPr>
                <w:rFonts w:ascii="Times New Roman" w:hAnsi="Times New Roman"/>
                <w:b w:val="false"/>
                <w:i w:val="false"/>
                <w:color w:val="000000"/>
                <w:sz w:val="22"/>
              </w:rPr>
              <w:t xml:space="preserve"> </w:t>
            </w:r>
          </w:p>
        </w:tc>
        <w:tc>
          <w:tcPr>
            <w:tcW w:w="48"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Net cash</w:t>
            </w:r>
            <w:r>
              <w:rPr>
                <w:rFonts w:ascii="Times New Roman" w:hAnsi="Times New Roman"/>
                <w:b w:val="false"/>
                <w:i w:val="false"/>
                <w:color w:val="000000"/>
                <w:sz w:val="22"/>
              </w:rPr>
              <w:t xml:space="preserve"> </w:t>
            </w:r>
          </w:p>
        </w:tc>
        <w:tc>
          <w:tcPr>
            <w:tcW w:w="146"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03"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253.7 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4"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721" w:type="dxa"/>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272.5 </w:t>
            </w:r>
            <w:r>
              <w:rPr>
                <w:rFonts w:ascii="Times New Roman" w:hAnsi="Times New Roman"/>
                <w:b w:val="false"/>
                <w:i w:val="false"/>
                <w:color w:val="000000"/>
                <w:sz w:val="22"/>
              </w:rPr>
              <w:t xml:space="preserve"> </w:t>
            </w:r>
          </w:p>
        </w:tc>
        <w:tc>
          <w:tcPr>
            <w:tcW w:w="48" w:type="dxa"/>
            <w:tcBorders>
              <w:top w:val="single" w:color="000000" w:sz="11"/>
              <w:bottom w:val="double" w:color="000000" w:sz="11"/>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Cash Flows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Operating cash flows</w:t>
      </w:r>
      <w:r>
        <w:rPr>
          <w:rFonts w:ascii="Times New Roman" w:hAnsi="Times New Roman"/>
          <w:b w:val="false"/>
          <w:i w:val="false"/>
          <w:color w:val="000000"/>
          <w:sz w:val="22"/>
        </w:rPr>
        <w:t xml:space="preserve"> </w:t>
      </w:r>
      <w:r>
        <w:rPr>
          <w:rFonts w:ascii="Arial" w:hAnsi="Arial"/>
          <w:b w:val="false"/>
          <w:i w:val="false"/>
          <w:color w:val="000000"/>
          <w:sz w:val="20"/>
        </w:rPr>
        <w:t>- Operating activities provided $785.9 million and $104.2 million during the six months ended June 30, 2025 and, 2024, respectively. The increase of $681.7 million in cash from operating activities was primarily due to increased volume and an improved mix of projects resulting in strong cash collections, advance payments from customers to support the higher business activity and the fluctuations in derivative assets and liabilities.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Investing cash flows</w:t>
      </w:r>
      <w:r>
        <w:rPr>
          <w:rFonts w:ascii="Times New Roman" w:hAnsi="Times New Roman"/>
          <w:b w:val="false"/>
          <w:i w:val="false"/>
          <w:color w:val="000000"/>
          <w:sz w:val="22"/>
        </w:rPr>
        <w:t xml:space="preserve"> </w:t>
      </w:r>
      <w:r>
        <w:rPr>
          <w:rFonts w:ascii="Arial" w:hAnsi="Arial"/>
          <w:b w:val="false"/>
          <w:i w:val="false"/>
          <w:color w:val="000000"/>
          <w:sz w:val="20"/>
        </w:rPr>
        <w:t>- Investing activities used $140.8 million of cash during the six months ended June 30, 2025 as compared to $87.1 million provided during the same period in 2024. The decrease of $227.9 million in cash provided by investing activities was primarily due to $186.1 million in proceeds received from the sale of MSB during the six months ended June 30, 2024 and an increase in capital expenditures of $42.6 million in 2025 as compared to the same period in 2024.</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36</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Financing cash flows</w:t>
      </w:r>
      <w:r>
        <w:rPr>
          <w:rFonts w:ascii="Times New Roman" w:hAnsi="Times New Roman"/>
          <w:b w:val="false"/>
          <w:i w:val="false"/>
          <w:color w:val="000000"/>
          <w:sz w:val="22"/>
        </w:rPr>
        <w:t xml:space="preserve"> </w:t>
      </w:r>
      <w:r>
        <w:rPr>
          <w:rFonts w:ascii="Arial" w:hAnsi="Arial"/>
          <w:b w:val="false"/>
          <w:i w:val="false"/>
          <w:color w:val="000000"/>
          <w:sz w:val="20"/>
        </w:rPr>
        <w:t>- Financing activities used $880.8 million and $417.9 million during the six months ended June 30, 2025 and 2024, respectively. The increase of $462.9 million in cash used by financing activities was mainly due to an increase of $250.1 million in share repurchases and an increase in debt repayments of $176.2 million in 2025, primarily for the repayment of the 5.75% 2020 Private Placement Notes, which matured during the period.</w:t>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color w:val="000000"/>
          <w:sz w:val="20"/>
        </w:rPr>
        <w:t>Debt and Liquidity</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committed to maintaining a capital structure that provides sufficient cash resources to support future operating and investment plans. We maintain a level of liquidity sufficient to allow us to meet our cash needs in both the short term and long term.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Availability of borrowings under the Revolving Credit Facility is reduced by outstanding commercial paper and letters of credit issued against the facility. As of June 30, 2025, there were no letters of credit or commercial paper outstanding, and our availability under the Revolving Credit Facility was $1,250.0 million.</w:t>
      </w:r>
      <w:r>
        <w:rPr>
          <w:rFonts w:ascii="Times New Roman" w:hAnsi="Times New Roman"/>
          <w:b w:val="false"/>
          <w:i w:val="false"/>
          <w:color w:val="000000"/>
          <w:sz w:val="22"/>
        </w:rPr>
        <w:t xml:space="preserve">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As of June 30, 2025, TechnipFMC was in compliance with all debt covenants. See </w:t>
      </w:r>
      <w:hyperlink w:anchor="if5bce3d3882148cf91b6563d87cc4db5_100">
        <w:r>
          <w:rPr>
            <w:rFonts w:ascii="Arial" w:hAnsi="Arial"/>
            <w:b w:val="false"/>
            <w:i w:val="false"/>
            <w:color w:val="000000"/>
            <w:sz w:val="20"/>
          </w:rPr>
          <w:t>Note 11</w:t>
        </w:r>
      </w:hyperlink>
      <w:r>
        <w:rPr>
          <w:rFonts w:ascii="Arial" w:hAnsi="Arial"/>
          <w:b w:val="false"/>
          <w:i w:val="false"/>
          <w:color w:val="000000"/>
          <w:sz w:val="20"/>
        </w:rPr>
        <w:t xml:space="preserve"> to our consolidated financial statements for further detail. </w:t>
      </w:r>
    </w:p>
    <w:p>
      <w:pPr>
        <w:spacing w:before="0" w:after="0"/>
        <w:ind w:left="120"/>
        <w:jc w:val="left"/>
      </w:pP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Credit Ratings</w:t>
      </w:r>
      <w:r>
        <w:rPr>
          <w:rFonts w:ascii="Times New Roman" w:hAnsi="Times New Roman"/>
          <w:b w:val="false"/>
          <w:i w:val="false"/>
          <w:color w:val="000000"/>
          <w:sz w:val="22"/>
        </w:rPr>
        <w:t xml:space="preserve"> </w:t>
      </w:r>
      <w:r>
        <w:rPr>
          <w:rFonts w:ascii="Arial" w:hAnsi="Arial"/>
          <w:b w:val="false"/>
          <w:i w:val="false"/>
          <w:color w:val="000000"/>
          <w:sz w:val="20"/>
        </w:rPr>
        <w:t xml:space="preserve">- Our credit ratings with Standard and Poor’s (“S&amp;P”) are ‘BBB-’ for our long-term unsecured, guaranteed debt (2021 Notes) and ‘BBB-’ for our 2012 long-term unsecured debt (the 2012 Private Placement Notes). Our credit rating with Moody’s is ‘Baa3’ for our long-term unsecured, guaranteed debt. See </w:t>
      </w:r>
      <w:hyperlink w:anchor="if5bce3d3882148cf91b6563d87cc4db5_100">
        <w:r>
          <w:rPr>
            <w:rFonts w:ascii="Arial" w:hAnsi="Arial"/>
            <w:b w:val="false"/>
            <w:i w:val="false"/>
            <w:color w:val="000000"/>
            <w:sz w:val="20"/>
          </w:rPr>
          <w:t>Note 11</w:t>
        </w:r>
      </w:hyperlink>
      <w:r>
        <w:rPr>
          <w:rFonts w:ascii="Arial" w:hAnsi="Arial"/>
          <w:b w:val="false"/>
          <w:i w:val="false"/>
          <w:color w:val="000000"/>
          <w:sz w:val="20"/>
        </w:rPr>
        <w:t xml:space="preserve"> for further details regarding our debt.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March 7, 2024, S&amp;P upgraded TechnipFMC to investment grade, raising its rating to ‘BBB-’ from ‘BB+’ for both the issuer credit as well as the issue-level ratings on the Company’s senior unsecured notes. On June 27, 2024, Fitch assigned a first-time investment grade long-term issuer default rating of ‘BBB-’ for TechnipFMC. As a result of the S&amp;P and Fitch investment grade ratings and the satisfaction of certain other conditions precedent, the Investment Grade Date (as defined in the Credit Agreement) has occurred and the collateral securing the Credit Agreement and the Performance LC Credit Agreement was released.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January 23, 2025, Moody’s upgraded TechnipFMC to ‘Baa3’ from ‘Ba1’, while maintaining a positive outlook, for the issue-level ratings on the Company’s 2021 Notes.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July 10, 2025, S&amp;P Global Ratings (“S&amp;P”) assigned a rating of ‘A-3’ to our short-term debt and commercial paper program.</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Dividends</w:t>
      </w:r>
      <w:r>
        <w:rPr>
          <w:rFonts w:ascii="Times New Roman" w:hAnsi="Times New Roman"/>
          <w:b w:val="false"/>
          <w:i w:val="false"/>
          <w:color w:val="000000"/>
          <w:sz w:val="22"/>
        </w:rPr>
        <w:t xml:space="preserve"> </w:t>
      </w:r>
      <w:r>
        <w:rPr>
          <w:rFonts w:ascii="Arial" w:hAnsi="Arial"/>
          <w:b w:val="false"/>
          <w:i w:val="false"/>
          <w:color w:val="000000"/>
          <w:sz w:val="20"/>
        </w:rPr>
        <w:t>- On April 22, 2025, the Company announced that its Board of Directors authorized and declared a quarterly cash dividend of $0.05 per share, payable on June 4, 2025 to shareholders and represents $0.20 per share on an annualized basis. The cash dividends paid during the six months ended June 30, 2025 was $41.6 million. We intend to pay dividends on a quarterly basis, subject to review and approval by our Board of Directors in its sole discretion.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On July 22, 2025, the Company announced that its Board of Directors authorized and declared a quarterly cash dividend of $0.05 per share, payable on September 3, 2025 to shareholders of record as of the close of business on the New York Stock Exchange on August 19, 2025. The ex-dividend date is August 19, 2025.</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rPr>
        <w:t>Share Repurchase</w:t>
      </w:r>
      <w:r>
        <w:rPr>
          <w:rFonts w:ascii="Times New Roman" w:hAnsi="Times New Roman"/>
          <w:b w:val="false"/>
          <w:i w:val="false"/>
          <w:color w:val="000000"/>
          <w:sz w:val="22"/>
        </w:rPr>
        <w:t xml:space="preserve"> </w:t>
      </w:r>
      <w:r>
        <w:rPr>
          <w:rFonts w:ascii="Arial" w:hAnsi="Arial"/>
          <w:b w:val="false"/>
          <w:i w:val="false"/>
          <w:color w:val="000000"/>
          <w:sz w:val="20"/>
        </w:rPr>
        <w:t>- We repurchased $500.2 million of ordinary shares during the six months ended June 30, 2025. Since the initial share repurchase authorization in July 2022, we have purchased an aggregate amount of $1,205.6 million of ordinary shares through June 30, 2025. Based upon the remaining repurchase authority of $594.4 million and the closing stock price as of June 30, 2025, approximately 17.3 million ordinary shares could be subject to repurchase. All shares repurchased were immediately cancelled.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shd w:fill="ffffff"/>
        </w:rPr>
        <w:t>Credit Risk Analysis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the purposes of mitigating the effect of the changes in exchange rates, we hold derivative financial instruments. Valuations of derivative assets and liabilities reflect the fair value of the instruments, including the values associated with counterparty risk. These values must also take into account our credit standing, thus including the valuation of the derivative instrument and the value of the net credit differential between the counterparties to the derivative contract. Adjustments to our derivative assets and liabilities related to credit risk were not material for any period presented.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37</w:t>
      </w:r>
      <w:r>
        <w:rPr>
          <w:rFonts w:ascii="Times New Roman" w:hAnsi="Times New Roman"/>
          <w:b w:val="false"/>
          <w:i w:val="false"/>
          <w:color w:val="000000"/>
          <w:sz w:val="22"/>
        </w:rPr>
        <w:t xml:space="preserve"> </w:t>
      </w:r>
    </w:p>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income approach was used as the valuation technique to measure the fair value of foreign currency derivative instruments on a recurring basis. This approach calculates the present value of the future cash flow by measuring the change from the derivative contract rate and the published market indicative currency rate, multiplied by the contract notional values. Credit risk is then incorporated by reducing the derivative’s fair value in asset positions by the result of multiplying the present value of the portfolio by the counterparty’s published credit spread. Portfolios in a liability position are adjusted by the same calculation; however, a spread representing our credit spread is used.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Our credit spread, and the credit spread of other counterparties not publicly available, are approximated using the spread of similar companies in the same industry, of similar size, and with the same credit rating. See </w:t>
      </w:r>
      <w:hyperlink w:anchor="if5bce3d3882148cf91b6563d87cc4db5_127">
        <w:r>
          <w:rPr>
            <w:rFonts w:ascii="Arial" w:hAnsi="Arial"/>
            <w:b w:val="false"/>
            <w:i w:val="false"/>
            <w:color w:val="000000"/>
            <w:sz w:val="20"/>
          </w:rPr>
          <w:t>Notes 16</w:t>
        </w:r>
      </w:hyperlink>
      <w:r>
        <w:rPr>
          <w:rFonts w:ascii="Arial" w:hAnsi="Arial"/>
          <w:b w:val="false"/>
          <w:i w:val="false"/>
          <w:color w:val="000000"/>
          <w:sz w:val="20"/>
        </w:rPr>
        <w:t xml:space="preserve"> and </w:t>
      </w:r>
      <w:hyperlink w:anchor="if5bce3d3882148cf91b6563d87cc4db5_133">
        <w:r>
          <w:rPr>
            <w:rFonts w:ascii="Arial" w:hAnsi="Arial"/>
            <w:b w:val="false"/>
            <w:i w:val="false"/>
            <w:color w:val="000000"/>
            <w:sz w:val="20"/>
          </w:rPr>
          <w:t>17</w:t>
        </w:r>
      </w:hyperlink>
      <w:r>
        <w:rPr>
          <w:rFonts w:ascii="Arial" w:hAnsi="Arial"/>
          <w:b w:val="false"/>
          <w:i w:val="false"/>
          <w:color w:val="000000"/>
          <w:sz w:val="20"/>
        </w:rPr>
        <w:t xml:space="preserve"> for further details.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At this time, we have no credit-risk-related contingent features in our agreements with the financial institutions that would require us to post collateral for derivative positions in a liability position.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shd w:fill="ffffff"/>
        </w:rPr>
        <w:t>Financial Position Outlook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committed to a strong balance sheet. We continue to maintain sufficient liquidity to support the needs of the business through growth, cyclicality, and unforeseen events. We continue to maintain and drive sustainable leverage to preserve access to capital throughout the cycle. Our capital expenditures can be adjusted and managed to match market demand and activity levels. Projected capital expenditures do not include any contingent capital that may be needed to respond to contract awards. In maintaining our commitment to sustainable leverage and liquidity, we expect to be able to continue to generate cash flow available for investment in growth and distribution to shareholders through the business cycle.</w:t>
      </w:r>
      <w:r>
        <w:rPr>
          <w:rFonts w:ascii="Times New Roman" w:hAnsi="Times New Roman"/>
          <w:b w:val="false"/>
          <w:i w:val="false"/>
          <w:color w:val="000000"/>
          <w:sz w:val="22"/>
        </w:rPr>
        <w:t xml:space="preserve"> </w:t>
      </w:r>
    </w:p>
    <w:p>
      <w:pPr>
        <w:spacing w:before="0" w:after="0"/>
        <w:ind w:left="120"/>
        <w:jc w:val="left"/>
      </w:pPr>
    </w:p>
    <w:bookmarkStart w:name="if5bce3d3882148cf91b6563d87cc4db5_172" w:id="1632"/>
    <w:p>
      <w:pPr>
        <w:spacing w:before="0" w:after="0"/>
        <w:ind w:left="120"/>
        <w:jc w:val="left"/>
      </w:pPr>
    </w:p>
    <w:bookmarkEnd w:id="1632"/>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CRITICAL ACCOUNTING ESTIMATES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Refer to our Annual Report on Form 10-K for the year ended December 31, 2024 for a discussion of our critical accounting estimates. During the six months ended June 30, 2025, there were no changes to our identified critical accounting estimates.</w:t>
      </w:r>
      <w:r>
        <w:rPr>
          <w:rFonts w:ascii="Times New Roman" w:hAnsi="Times New Roman"/>
          <w:b w:val="false"/>
          <w:i w:val="false"/>
          <w:color w:val="000000"/>
          <w:sz w:val="22"/>
        </w:rPr>
        <w:t xml:space="preserve"> </w:t>
      </w:r>
    </w:p>
    <w:p>
      <w:pPr>
        <w:spacing w:before="0" w:after="0"/>
        <w:ind w:left="120"/>
        <w:jc w:val="left"/>
      </w:pPr>
    </w:p>
    <w:bookmarkStart w:name="if5bce3d3882148cf91b6563d87cc4db5_178" w:id="1633"/>
    <w:p>
      <w:pPr>
        <w:spacing w:before="0" w:after="0"/>
        <w:ind w:left="120"/>
        <w:jc w:val="left"/>
      </w:pPr>
    </w:p>
    <w:bookmarkEnd w:id="1633"/>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3. QUANTITATIVE AND QUALITATIVE DISCLOSURES ABOUT MARKET RISK</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For quantitative and qualitative disclosures about market risk affecting the Company, see Part II, Item 7A, “Quantitative and Qualitative Disclosures About Market Risk,” in our Annual Report on Form 10-K for the year ended December 31, 2024. Our exposure to market risk has not changed materially since December 31, 2024.</w:t>
      </w:r>
      <w:r>
        <w:rPr>
          <w:rFonts w:ascii="Times New Roman" w:hAnsi="Times New Roman"/>
          <w:b w:val="false"/>
          <w:i w:val="false"/>
          <w:color w:val="000000"/>
          <w:sz w:val="22"/>
        </w:rPr>
        <w:t xml:space="preserve"> </w:t>
      </w:r>
    </w:p>
    <w:p>
      <w:pPr>
        <w:spacing w:before="0" w:after="0"/>
        <w:ind w:left="120"/>
        <w:jc w:val="left"/>
      </w:pPr>
    </w:p>
    <w:bookmarkStart w:name="if5bce3d3882148cf91b6563d87cc4db5_181" w:id="1634"/>
    <w:p>
      <w:pPr>
        <w:spacing w:before="0" w:after="0"/>
        <w:ind w:left="120"/>
        <w:jc w:val="left"/>
      </w:pPr>
    </w:p>
    <w:bookmarkEnd w:id="1634"/>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4. CONTROLS AND PROCEDURES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Evaluation of Disclosure Controls and Procedures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of June 30, 2025, under the direction of our Chief Executive Officer (“CEO”) and Chief Financial Officer (“CFO”), we have evaluated the effectiveness of our disclosure controls and procedures, as defined in Rule 13a-15(e) and 15d-15(e) under the Exchange Act. Based upon this evaluation, our CEO and CFO have concluded that, as of the end of the period covered by this report, our disclosure controls and procedures were effective with respect to (i) the accumulation and communication to our management, including our CEO and our CFO, of information required to be disclosed by us in the reports that we submit under the Exchange Act, and (ii) the recording, processing, summarizing and reporting of such information within the time periods specified in the SEC's rules and forms.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color w:val="000000"/>
          <w:sz w:val="20"/>
        </w:rPr>
        <w:t>Changes in Internal Controls over Financial Reporting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There were no changes in our internal control over financial reporting during the three months ended June 30, 2025 that have materially affected, or are reasonably likely to materially affect, our internal control over financial reporting.</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38</w:t>
      </w:r>
      <w:r>
        <w:rPr>
          <w:rFonts w:ascii="Times New Roman" w:hAnsi="Times New Roman"/>
          <w:b w:val="false"/>
          <w:i w:val="false"/>
          <w:color w:val="000000"/>
          <w:sz w:val="22"/>
        </w:rPr>
        <w:t xml:space="preserve"> </w:t>
      </w:r>
    </w:p>
    <w:p>
      <w:pPr>
        <w:spacing w:before="0" w:after="0"/>
        <w:ind w:left="120"/>
        <w:jc w:val="left"/>
      </w:pPr>
    </w:p>
    <w:bookmarkStart w:name="if5bce3d3882148cf91b6563d87cc4db5_184" w:id="1635"/>
    <w:p>
      <w:pPr>
        <w:spacing w:before="0" w:after="0"/>
        <w:ind w:left="120"/>
        <w:jc w:val="left"/>
      </w:pPr>
    </w:p>
    <w:bookmarkEnd w:id="1635"/>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PART II - OTHER INFORMATION</w:t>
      </w:r>
      <w:r>
        <w:rPr>
          <w:rFonts w:ascii="Times New Roman" w:hAnsi="Times New Roman"/>
          <w:b w:val="false"/>
          <w:i w:val="false"/>
          <w:color w:val="000000"/>
          <w:sz w:val="22"/>
        </w:rPr>
        <w:t xml:space="preserve"> </w:t>
      </w:r>
    </w:p>
    <w:p>
      <w:pPr>
        <w:spacing w:before="0" w:after="0"/>
        <w:ind w:left="120"/>
        <w:jc w:val="left"/>
      </w:pPr>
    </w:p>
    <w:bookmarkStart w:name="if5bce3d3882148cf91b6563d87cc4db5_187" w:id="1636"/>
    <w:p>
      <w:pPr>
        <w:spacing w:before="0" w:after="0"/>
        <w:ind w:left="120"/>
        <w:jc w:val="left"/>
      </w:pPr>
    </w:p>
    <w:bookmarkEnd w:id="1636"/>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 LEGAL PROCEEDINGS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are involved in various pending or potential legal actions or disputes in the ordinary course of our business. These actions and disputes can involve our agents, suppliers, clients, and joint venture partners and can include claims related to payment of fees, service quality, and ownership arrangements, including certain put or call options. Management is unable to predict the ultimate outcome of these actions because of their inherent uncertainty. However, management believes that the most probable, ultimate resolution of these matters will not have a material adverse effect on our condensed consolidated financial position, results of operations or cash flows.</w:t>
      </w:r>
      <w:r>
        <w:rPr>
          <w:rFonts w:ascii="Times New Roman" w:hAnsi="Times New Roman"/>
          <w:b w:val="false"/>
          <w:i w:val="false"/>
          <w:color w:val="000000"/>
          <w:sz w:val="22"/>
        </w:rPr>
        <w:t xml:space="preserve"> </w:t>
      </w:r>
    </w:p>
    <w:p>
      <w:pPr>
        <w:spacing w:before="0" w:after="0"/>
        <w:ind w:left="120"/>
        <w:jc w:val="left"/>
      </w:pPr>
    </w:p>
    <w:bookmarkStart w:name="if5bce3d3882148cf91b6563d87cc4db5_190" w:id="1637"/>
    <w:p>
      <w:pPr>
        <w:spacing w:before="0" w:after="0"/>
        <w:ind w:left="120"/>
        <w:jc w:val="left"/>
      </w:pPr>
    </w:p>
    <w:bookmarkEnd w:id="1637"/>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1A. RISK FACTORS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As of the date of this filing, there have been no material changes or updates to our risk factors that were previously disclosed in Part I, Item 1A of our Annual Report on Form 10-K for the year ended December 31, 2024.</w:t>
      </w:r>
      <w:r>
        <w:rPr>
          <w:rFonts w:ascii="Times New Roman" w:hAnsi="Times New Roman"/>
          <w:b w:val="false"/>
          <w:i w:val="false"/>
          <w:color w:val="000000"/>
          <w:sz w:val="22"/>
        </w:rPr>
        <w:t xml:space="preserve"> </w:t>
      </w:r>
    </w:p>
    <w:p>
      <w:pPr>
        <w:spacing w:before="0" w:after="0"/>
        <w:ind w:left="120"/>
        <w:jc w:val="left"/>
      </w:pPr>
    </w:p>
    <w:bookmarkStart w:name="if5bce3d3882148cf91b6563d87cc4db5_193" w:id="1638"/>
    <w:p>
      <w:pPr>
        <w:spacing w:before="0" w:after="0"/>
        <w:ind w:left="120"/>
        <w:jc w:val="left"/>
      </w:pPr>
    </w:p>
    <w:bookmarkEnd w:id="1638"/>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shd w:fill="ffffff"/>
        </w:rPr>
        <w:t>ITEM 2. UNREGI</w:t>
      </w:r>
      <w:r>
        <w:rPr>
          <w:rFonts w:ascii="Times New Roman" w:hAnsi="Times New Roman"/>
          <w:b w:val="false"/>
          <w:i w:val="false"/>
          <w:color w:val="000000"/>
          <w:sz w:val="22"/>
        </w:rPr>
        <w:t xml:space="preserve"> </w:t>
      </w:r>
      <w:r>
        <w:rPr>
          <w:rFonts w:ascii="Arial" w:hAnsi="Arial"/>
          <w:b/>
          <w:i w:val="false"/>
          <w:color w:val="000000"/>
          <w:sz w:val="20"/>
        </w:rPr>
        <w:t>STERED SALES OF EQUITY SECURITIES AND USE OF PROCEEDS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We had no unregistered sales of equity securities during the three months ended June 30, 2025.</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The following table summarizes repurchases of our ordinary shares during the three months ended June 30, 2025:</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ISSUER PURCHASES OF EQUITY SECURITIES</w:t>
      </w:r>
      <w:r>
        <w:rPr>
          <w:rFonts w:ascii="Times New Roman" w:hAnsi="Times New Roman"/>
          <w:b w:val="false"/>
          <w:i w:val="false"/>
          <w:color w:val="000000"/>
          <w:sz w:val="22"/>
        </w:rPr>
        <w:t xml:space="preserve"> </w:t>
      </w:r>
    </w:p>
    <w:p>
      <w:pPr>
        <w:spacing w:before="0" w:after="0"/>
        <w:ind w:left="120"/>
        <w:jc w:val="left"/>
      </w:pPr>
    </w:p>
    <w:p>
      <w:pPr>
        <w:spacing w:before="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335"/>
        <w:gridCol w:w="4088"/>
        <w:gridCol w:w="337"/>
        <w:gridCol w:w="136"/>
        <w:gridCol w:w="1972"/>
        <w:gridCol w:w="40"/>
        <w:gridCol w:w="40"/>
        <w:gridCol w:w="40"/>
        <w:gridCol w:w="40"/>
        <w:gridCol w:w="178"/>
        <w:gridCol w:w="1320"/>
        <w:gridCol w:w="50"/>
        <w:gridCol w:w="40"/>
        <w:gridCol w:w="40"/>
        <w:gridCol w:w="40"/>
        <w:gridCol w:w="272"/>
        <w:gridCol w:w="2100"/>
        <w:gridCol w:w="40"/>
        <w:gridCol w:w="40"/>
        <w:gridCol w:w="40"/>
        <w:gridCol w:w="40"/>
        <w:gridCol w:w="132"/>
        <w:gridCol w:w="2234"/>
        <w:gridCol w:w="40"/>
      </w:tblGrid>
      <w:tr>
        <w:trPr>
          <w:trHeight w:val="30" w:hRule="atLeast"/>
        </w:trPr>
        <w:tc>
          <w:tcPr>
            <w:tcW w:w="335" w:type="dxa"/>
            <w:tcBorders/>
            <w:tcMar>
              <w:top w:w="15" w:type="dxa"/>
              <w:left w:w="15" w:type="dxa"/>
              <w:bottom w:w="15" w:type="dxa"/>
              <w:right w:w="15" w:type="dxa"/>
            </w:tcMar>
            <w:vAlign w:val="center"/>
          </w:tcPr>
          <w:p/>
        </w:tc>
        <w:tc>
          <w:tcPr>
            <w:tcW w:w="4088" w:type="dxa"/>
            <w:tcBorders/>
            <w:tcMar>
              <w:top w:w="15" w:type="dxa"/>
              <w:left w:w="15" w:type="dxa"/>
              <w:bottom w:w="15" w:type="dxa"/>
              <w:right w:w="15" w:type="dxa"/>
            </w:tcMar>
            <w:vAlign w:val="center"/>
          </w:tcPr>
          <w:p/>
        </w:tc>
        <w:tc>
          <w:tcPr>
            <w:tcW w:w="337" w:type="dxa"/>
            <w:tcBorders/>
            <w:tcMar>
              <w:top w:w="15" w:type="dxa"/>
              <w:left w:w="15" w:type="dxa"/>
              <w:bottom w:w="15" w:type="dxa"/>
              <w:right w:w="15" w:type="dxa"/>
            </w:tcMar>
            <w:vAlign w:val="center"/>
          </w:tcPr>
          <w:p/>
        </w:tc>
        <w:tc>
          <w:tcPr>
            <w:tcW w:w="136" w:type="dxa"/>
            <w:tcBorders/>
            <w:tcMar>
              <w:top w:w="15" w:type="dxa"/>
              <w:left w:w="15" w:type="dxa"/>
              <w:bottom w:w="15" w:type="dxa"/>
              <w:right w:w="15" w:type="dxa"/>
            </w:tcMar>
            <w:vAlign w:val="center"/>
          </w:tcPr>
          <w:p/>
        </w:tc>
        <w:tc>
          <w:tcPr>
            <w:tcW w:w="197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78" w:type="dxa"/>
            <w:tcBorders/>
            <w:tcMar>
              <w:top w:w="15" w:type="dxa"/>
              <w:left w:w="15" w:type="dxa"/>
              <w:bottom w:w="15" w:type="dxa"/>
              <w:right w:w="15" w:type="dxa"/>
            </w:tcMar>
            <w:vAlign w:val="center"/>
          </w:tcPr>
          <w:p/>
        </w:tc>
        <w:tc>
          <w:tcPr>
            <w:tcW w:w="1320" w:type="dxa"/>
            <w:tcBorders/>
            <w:tcMar>
              <w:top w:w="15" w:type="dxa"/>
              <w:left w:w="15" w:type="dxa"/>
              <w:bottom w:w="15" w:type="dxa"/>
              <w:right w:w="15" w:type="dxa"/>
            </w:tcMar>
            <w:vAlign w:val="center"/>
          </w:tcPr>
          <w:p/>
        </w:tc>
        <w:tc>
          <w:tcPr>
            <w:tcW w:w="5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72" w:type="dxa"/>
            <w:tcBorders/>
            <w:tcMar>
              <w:top w:w="15" w:type="dxa"/>
              <w:left w:w="15" w:type="dxa"/>
              <w:bottom w:w="15" w:type="dxa"/>
              <w:right w:w="15" w:type="dxa"/>
            </w:tcMar>
            <w:vAlign w:val="center"/>
          </w:tcPr>
          <w:p/>
        </w:tc>
        <w:tc>
          <w:tcPr>
            <w:tcW w:w="210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32" w:type="dxa"/>
            <w:tcBorders/>
            <w:tcMar>
              <w:top w:w="15" w:type="dxa"/>
              <w:left w:w="15" w:type="dxa"/>
              <w:bottom w:w="15" w:type="dxa"/>
              <w:right w:w="15" w:type="dxa"/>
            </w:tcMar>
            <w:vAlign w:val="center"/>
          </w:tcPr>
          <w:p/>
        </w:tc>
        <w:tc>
          <w:tcPr>
            <w:tcW w:w="223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1410"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Period</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Total Number of</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Shares</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Purchased</w:t>
            </w:r>
            <w:r>
              <w:rPr>
                <w:rFonts w:ascii="Times New Roman" w:hAnsi="Times New Roman"/>
                <w:b w:val="false"/>
                <w:i w:val="false"/>
                <w:color w:val="000000"/>
                <w:sz w:val="22"/>
              </w:rPr>
              <w:t xml:space="preserve"> </w:t>
            </w:r>
            <w:r>
              <w:rPr>
                <w:rFonts w:ascii="Arial" w:hAnsi="Arial"/>
                <w:b/>
                <w:i w:val="false"/>
                <w:color w:val="000000"/>
                <w:sz w:val="10"/>
              </w:rPr>
              <w:t>(a)</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Average Price </w:t>
            </w:r>
            <w:r>
              <w:br/>
            </w:r>
            <w:r>
              <w:rPr>
                <w:rFonts w:ascii="Arial" w:hAnsi="Arial"/>
                <w:b/>
                <w:i w:val="false"/>
                <w:color w:val="000000"/>
                <w:sz w:val="16"/>
              </w:rPr>
              <w:t xml:space="preserve"> Paid per </w:t>
            </w:r>
            <w:r>
              <w:br/>
            </w:r>
            <w:r>
              <w:rPr>
                <w:rFonts w:ascii="Arial" w:hAnsi="Arial"/>
                <w:b/>
                <w:i w:val="false"/>
                <w:color w:val="000000"/>
                <w:sz w:val="16"/>
              </w:rPr>
              <w:t xml:space="preserve"> Share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i w:val="false"/>
                <w:color w:val="000000"/>
                <w:sz w:val="16"/>
              </w:rPr>
              <w:t xml:space="preserve">Total Number of </w:t>
            </w:r>
            <w:r>
              <w:br/>
            </w:r>
            <w:r>
              <w:rPr>
                <w:rFonts w:ascii="Arial" w:hAnsi="Arial"/>
                <w:b/>
                <w:i w:val="false"/>
                <w:color w:val="000000"/>
                <w:sz w:val="16"/>
              </w:rPr>
              <w:t xml:space="preserve"> Shares Purchased as </w:t>
            </w:r>
            <w:r>
              <w:br/>
            </w:r>
            <w:r>
              <w:rPr>
                <w:rFonts w:ascii="Arial" w:hAnsi="Arial"/>
                <w:b/>
                <w:i w:val="false"/>
                <w:color w:val="000000"/>
                <w:sz w:val="16"/>
              </w:rPr>
              <w:t xml:space="preserve"> Part of Publicly </w:t>
            </w:r>
            <w:r>
              <w:br/>
            </w:r>
            <w:r>
              <w:rPr>
                <w:rFonts w:ascii="Arial" w:hAnsi="Arial"/>
                <w:b/>
                <w:i w:val="false"/>
                <w:color w:val="000000"/>
                <w:sz w:val="16"/>
              </w:rPr>
              <w:t xml:space="preserve"> Announced Plans or </w:t>
            </w:r>
            <w:r>
              <w:br/>
            </w:r>
            <w:r>
              <w:rPr>
                <w:rFonts w:ascii="Arial" w:hAnsi="Arial"/>
                <w:b/>
                <w:i w:val="false"/>
                <w:color w:val="000000"/>
                <w:sz w:val="16"/>
              </w:rPr>
              <w:t xml:space="preserve"> Programs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Maximum Number</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of Shares That May</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Yet Be Purchased</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Under the Plans or</w:t>
            </w:r>
            <w:r>
              <w:rPr>
                <w:rFonts w:ascii="Times New Roman" w:hAnsi="Times New Roman"/>
                <w:b w:val="false"/>
                <w:i w:val="false"/>
                <w:color w:val="000000"/>
                <w:sz w:val="22"/>
              </w:rPr>
              <w:t xml:space="preserve"> </w:t>
            </w:r>
          </w:p>
          <w:p>
            <w:pPr>
              <w:spacing w:before="0" w:after="0"/>
              <w:ind w:left="140"/>
              <w:jc w:val="center"/>
            </w:pPr>
            <w:r>
              <w:rPr>
                <w:rFonts w:ascii="Times New Roman" w:hAnsi="Times New Roman"/>
                <w:b w:val="false"/>
                <w:i w:val="false"/>
                <w:color w:val="000000"/>
                <w:sz w:val="22"/>
              </w:rPr>
              <w:t xml:space="preserve"> </w:t>
            </w:r>
            <w:r>
              <w:rPr>
                <w:rFonts w:ascii="Arial" w:hAnsi="Arial"/>
                <w:b/>
                <w:i w:val="false"/>
                <w:color w:val="000000"/>
                <w:sz w:val="16"/>
              </w:rPr>
              <w:t>Programs</w:t>
            </w:r>
            <w:r>
              <w:rPr>
                <w:rFonts w:ascii="Times New Roman" w:hAnsi="Times New Roman"/>
                <w:b w:val="false"/>
                <w:i w:val="false"/>
                <w:color w:val="000000"/>
                <w:sz w:val="22"/>
              </w:rPr>
              <w:t xml:space="preserve"> </w:t>
            </w:r>
            <w:r>
              <w:rPr>
                <w:rFonts w:ascii="Arial" w:hAnsi="Arial"/>
                <w:b/>
                <w:i w:val="false"/>
                <w:color w:val="000000"/>
                <w:sz w:val="10"/>
              </w:rPr>
              <w:t>(b)</w:t>
            </w:r>
            <w:r>
              <w:rPr>
                <w:rFonts w:ascii="Times New Roman" w:hAnsi="Times New Roman"/>
                <w:b w:val="false"/>
                <w:i w:val="false"/>
                <w:color w:val="000000"/>
                <w:sz w:val="22"/>
              </w:rPr>
              <w:t xml:space="preserve"> </w:t>
            </w: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April 1, 2025 to April 30, 2025</w:t>
            </w:r>
            <w:r>
              <w:rPr>
                <w:rFonts w:ascii="Times New Roman" w:hAnsi="Times New Roman"/>
                <w:b w:val="false"/>
                <w:i w:val="false"/>
                <w:color w:val="000000"/>
                <w:sz w:val="22"/>
              </w:rPr>
              <w:t xml:space="preserve"> </w:t>
            </w: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2,825,600 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8" w:type="dxa"/>
            <w:tcBorders>
              <w:top w:val="single" w:color="000000" w:sz="11"/>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0" w:type="dxa"/>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28.31 </w:t>
            </w:r>
            <w:r>
              <w:rPr>
                <w:rFonts w:ascii="Times New Roman" w:hAnsi="Times New Roman"/>
                <w:b w:val="false"/>
                <w:i w:val="false"/>
                <w:color w:val="000000"/>
                <w:sz w:val="22"/>
              </w:rPr>
              <w:t xml:space="preserve"> </w:t>
            </w:r>
          </w:p>
        </w:tc>
        <w:tc>
          <w:tcPr>
            <w:tcW w:w="5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2,825,600 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top w:val="single" w:color="000000" w:sz="11"/>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27,136,463 </w:t>
            </w:r>
            <w:r>
              <w:rPr>
                <w:rFonts w:ascii="Times New Roman" w:hAnsi="Times New Roman"/>
                <w:b w:val="false"/>
                <w:i w:val="false"/>
                <w:color w:val="000000"/>
                <w:sz w:val="22"/>
              </w:rPr>
              <w:t xml:space="preserve"> </w:t>
            </w:r>
          </w:p>
        </w:tc>
        <w:tc>
          <w:tcPr>
            <w:tcW w:w="40" w:type="dxa"/>
            <w:tcBorders>
              <w:top w:val="single" w:color="000000" w:sz="11"/>
            </w:tcBorders>
            <w:shd w:fill="cceeff"/>
            <w:tcMar>
              <w:top w:w="30" w:type="dxa"/>
              <w:left w:w="15" w:type="dxa"/>
              <w:bottom w:w="30" w:type="dxa"/>
              <w:right w:w="15" w:type="dxa"/>
            </w:tcMar>
            <w:vAlign w:val="bottom"/>
          </w:tcPr>
          <w:p/>
        </w:tc>
      </w:tr>
      <w:tr>
        <w:trPr>
          <w:trHeight w:val="315" w:hRule="atLeast"/>
        </w:trPr>
        <w:tc>
          <w:tcPr>
            <w:tcW w:w="0" w:type="auto"/>
            <w:gridSpan w:val="3"/>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May 1, 2025 to May 31, 2025</w:t>
            </w:r>
            <w:r>
              <w:rPr>
                <w:rFonts w:ascii="Times New Roman" w:hAnsi="Times New Roman"/>
                <w:b w:val="false"/>
                <w:i w:val="false"/>
                <w:color w:val="000000"/>
                <w:sz w:val="22"/>
              </w:rPr>
              <w:t xml:space="preserve"> </w:t>
            </w: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3,988,600 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30.08 </w:t>
            </w:r>
            <w:r>
              <w:rPr>
                <w:rFonts w:ascii="Times New Roman" w:hAnsi="Times New Roman"/>
                <w:b w:val="false"/>
                <w:i w:val="false"/>
                <w:color w:val="000000"/>
                <w:sz w:val="22"/>
              </w:rPr>
              <w:t xml:space="preserve">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3,988,600 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20,688,148 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r>
        <w:trPr>
          <w:trHeight w:val="330" w:hRule="atLeast"/>
        </w:trPr>
        <w:tc>
          <w:tcPr>
            <w:tcW w:w="0" w:type="auto"/>
            <w:gridSpan w:val="3"/>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June 1, 2025 to June 30, 2025</w:t>
            </w:r>
            <w:r>
              <w:rPr>
                <w:rFonts w:ascii="Times New Roman" w:hAnsi="Times New Roman"/>
                <w:b w:val="false"/>
                <w:i w:val="false"/>
                <w:color w:val="000000"/>
                <w:sz w:val="22"/>
              </w:rPr>
              <w:t xml:space="preserve"> </w:t>
            </w: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1,461,428 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178" w:type="dxa"/>
            <w:tcBorders/>
            <w:shd w:fill="ccee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0" w:type="dxa"/>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34.25 </w:t>
            </w:r>
            <w:r>
              <w:rPr>
                <w:rFonts w:ascii="Times New Roman" w:hAnsi="Times New Roman"/>
                <w:b w:val="false"/>
                <w:i w:val="false"/>
                <w:color w:val="000000"/>
                <w:sz w:val="22"/>
              </w:rPr>
              <w:t xml:space="preserve"> </w:t>
            </w:r>
          </w:p>
        </w:tc>
        <w:tc>
          <w:tcPr>
            <w:tcW w:w="5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1,461,428 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c>
          <w:tcPr>
            <w:tcW w:w="0" w:type="auto"/>
            <w:gridSpan w:val="3"/>
            <w:tcBorders/>
            <w:shd w:fill="cceeff"/>
            <w:tcMar>
              <w:top w:w="15" w:type="dxa"/>
              <w:left w:w="15" w:type="dxa"/>
              <w:bottom w:w="15" w:type="dxa"/>
              <w:right w:w="15" w:type="dxa"/>
            </w:tcMar>
            <w:vAlign w:val="center"/>
          </w:tcPr>
          <w:p/>
        </w:tc>
        <w:tc>
          <w:tcPr>
            <w:tcW w:w="0" w:type="auto"/>
            <w:gridSpan w:val="2"/>
            <w:tcBorders/>
            <w:shd w:fill="ccee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17,258,226 </w:t>
            </w:r>
            <w:r>
              <w:rPr>
                <w:rFonts w:ascii="Times New Roman" w:hAnsi="Times New Roman"/>
                <w:b w:val="false"/>
                <w:i w:val="false"/>
                <w:color w:val="000000"/>
                <w:sz w:val="22"/>
              </w:rPr>
              <w:t xml:space="preserve"> </w:t>
            </w:r>
          </w:p>
        </w:tc>
        <w:tc>
          <w:tcPr>
            <w:tcW w:w="40" w:type="dxa"/>
            <w:tcBorders/>
            <w:shd w:fill="cceeff"/>
            <w:tcMar>
              <w:top w:w="30" w:type="dxa"/>
              <w:left w:w="15" w:type="dxa"/>
              <w:bottom w:w="30" w:type="dxa"/>
              <w:right w:w="15" w:type="dxa"/>
            </w:tcMar>
            <w:vAlign w:val="bottom"/>
          </w:tcPr>
          <w:p/>
        </w:tc>
      </w:tr>
      <w:tr>
        <w:trPr>
          <w:trHeight w:val="360" w:hRule="atLeast"/>
        </w:trPr>
        <w:tc>
          <w:tcPr>
            <w:tcW w:w="0" w:type="auto"/>
            <w:gridSpan w:val="3"/>
            <w:tcBorders/>
            <w:shd w:fill="ffffff"/>
            <w:tcMar>
              <w:top w:w="30" w:type="dxa"/>
              <w:left w:w="28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Total</w:t>
            </w:r>
            <w:r>
              <w:rPr>
                <w:rFonts w:ascii="Times New Roman" w:hAnsi="Times New Roman"/>
                <w:b w:val="false"/>
                <w:i w:val="false"/>
                <w:color w:val="000000"/>
                <w:sz w:val="22"/>
              </w:rPr>
              <w:t xml:space="preserve"> </w:t>
            </w: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8,275,628 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178" w:type="dxa"/>
            <w:tcBorders/>
            <w:shd w:fill="ffffff"/>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1320" w:type="dxa"/>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30.21 </w:t>
            </w:r>
            <w:r>
              <w:rPr>
                <w:rFonts w:ascii="Times New Roman" w:hAnsi="Times New Roman"/>
                <w:b w:val="false"/>
                <w:i w:val="false"/>
                <w:color w:val="000000"/>
                <w:sz w:val="22"/>
              </w:rPr>
              <w:t xml:space="preserve"> </w:t>
            </w:r>
          </w:p>
        </w:tc>
        <w:tc>
          <w:tcPr>
            <w:tcW w:w="50" w:type="dxa"/>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top w:val="single" w:color="000000" w:sz="11"/>
              <w:bottom w:val="double" w:color="000000" w:sz="11"/>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8,275,628 </w:t>
            </w:r>
            <w:r>
              <w:rPr>
                <w:rFonts w:ascii="Times New Roman" w:hAnsi="Times New Roman"/>
                <w:b w:val="false"/>
                <w:i w:val="false"/>
                <w:color w:val="000000"/>
                <w:sz w:val="22"/>
              </w:rPr>
              <w:t xml:space="preserve"> </w:t>
            </w:r>
          </w:p>
        </w:tc>
        <w:tc>
          <w:tcPr>
            <w:tcW w:w="40" w:type="dxa"/>
            <w:tcBorders>
              <w:top w:val="single" w:color="000000" w:sz="11"/>
              <w:bottom w:val="double" w:color="000000" w:sz="11"/>
            </w:tcBorders>
            <w:shd w:fill="ffffff"/>
            <w:tcMar>
              <w:top w:w="30" w:type="dxa"/>
              <w:left w:w="15" w:type="dxa"/>
              <w:bottom w:w="30" w:type="dxa"/>
              <w:right w:w="15" w:type="dxa"/>
            </w:tcMar>
            <w:vAlign w:val="bottom"/>
          </w:tcPr>
          <w:p/>
        </w:tc>
        <w:tc>
          <w:tcPr>
            <w:tcW w:w="0" w:type="auto"/>
            <w:gridSpan w:val="3"/>
            <w:tcBorders/>
            <w:shd w:fill="ffffff"/>
            <w:tcMar>
              <w:top w:w="15" w:type="dxa"/>
              <w:left w:w="15" w:type="dxa"/>
              <w:bottom w:w="15" w:type="dxa"/>
              <w:right w:w="15" w:type="dxa"/>
            </w:tcMar>
            <w:vAlign w:val="center"/>
          </w:tcPr>
          <w:p/>
        </w:tc>
        <w:tc>
          <w:tcPr>
            <w:tcW w:w="0" w:type="auto"/>
            <w:gridSpan w:val="2"/>
            <w:tcBorders/>
            <w:shd w:fill="ffffff"/>
            <w:tcMar>
              <w:top w:w="30" w:type="dxa"/>
              <w:left w:w="15" w:type="dxa"/>
              <w:bottom w:w="30" w:type="dxa"/>
              <w:right w:w="15" w:type="dxa"/>
            </w:tcMar>
            <w:vAlign w:val="bottom"/>
          </w:tcPr>
          <w:p>
            <w:pPr>
              <w:spacing w:before="0" w:after="0"/>
              <w:ind w:left="0"/>
              <w:jc w:val="right"/>
            </w:pPr>
            <w:r>
              <w:rPr>
                <w:rFonts w:ascii="Times New Roman" w:hAnsi="Times New Roman"/>
                <w:b w:val="false"/>
                <w:i w:val="false"/>
                <w:color w:val="000000"/>
                <w:sz w:val="22"/>
              </w:rPr>
              <w:t xml:space="preserve"> </w:t>
            </w:r>
            <w:r>
              <w:rPr>
                <w:rFonts w:ascii="Arial" w:hAnsi="Arial"/>
                <w:b w:val="false"/>
                <w:i w:val="false"/>
                <w:color w:val="000000"/>
                <w:sz w:val="16"/>
              </w:rPr>
              <w:t>17,258,226 </w:t>
            </w:r>
            <w:r>
              <w:rPr>
                <w:rFonts w:ascii="Times New Roman" w:hAnsi="Times New Roman"/>
                <w:b w:val="false"/>
                <w:i w:val="false"/>
                <w:color w:val="000000"/>
                <w:sz w:val="22"/>
              </w:rPr>
              <w:t xml:space="preserve"> </w:t>
            </w:r>
          </w:p>
        </w:tc>
        <w:tc>
          <w:tcPr>
            <w:tcW w:w="40" w:type="dxa"/>
            <w:tcBorders/>
            <w:shd w:fill="ffffff"/>
            <w:tcMar>
              <w:top w:w="30" w:type="dxa"/>
              <w:left w:w="15" w:type="dxa"/>
              <w:bottom w:w="30" w:type="dxa"/>
              <w:right w:w="15" w:type="dxa"/>
            </w:tcMar>
            <w:vAlign w:val="bottom"/>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pBdr>
          <w:left w:space="13"/>
        </w:pBdr>
        <w:spacing w:before="0" w:after="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(a)</w:t>
      </w:r>
      <w:r>
        <w:rPr>
          <w:rFonts w:ascii="Times New Roman" w:hAnsi="Times New Roman"/>
          <w:b w:val="false"/>
          <w:i w:val="false"/>
          <w:color w:val="000000"/>
          <w:sz w:val="22"/>
        </w:rPr>
        <w:t xml:space="preserve"> </w:t>
      </w:r>
      <w:r>
        <w:rPr>
          <w:rFonts w:ascii="Arial" w:hAnsi="Arial"/>
          <w:b w:val="false"/>
          <w:i w:val="false"/>
          <w:color w:val="000000"/>
          <w:sz w:val="16"/>
        </w:rPr>
        <w:t>In October 2024, the Board of Directors authorized an additional $1.0 billion in share repurchases, increasing the Company’s total authorization under our share repurchase program to $1.8 billion of outstanding ordinary shares. For the three months ended June 30, 2025, we repurchased 8,275,628 shares for a total cost of $250.1 million at an average price of $30.21 per share.</w:t>
      </w:r>
      <w:r>
        <w:rPr>
          <w:rFonts w:ascii="Times New Roman" w:hAnsi="Times New Roman"/>
          <w:b w:val="false"/>
          <w:i w:val="false"/>
          <w:color w:val="000000"/>
          <w:sz w:val="22"/>
        </w:rPr>
        <w:t xml:space="preserve"> </w:t>
      </w:r>
    </w:p>
    <w:p>
      <w:pPr>
        <w:spacing w:before="0" w:after="0"/>
        <w:ind w:left="120"/>
        <w:jc w:val="left"/>
      </w:pPr>
    </w:p>
    <w:p>
      <w:pPr>
        <w:pBdr>
          <w:left w:space="13"/>
        </w:pBdr>
        <w:spacing w:before="0" w:after="180"/>
        <w:ind w:left="480"/>
        <w:jc w:val="left"/>
      </w:pPr>
      <w:r>
        <w:rPr>
          <w:rFonts w:ascii="Times New Roman" w:hAnsi="Times New Roman"/>
          <w:b w:val="false"/>
          <w:i w:val="false"/>
          <w:color w:val="000000"/>
          <w:sz w:val="22"/>
        </w:rPr>
        <w:t xml:space="preserve"> </w:t>
      </w:r>
      <w:r>
        <w:rPr>
          <w:rFonts w:ascii="Arial" w:hAnsi="Arial"/>
          <w:b w:val="false"/>
          <w:i w:val="false"/>
          <w:color w:val="000000"/>
          <w:sz w:val="16"/>
        </w:rPr>
        <w:t>(b)</w:t>
      </w:r>
      <w:r>
        <w:rPr>
          <w:rFonts w:ascii="Times New Roman" w:hAnsi="Times New Roman"/>
          <w:b w:val="false"/>
          <w:i w:val="false"/>
          <w:color w:val="000000"/>
          <w:sz w:val="22"/>
        </w:rPr>
        <w:t xml:space="preserve"> </w:t>
      </w:r>
      <w:r>
        <w:rPr>
          <w:rFonts w:ascii="Arial" w:hAnsi="Arial"/>
          <w:b w:val="false"/>
          <w:i w:val="false"/>
          <w:color w:val="000000"/>
          <w:sz w:val="16"/>
        </w:rPr>
        <w:t>Based upon the remaining repurchase authority and the closing stock price as of the last trading date of the respective period.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bookmarkStart w:name="if5bce3d3882148cf91b6563d87cc4db5_196" w:id="1639"/>
    <w:p>
      <w:pPr>
        <w:spacing w:before="0" w:after="0"/>
        <w:ind w:left="120"/>
        <w:jc w:val="left"/>
      </w:pPr>
    </w:p>
    <w:bookmarkEnd w:id="1639"/>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3. DEFAULTS UPON SENIOR SECURITIES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None.</w:t>
      </w:r>
      <w:r>
        <w:rPr>
          <w:rFonts w:ascii="Times New Roman" w:hAnsi="Times New Roman"/>
          <w:b w:val="false"/>
          <w:i w:val="false"/>
          <w:color w:val="000000"/>
          <w:sz w:val="22"/>
        </w:rPr>
        <w:t xml:space="preserve"> </w:t>
      </w:r>
    </w:p>
    <w:p>
      <w:pPr>
        <w:spacing w:before="0" w:after="0"/>
        <w:ind w:left="120"/>
        <w:jc w:val="left"/>
      </w:pPr>
    </w:p>
    <w:bookmarkStart w:name="if5bce3d3882148cf91b6563d87cc4db5_199" w:id="1640"/>
    <w:p>
      <w:pPr>
        <w:spacing w:before="0" w:after="0"/>
        <w:ind w:left="120"/>
        <w:jc w:val="left"/>
      </w:pPr>
    </w:p>
    <w:bookmarkEnd w:id="1640"/>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4. MINE SAFETY DISCLOSURES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None.</w:t>
      </w:r>
      <w:r>
        <w:rPr>
          <w:rFonts w:ascii="Times New Roman" w:hAnsi="Times New Roman"/>
          <w:b w:val="false"/>
          <w:i w:val="false"/>
          <w:color w:val="000000"/>
          <w:sz w:val="22"/>
        </w:rPr>
        <w:t xml:space="preserve"> </w:t>
      </w:r>
    </w:p>
    <w:p>
      <w:pPr>
        <w:spacing w:before="0" w:after="0"/>
        <w:ind w:left="120"/>
        <w:jc w:val="left"/>
      </w:pPr>
    </w:p>
    <w:bookmarkStart w:name="if5bce3d3882148cf91b6563d87cc4db5_202" w:id="1641"/>
    <w:p>
      <w:pPr>
        <w:spacing w:before="0" w:after="0"/>
        <w:ind w:left="120"/>
        <w:jc w:val="left"/>
      </w:pPr>
    </w:p>
    <w:bookmarkEnd w:id="1641"/>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5. OTHER INFORMATION</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39</w:t>
      </w:r>
      <w:r>
        <w:rPr>
          <w:rFonts w:ascii="Times New Roman" w:hAnsi="Times New Roman"/>
          <w:b w:val="false"/>
          <w:i w:val="false"/>
          <w:color w:val="000000"/>
          <w:sz w:val="22"/>
        </w:rPr>
        <w:t xml:space="preserve"> </w:t>
      </w:r>
    </w:p>
    <w:p>
      <w:pPr>
        <w:spacing w:before="0" w:after="0"/>
        <w:ind w:left="120"/>
        <w:jc w:val="left"/>
      </w:pPr>
    </w:p>
    <w:bookmarkStart w:name="if5bce3d3882148cf91b6563d87cc4db5_205" w:id="1642"/>
    <w:p>
      <w:pPr>
        <w:spacing w:before="0" w:after="0"/>
        <w:ind w:left="120"/>
        <w:jc w:val="left"/>
      </w:pPr>
    </w:p>
    <w:bookmarkEnd w:id="1642"/>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80" w:after="18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color w:val="000000"/>
          <w:sz w:val="20"/>
          <w:shd w:fill="ffffff"/>
        </w:rPr>
        <w:t xml:space="preserve">Rule 10b5-1 and Non-Rule 10b5-1 </w:t>
      </w:r>
      <w:bookmarkStart w:name="f-1362" w:id="1643"/>
      <w:bookmarkEnd w:id="1643"/>
      <w:bookmarkStart w:name="f-1363" w:id="1644"/>
      <w:bookmarkEnd w:id="1644"/>
      <w:bookmarkStart w:name="f-1364" w:id="1645"/>
      <w:r>
        <w:rPr>
          <w:rFonts w:ascii="Arial" w:hAnsi="Arial"/>
          <w:b w:val="false"/>
          <w:i/>
          <w:color w:val="000000"/>
          <w:sz w:val="20"/>
        </w:rPr>
        <w:t>Trading Arrangements</w:t>
      </w:r>
      <w:bookmarkEnd w:id="1645"/>
      <w:bookmarkStart w:name="f-1363" w:id="1646"/>
      <w:r>
        <w:rPr>
          <w:rFonts w:ascii="Arial" w:hAnsi="Arial"/>
          <w:b w:val="false"/>
          <w:i/>
          <w:color w:val="000000"/>
          <w:sz w:val="20"/>
        </w:rPr>
        <w:t xml:space="preserve"> </w:t>
      </w:r>
      <w:bookmarkEnd w:id="1646"/>
      <w:bookmarkStart w:name="f-1362" w:id="1647"/>
      <w:bookmarkEnd w:id="1647"/>
    </w:p>
    <w:p>
      <w:pPr>
        <w:spacing w:before="0" w:after="0"/>
        <w:ind w:left="120"/>
        <w:jc w:val="left"/>
      </w:pPr>
      <w:bookmarkStart w:name="f-1365" w:id="1648"/>
      <w:bookmarkEnd w:id="1648"/>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During the three months ended June 30, 2025, certain of our directors or officers adopted Rule 10b5-1 trading arrangements (each, a “Rule 10b5-1 Plan”). Rule 10b5-1 Plans allow our directors or officers to transact in Company equity pursuant to a non-discretionary written plan adopted at a time when the director or officer is not in possession of material, nonpublic information and require a waiting period of at least 90 days prior to the first trade.</w:t>
      </w:r>
      <w:r>
        <w:rPr>
          <w:rFonts w:ascii="Times New Roman" w:hAnsi="Times New Roman"/>
          <w:b w:val="false"/>
          <w:i w:val="false"/>
          <w:color w:val="000000"/>
          <w:sz w:val="22"/>
        </w:rPr>
        <w:t xml:space="preserve"> </w:t>
      </w:r>
    </w:p>
    <w:p>
      <w:pPr>
        <w:spacing w:before="0" w:after="0"/>
        <w:ind w:left="120"/>
        <w:jc w:val="left"/>
      </w:pPr>
      <w:bookmarkStart w:name="f-1365" w:id="1649"/>
      <w:bookmarkEnd w:id="1649"/>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39"/>
        <w:gridCol w:w="2157"/>
        <w:gridCol w:w="442"/>
        <w:gridCol w:w="40"/>
        <w:gridCol w:w="40"/>
        <w:gridCol w:w="40"/>
        <w:gridCol w:w="263"/>
        <w:gridCol w:w="683"/>
        <w:gridCol w:w="266"/>
        <w:gridCol w:w="40"/>
        <w:gridCol w:w="40"/>
        <w:gridCol w:w="40"/>
        <w:gridCol w:w="318"/>
        <w:gridCol w:w="704"/>
        <w:gridCol w:w="318"/>
        <w:gridCol w:w="40"/>
        <w:gridCol w:w="40"/>
        <w:gridCol w:w="40"/>
        <w:gridCol w:w="199"/>
        <w:gridCol w:w="575"/>
        <w:gridCol w:w="200"/>
        <w:gridCol w:w="40"/>
        <w:gridCol w:w="40"/>
        <w:gridCol w:w="40"/>
        <w:gridCol w:w="199"/>
        <w:gridCol w:w="575"/>
        <w:gridCol w:w="200"/>
        <w:gridCol w:w="40"/>
        <w:gridCol w:w="40"/>
        <w:gridCol w:w="40"/>
        <w:gridCol w:w="345"/>
        <w:gridCol w:w="964"/>
        <w:gridCol w:w="346"/>
        <w:gridCol w:w="40"/>
        <w:gridCol w:w="40"/>
        <w:gridCol w:w="40"/>
        <w:gridCol w:w="333"/>
        <w:gridCol w:w="1704"/>
        <w:gridCol w:w="334"/>
        <w:gridCol w:w="40"/>
        <w:gridCol w:w="40"/>
        <w:gridCol w:w="40"/>
        <w:gridCol w:w="306"/>
        <w:gridCol w:w="617"/>
        <w:gridCol w:w="307"/>
      </w:tblGrid>
      <w:tr>
        <w:trPr>
          <w:trHeight w:val="30" w:hRule="atLeast"/>
        </w:trPr>
        <w:tc>
          <w:tcPr>
            <w:tcW w:w="439" w:type="dxa"/>
            <w:tcBorders/>
            <w:tcMar>
              <w:top w:w="15" w:type="dxa"/>
              <w:left w:w="15" w:type="dxa"/>
              <w:bottom w:w="15" w:type="dxa"/>
              <w:right w:w="15" w:type="dxa"/>
            </w:tcMar>
            <w:vAlign w:val="center"/>
          </w:tcPr>
          <w:p/>
        </w:tc>
        <w:tc>
          <w:tcPr>
            <w:tcW w:w="2157" w:type="dxa"/>
            <w:tcBorders/>
            <w:tcMar>
              <w:top w:w="15" w:type="dxa"/>
              <w:left w:w="15" w:type="dxa"/>
              <w:bottom w:w="15" w:type="dxa"/>
              <w:right w:w="15" w:type="dxa"/>
            </w:tcMar>
            <w:vAlign w:val="center"/>
          </w:tcPr>
          <w:p/>
        </w:tc>
        <w:tc>
          <w:tcPr>
            <w:tcW w:w="44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263" w:type="dxa"/>
            <w:tcBorders/>
            <w:tcMar>
              <w:top w:w="15" w:type="dxa"/>
              <w:left w:w="15" w:type="dxa"/>
              <w:bottom w:w="15" w:type="dxa"/>
              <w:right w:w="15" w:type="dxa"/>
            </w:tcMar>
            <w:vAlign w:val="center"/>
          </w:tcPr>
          <w:p/>
        </w:tc>
        <w:tc>
          <w:tcPr>
            <w:tcW w:w="683" w:type="dxa"/>
            <w:tcBorders/>
            <w:tcMar>
              <w:top w:w="15" w:type="dxa"/>
              <w:left w:w="15" w:type="dxa"/>
              <w:bottom w:w="15" w:type="dxa"/>
              <w:right w:w="15" w:type="dxa"/>
            </w:tcMar>
            <w:vAlign w:val="center"/>
          </w:tcPr>
          <w:p/>
        </w:tc>
        <w:tc>
          <w:tcPr>
            <w:tcW w:w="26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c>
          <w:tcPr>
            <w:tcW w:w="704" w:type="dxa"/>
            <w:tcBorders/>
            <w:tcMar>
              <w:top w:w="15" w:type="dxa"/>
              <w:left w:w="15" w:type="dxa"/>
              <w:bottom w:w="15" w:type="dxa"/>
              <w:right w:w="15" w:type="dxa"/>
            </w:tcMar>
            <w:vAlign w:val="center"/>
          </w:tcPr>
          <w:p/>
        </w:tc>
        <w:tc>
          <w:tcPr>
            <w:tcW w:w="31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99" w:type="dxa"/>
            <w:tcBorders/>
            <w:tcMar>
              <w:top w:w="15" w:type="dxa"/>
              <w:left w:w="15" w:type="dxa"/>
              <w:bottom w:w="15" w:type="dxa"/>
              <w:right w:w="15" w:type="dxa"/>
            </w:tcMar>
            <w:vAlign w:val="center"/>
          </w:tcPr>
          <w:p/>
        </w:tc>
        <w:tc>
          <w:tcPr>
            <w:tcW w:w="575" w:type="dxa"/>
            <w:tcBorders/>
            <w:tcMar>
              <w:top w:w="15" w:type="dxa"/>
              <w:left w:w="15" w:type="dxa"/>
              <w:bottom w:w="15" w:type="dxa"/>
              <w:right w:w="15" w:type="dxa"/>
            </w:tcMar>
            <w:vAlign w:val="center"/>
          </w:tcPr>
          <w:p/>
        </w:tc>
        <w:tc>
          <w:tcPr>
            <w:tcW w:w="20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99" w:type="dxa"/>
            <w:tcBorders/>
            <w:tcMar>
              <w:top w:w="15" w:type="dxa"/>
              <w:left w:w="15" w:type="dxa"/>
              <w:bottom w:w="15" w:type="dxa"/>
              <w:right w:w="15" w:type="dxa"/>
            </w:tcMar>
            <w:vAlign w:val="center"/>
          </w:tcPr>
          <w:p/>
        </w:tc>
        <w:tc>
          <w:tcPr>
            <w:tcW w:w="575" w:type="dxa"/>
            <w:tcBorders/>
            <w:tcMar>
              <w:top w:w="15" w:type="dxa"/>
              <w:left w:w="15" w:type="dxa"/>
              <w:bottom w:w="15" w:type="dxa"/>
              <w:right w:w="15" w:type="dxa"/>
            </w:tcMar>
            <w:vAlign w:val="center"/>
          </w:tcPr>
          <w:p/>
        </w:tc>
        <w:tc>
          <w:tcPr>
            <w:tcW w:w="20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45" w:type="dxa"/>
            <w:tcBorders/>
            <w:tcMar>
              <w:top w:w="15" w:type="dxa"/>
              <w:left w:w="15" w:type="dxa"/>
              <w:bottom w:w="15" w:type="dxa"/>
              <w:right w:w="15" w:type="dxa"/>
            </w:tcMar>
            <w:vAlign w:val="center"/>
          </w:tcPr>
          <w:p/>
        </w:tc>
        <w:tc>
          <w:tcPr>
            <w:tcW w:w="964" w:type="dxa"/>
            <w:tcBorders/>
            <w:tcMar>
              <w:top w:w="15" w:type="dxa"/>
              <w:left w:w="15" w:type="dxa"/>
              <w:bottom w:w="15" w:type="dxa"/>
              <w:right w:w="15" w:type="dxa"/>
            </w:tcMar>
            <w:vAlign w:val="center"/>
          </w:tcPr>
          <w:p/>
        </w:tc>
        <w:tc>
          <w:tcPr>
            <w:tcW w:w="346"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33" w:type="dxa"/>
            <w:tcBorders/>
            <w:tcMar>
              <w:top w:w="15" w:type="dxa"/>
              <w:left w:w="15" w:type="dxa"/>
              <w:bottom w:w="15" w:type="dxa"/>
              <w:right w:w="15" w:type="dxa"/>
            </w:tcMar>
            <w:vAlign w:val="center"/>
          </w:tcPr>
          <w:p/>
        </w:tc>
        <w:tc>
          <w:tcPr>
            <w:tcW w:w="1704" w:type="dxa"/>
            <w:tcBorders/>
            <w:tcMar>
              <w:top w:w="15" w:type="dxa"/>
              <w:left w:w="15" w:type="dxa"/>
              <w:bottom w:w="15" w:type="dxa"/>
              <w:right w:w="15" w:type="dxa"/>
            </w:tcMar>
            <w:vAlign w:val="center"/>
          </w:tcPr>
          <w:p/>
        </w:tc>
        <w:tc>
          <w:tcPr>
            <w:tcW w:w="33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06" w:type="dxa"/>
            <w:tcBorders/>
            <w:tcMar>
              <w:top w:w="15" w:type="dxa"/>
              <w:left w:w="15" w:type="dxa"/>
              <w:bottom w:w="15" w:type="dxa"/>
              <w:right w:w="15" w:type="dxa"/>
            </w:tcMar>
            <w:vAlign w:val="center"/>
          </w:tcPr>
          <w:p/>
        </w:tc>
        <w:tc>
          <w:tcPr>
            <w:tcW w:w="617" w:type="dxa"/>
            <w:tcBorders/>
            <w:tcMar>
              <w:top w:w="15" w:type="dxa"/>
              <w:left w:w="15" w:type="dxa"/>
              <w:bottom w:w="15" w:type="dxa"/>
              <w:right w:w="15" w:type="dxa"/>
            </w:tcMar>
            <w:vAlign w:val="center"/>
          </w:tcPr>
          <w:p/>
        </w:tc>
        <w:tc>
          <w:tcPr>
            <w:tcW w:w="307"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9"/>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Plans</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1410" w:hRule="atLeast"/>
        </w:trPr>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Name and Title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Action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Adoption Date</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val="false"/>
                <w:i w:val="false"/>
                <w:color w:val="000000"/>
                <w:sz w:val="16"/>
              </w:rPr>
              <w:t>Rule 10b5-1</w:t>
            </w:r>
            <w:r>
              <w:rPr>
                <w:rFonts w:ascii="Times New Roman" w:hAnsi="Times New Roman"/>
                <w:b w:val="false"/>
                <w:i w:val="false"/>
                <w:color w:val="000000"/>
                <w:sz w:val="22"/>
              </w:rPr>
              <w:t xml:space="preserve"> </w:t>
            </w:r>
            <w:r>
              <w:rPr>
                <w:rFonts w:ascii="Arial" w:hAnsi="Arial"/>
                <w:b w:val="false"/>
                <w:i w:val="false"/>
                <w:color w:val="000000"/>
                <w:sz w:val="10"/>
              </w:rPr>
              <w:t>(1)</w:t>
            </w:r>
            <w:r>
              <w:rPr>
                <w:rFonts w:ascii="Times New Roman" w:hAnsi="Times New Roman"/>
                <w:b w:val="false"/>
                <w:i w:val="false"/>
                <w:color w:val="000000"/>
                <w:sz w:val="22"/>
              </w:rPr>
              <w:t xml:space="preserve"> </w:t>
            </w: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140"/>
              <w:jc w:val="center"/>
            </w:pPr>
            <w:r>
              <w:rPr>
                <w:rFonts w:ascii="Times New Roman" w:hAnsi="Times New Roman"/>
                <w:b w:val="false"/>
                <w:i w:val="false"/>
                <w:color w:val="000000"/>
                <w:sz w:val="22"/>
              </w:rPr>
              <w:t xml:space="preserve"> </w:t>
            </w:r>
            <w:r>
              <w:rPr>
                <w:rFonts w:ascii="Arial" w:hAnsi="Arial"/>
                <w:b w:val="false"/>
                <w:i w:val="false"/>
                <w:color w:val="000000"/>
                <w:sz w:val="16"/>
              </w:rPr>
              <w:t>Non-Rule 10b5-1</w:t>
            </w:r>
            <w:r>
              <w:rPr>
                <w:rFonts w:ascii="Times New Roman" w:hAnsi="Times New Roman"/>
                <w:b w:val="false"/>
                <w:i w:val="false"/>
                <w:color w:val="000000"/>
                <w:sz w:val="22"/>
              </w:rPr>
              <w:t xml:space="preserve"> </w:t>
            </w:r>
            <w:r>
              <w:rPr>
                <w:rFonts w:ascii="Arial" w:hAnsi="Arial"/>
                <w:b w:val="false"/>
                <w:i w:val="false"/>
                <w:color w:val="000000"/>
                <w:sz w:val="10"/>
              </w:rPr>
              <w:t>(2)</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Maximum Number of Ordinary Shares to be Sold</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Expiration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6"/>
              </w:rPr>
              <w:t>Duration (in days)</w:t>
            </w:r>
            <w:r>
              <w:rPr>
                <w:rFonts w:ascii="Times New Roman" w:hAnsi="Times New Roman"/>
                <w:b w:val="false"/>
                <w:i w:val="false"/>
                <w:color w:val="000000"/>
                <w:sz w:val="22"/>
              </w:rPr>
              <w:t xml:space="preserve"> </w:t>
            </w:r>
          </w:p>
        </w:tc>
      </w:tr>
      <w:tr>
        <w:trPr>
          <w:trHeight w:val="1140" w:hRule="atLeast"/>
        </w:trPr>
        <w:tc>
          <w:tcPr>
            <w:tcW w:w="0" w:type="auto"/>
            <w:gridSpan w:val="3"/>
            <w:tcBorders>
              <w:top w:val="single" w:color="000000" w:sz="11"/>
            </w:tcBorders>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1366" w:id="1650"/>
            <w:r>
              <w:rPr>
                <w:rFonts w:ascii="Arial" w:hAnsi="Arial"/>
                <w:b w:val="false"/>
                <w:i w:val="false"/>
                <w:color w:val="000000"/>
                <w:sz w:val="16"/>
              </w:rPr>
              <w:t>Douglas J. Pferdehirt</w:t>
            </w:r>
            <w:bookmarkEnd w:id="1650"/>
            <w:r>
              <w:rPr>
                <w:rFonts w:ascii="Arial" w:hAnsi="Arial"/>
                <w:b w:val="false"/>
                <w:i w:val="false"/>
                <w:color w:val="000000"/>
                <w:sz w:val="16"/>
              </w:rPr>
              <w:t xml:space="preserve"> </w:t>
            </w:r>
          </w:p>
          <w:p>
            <w:pPr>
              <w:spacing w:before="0" w:after="0"/>
              <w:ind w:left="140"/>
              <w:jc w:val="left"/>
            </w:pPr>
            <w:r>
              <w:rPr>
                <w:rFonts w:ascii="Times New Roman" w:hAnsi="Times New Roman"/>
                <w:b w:val="false"/>
                <w:i w:val="false"/>
                <w:color w:val="000000"/>
                <w:sz w:val="22"/>
              </w:rPr>
              <w:t xml:space="preserve"> </w:t>
            </w:r>
            <w:bookmarkStart w:name="f-1367" w:id="1651"/>
            <w:r>
              <w:rPr>
                <w:rFonts w:ascii="Arial" w:hAnsi="Arial"/>
                <w:b w:val="false"/>
                <w:i w:val="false"/>
                <w:color w:val="000000"/>
                <w:sz w:val="16"/>
              </w:rPr>
              <w:t>Chair and Chief Executive Officer</w:t>
            </w:r>
            <w:bookmarkEnd w:id="1651"/>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Adoption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68" w:id="1652"/>
            <w:r>
              <w:rPr>
                <w:rFonts w:ascii="Arial" w:hAnsi="Arial"/>
                <w:b w:val="false"/>
                <w:i w:val="false"/>
                <w:color w:val="000000"/>
                <w:sz w:val="14"/>
              </w:rPr>
              <w:t>6/23/2025</w:t>
            </w:r>
            <w:bookmarkEnd w:id="1652"/>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69" w:id="1653"/>
            <w:r>
              <w:rPr>
                <w:rFonts w:ascii="Arial" w:hAnsi="Arial"/>
                <w:b w:val="false"/>
                <w:i w:val="false"/>
                <w:color w:val="000000"/>
                <w:sz w:val="16"/>
              </w:rPr>
              <w:t>X</w:t>
            </w:r>
            <w:bookmarkEnd w:id="1653"/>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140"/>
              <w:jc w:val="center"/>
            </w:pPr>
            <w:r>
              <w:rPr>
                <w:rFonts w:ascii="Times New Roman" w:hAnsi="Times New Roman"/>
                <w:b w:val="false"/>
                <w:i w:val="false"/>
                <w:color w:val="000000"/>
                <w:sz w:val="22"/>
              </w:rPr>
              <w:t xml:space="preserve"> </w:t>
            </w:r>
            <w:bookmarkStart w:name="f-1370" w:id="1654"/>
            <w:r>
              <w:rPr>
                <w:rFonts w:ascii="Arial" w:hAnsi="Arial"/>
                <w:b w:val="false"/>
                <w:i w:val="false"/>
                <w:color w:val="000000"/>
                <w:sz w:val="14"/>
              </w:rPr>
              <w:t>632,539</w:t>
            </w:r>
            <w:bookmarkEnd w:id="1654"/>
            <w:r>
              <w:rPr>
                <w:rFonts w:ascii="Arial" w:hAnsi="Arial"/>
                <w:b w:val="false"/>
                <w:i w:val="false"/>
                <w:color w:val="000000"/>
                <w:sz w:val="14"/>
              </w:rPr>
              <w:t xml:space="preserve"> (Sale) </w:t>
            </w:r>
          </w:p>
          <w:p>
            <w:pPr>
              <w:spacing w:before="0" w:after="0"/>
              <w:ind w:left="140"/>
              <w:jc w:val="center"/>
            </w:pPr>
            <w:r>
              <w:rPr>
                <w:rFonts w:ascii="Times New Roman" w:hAnsi="Times New Roman"/>
                <w:b w:val="false"/>
                <w:i w:val="false"/>
                <w:color w:val="000000"/>
                <w:sz w:val="22"/>
              </w:rPr>
              <w:t xml:space="preserve"> </w:t>
            </w:r>
            <w:bookmarkStart w:name="f-1371" w:id="1655"/>
            <w:r>
              <w:rPr>
                <w:rFonts w:ascii="Arial" w:hAnsi="Arial"/>
                <w:b w:val="false"/>
                <w:i w:val="false"/>
                <w:color w:val="000000"/>
                <w:sz w:val="14"/>
              </w:rPr>
              <w:t>399,626</w:t>
            </w:r>
            <w:bookmarkEnd w:id="1655"/>
            <w:r>
              <w:rPr>
                <w:rFonts w:ascii="Arial" w:hAnsi="Arial"/>
                <w:b w:val="false"/>
                <w:i w:val="false"/>
                <w:color w:val="000000"/>
                <w:sz w:val="14"/>
              </w:rPr>
              <w:t xml:space="preserve"> (Gift)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4"/>
              </w:rPr>
              <w:t xml:space="preserve">The earlier of (i) the date when all securities under the plan are sold and (ii) </w:t>
            </w:r>
            <w:bookmarkStart w:name="f-1372" w:id="1656"/>
            <w:r>
              <w:rPr>
                <w:rFonts w:ascii="Arial" w:hAnsi="Arial"/>
                <w:b w:val="false"/>
                <w:i w:val="false"/>
                <w:color w:val="000000"/>
                <w:sz w:val="14"/>
              </w:rPr>
              <w:t>June 23, 2026</w:t>
            </w:r>
            <w:bookmarkEnd w:id="1656"/>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73" w:id="1657"/>
            <w:r>
              <w:rPr>
                <w:rFonts w:ascii="Arial" w:hAnsi="Arial"/>
                <w:b w:val="false"/>
                <w:i w:val="false"/>
                <w:color w:val="000000"/>
                <w:sz w:val="14"/>
              </w:rPr>
              <w:t>365</w:t>
            </w:r>
            <w:bookmarkEnd w:id="1657"/>
            <w:r>
              <w:rPr>
                <w:rFonts w:ascii="Arial" w:hAnsi="Arial"/>
                <w:b w:val="false"/>
                <w:i w:val="false"/>
                <w:color w:val="000000"/>
                <w:sz w:val="14"/>
              </w:rPr>
              <w:t xml:space="preserve"> </w:t>
            </w:r>
          </w:p>
        </w:tc>
      </w:tr>
      <w:tr>
        <w:trPr>
          <w:trHeight w:val="1125" w:hRule="atLeast"/>
        </w:trPr>
        <w:tc>
          <w:tcPr>
            <w:tcW w:w="0" w:type="auto"/>
            <w:gridSpan w:val="3"/>
            <w:tcBorders/>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1374" w:id="1658"/>
            <w:r>
              <w:rPr>
                <w:rFonts w:ascii="Arial" w:hAnsi="Arial"/>
                <w:b w:val="false"/>
                <w:i w:val="false"/>
                <w:color w:val="000000"/>
                <w:sz w:val="16"/>
              </w:rPr>
              <w:t>Alf Melin</w:t>
            </w:r>
            <w:bookmarkEnd w:id="1658"/>
            <w:r>
              <w:rPr>
                <w:rFonts w:ascii="Arial" w:hAnsi="Arial"/>
                <w:b w:val="false"/>
                <w:i w:val="false"/>
                <w:color w:val="000000"/>
                <w:sz w:val="16"/>
              </w:rPr>
              <w:t xml:space="preserve"> </w:t>
            </w:r>
          </w:p>
          <w:p>
            <w:pPr>
              <w:spacing w:before="0" w:after="0"/>
              <w:ind w:left="140"/>
              <w:jc w:val="left"/>
            </w:pPr>
            <w:r>
              <w:rPr>
                <w:rFonts w:ascii="Times New Roman" w:hAnsi="Times New Roman"/>
                <w:b w:val="false"/>
                <w:i w:val="false"/>
                <w:color w:val="000000"/>
                <w:sz w:val="22"/>
              </w:rPr>
              <w:t xml:space="preserve"> </w:t>
            </w:r>
            <w:bookmarkStart w:name="f-1375" w:id="1659"/>
            <w:r>
              <w:rPr>
                <w:rFonts w:ascii="Arial" w:hAnsi="Arial"/>
                <w:b w:val="false"/>
                <w:i w:val="false"/>
                <w:color w:val="000000"/>
                <w:sz w:val="16"/>
              </w:rPr>
              <w:t>Executive Vice President and Chief Financial Officer</w:t>
            </w:r>
            <w:bookmarkEnd w:id="1659"/>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Adoption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76" w:id="1660"/>
            <w:r>
              <w:rPr>
                <w:rFonts w:ascii="Arial" w:hAnsi="Arial"/>
                <w:b w:val="false"/>
                <w:i w:val="false"/>
                <w:color w:val="000000"/>
                <w:sz w:val="14"/>
              </w:rPr>
              <w:t>6/23/2025</w:t>
            </w:r>
            <w:bookmarkEnd w:id="1660"/>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77" w:id="1661"/>
            <w:r>
              <w:rPr>
                <w:rFonts w:ascii="Arial" w:hAnsi="Arial"/>
                <w:b w:val="false"/>
                <w:i w:val="false"/>
                <w:color w:val="000000"/>
                <w:sz w:val="16"/>
              </w:rPr>
              <w:t>X</w:t>
            </w:r>
            <w:bookmarkEnd w:id="1661"/>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78" w:id="1662"/>
            <w:r>
              <w:rPr>
                <w:rFonts w:ascii="Arial" w:hAnsi="Arial"/>
                <w:b w:val="false"/>
                <w:i w:val="false"/>
                <w:color w:val="000000"/>
                <w:sz w:val="14"/>
              </w:rPr>
              <w:t>113,760</w:t>
            </w:r>
            <w:bookmarkEnd w:id="1662"/>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4"/>
              </w:rPr>
              <w:t xml:space="preserve">The earlier of (i) the date when all securities under the plan are sold and (ii) </w:t>
            </w:r>
            <w:bookmarkStart w:name="f-1379" w:id="1663"/>
            <w:r>
              <w:rPr>
                <w:rFonts w:ascii="Arial" w:hAnsi="Arial"/>
                <w:b w:val="false"/>
                <w:i w:val="false"/>
                <w:color w:val="000000"/>
                <w:sz w:val="14"/>
              </w:rPr>
              <w:t>June 23, 2026</w:t>
            </w:r>
            <w:bookmarkEnd w:id="1663"/>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80" w:id="1664"/>
            <w:r>
              <w:rPr>
                <w:rFonts w:ascii="Arial" w:hAnsi="Arial"/>
                <w:b w:val="false"/>
                <w:i w:val="false"/>
                <w:color w:val="000000"/>
                <w:sz w:val="14"/>
              </w:rPr>
              <w:t>365</w:t>
            </w:r>
            <w:bookmarkEnd w:id="1664"/>
            <w:r>
              <w:rPr>
                <w:rFonts w:ascii="Arial" w:hAnsi="Arial"/>
                <w:b w:val="false"/>
                <w:i w:val="false"/>
                <w:color w:val="000000"/>
                <w:sz w:val="14"/>
              </w:rPr>
              <w:t xml:space="preserve"> </w:t>
            </w:r>
          </w:p>
        </w:tc>
      </w:tr>
      <w:tr>
        <w:trPr>
          <w:trHeight w:val="1125" w:hRule="atLeast"/>
        </w:trPr>
        <w:tc>
          <w:tcPr>
            <w:tcW w:w="0" w:type="auto"/>
            <w:gridSpan w:val="3"/>
            <w:tcBorders/>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bookmarkStart w:name="f-1381" w:id="1665"/>
            <w:r>
              <w:rPr>
                <w:rFonts w:ascii="Arial" w:hAnsi="Arial"/>
                <w:b w:val="false"/>
                <w:i w:val="false"/>
                <w:color w:val="000000"/>
                <w:sz w:val="16"/>
              </w:rPr>
              <w:t>Thierry Conti</w:t>
            </w:r>
            <w:bookmarkEnd w:id="1665"/>
            <w:r>
              <w:rPr>
                <w:rFonts w:ascii="Arial" w:hAnsi="Arial"/>
                <w:b w:val="false"/>
                <w:i w:val="false"/>
                <w:color w:val="000000"/>
                <w:sz w:val="16"/>
              </w:rPr>
              <w:t xml:space="preserve"> </w:t>
            </w:r>
          </w:p>
          <w:p>
            <w:pPr>
              <w:spacing w:before="0" w:after="0"/>
              <w:ind w:left="140"/>
              <w:jc w:val="left"/>
            </w:pPr>
            <w:r>
              <w:rPr>
                <w:rFonts w:ascii="Times New Roman" w:hAnsi="Times New Roman"/>
                <w:b w:val="false"/>
                <w:i w:val="false"/>
                <w:color w:val="000000"/>
                <w:sz w:val="22"/>
              </w:rPr>
              <w:t xml:space="preserve"> </w:t>
            </w:r>
            <w:bookmarkStart w:name="f-1382" w:id="1666"/>
            <w:r>
              <w:rPr>
                <w:rFonts w:ascii="Arial" w:hAnsi="Arial"/>
                <w:b w:val="false"/>
                <w:i w:val="false"/>
                <w:color w:val="000000"/>
                <w:sz w:val="16"/>
              </w:rPr>
              <w:t>President, Surface Technologies</w:t>
            </w:r>
            <w:bookmarkEnd w:id="1666"/>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4"/>
              </w:rPr>
              <w:t>Adoption</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83" w:id="1667"/>
            <w:r>
              <w:rPr>
                <w:rFonts w:ascii="Arial" w:hAnsi="Arial"/>
                <w:b w:val="false"/>
                <w:i w:val="false"/>
                <w:color w:val="000000"/>
                <w:sz w:val="14"/>
              </w:rPr>
              <w:t>6/23/2025</w:t>
            </w:r>
            <w:bookmarkEnd w:id="1667"/>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84" w:id="1668"/>
            <w:r>
              <w:rPr>
                <w:rFonts w:ascii="Arial" w:hAnsi="Arial"/>
                <w:b w:val="false"/>
                <w:i w:val="false"/>
                <w:color w:val="000000"/>
                <w:sz w:val="16"/>
              </w:rPr>
              <w:t>X</w:t>
            </w:r>
            <w:bookmarkEnd w:id="1668"/>
            <w:r>
              <w:rPr>
                <w:rFonts w:ascii="Arial" w:hAnsi="Arial"/>
                <w:b w:val="false"/>
                <w:i w:val="false"/>
                <w:color w:val="000000"/>
                <w:sz w:val="16"/>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85" w:id="1669"/>
            <w:r>
              <w:rPr>
                <w:rFonts w:ascii="Arial" w:hAnsi="Arial"/>
                <w:b w:val="false"/>
                <w:i w:val="false"/>
                <w:color w:val="000000"/>
                <w:sz w:val="14"/>
              </w:rPr>
              <w:t>50,000</w:t>
            </w:r>
            <w:bookmarkEnd w:id="1669"/>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4"/>
              </w:rPr>
              <w:t xml:space="preserve">The earlier of (i) the date when all securities under the plan are sold and (ii) </w:t>
            </w:r>
            <w:bookmarkStart w:name="f-1386" w:id="1670"/>
            <w:r>
              <w:rPr>
                <w:rFonts w:ascii="Arial" w:hAnsi="Arial"/>
                <w:b w:val="false"/>
                <w:i w:val="false"/>
                <w:color w:val="000000"/>
                <w:sz w:val="14"/>
              </w:rPr>
              <w:t>June 23, 2026</w:t>
            </w:r>
            <w:bookmarkEnd w:id="1670"/>
            <w:r>
              <w:rPr>
                <w:rFonts w:ascii="Arial" w:hAnsi="Arial"/>
                <w:b w:val="false"/>
                <w:i w:val="false"/>
                <w:color w:val="000000"/>
                <w:sz w:val="14"/>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center"/>
          </w:tcPr>
          <w:p>
            <w:pPr>
              <w:spacing w:before="0" w:after="0"/>
              <w:ind w:left="0"/>
              <w:jc w:val="center"/>
            </w:pPr>
            <w:r>
              <w:rPr>
                <w:rFonts w:ascii="Times New Roman" w:hAnsi="Times New Roman"/>
                <w:b w:val="false"/>
                <w:i w:val="false"/>
                <w:color w:val="000000"/>
                <w:sz w:val="22"/>
              </w:rPr>
              <w:t xml:space="preserve"> </w:t>
            </w:r>
            <w:bookmarkStart w:name="f-1387" w:id="1671"/>
            <w:r>
              <w:rPr>
                <w:rFonts w:ascii="Arial" w:hAnsi="Arial"/>
                <w:b w:val="false"/>
                <w:i w:val="false"/>
                <w:color w:val="000000"/>
                <w:sz w:val="14"/>
              </w:rPr>
              <w:t>365</w:t>
            </w:r>
            <w:bookmarkEnd w:id="1671"/>
            <w:r>
              <w:rPr>
                <w:rFonts w:ascii="Arial" w:hAnsi="Arial"/>
                <w:b w:val="false"/>
                <w:i w:val="false"/>
                <w:color w:val="000000"/>
                <w:sz w:val="14"/>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bookmarkStart w:name="f-1365" w:id="1672"/>
      <w:bookmarkEnd w:id="1672"/>
    </w:p>
    <w:p>
      <w:pPr>
        <w:pBdr>
          <w:left w:space="13"/>
        </w:pBdr>
        <w:spacing w:before="0" w:after="60"/>
        <w:ind w:left="480"/>
        <w:jc w:val="left"/>
      </w:pPr>
      <w:r>
        <w:rPr>
          <w:rFonts w:ascii="Times New Roman" w:hAnsi="Times New Roman"/>
          <w:b w:val="false"/>
          <w:i w:val="false"/>
          <w:color w:val="000000"/>
          <w:sz w:val="22"/>
        </w:rPr>
        <w:t xml:space="preserve"> </w:t>
      </w:r>
      <w:r>
        <w:rPr>
          <w:rFonts w:ascii="Arial" w:hAnsi="Arial"/>
          <w:b w:val="false"/>
          <w:i w:val="false"/>
          <w:color w:val="000000"/>
          <w:sz w:val="14"/>
        </w:rPr>
        <w:t>(1) Intended to satisfy the affirmative defense conditions of Rule 10b5-1(c).</w:t>
      </w:r>
      <w:r>
        <w:rPr>
          <w:rFonts w:ascii="Times New Roman" w:hAnsi="Times New Roman"/>
          <w:b w:val="false"/>
          <w:i w:val="false"/>
          <w:color w:val="000000"/>
          <w:sz w:val="22"/>
        </w:rPr>
        <w:t xml:space="preserve"> </w:t>
      </w:r>
    </w:p>
    <w:p>
      <w:pPr>
        <w:spacing w:before="0" w:after="0"/>
        <w:ind w:left="120"/>
        <w:jc w:val="left"/>
      </w:pPr>
      <w:bookmarkStart w:name="f-1365" w:id="1673"/>
      <w:bookmarkEnd w:id="1673"/>
    </w:p>
    <w:p>
      <w:pPr>
        <w:pBdr>
          <w:left w:space="13"/>
        </w:pBdr>
        <w:spacing w:before="0" w:after="180"/>
        <w:ind w:left="480"/>
        <w:jc w:val="left"/>
      </w:pPr>
      <w:r>
        <w:rPr>
          <w:rFonts w:ascii="Times New Roman" w:hAnsi="Times New Roman"/>
          <w:b w:val="false"/>
          <w:i w:val="false"/>
          <w:color w:val="000000"/>
          <w:sz w:val="22"/>
        </w:rPr>
        <w:t xml:space="preserve"> </w:t>
      </w:r>
      <w:bookmarkStart w:name="f-1365-1" w:id="1674"/>
      <w:r>
        <w:rPr>
          <w:rFonts w:ascii="Arial" w:hAnsi="Arial"/>
          <w:b w:val="false"/>
          <w:i w:val="false"/>
          <w:color w:val="000000"/>
          <w:sz w:val="14"/>
        </w:rPr>
        <w:t>(2) Not intended to satisfy the affirmative defense conditions of Rule 10b5-1(c) and as defined by Regulation S0K Item 408(c).</w:t>
      </w:r>
      <w:bookmarkEnd w:id="1674"/>
      <w:r>
        <w:rPr>
          <w:rFonts w:ascii="Arial" w:hAnsi="Arial"/>
          <w:b w:val="false"/>
          <w:i w:val="false"/>
          <w:color w:val="000000"/>
          <w:sz w:val="14"/>
        </w:rPr>
        <w:t xml:space="preserve"> </w:t>
      </w:r>
    </w:p>
    <w:p>
      <w:pPr>
        <w:spacing w:before="0" w:after="0"/>
        <w:ind w:left="120"/>
        <w:jc w:val="left"/>
      </w:pPr>
    </w:p>
    <w:bookmarkStart w:name="if5bce3d3882148cf91b6563d87cc4db5_211" w:id="1675"/>
    <w:p>
      <w:pPr>
        <w:spacing w:before="0" w:after="0"/>
        <w:ind w:left="120"/>
        <w:jc w:val="left"/>
      </w:pPr>
    </w:p>
    <w:bookmarkEnd w:id="1675"/>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rPr>
          <w:rFonts w:ascii="Arial" w:hAnsi="Arial"/>
          <w:b/>
          <w:i w:val="false"/>
          <w:color w:val="000000"/>
          <w:sz w:val="20"/>
        </w:rPr>
        <w:t>ITEM 6. EXHIBITS</w:t>
      </w:r>
      <w:r>
        <w:rPr>
          <w:rFonts w:ascii="Times New Roman" w:hAnsi="Times New Roman"/>
          <w:b w:val="false"/>
          <w:i w:val="false"/>
          <w:color w:val="000000"/>
          <w:sz w:val="22"/>
        </w:rPr>
        <w:t xml:space="preserve"> </w:t>
      </w:r>
    </w:p>
    <w:p>
      <w:pPr>
        <w:spacing w:before="0" w:after="0"/>
        <w:ind w:left="120"/>
        <w:jc w:val="left"/>
      </w:pPr>
    </w:p>
    <w:p>
      <w:pPr>
        <w:spacing w:before="180" w:after="6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286"/>
        <w:gridCol w:w="1390"/>
        <w:gridCol w:w="287"/>
        <w:gridCol w:w="40"/>
        <w:gridCol w:w="40"/>
        <w:gridCol w:w="40"/>
        <w:gridCol w:w="479"/>
        <w:gridCol w:w="10591"/>
        <w:gridCol w:w="481"/>
      </w:tblGrid>
      <w:tr>
        <w:trPr>
          <w:trHeight w:val="30" w:hRule="atLeast"/>
        </w:trPr>
        <w:tc>
          <w:tcPr>
            <w:tcW w:w="286" w:type="dxa"/>
            <w:tcBorders/>
            <w:tcMar>
              <w:top w:w="15" w:type="dxa"/>
              <w:left w:w="15" w:type="dxa"/>
              <w:bottom w:w="15" w:type="dxa"/>
              <w:right w:w="15" w:type="dxa"/>
            </w:tcMar>
            <w:vAlign w:val="center"/>
          </w:tcPr>
          <w:p/>
        </w:tc>
        <w:tc>
          <w:tcPr>
            <w:tcW w:w="1390" w:type="dxa"/>
            <w:tcBorders/>
            <w:tcMar>
              <w:top w:w="15" w:type="dxa"/>
              <w:left w:w="15" w:type="dxa"/>
              <w:bottom w:w="15" w:type="dxa"/>
              <w:right w:w="15" w:type="dxa"/>
            </w:tcMar>
            <w:vAlign w:val="center"/>
          </w:tcPr>
          <w:p/>
        </w:tc>
        <w:tc>
          <w:tcPr>
            <w:tcW w:w="287"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79" w:type="dxa"/>
            <w:tcBorders/>
            <w:tcMar>
              <w:top w:w="15" w:type="dxa"/>
              <w:left w:w="15" w:type="dxa"/>
              <w:bottom w:w="15" w:type="dxa"/>
              <w:right w:w="15" w:type="dxa"/>
            </w:tcMar>
            <w:vAlign w:val="center"/>
          </w:tcPr>
          <w:p/>
        </w:tc>
        <w:tc>
          <w:tcPr>
            <w:tcW w:w="10591" w:type="dxa"/>
            <w:tcBorders/>
            <w:tcMar>
              <w:top w:w="15" w:type="dxa"/>
              <w:left w:w="15" w:type="dxa"/>
              <w:bottom w:w="15" w:type="dxa"/>
              <w:right w:w="15" w:type="dxa"/>
            </w:tcMar>
            <w:vAlign w:val="center"/>
          </w:tcPr>
          <w:p/>
        </w:tc>
        <w:tc>
          <w:tcPr>
            <w:tcW w:w="481"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Exhibit Number</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i w:val="false"/>
                <w:color w:val="000000"/>
                <w:sz w:val="16"/>
              </w:rPr>
              <w:t>Exhibit Description</w:t>
            </w:r>
            <w:r>
              <w:rPr>
                <w:rFonts w:ascii="Times New Roman" w:hAnsi="Times New Roman"/>
                <w:b w:val="false"/>
                <w:i w:val="false"/>
                <w:color w:val="000000"/>
                <w:sz w:val="22"/>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4">
              <w:r>
                <w:rPr>
                  <w:rFonts w:ascii="Arial" w:hAnsi="Arial"/>
                  <w:b w:val="false"/>
                  <w:i w:val="false"/>
                  <w:color w:val="0000ff"/>
                  <w:sz w:val="16"/>
                  <w:u w:val="single"/>
                </w:rPr>
                <w:t>Form of Performance Stock Unit Agreement pursuant to the TechnipFMC plc 2022 Incentive Award Plan (Value Creation Plan) (incorporated by reference from Exhibit 10.1 to the Current Report on Form 8-K filed on April 25, 2025)</w:t>
              </w:r>
            </w:hyperlink>
            <w:r>
              <w:rPr>
                <w:rFonts w:ascii="Arial" w:hAnsi="Arial"/>
                <w:b w:val="false"/>
                <w:i w:val="false"/>
                <w:color w:val="0000ff"/>
                <w:sz w:val="16"/>
                <w:u w:val="single"/>
              </w:rPr>
              <w:t xml:space="preserve"> </w:t>
            </w:r>
          </w:p>
        </w:tc>
      </w:tr>
      <w:tr>
        <w:trPr>
          <w:trHeight w:val="85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5">
              <w:r>
                <w:rPr>
                  <w:rFonts w:ascii="Arial" w:hAnsi="Arial"/>
                  <w:b w:val="false"/>
                  <w:i w:val="false"/>
                  <w:color w:val="0000ff"/>
                  <w:sz w:val="16"/>
                  <w:u w:val="single"/>
                </w:rPr>
                <w:t>Amendment No. 6 to the Credit Agreement, dated June 23, 2025, by and among TechnipFMC plc, FMC Technologies, Inc. and TechnipFMC Finance PLC, as borrowers, JPMorgan Chase Bank, N.A., as administrative agent, and the lenders party thereto</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31.1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6">
              <w:r>
                <w:rPr>
                  <w:rFonts w:ascii="Arial" w:hAnsi="Arial"/>
                  <w:b w:val="false"/>
                  <w:i w:val="false"/>
                  <w:color w:val="0000ff"/>
                  <w:sz w:val="16"/>
                  <w:u w:val="single"/>
                </w:rPr>
                <w:t>Certification of Chief Executive Officer Pursuant to Rule 13a-14(a) and Rule 15d-14(a).</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31.2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7">
              <w:r>
                <w:rPr>
                  <w:rFonts w:ascii="Arial" w:hAnsi="Arial"/>
                  <w:b w:val="false"/>
                  <w:i w:val="false"/>
                  <w:color w:val="0000ff"/>
                  <w:sz w:val="16"/>
                  <w:u w:val="single"/>
                </w:rPr>
                <w:t>Certification of Chief Financial Officer Pursuant to Rule 13a-14(a) and Rule 15d-14(a).</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32.1*</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8">
              <w:r>
                <w:rPr>
                  <w:rFonts w:ascii="Arial" w:hAnsi="Arial"/>
                  <w:b w:val="false"/>
                  <w:i w:val="false"/>
                  <w:color w:val="0000ff"/>
                  <w:sz w:val="16"/>
                  <w:u w:val="single"/>
                </w:rPr>
                <w:t>Certification of Chief Executive Officer Under Section 906 of the Sarbanes-Oxley Act of 2002, 18 U.S.C. 1350.</w:t>
              </w:r>
            </w:hyperlink>
            <w:r>
              <w:rPr>
                <w:rFonts w:ascii="Arial" w:hAnsi="Arial"/>
                <w:b w:val="false"/>
                <w:i w:val="false"/>
                <w:color w:val="0000ff"/>
                <w:sz w:val="16"/>
                <w:u w:val="single"/>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32.2*</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hyperlink r:id="rId9">
              <w:r>
                <w:rPr>
                  <w:rFonts w:ascii="Arial" w:hAnsi="Arial"/>
                  <w:b w:val="false"/>
                  <w:i w:val="false"/>
                  <w:color w:val="0000ff"/>
                  <w:sz w:val="16"/>
                  <w:u w:val="single"/>
                </w:rPr>
                <w:t>Certification of Chief Financial Officer Under Section 906 of the Sarbanes-Oxley Act of 2002, 18 U.S.C. 1350.</w:t>
              </w:r>
            </w:hyperlink>
            <w:r>
              <w:rPr>
                <w:rFonts w:ascii="Arial" w:hAnsi="Arial"/>
                <w:b w:val="false"/>
                <w:i w:val="false"/>
                <w:color w:val="0000ff"/>
                <w:sz w:val="16"/>
                <w:u w:val="single"/>
              </w:rPr>
              <w:t xml:space="preserve"> </w:t>
            </w:r>
          </w:p>
        </w:tc>
      </w:tr>
      <w:tr>
        <w:trPr>
          <w:trHeight w:val="58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101.INS</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XBRL Instance Document</w:t>
            </w:r>
            <w:r>
              <w:rPr>
                <w:rFonts w:ascii="Times New Roman" w:hAnsi="Times New Roman"/>
                <w:b w:val="false"/>
                <w:i w:val="false"/>
                <w:color w:val="000000"/>
                <w:sz w:val="22"/>
              </w:rPr>
              <w:t xml:space="preserve"> </w:t>
            </w:r>
            <w:r>
              <w:rPr>
                <w:rFonts w:ascii="Arial" w:hAnsi="Arial"/>
                <w:b w:val="false"/>
                <w:i/>
                <w:color w:val="000000"/>
                <w:sz w:val="16"/>
              </w:rPr>
              <w:t>-</w:t>
            </w:r>
            <w:r>
              <w:rPr>
                <w:rFonts w:ascii="Times New Roman" w:hAnsi="Times New Roman"/>
                <w:b w:val="false"/>
                <w:i w:val="false"/>
                <w:color w:val="000000"/>
                <w:sz w:val="22"/>
              </w:rPr>
              <w:t xml:space="preserve"> </w:t>
            </w:r>
            <w:r>
              <w:rPr>
                <w:rFonts w:ascii="Arial" w:hAnsi="Arial"/>
                <w:b w:val="false"/>
                <w:i w:val="false"/>
                <w:color w:val="000000"/>
                <w:sz w:val="16"/>
              </w:rPr>
              <w:t>the instance document does not appear in the Interactive Data File because its XBRL tags are embedded within the Inline XBRL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101.SCH</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Schema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101.CAL</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Calculation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101.DEF</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Definition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101.LAB</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Label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101.PRE</w:t>
            </w:r>
            <w:r>
              <w:rPr>
                <w:rFonts w:ascii="Times New Roman" w:hAnsi="Times New Roman"/>
                <w:b w:val="false"/>
                <w:i w:val="false"/>
                <w:color w:val="000000"/>
                <w:sz w:val="22"/>
              </w:rPr>
              <w:t xml:space="preserve"> </w:t>
            </w:r>
          </w:p>
        </w:tc>
        <w:tc>
          <w:tcPr>
            <w:tcW w:w="0" w:type="auto"/>
            <w:gridSpan w:val="3"/>
            <w:tcBorders/>
            <w:shd w:fill="ffffff"/>
            <w:tcMar>
              <w:top w:w="15" w:type="dxa"/>
              <w:left w:w="15" w:type="dxa"/>
              <w:bottom w:w="15" w:type="dxa"/>
              <w:right w:w="15" w:type="dxa"/>
            </w:tcMar>
            <w:vAlign w:val="center"/>
          </w:tcPr>
          <w:p/>
        </w:tc>
        <w:tc>
          <w:tcPr>
            <w:tcW w:w="0" w:type="auto"/>
            <w:gridSpan w:val="3"/>
            <w:tcBorders/>
            <w:shd w:fill="ffff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Inline XBRL Taxonomy Extension Presentation Linkbase Document.</w:t>
            </w:r>
            <w:r>
              <w:rPr>
                <w:rFonts w:ascii="Times New Roman" w:hAnsi="Times New Roman"/>
                <w:b w:val="false"/>
                <w:i w:val="false"/>
                <w:color w:val="000000"/>
                <w:sz w:val="22"/>
              </w:rPr>
              <w:t xml:space="preserve"> </w:t>
            </w:r>
          </w:p>
        </w:tc>
      </w:tr>
      <w:tr>
        <w:trPr>
          <w:trHeight w:val="315" w:hRule="atLeast"/>
        </w:trPr>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104</w:t>
            </w:r>
            <w:r>
              <w:rPr>
                <w:rFonts w:ascii="Times New Roman" w:hAnsi="Times New Roman"/>
                <w:b w:val="false"/>
                <w:i w:val="false"/>
                <w:color w:val="000000"/>
                <w:sz w:val="22"/>
              </w:rPr>
              <w:t xml:space="preserve"> </w:t>
            </w:r>
          </w:p>
        </w:tc>
        <w:tc>
          <w:tcPr>
            <w:tcW w:w="0" w:type="auto"/>
            <w:gridSpan w:val="3"/>
            <w:tcBorders/>
            <w:shd w:fill="cceeff"/>
            <w:tcMar>
              <w:top w:w="15" w:type="dxa"/>
              <w:left w:w="15" w:type="dxa"/>
              <w:bottom w:w="15" w:type="dxa"/>
              <w:right w:w="15" w:type="dxa"/>
            </w:tcMar>
            <w:vAlign w:val="center"/>
          </w:tcPr>
          <w:p/>
        </w:tc>
        <w:tc>
          <w:tcPr>
            <w:tcW w:w="0" w:type="auto"/>
            <w:gridSpan w:val="3"/>
            <w:tcBorders/>
            <w:shd w:fill="cceeff"/>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Cover Page Interactive Data File (formatted as Inline XBRL and contained in Exhibit 101).</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59"/>
        <w:gridCol w:w="128"/>
        <w:gridCol w:w="61"/>
        <w:gridCol w:w="483"/>
        <w:gridCol w:w="12140"/>
        <w:gridCol w:w="484"/>
      </w:tblGrid>
      <w:tr>
        <w:trPr>
          <w:trHeight w:val="30" w:hRule="atLeast"/>
        </w:trPr>
        <w:tc>
          <w:tcPr>
            <w:tcW w:w="59" w:type="dxa"/>
            <w:tcBorders/>
            <w:tcMar>
              <w:top w:w="15" w:type="dxa"/>
              <w:left w:w="15" w:type="dxa"/>
              <w:bottom w:w="15" w:type="dxa"/>
              <w:right w:w="15" w:type="dxa"/>
            </w:tcMar>
            <w:vAlign w:val="center"/>
          </w:tcPr>
          <w:p/>
        </w:tc>
        <w:tc>
          <w:tcPr>
            <w:tcW w:w="128" w:type="dxa"/>
            <w:tcBorders/>
            <w:tcMar>
              <w:top w:w="15" w:type="dxa"/>
              <w:left w:w="15" w:type="dxa"/>
              <w:bottom w:w="15" w:type="dxa"/>
              <w:right w:w="15" w:type="dxa"/>
            </w:tcMar>
            <w:vAlign w:val="center"/>
          </w:tcPr>
          <w:p/>
        </w:tc>
        <w:tc>
          <w:tcPr>
            <w:tcW w:w="61" w:type="dxa"/>
            <w:tcBorders/>
            <w:tcMar>
              <w:top w:w="15" w:type="dxa"/>
              <w:left w:w="15" w:type="dxa"/>
              <w:bottom w:w="15" w:type="dxa"/>
              <w:right w:w="15" w:type="dxa"/>
            </w:tcMar>
            <w:vAlign w:val="center"/>
          </w:tcPr>
          <w:p/>
        </w:tc>
        <w:tc>
          <w:tcPr>
            <w:tcW w:w="483" w:type="dxa"/>
            <w:tcBorders/>
            <w:tcMar>
              <w:top w:w="15" w:type="dxa"/>
              <w:left w:w="15" w:type="dxa"/>
              <w:bottom w:w="15" w:type="dxa"/>
              <w:right w:w="15" w:type="dxa"/>
            </w:tcMar>
            <w:vAlign w:val="center"/>
          </w:tcPr>
          <w:p/>
        </w:tc>
        <w:tc>
          <w:tcPr>
            <w:tcW w:w="12140" w:type="dxa"/>
            <w:tcBorders/>
            <w:tcMar>
              <w:top w:w="15" w:type="dxa"/>
              <w:left w:w="15" w:type="dxa"/>
              <w:bottom w:w="15" w:type="dxa"/>
              <w:right w:w="15" w:type="dxa"/>
            </w:tcMar>
            <w:vAlign w:val="center"/>
          </w:tcPr>
          <w:p/>
        </w:tc>
        <w:tc>
          <w:tcPr>
            <w:tcW w:w="484" w:type="dxa"/>
            <w:tcBorders/>
            <w:tcMar>
              <w:top w:w="15" w:type="dxa"/>
              <w:left w:w="15" w:type="dxa"/>
              <w:bottom w:w="15" w:type="dxa"/>
              <w:right w:w="15" w:type="dxa"/>
            </w:tcMar>
            <w:vAlign w:val="center"/>
          </w:tcPr>
          <w:p/>
        </w:tc>
      </w:tr>
      <w:tr>
        <w:trPr>
          <w:trHeight w:val="315" w:hRule="atLeast"/>
        </w:trPr>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Indicates a management contract or compensatory plan or arrangement.</w:t>
            </w:r>
            <w:r>
              <w:rPr>
                <w:rFonts w:ascii="Times New Roman" w:hAnsi="Times New Roman"/>
                <w:b w:val="false"/>
                <w:i w:val="false"/>
                <w:color w:val="000000"/>
                <w:sz w:val="22"/>
              </w:rPr>
              <w:t xml:space="preserve"> </w:t>
            </w:r>
          </w:p>
        </w:tc>
      </w:tr>
      <w:tr>
        <w:trPr>
          <w:trHeight w:val="585" w:hRule="atLeast"/>
        </w:trPr>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Certain information in this exhibit has been omitted pursuant to Item 601(b)(10)(iv) of Regulation S-K and will be provided to the Securities and Exchange Commission upon request.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30" w:type="dxa"/>
              <w:left w:w="15" w:type="dxa"/>
              <w:bottom w:w="30" w:type="dxa"/>
              <w:right w:w="15" w:type="dxa"/>
            </w:tcMar>
            <w:vAlign w:val="center"/>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16"/>
              </w:rPr>
              <w:t>*</w:t>
            </w:r>
            <w:r>
              <w:rPr>
                <w:rFonts w:ascii="Times New Roman" w:hAnsi="Times New Roman"/>
                <w:b w:val="false"/>
                <w:i w:val="false"/>
                <w:color w:val="000000"/>
                <w:sz w:val="22"/>
              </w:rPr>
              <w:t xml:space="preserve"> </w:t>
            </w:r>
          </w:p>
        </w:tc>
        <w:tc>
          <w:tcPr>
            <w:tcW w:w="0" w:type="auto"/>
            <w:gridSpan w:val="3"/>
            <w:tcBorders/>
            <w:tcMar>
              <w:top w:w="30" w:type="dxa"/>
              <w:left w:w="15" w:type="dxa"/>
              <w:bottom w:w="30" w:type="dxa"/>
              <w:right w:w="15" w:type="dxa"/>
            </w:tcMar>
            <w:vAlign w:val="bottom"/>
          </w:tcPr>
          <w:p>
            <w:pPr>
              <w:spacing w:before="0" w:after="0"/>
              <w:ind w:left="140"/>
              <w:jc w:val="left"/>
            </w:pPr>
            <w:r>
              <w:rPr>
                <w:rFonts w:ascii="Times New Roman" w:hAnsi="Times New Roman"/>
                <w:b w:val="false"/>
                <w:i w:val="false"/>
                <w:color w:val="000000"/>
                <w:sz w:val="22"/>
              </w:rPr>
              <w:t xml:space="preserve"> </w:t>
            </w:r>
            <w:r>
              <w:rPr>
                <w:rFonts w:ascii="Arial" w:hAnsi="Arial"/>
                <w:b w:val="false"/>
                <w:i w:val="false"/>
                <w:color w:val="000000"/>
                <w:sz w:val="16"/>
              </w:rPr>
              <w:t>Furnished herewith.</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40</w:t>
      </w:r>
      <w:r>
        <w:rPr>
          <w:rFonts w:ascii="Times New Roman" w:hAnsi="Times New Roman"/>
          <w:b w:val="false"/>
          <w:i w:val="false"/>
          <w:color w:val="000000"/>
          <w:sz w:val="22"/>
        </w:rPr>
        <w:t xml:space="preserve"> </w:t>
      </w:r>
    </w:p>
    <w:p>
      <w:pPr>
        <w:spacing w:before="0" w:after="0"/>
        <w:ind w:left="120"/>
        <w:jc w:val="left"/>
      </w:pPr>
    </w:p>
    <w:bookmarkStart w:name="if5bce3d3882148cf91b6563d87cc4db5_214" w:id="1676"/>
    <w:p>
      <w:pPr>
        <w:spacing w:before="0" w:after="0"/>
        <w:ind w:left="120"/>
        <w:jc w:val="left"/>
      </w:pPr>
    </w:p>
    <w:bookmarkEnd w:id="1676"/>
    <w:p>
      <w:pPr>
        <w:spacing w:before="0" w:after="0"/>
        <w:ind w:left="120"/>
        <w:jc w:val="left"/>
      </w:pPr>
    </w:p>
    <w:p>
      <w:r>
        <w:pict>
          <v:rect style="width:0;height:1.5pt" id="_x0000_i1025" o:hr="t" o:hrstd="t" o:hralign="center" stroked="f" fillcolor="#a0a0a0"/>
        </w:pic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center"/>
      </w:pPr>
      <w:r>
        <w:rPr>
          <w:rFonts w:ascii="Times New Roman" w:hAnsi="Times New Roman"/>
          <w:b w:val="false"/>
          <w:i w:val="false"/>
          <w:color w:val="000000"/>
          <w:sz w:val="22"/>
        </w:rPr>
        <w:t xml:space="preserve"> </w:t>
      </w:r>
      <w:r>
        <w:rPr>
          <w:rFonts w:ascii="Arial" w:hAnsi="Arial"/>
          <w:b/>
          <w:i w:val="false"/>
          <w:color w:val="000000"/>
          <w:sz w:val="20"/>
        </w:rPr>
        <w:t>SIGNATURES</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Pursuant to the requirements of the Securities Exchange Act of 1934, the registrant has duly caused this report to be signed on its behalf by the undersigned thereunto duly authorized.</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TechnipFMC plc</w:t>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(Registrant) </w:t>
      </w:r>
      <w:r>
        <w:rPr>
          <w:rFonts w:ascii="Times New Roman" w:hAnsi="Times New Roman"/>
          <w:b w:val="false"/>
          <w:i w:val="false"/>
          <w:color w:val="000000"/>
          <w:sz w:val="22"/>
        </w:rPr>
        <w:t xml:space="preserve"> </w:t>
      </w:r>
    </w:p>
    <w:p>
      <w:pPr>
        <w:spacing w:before="0" w:after="0"/>
        <w:ind w:left="120"/>
        <w:jc w:val="left"/>
      </w:pPr>
    </w:p>
    <w:p>
      <w:pPr>
        <w:spacing w:before="0" w:after="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483"/>
        <w:gridCol w:w="10052"/>
        <w:gridCol w:w="484"/>
        <w:gridCol w:w="131"/>
        <w:gridCol w:w="2444"/>
        <w:gridCol w:w="40"/>
      </w:tblGrid>
      <w:tr>
        <w:trPr>
          <w:trHeight w:val="30" w:hRule="atLeast"/>
        </w:trPr>
        <w:tc>
          <w:tcPr>
            <w:tcW w:w="483" w:type="dxa"/>
            <w:tcBorders/>
            <w:tcMar>
              <w:top w:w="15" w:type="dxa"/>
              <w:left w:w="15" w:type="dxa"/>
              <w:bottom w:w="15" w:type="dxa"/>
              <w:right w:w="15" w:type="dxa"/>
            </w:tcMar>
            <w:vAlign w:val="center"/>
          </w:tcPr>
          <w:p/>
        </w:tc>
        <w:tc>
          <w:tcPr>
            <w:tcW w:w="10052" w:type="dxa"/>
            <w:tcBorders/>
            <w:tcMar>
              <w:top w:w="15" w:type="dxa"/>
              <w:left w:w="15" w:type="dxa"/>
              <w:bottom w:w="15" w:type="dxa"/>
              <w:right w:w="15" w:type="dxa"/>
            </w:tcMar>
            <w:vAlign w:val="center"/>
          </w:tcPr>
          <w:p/>
        </w:tc>
        <w:tc>
          <w:tcPr>
            <w:tcW w:w="484" w:type="dxa"/>
            <w:tcBorders/>
            <w:tcMar>
              <w:top w:w="15" w:type="dxa"/>
              <w:left w:w="15" w:type="dxa"/>
              <w:bottom w:w="15" w:type="dxa"/>
              <w:right w:w="15" w:type="dxa"/>
            </w:tcMar>
            <w:vAlign w:val="center"/>
          </w:tcPr>
          <w:p/>
        </w:tc>
        <w:tc>
          <w:tcPr>
            <w:tcW w:w="131" w:type="dxa"/>
            <w:tcBorders/>
            <w:tcMar>
              <w:top w:w="15" w:type="dxa"/>
              <w:left w:w="15" w:type="dxa"/>
              <w:bottom w:w="15" w:type="dxa"/>
              <w:right w:w="15" w:type="dxa"/>
            </w:tcMar>
            <w:vAlign w:val="center"/>
          </w:tcPr>
          <w:p/>
        </w:tc>
        <w:tc>
          <w:tcPr>
            <w:tcW w:w="2444"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r>
      <w:tr>
        <w:trPr>
          <w:trHeight w:val="30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/s/ David Light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r>
      <w:tr>
        <w:trPr>
          <w:trHeight w:val="330" w:hRule="atLeast"/>
        </w:trPr>
        <w:tc>
          <w:tcPr>
            <w:tcW w:w="0" w:type="auto"/>
            <w:gridSpan w:val="3"/>
            <w:tcBorders>
              <w:top w:val="single" w:color="000000" w:sz="11"/>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David Light</w:t>
            </w:r>
            <w:r>
              <w:rPr>
                <w:rFonts w:ascii="Times New Roman" w:hAnsi="Times New Roman"/>
                <w:b w:val="false"/>
                <w:i w:val="false"/>
                <w:color w:val="000000"/>
                <w:sz w:val="22"/>
              </w:rPr>
              <w:t xml:space="preserve"> </w:t>
            </w:r>
          </w:p>
        </w:tc>
        <w:tc>
          <w:tcPr>
            <w:tcW w:w="0" w:type="auto"/>
            <w:gridSpan w:val="3"/>
            <w:tcBorders/>
            <w:tcMar>
              <w:top w:w="15" w:type="dxa"/>
              <w:left w:w="15" w:type="dxa"/>
              <w:bottom w:w="15" w:type="dxa"/>
              <w:right w:w="15" w:type="dxa"/>
            </w:tcMar>
            <w:vAlign w:val="center"/>
          </w:tcPr>
          <w:p/>
        </w:tc>
      </w:tr>
      <w:tr>
        <w:trPr>
          <w:trHeight w:val="585" w:hRule="atLeast"/>
        </w:trPr>
        <w:tc>
          <w:tcPr>
            <w:tcW w:w="0" w:type="auto"/>
            <w:gridSpan w:val="3"/>
            <w:tcBorders/>
            <w:tcMar>
              <w:top w:w="30" w:type="dxa"/>
              <w:left w:w="15" w:type="dxa"/>
              <w:bottom w:w="30" w:type="dxa"/>
              <w:right w:w="15" w:type="dxa"/>
            </w:tcMar>
            <w:vAlign w:val="top"/>
          </w:tcPr>
          <w:p>
            <w:pPr>
              <w:spacing w:before="0" w:after="0"/>
              <w:ind w:left="0"/>
              <w:jc w:val="left"/>
            </w:pPr>
            <w:r>
              <w:rPr>
                <w:rFonts w:ascii="Times New Roman" w:hAnsi="Times New Roman"/>
                <w:b w:val="false"/>
                <w:i w:val="false"/>
                <w:color w:val="000000"/>
                <w:sz w:val="22"/>
              </w:rPr>
              <w:t xml:space="preserve"> </w:t>
            </w:r>
            <w:r>
              <w:rPr>
                <w:rFonts w:ascii="Arial" w:hAnsi="Arial"/>
                <w:b w:val="false"/>
                <w:i w:val="false"/>
                <w:color w:val="000000"/>
                <w:sz w:val="20"/>
              </w:rPr>
              <w:t xml:space="preserve">Senior Vice President, Controller, and Chief Accounting Officer </w:t>
            </w:r>
            <w:r>
              <w:br/>
            </w:r>
            <w:r>
              <w:rPr>
                <w:rFonts w:ascii="Arial" w:hAnsi="Arial"/>
                <w:b w:val="false"/>
                <w:i w:val="false"/>
                <w:color w:val="000000"/>
                <w:sz w:val="20"/>
              </w:rPr>
              <w:t xml:space="preserve"> (Chief Accounting Officer and a Duly Authorized Officer) </w:t>
            </w:r>
          </w:p>
        </w:tc>
        <w:tc>
          <w:tcPr>
            <w:tcW w:w="0" w:type="auto"/>
            <w:gridSpan w:val="3"/>
            <w:tcBorders/>
            <w:tcMar>
              <w:top w:w="15" w:type="dxa"/>
              <w:left w:w="15" w:type="dxa"/>
              <w:bottom w:w="15" w:type="dxa"/>
              <w:right w:w="15" w:type="dxa"/>
            </w:tcMar>
            <w:vAlign w:val="center"/>
          </w:tcP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left"/>
      </w:pPr>
    </w:p>
    <w:p>
      <w:pPr>
        <w:spacing w:before="14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20"/>
        </w:rPr>
        <w:t>Date: July 24, 2025</w:t>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240" w:after="18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p>
    <w:p>
      <w:pPr>
        <w:spacing w:before="0" w:after="180"/>
        <w:ind w:left="120"/>
        <w:jc w:val="center"/>
      </w:pPr>
      <w:r>
        <w:rPr>
          <w:rFonts w:ascii="Times New Roman" w:hAnsi="Times New Roman"/>
          <w:b w:val="false"/>
          <w:i w:val="false"/>
          <w:color w:val="000000"/>
          <w:sz w:val="22"/>
        </w:rPr>
        <w:t xml:space="preserve"> </w:t>
      </w:r>
      <w:r>
        <w:rPr>
          <w:rFonts w:ascii="Arial" w:hAnsi="Arial"/>
          <w:b w:val="false"/>
          <w:i w:val="false"/>
          <w:color w:val="000000"/>
          <w:sz w:val="20"/>
        </w:rPr>
        <w:t>41</w:t>
      </w:r>
      <w:r>
        <w:rPr>
          <w:rFonts w:ascii="Times New Roman" w:hAnsi="Times New Roman"/>
          <w:b w:val="false"/>
          <w:i w:val="false"/>
          <w:color w:val="000000"/>
          <w:sz w:val="22"/>
        </w:rPr>
        <w:t xml:space="preserve"> </w:t>
      </w:r>
    </w:p>
    <w:p>
      <w:pPr>
        <w:spacing w:before="0" w:after="0"/>
        <w:ind w:left="120"/>
        <w:jc w:val="left"/>
      </w:pPr>
    </w:p>
    <w:p>
      <w:pPr>
        <w:pageBreakBefore/>
        <w:spacing w:before="0" w:after="0"/>
        <w:ind w:left="120"/>
        <w:jc w:val="left"/>
      </w:pP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Exhibit 10.2 SIXTH AMENDMENT TO CREDIT AGREEMENT This SIXTH AMENDMENT TO CREDIT AGREEMENT (this “Amendment”), dated as of June 23, 2025, is entered into by and among TECHNIPFMC PLC, a public limited company incorporated under the laws of England and Wales (the “Company”), FMC TECHNOLOGIES, INC., a Delaware corporation (the “U.S. Borrower”), TECHNIPFMC FINANCE PLC, a public limited company limited by shares organized under the laws of England and Wales (“FinanceCo”, and, together with the Company and the U.S. Borrower, the “Borrowers”), the Lenders party hereto and JPMORGAN CHASE BANK, N.A., as Administrative Agent (in such capacity, the “Administrative Agent”). RECITALS WHEREAS, the Borrowers, the Lenders from time to time party thereto, the Issuing Banks from time to time party thereto and the Administrative Agent are party to that certain Credit Agreement, dated as of February 16, 2021 (as amended, supplemented or otherwise modified prior to the date hereof, the “Existing Credit Agreement”, and as the same may be further amended, restated, amended and restated, supplemented or otherwise modified from time to time, including by this Amendment, the “Credit Agreement”), pursuant to which the Lenders and Issuing Banks have extended credit to the Borrowers; WHEREAS, the Investment Grade Date has occurred and the Borrowers have requested that certain of the representations and warranties in the Existing Credit Agreement be modified or removed to enable the Borrowers to use the Facility as a backstop for commercial paper and other certain funds transactions; and WHEREAS, subject to the satisfaction of the terms and conditions set forth herein, the Administrative Agent and the Lenders have agreed to make certain modifications to the Existing Credit Agreement to give effect to the foregoing. NOW, THEREFORE, in consideration of the premises and the mutual covenants contained herein, in the Credit Agreement and/or in the other Loan Documents, and for other good and valuable consideration, the receipt and sufficiency of which are hereby acknowledged, it is hereby agreed as follows: Section 1. Defined Terms. Capitalized terms used (including in the preamble and recitals hereto) herein but not otherwise defined herein shall have the meanings assigned to such terms in the Credit Agreement. Section 2. Amendments. As of the Sixth Amendment Effective Date, the Existing Credit Agreement is hereby amended as set forth in the pages attached as Exhibit A hereto. Section 3. Conditions Precedent. The effectiveness of this Amendment (the date of such effectiveness, the “Sixth Amendment Effective Date”) is subject to satisfaction of the following conditions: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2 TechnipFMC | Internal (a) receipt by the Administrative Agent from the Borrowers and Lenders constituting at least the Required Lenders of a counterpart of this Amendment signed on behalf of such Person; and (b) receipt by the Administrative Agent of all fees and other amounts due and payable on or prior to the Sixth Amendment Effective Date, including, to the extent invoiced at least one (1) Business Day (or such shorter time as Company may reasonably agree) prior to the Sixth Amendment Effective Date, reimbursement or payment of all reasonable out-of-pocket expenses (including fees, charges and disbursements of counsel) required to be reimbursed or paid under the Credit Agreement or any other Loan Document. Each party hereto hereby authorizes and directs the Administrative Agent to declare this Agreement to be effective (and the Sixth Amendment Effective Date shall occur) when it has received documents confirming or certifying, to the reasonable satisfaction of the Administrative Agent, compliance with the conditions set forth in this Section 3. Such declaration shall be final, conclusive and binding upon all parties to the Credit Agreement for all purposes. Section 4. Representations and Warranties. To induce the other parties hereto to enter into this Amendment, the Borrowers hereby represent and warrant, each for itself and, where applicable, on behalf of each of the Guarantors, to each of the Lenders that, as of the Sixth Amendment Effective Date: (a) each Loan Party (i) is a Person duly organized, incorporated or established, validly existing and, to the extent that such concept is applicable in the relevant jurisdiction, in good standing under the laws of the jurisdiction of its organization, incorporation or establishment and (ii) has all requisite power and authority to execute, deliver and perform its obligations under each Loan Document to which it is a party; (b) (i) the execution, delivery and performance by the Borrowers of this Amendment has been duly authorized by all necessary corporate or other organizational action, and (ii) the execution, delivery and performance by the Borrowers will not (x) result in any creation or imposition of any Lien upon any asset now owned or hereafter acquired by the Borrowers or any Loan Party (other than as permitted by the Loan Documents), (y) violate any Requirement of Law applicable to the Borrowers or any Loan Party or (z) violate or result (alone or with notice or lapse of time or both) in a default under any indenture, agreement or other instrument binding upon any Borrower or any other Loan Party or their respective assets, or give rise to a right thereunder to require any payment, repurchase or redemption to be made by any Borrower or any other Loan Party or give rise to a right of, or result in, termination, cancelation or acceleration of any obligation thereunder, except with respect to any violation, default, payment, repurchase, redemption, termination, cancellation or acceleration that would not reasonably be expected to have a Material Adverse Effect; (c) the execution, delivery and performance by the Borrowers of this Amendment, will not require any consent or approval of, registration or filing with, or any other action by, any Governmental Authority, except such as have been obtained or made and are in full force and effect and except (i) registrations or filings necessary to perfect Liens created under the Loan Documents and payment of applicable stamp duties in respect of the Loan Documents, (ii)</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3 TechnipFMC | Internal consents, approvals, registrations or filings which have been obtained or made and are in full force and effect or which are permitted to be made following the Sixth Amendment Effective Date pursuant to the Credit Agreement or (iii) where failure to obtain such consent or approval, or make such registration or filing, in the aggregate, could not reasonably be expected to have a Material Adverse Effect; (d) this Amendment has been duly executed and delivered by each Borrower and constitutes a legal, valid and binding obligation of each Borrower and each other Loan Party, enforceable against such Loan Party in accordance with its terms, subject to general principles of equity, regardless of whether considered in a proceeding in equity or at law and an implied covenant of good faith and fair dealing; (e) after giving effect to this Amendment, the representations and warranties of each Loan Party set forth in the Loan Documents are true and correct in all material respects (or, in the case of representations and warranties qualified as to materiality, in all respects) on and as of the Sixth Amendment Effective Date, except in the case of any such representation and warranty that expressly relates to a prior date, in which case such representation and warranty shall be true and correct in all material respects (or in all respects, as applicable) as of such earlier date; and (f) after giving effect to this Amendment, no Default or Event of Default has occurred and is continuing. Section 5. Confirmation; Reaffirmation; Reference to and Effect on the Loan Documents. (a) On and after the Sixth Amendment Effective Date, each reference in the Existing Credit Agreement to “this Agreement,” “hereunder,” “hereof,” “herein” or words of like import referring to the Credit Agreement, and each reference in the other Loan Documents to the “Credit Agreement,” “thereunder,” “thereof” or words of like import referring to the Credit Agreement shall, in each case, mean and be a reference to the Existing Credit Agreement as amended by this Amendment. (b) Except as specifically amended or otherwise modified herein or contemplated hereby, the Credit Agreement and each of the other Loan Documents shall remain in full force and effect in all respects following the Sixth Amendment Effective Date. Each Borrower, for itself on and on behalf of each other Loan Party, hereby ratifies and affirms (i) the covenants, guarantees, agreements and other commitments contained in each Loan Document to which it is a party, including, in each case, such covenants, guarantees, agreements and other commitments as in effect immediately after giving effect to this Amendment and the transactions contemplated hereby, (ii) its guarantee of the Obligations pursuant to any Guarantee (including the New York-Law Guarantee) and (iii) that all guarantees, covenants, agreements and other commitments by such Loan Party under each Loan Document shall continue to be in full force and effect and shall accrue to the benefit of the Lenders and shall not be affected, impaired, reduced or released hereby. (c) On and after the Sixth Amendment Effective Date, this Amendment shall constitute a Loan Document. Neither this Amendment nor the Credit Agreement shall constitute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4 TechnipFMC | Internal a novation of the Existing Credit Agreement or any other Loan Document or any of the Obligations. This Amendment shall not operate as a consent to or waiver of any right, power or remedy of the Administrative Agent or any Lender under the Credit Agreement or any Loan Document, or constitute consent to or a waiver of any future failure of any Loan Party to comply with any of its obligations under the Credit Agreement or any other Loan Document. (d) In the event of any conflict between the terms of this Amendment and the terms of the Credit Agreement or the other Loan Documents, the terms hereof shall control. Section 6. Governing Law; Jurisdiction; Consent to Service of Process; Waiver of Jury Trial, Etc. (a) This Amendment and any claim, controversy, dispute, or cause of action (whether in contract or tort or otherwise) based upon, arising out of or relating to this Amendment and the transactions contemplated hereby shall be governed by, and construed in accordance with, the law of the State of New York. (b) SECTIONS 9.09(b)–(e) and 9.10 OF THE CREDIT AGREEMENT ARE HEREBY INCORPORATED HEREIN MUTATIS MUTANDIS AS IF SUCH SECTIONS WERE SET FORTH IN FULL HEREIN. Section 7. Amendments; Headings; Severability. This Amendment may not be amended nor may any provision hereof be waived except in accordance with the provisions of Section 9.02 of the Credit Agreement. The Section headings used herein are for convenience of reference only, are not part of this Amendment and shall not affect the construction of, or be taken into consideration in interpreting this Amendment. Any provision of this Amendment held to be invalid, illegal or unenforceable in any jurisdiction shall, as to such jurisdiction, be ineffective to the extent of such invalidity, illegality or unenforceability without affecting the validity, legality and enforceability of the remaining provisions hereof; and the invalidity of a particular provision in a particular jurisdiction shall not invalidate such provision in any other jurisdiction. Section 8. Counterparts. This Amendment may be executed in counterparts (and by different parties hereto on different counterparts), each of which shall constitute an original, but all of which when taken together shall constitute a single contract. The words “execution,” “signed,” “signature,” “delivery,” and words of like import in or relating to this Amendment and/or any document to be signed in connection with this Amendment and the transactions contemplated hereby shall be deemed to include Electronic Signatures, deliveries or the keeping of records in electronic form, each of which shall be of the same legal effect, validity or enforceability as a manually executed signature, physical delivery thereof or the use of a paper-based recordkeeping system, as the case may be. Section 9. Successors and Assigns. The provisions of this Amendment shall be binding upon and inure to the benefit of the parties hereto and their respective successors and assigns permitted by the Credit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IN WITNESS WHEREOF, the parties hereto have caused this Amendment to be duly executed and delivered by their respective duly authorized officers as of the day and year first above written: BORROWERS: TECHNIPFMC PLC By: Name: Alf Melin Title: Executive Vice President and Chief Financial Officer FMC TECHNOLOGIES, INC. By: Name: Alf Melin Title: Executive Vice President and Chief Financial Officer TECHNIPFMC FINANCE PLC By: Name: Frederick Arthur Schacknies Title: Director /s/ Alf Melin /s/ Alf Melin /s/ Frederick Arthur Schacknies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JPMORGAN CHASE BANK, N.A., as Administrative Agent and individually as a Lender By:___________________________________ Name: Umar Hassan Title: Authorized Officer /s/ Umar Hassan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BANK OF AMERICA, N.A., as a Lender By:___________________________________ Name: Tommy Nguyen Title: Vice President /s/ Tommy Nguyen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Citibank, N.A., as a Lender By:___________________________________ Name: Todd Mogil Title: Vice President /s/ Todd Mogil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SOCIETE GENERALE, as a Lender By:___________________________________ Name: Richard Bernal Title: Managing Director /s/ Richard Bernal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Standard Chartered Bank, as a Lender By:___________________________________ Name: Matthew Davis Title: Executive Director, Financing Solutions /s/ Matthew Davis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SUMITOMO MITSUI BANKING CORPORATION, as a Lender By:___________________________________ Name: Kamila Ferraz Araujo Title: Director /s/ Kamila Ferraz Araujo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WELLS FARGO BANK, N.A., as a Lender By:___________________________________ Name: Kevin Pang Title: Vice President /s/ Kevin Pang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BANCO SANTANDER, S.A., NEW YORK BRANCH, as a Lender By:___________________________________ Name: Andres Barbosa Title: Managing Director By:___________________________________ Name: Zara Kamal Title: Executive Director /s/ Andres Barbosa /s/ Zara Kamal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BARCLAYS BANK PLC, as a Lender By:___________________________________ Name: Louise Brechin Title: Director /s/ Louise Brechin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DNB Capital LLC, as a Lender By:___________________________________ Name: Sybille Andaur Title: Senior Vice President By:___________________________________ Name: George Philippopoulos Title: Senior Vice President /s/ Sybille Andaur /s/ George Philippopoulos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Deutsche Bank AG New York Branch, as a Lender By:___________________________________ Name: Marko Lukin Title: Vice President By:___________________________________ Name: Ming K Chu Title: Director /s/ Marko Lukin /s/ Ming K Chu</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The Northern Trust Company, as a Lender By:___________________________________ Name: Keith L. Burson Title: Senior Vice President /s/ Keith L. Burson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[Signature Page to Sixth Amendment to Credit Agreement (TechnipFMC plc)] TechnipFMC | Internal The Standard Bank of South Africa Limited, Isle of Man Branch as a Lender By:___________________________________ Name: O Lauritzson Title: Executive /s/ O Lauritzson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TechnipFMC | Internal EXHIBIT A CREDIT AGREEMENT [Attached]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Exhibit A Sixth Amendment to Credit Agreement TechnipFMC | Internal CREDIT AGREEMENT dated as of February 16, 2021 among TECHNIPFMC PLC, FMC TECHNOLOGIES, INC. and TECHNIPFMC FINANCE PLC, as the Borrowers, The Lenders and Issuing Banks Party Hereto, and JPMORGAN CHASE BANK, N.A., as Administrative Agent _________________________ JPMORGAN CHASE BANK, N.A., BOFA SECURITIES INC., and CITIBANK, N.A., as Joint Lead Arrangers and Joint Bookrunners and SOCIÉTÉ GÉNÉRALE, STANDARD CHARTERED BANK, SUMITOMO MITSUI BANKING CORPORATION, and WELLS FARGO BANK, NATIONAL ASSOCIATION as Co-Documentation Agents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i TechnipFMC | Internal TABLE OF CONTENTS Page ARTICLE I DEFINITIONS SECTION 1.01. Defined Terms .......................................................................................1 SECTION 1.02. Classification of Loans and Borrowings ..............................................62 SECTION 1.03. Terms Generally...................................................................................62 SECTION 1.04. Accounting Terms; GAAP ...................................................................62 SECTION 1.05. Pro Forma Calculations........................................................................63 SECTION 1.06. Exchange Rates; Currency Equivalents ...............................................63 SECTION 1.07. Divisions ..............................................................................................64 SECTION 1.08. Interest Rates; Benchmark Notification ...............................................64 SECTION 1.09. Dutch Terms.........................................................................................65 ARTICLE II THE CREDITS SECTION 2.01. Commitments .......................................................................................66 SECTION 2.02. Loans and Borrowings .........................................................................66 SECTION 2.03. Requests for Borrowings......................................................................67 SECTION 2.04. [Reserved] ............................................................................................68 SECTION 2.05. Letters of Credit ...................................................................................68 SECTION 2.06. Funding of Borrowings ........................................................................74 SECTION 2.07. Interest Elections ..................................................................................75 SECTION 2.08. Termination and Reduction of Commitments......................................77 SECTION 2.09. Repayment of Loans; Evidence of Debt ..............................................77 SECTION 2.10. [Reserved] ............................................................................................78 SECTION 2.11. Prepayment of Loans ...........................................................................78 SECTION 2.12. Fees ......................................................................................................79 SECTION 2.13. Interest..................................................................................................80 SECTION 2.14. Alternate Rate of Interest .....................................................................81 SECTION 2.15. Increased Costs ....................................................................................85 SECTION 2.16. Break Funding Payments .....................................................................86 SECTION 2.17. Taxes ....................................................................................................87 SECTION 2.18. Payments Generally; Pro Rata Treatment; Sharing of Setoffs; Application of Proceeds .......................................................................94 SECTION 2.19. Mitigation Obligations; Replacement of Lenders ................................95 SECTION 2.20. Defaulting Lenders...............................................................................96 SECTION 2.21. Increase in Commitments ....................................................................98</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ii TechnipFMC | Internal ARTICLE III REPRESENTATIONS AND WARRANTIES SECTION 3.01. Organization; Powers .........................................................................100 SECTION 3.02. Authorization; Due Execution and Delivery; Enforceability.............100 SECTION 3.03. Governmental Approvals; No Conflicts ............................................100 SECTION 3.04. Financial Condition; No Material Adverse Change .. Error! Bookmark not defined. SECTION 3.05. Properties ............................................. Error! Bookmark not defined. SECTION 3.06. Litigation and Environmental Matters ...............................................101 SECTION 3.07. Compliance with Laws ......................................................................101 SECTION 3.08. Anti-Terrorism Laws; Anti-Corruption Laws ....................................101 SECTION 3.09. Investment Company Status ..............................................................101 SECTION 3.10. Federal Reserve Regulations..............................................................102 SECTION 3.11. Taxes ..................................................................................................102 SECTION 3.12. ERISA ................................................................................................102 SECTION 3.13. Disclosure. .........................................................................................102 SECTION 3.14. Subsidiaries .......................................... Error! Bookmark not defined. SECTION 3.15. Use of Proceeds..................................................................................102 SECTION 3.16. Labor Matters ....................................... Error! Bookmark not defined. SECTION 3.17. Solvency .............................................................................................102 SECTION 3.18. Collateral Matters................................. Error! Bookmark not defined. SECTION 3.19. Affected Financial Institutions ...........................................................103 SECTION 3.20. No Default or Event of Default ..........................................................103 SECTION 3.21. Insurance ............................................................................................103 SECTION 3.22. Senior Indebtedness ...........................................................................103 SECTION 3.23. Dutch Works Council ........................................................................103 ARTICLE IV CONDITIONS SECTION 4.01. [Reserved] ..........................................................................................103 SECTION 4.02. Each Post-Effective Date Credit Event ..............................................104 ARTICLE V AFFIRMATIVE COVENANTS SECTION 5.01. Financial Statements and Other Information .....................................104 SECTION 5.02. Notices of Material Events.................................................................107 SECTION 5.03. Information Regarding Collateral ......................................................107 SECTION 5.04. Existence; Conduct of Business .........................................................108 SECTION 5.05. Payment of Taxes ...............................................................................108 SECTION 5.06. Maintenance of Properties .................................................................108 SECTION 5.07. Insurance ............................................................................................108</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iii TechnipFMC | Internal SECTION 5.08. Environmental ....................................................................................109 SECTION 5.09. Books and Records; Inspection and Audit Rights .............................109 SECTION 5.10. Compliance with Laws ......................................................................110 SECTION 5.11. Use of Proceeds and Letters of Credit ...............................................110 SECTION 5.12. Additional Subsidiaries ......................................................................110 SECTION 5.13. Further Assurances.............................................................................111 SECTION 5.14. Vessel Appraisals ...............................................................................112 SECTION 5.15. Post-Closing Covenants .....................................................................112 SECTION 5.16. Designation of Subsidiaries ...............................................................114 ARTICLE VI NEGATIVE COVENANTS SECTION 6.01. Indebtedness .......................................................................................115 SECTION 6.02. Liens ...................................................................................................118 SECTION 6.03. Fundamental Changes ........................................................................121 SECTION 6.04. Investments, Loans, Advances, Guarantees and Acquisitions ...........121 SECTION 6.05. Asset Sales .........................................................................................124 SECTION 6.06. [Reserved] ..........................................................................................126 SECTION 6.07. Use of Proceeds and Letters of Credit ...............................................126 SECTION 6.08. Restricted Payments; Certain Payments of Junior Indebtedness .......126 SECTION 6.09. Transactions with Affiliates ...............................................................128 SECTION 6.10. Restrictive Agreements ......................................................................129 SECTION 6.11. Amendment of Material Documents ..................................................130 SECTION 6.12. Interest Coverage Ratio......................................................................130 SECTION 6.13. Total Leverage Ratio..........................................................................130 SECTION 6.14. First Lien Leverage Ratio ..................................................................130 SECTION 6.15. Changes in Fiscal Periods ..................................................................130 ARTICLE VII EVENTS OF DEFAULT SECTION 7.01. Events of Default ...............................................................................131 ARTICLE VIII THE ADMINISTRATIVE AGENT SECTION 8.01. Administrative Agent Matters............................................................134 SECTION 8.02. Certain ERISA Matters ......................................................................142 ARTICLE IX MISCELLANEOUS SECTION 9.01. Notices ...............................................................................................144</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iv TechnipFMC | Internal SECTION 9.02. Waivers; Amendments .......................................................................146 SECTION 9.03. Expenses; Limitation of Liability; Indemnity, Etc ............................148 SECTION 9.04. Successors and Assigns......................................................................150 SECTION 9.05. Survival ..............................................................................................155 SECTION 9.06. Counterparts; Integration; Effectiveness ............................................156 SECTION 9.07. Severability ........................................................................................157 SECTION 9.08. Right of Setoff....................................................................................157 SECTION 9.09. Governing Law; Jurisdiction; Consent to Service of Process ............157 SECTION 9.10. WAIVER OF JURY TRIAL ..............................................................158 SECTION 9.11. Headings ............................................................................................159 SECTION 9.12. Confidentiality ...................................................................................159 SECTION 9.13. Interest Rate Limitation .....................................................................160 SECTION 9.14. Release of Liens and Guarantees .......................................................160 SECTION 9.15. USA PATRIOT Act Notice ...............................................................161 SECTION 9.16. No Fiduciary Relationship .................................................................161 SECTION 9.17. Non-Public Information .....................................................................162 SECTION 9.18. Acknowledgement and Consent to Bail-In of Affected Financial Institutions ..........................................................................162 SECTION 9.19. Acknowledgement Regarding Any Supported QFCs ........................163 SECTION 9.20. Judgment Currency ............................................................................164 SECTION 9.21. Borrower Representative ...................................................................164 SCHEDULES: Schedule 1.01(a) — Collateral Vessels Schedule 1.01(b) — Mortgaged Property Schedule 2.01 — Commitments Schedule 2.05 — Existing Letters of Credit Schedule 2.05(A) — Fifth Amendment Effective Date Letters of Credit Schedule 3.14 — Subsidiaries Schedule 6.01 — Existing Indebtedness Schedule 6.01(A) — Fifth Amendment Effective Date Purchase Money Debt Schedule 6.01(B) — Fifth Amendment Effective Date Foreign Subsidiary Debt Schedule 6.02(A) — Existing Liens Schedule 6.02(B) — Specified Real Property Schedule 6.04 — Existing Investments Schedule 6.10 — Existing Restrictions EXHIBITS: Exhibit A — Form of Assignment and Assumption Exhibit B — Form of Borrowing Request Exhibit C — Form of New York-Law Guarantee Exhibit D — Form of New York-Law Pledge Agreement Exhibit E — Form of New York-Law Security Agreement Exhibit F — Form of Perfection Certificate Exhibit G — Form of Secured Supply Chain Financing Designation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v TechnipFMC | Internal Exhibit H — Form of Global Intercompany Note Exhibit I-1 — Form of U.S. Tax Compliance Certificate for Foreign Lenders that are not Partnerships for U.S. Federal Income Tax Purposes Exhibit I-2 — Form of U.S. Tax Compliance Certificate for Non-U.S. Participants that are Partnerships for U.S. Federal Income Tax Purposes Exhibit I-3 — Form of U.S. Tax Compliance Certificate for Non-U.S. Participants that are not Partnerships for U.S. Federal Income Tax Purposes Exhibit I-4 — Form of U.S. Tax Compliance Certificate for Foreign Lenders that are Partnerships for U.S. Federal Income Tax Purposes Exhibit J — Form of Note Exhibit K — Form of Solvency Certificate Exhibit L — Form of Secured LC Designation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TechnipFMC | Internal CREDIT AGREEMENT dated as of February 16, 2021 (this “Agreement”), among TECHNIPFMC PLC, a public limited company incorporated under the laws of England and Wales (the “Company”), FMC TECHNOLOGIES, INC., a Delaware corporation (the “U.S. Borrower”), TECHNIPFMC FINANCE PLC, a public limited company limited by shares organized under the laws of England and Wales (“FinanceCo”, and, together with the Company and the U.S. Borrower, the “Borrowers”), the LENDERS and ISSUING BANKS party hereto and JPMORGAN CHASE BANK, N.A., as Administrative Agent. The Borrowers have requested that the Lenders extend credit in the form of Loans and the Issuing Banks issue Letters of Credit, in each case at any time and from time to time during the Availability Period such that the Total Revolving Exposure will not exceed the Total Commitments at any time. The proceeds of the Loans on and after the Effective Date will be used for working capital and general corporate purposes. Letters of Credit will be used by the Borrowers and the Restricted Subsidiaries for general corporate purposes. The Lenders are willing to extend such credit to the Borrowers, and the Issuing Banks are willing to issue Letters of Credit for the account of each Borrower, on the terms and subject to the conditions set forth herein. Accordingly, the parties hereto agree as follows: ARTICLE I Definitions SECTION 1.01. Defined Terms. As used in this Agreement, the following terms have the meanings specified below: “ABR,” when used in reference to any Loan or Borrowing, refers to whether such Loan, or the Loans comprising such Borrowing, are bearing interest at a rate determined by reference to the Alternate Base Rate. “Adjusted Daily Simple RFR” means, (a) with respect to any RFR Borrowing denominated in Sterling, the Adjusted Daily Simple SONIA and (b) with respect to any RFR Borrowing denominated in dollars, the Adjusted Daily Simple SOFR. “Adjusted Daily Simple SOFR” means an interest rate per annum equal to (a) the Daily Simple RFR for dollars, plus (b) 0.10%; provided that, with respect to any RFR Borrowing denominated in dollars, if Adjusted Daily Simple SOFR as so determined would be less than the Floor, such rate shall be deemed to be equal to the Floor for the purposes of this Agreement. “Adjusted Daily Simple SONIA” means, with respect to any RFR Borrowing denominated in Sterling, an interest rate per annum equal to (a) the Daily Simple RFR for Sterling, plus (b) 0.0326%; provided that if Adjusted Daily Simple SONIA as so determined would be less than the Floor, such rate shall be deemed to be equal to the Floor for the purposes of this Agreement. “Adjusted EURIBOR Rate” means, with respect to any Term Benchmark Borrowing denominated in Euros for any Interest Period, an interest rate per annum equal to (a) the EURIBOR Rate for such Interest Period multiplied by (b) the Statutory Reserve Rate; provided that if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 TechnipFMC | Internal Adjusted EURIBOR Rate as so determined would be less than the Floor, such rate shall be deemed to be equal to the Floor for the purposes of this Agreement. “Adjusted Term SOFR Rate” means, with respect to any Term Benchmark Borrowing denominated in dollars for any Interest Period, an interest rate per annum equal to (a) the Term SOFR Rate for such Interest Period, plus (b) 0.10%; provided that if the Adjusted Term SOFR Rate as so determined would be less than the Floor, such rate shall be deemed to be equal to the Floor for the purposes of this Agreement. “Administrative Agent” means JPMCB (including its branches and affiliates), in its capacity as administrative agent and as collateral agent hereunder and under the other Loan Documents, and its successors in such capacity as provided in Article VIII. “Administrative Questionnaire” means an administrative questionnaire in a form supplied by the Administrative Agent. “Affected Financial Institution” means (a) any EEA Financial Institution or (b) any UK Financial Institution. “Affiliate” means, with respect to a specified Person, another Person that directly, or indirectly through one or more intermediaries, Controls or is Controlled by or is under common Control with the Person specified. “Agent-Related Person” has the meaning assigned to such term in Section 9.03(d). “Agreed Currencies” means dollars and each Alternative Currency. “Agreement” has the meaning assigned to such term in the introductory statement to this Credit Agreement. “Alternate Base Rate” means, for any day, a rate per annum equal to the greatest of (a) the Prime Rate in effect on such day, (b) the NYFRB Rate in effect on such day plus 1∕2 of 1% and (c) the Adjusted Term SOFR Rate for a one month Interest Period as published two U.S. Government Securities Business Days prior to such day (or if such day is not a U.S. Government Securities Business Day, the immediately preceding U.S. Government Securities Business Day) plus 1%; provided that for the purpose of this definition, the Adjusted Term SOFR Rate for any day shall be based on the Term SOFR Reference Rate at approximately 5:00 a.m. Chicago time on such day (or any amended publication time for the Term SOFR Reference Rate, as specified by the CME Term SOFR Administrator in the Term SOFR Reference Rate methodology). Any change in the Alternate Base Rate due to a change in the Prime Rate, the NYFRB Rate or the Adjusted Term SOFR Rate shall be effective from and including the effective date of such change in the Prime Rate, the NYFRB Rate or the Adjusted Term SOFR Rate, respectively. If the Alternate Base Rate is being used as an alternate rate of interest pursuant to Section 2.14 (for the avoidance of doubt, only until the Benchmark Replacement has been determined pursuant to Section 2.14(b)), then the Alternate Base Rate shall be the greater of clauses (a) and (b) above and shall be determined without reference to clause (c) above. For the avoidance of doubt, if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 TechnipFMC | Internal Alternate Base Rate as determined pursuant to the foregoing would be less than 1.75%, such rate shall be deemed to be 1.75% for purposes of this Agreement. “Alternative Currency” means Euros, Sterling and any additional currencies determined after the First Amendment Effective Date by mutual agreement of the Borrowers, the Lenders, the Issuing Banks and the Administrative Agent; provided that each such currency is a lawful currency that is readily available, freely transferable and not restricted and able to be converted into dollars. “Ancillary Document” has the meaning assigned to such term in Section 9.06(b). “Anti-Corruption Laws” means all laws, rules, and regulations of any jurisdiction applicable to the Borrowers or any of their Affiliates concerning or relating to bribery or corruption. “Applicable Percentage” means, at any time with respect to any Lender, the percentage of the Total Commitments represented by such Lender’s Commitment at such time. If the Commitments have terminated or expired, the Applicable Percentages shall be determined based upon the Commitments most recently in effect, giving effect to any assignments of Loans and LC Exposures that occur after such termination or expiration. “Applicable Rate” means, (a) during the Secured Period only, for any day with respect to (i) any Loan that is an ABR Loan, the applicable rate per annum set forth in the table below under the caption “ABR Loans” based upon the Total Leverage Ratio as of the end of the most recently ended fiscal quarter for which financial statements were delivered in accordance with Section 5.01, (ii) any Loan that is a Term Benchmark Loan or RFR Loan, the applicable rate per annum set forth in the table below under the caption “Term Benchmark Loans / RFR Loans” based upon the Total Leverage Ratio as of the end of the most recently ended fiscal quarter for which financial statements were delivered in accordance with Section 5.01, and (iii) the commitment fees payable hereunder in respect of Loans, the applicable rate per annum set forth in the table below under the caption “Commitment Fee” based upon the Total Leverage Ratio as of the end of the most recently ended fiscal quarter for which financial statements were delivered in accordance with Section 5.01. Level Total Leverage Ratio Term Benchmark Loans / RFR Loans ABR Loans Commitment Fee I &gt; 4.00 to 1.00 3.50% 2.50% 0.500% II ≤ 4.00 to 1.00 but &gt; 3.00 to 1.00 3.00% 2.00% 0.375% III &lt; 3.00 to 1.00 2.50% 1.50% 0.250% For purposes of this definition, each change in the Applicable Rate resulting from a change in the Total Leverage Ratio shall be effective during the period commencing on and including the date of delivery to the Administrative Agent pursuant to Section 5.01(a) or 5.01(b)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 TechnipFMC | Internal consolidated financial statements indicating such change and ending on the date immediately preceding the effective date of the next such change; provided that the Total Leverage Ratio shall be deemed to be in Level I at the option of the Administrative Agent or at the request of the Required Lenders if the Company fails to deliver the consolidated financial statements required to be delivered by it pursuant to Section 5.01(a) or 5.01(b) or the certificate of a Financial Officer required to be delivered by it pursuant to Section 5.01(c) during the period from the expiration of the time for delivery thereof until such consolidated financial statements and such certificate are delivered. (b) Notwithstanding the immediately preceding clause (a), upon and after the occurrence of the Investment Grade Date, for any day with respect to (i) any Loan that is an ABR Loan, the applicable rate per annum set forth in the table below under the caption “ABR Loans” based upon the Debt Ratings then in effect, (ii) any Loan that is a Term Benchmark Loan or RFR Loan, the applicable rate per annum set forth in the table below under the caption “Term Benchmark Loans / RFR Loans” based upon the Debt Ratings then in effect, and (iii) the commitment fees payable hereunder in respect of Loans, the applicable rate per annum set forth in the table below under the caption “Commitment Fee” based upon the Debt Ratings then in effect. Rating Term Benchmark Loans / RFR Loans ABR Loans Commitment Fee Baa1/BBB+ 1.125% 0.125% 0.125% Baa2/BBB 1.250% 0.250% 0.150% Baa3/BBB- 1.500% 0.500% 0.200% Ba1/BB+ 1.750% 0.750% 0.250% ≤Ba2/BB 2.000% 1.000% 0.300% For purposes of the table immediately above, (a) if the Company has different Debt Ratings from two or more Rating Agencies, the highest of such Debt Ratings shall apply (with the Debt Rating “Baa1/BBB+” being the highest and the Debt Rating “≤Ba2/BB” being the lowest); provided that if the highest Debt Rating is two or more Debt Ratings above the lowest Debt Rating, the Debt Rating immediately below the highest Debt Rating shall apply and (b) if the Company has a Debt Rating from only one Rating Agency or does not have any Debt Rating, “≤Ba2/BB” shall apply for all purposes of the table immediately above. Each change in the Applicable Rate and commitment fees resulting from a publicly announced change in the Debt Rating shall be effective during the period commencing on the date of the public announcement thereof and ending on the date immediately preceding the effective date of the next such change. If a Rating Agency no longer has a Debt Rating for the Company, the rating system of a Rating Agency shall change, or if any such Rating Agency shall cease to be in the business of rating corporate debt obligations, the Company and the Lenders shall negotiate in good faith to amend this definition to reflect such changed rating system or the unavailability of ratings from such Rating Agency and, pending the effectiveness of any such amendment, the Applicable Rate and the commitment fees shall be determined without reference to the affected Rating Agency. “Approved Fund” means, with respect to any Lender or Eligible Assignee, any Person (other than a natural person) that is engaged in making, purchasing, holding or investing in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 TechnipFMC | Internal commercial loans and similar extensions of credit in the ordinary course of its activities and that is administered, advised or managed by (a) such Lender or Eligible Assignee, (b) an Affiliate of such Lender or Eligible Assignee or (c) an entity or an Affiliate of an entity that administers, advises or manages such Lender or Eligible Assignee. “Arrangers” means, collectively, JPMorgan Chase Bank, N.A., BofA Securities Inc. and Citibank, N.A., in their capacities as joint lead arrangers and joint bookrunners for the Facility. “Assignment and Assumption” means an assignment and assumption entered into by a Lender and an Eligible Assignee (with the consent of any Person whose consent is required by Section 9.04) and accepted by the Administrative Agent, substantially in the form of Exhibit A or any other form approved by the Administrative Agent. “Availability Period” means the period from and including the Effective Date to but excluding the earlier of the Maturity Date and the date of termination of all the Commitments. “Available Tenor” means, as of any date of determination and with respect to the then- current Benchmark, as applicable, any tenor for such Benchmark or payment period for interest calculated with reference to such Benchmark, as applicable, that is or may be used for determining the length of an Interest Period pursuant to this Agreement as of such date and not including, for the avoidance of doubt, any tenor for such Benchmark that is then-removed from the definition of “Interest Period” pursuant to clause (f) of Section 2.14. “Bail-In Action” means the exercise of any Write-Down and Conversion Powers by the applicable Resolution Authority in respect of any liability of an Affected Financial Institution. “Bail-In Legislation” means, (a) with respect to any EEA Member Country implementing Article 55 of Directive 2014/59/EU of the European Parliament and of the Council of the European Union, the implementing law, regulation, rule or requirement for such EEA Member Country from time to time which is described in the EU Bail-In Legislation Schedule and (b) with respect to the United Kingdom, Part I of the United Kingdom Banking Act 2009 (as amended from time to time) and any other law, regulation or rule applicable in the United Kingdom relating to the resolution of unsound or failing banks, investment firms or other financial institutions or their affiliates (other than through liquidation, administration or other insolvency proceedings). “Bank Levy” means any amount payable by any Lender or any of its Affiliates on the basis of, or in relation to, its balance sheet or capital base or any part of that person or its liabilities or minimum regulatory capital or any combination thereof, including, without limitation, the UK bank levy contained in the Finance Act 2011, the French taxe pour le financement du fonds de soutien aux collectivités territoriales as set out in Article 235 ter ZE bis of the French Tax Code, the German bank levy as set out in the German Restructuring Fund Act 2010 (Restrukturierungsfondsgesetz), the Spanish bank levy (Impuesto sobre los Depósitos en las Entidades de Crédito) as set out in the Law 16/2012 of 27 December 2012, or any levy or tax with a similar basis or a similar purpose or any financial activities taxes (or other levies) of a kind imposed by any jurisdiction in the form existing at the Fifth Amendment Effective Date and/or which has been formally announced as proposed as at the Fifth Amendment Effective Date, or (if applicable) as at the date the relevant Lender accedes as a Lender to this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 TechnipFMC | Internal “Bankruptcy Code” means Title 11 of the United States Code entitled “Bankruptcy,” as now or hereafter in effect, or any successor thereto. “Bankruptcy Event” means, with respect to any Person, such Person becomes the subject of a voluntary or involuntary bankruptcy or insolvency proceeding, or has had a receiver, conservator, trustee, administrator, custodian, assignee for the benefit of creditors or similar Person charged with the reorganization or liquidation of its business appointed for it, or, in the good faith determination of the Administrative Agent, has taken any action in furtherance of, or indicating its consent to, approval of, or acquiescence in, any such proceeding or appointment or has had any order for relief in such proceeding entered in respect thereof; provided that a Bankruptcy Event shall not result solely by virtue of any ownership interest, or the acquisition of any ownership interest, in such Person by a Governmental Authority or instrumentality thereof, unless such ownership interest results in or provides such Person with immunity from the jurisdiction of courts within the United States or from the enforcement of judgments or writs of attachment on its assets or permits such Person (or such Governmental Authority or instrumentality) to reject, repudiate, disavow or disaffirm any contracts or agreements made by such Person. “Benchmark” means, initially, with respect to any (a) RFR Loan in any Agreed Currency, the applicable Relevant Rate for such Agreed Currency or (b) Term Benchmark Loan, the Relevant Rate for such Agreed Currency; provided that if a Benchmark Transition Event, and the related Benchmark Replacement Date have occurred with respect to the applicable Relevant Rate or the then-current Benchmark for such Agreed Currency, then “Benchmark” means the applicable Benchmark Replacement to the extent that such Benchmark Replacement has replaced such prior benchmark rate pursuant to clause (b) of Section 2.14. “Benchmark Replacement” means, for any Available Tenor, the first alternative set forth in the order below that can be determined by the Administrative Agent for the applicable Benchmark Replacement Date; provided that, in the case of any Loan denominated in an Alternative Currency, “Benchmark Replacement” shall mean the alternative set forth in (b) below: (a) in the case of any Loan denominated in dollars, the Adjusted Daily Simple SOFR; (b) the sum of: (i) the alternate benchmark rate that has been selected by the Administrative Agent and the Company as the replacement for the then-current Benchmark for the applicable Corresponding Tenor giving due consideration to (A) any selection or recommendation of a replacement benchmark rate or the mechanism for determining such a rate by the Relevant Governmental Body or (B) any evolving or then-prevailing market convention for determining a benchmark rate as a replacement for the then-current Benchmark for syndicated credit facilities denominated in the applicable Agreed Currency at such time in the United States and (ii) the related Benchmark Replacement Adjustment; If the Benchmark Replacement as determined pursuant to clause (a) or (b) above would be less than the Floor, the Benchmark Replacement will be deemed to be the Floor for the purposes of this Agreement and the other Loan Documents. “Benchmark Replacement Adjustment” means, with respect to any replacement of the then-current Benchmark with an Unadjusted Benchmark Replacement for any applicable Interest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 TechnipFMC | Internal Period and Available Tenor for any setting of such Unadjusted Benchmark Replacement, the spread adjustment, or method for calculating or determining such spread adjustment, (which may be a positive or negative value or zero) that has been selected by the Administrative Agent and the Company for the applicable Corresponding Tenor giving due consideration to (a) any selection or recommendation of a spread adjustment, or method for calculating or determining such spread adjustment, for the replacement of such Benchmark with the applicable Unadjusted Benchmark Replacement by the Relevant Governmental Body on the applicable Benchmark Replacement Date and/or (b) any evolving or then-prevailing market convention for determining a spread adjustment, or method for calculating or determining such spread adjustment, for the replacement of such Benchmark with the applicable Unadjusted Benchmark Replacement for syndicated credit facilities denominated in the applicable Agreed Currency at such time. “Benchmark Replacement Conforming Changes” means, with respect to any Benchmark Replacement and/or any Term Benchmark Loan denominated in dollars, any technical, administrative or operational changes (including changes to the definition of “Alternate Base Rate,” the definition of “Business Day,” the definition of “U.S. Government Securities Business Day,” the definition of “RFR Business Day,” the definition of “Interest Period,” timing and frequency of determining rates and making payments of interest, timing of borrowing requests or prepayment, conversion or continuation notices, length of lookback periods, the applicability of breakage provisions, and other technical, administrative or operational matters) that the Administrative Agent, in consultation with the Borrowers, decides may be appropriate to reflect the adoption and implementation of such Benchmark and to permit the administration thereof by the Administrative Agent in a manner substantially consistent with market practice (or, if the Administrative Agent, in consultation with the Borrowers, decides that adoption of any portion of such market practice is not administratively feasible or if the Administrative Agent, in consultation with the Borrowers, determines that no market practice for the administration of such Benchmark exists, in such other manner of administration as the Administrative Agent, in consultation with the Borrowers, decides is reasonably necessary in connection with the administration of this Agreement and the other Loan Documents). “Benchmark Replacement Date” means, with respect to any Benchmark, the earliest to occur of the following events with respect to such then-current Benchmark: (a) in the case of clause (a) or (b) of the definition of “Benchmark Transition Event,” the later of (i) the date of the public statement or publication of information referenced therein and (ii) the date on which the administrator of such Benchmark (or the published component used in the calculation thereof) permanently or indefinitely ceases to provide all Available Tenors of such Benchmark (or such component thereof); or (b) in the case of clause (c) of the definition of “Benchmark Transition Event,” the first date on which such Benchmark (or the published component used in the calculation thereof) has been determined and announced by the regulatory supervisor for the administrator of such Benchmark (or such component thereof) to be no longer representative; provided, that such non- representativeness will be determined by reference to the most recent statement or publication referenced in such clause (c) and even if any Available Tenor of such Benchmark (or such component thereof) continues to be provided on such date.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 TechnipFMC | Internal For the avoidance of doubt, (a) if the event giving rise to the Benchmark Replacement Date occurs on the same day as, but earlier than, the Reference Time in respect of any determination, the Benchmark Replacement Date will be deemed to have occurred prior to the Reference Time for such determination and (b) the “Benchmark Replacement Date” will be deemed to have occurred in the case of clause (a) or (b) with respect to any Benchmark upon the occurrence of the applicable event or events set forth therein with respect to all then-current Available Tenors of such Benchmark (or the published component used in the calculation thereof). “Benchmark Transition Event” means, with respect to any Benchmark, the occurrence of one or more of the following events with respect to such then-current Benchmark: (a) a public statement or publication of information by or on behalf of the administrator of such Benchmark (or the published component used in the calculation thereof) announcing that such administrator has ceased or will cease to provide all Available Tenors of such Benchmark (or such component thereof), permanently or indefinitely, provided that, at the time of such statement or publication, there is no successor administrator that will continue to provide any Available Tenor of such Benchmark (or such component thereof); (b) a public statement or publication of information by the regulatory supervisor for the administrator of such Benchmark (or the published component used in the calculation thereof), the Federal Reserve Board, the NYFRB, the CME Term SOFR Administrator, the central bank for the Agreed Currency applicable to such Benchmark, an insolvency official with jurisdiction over the administrator for such Benchmark (or such component), a resolution authority with jurisdiction over the administrator for such Benchmark (or such component) or a court or an entity with similar insolvency or resolution authority over the administrator for such Benchmark (or such component), in each case, which states that the administrator of such Benchmark (or such component) has ceased or will cease to provide all Available Tenors of such Benchmark (or such component thereof) permanently or indefinitely; provided that, at the time of such statement or publication, there is no successor administrator that will continue to provide any Available Tenor of such Benchmark (or such component thereof); or (c) a public statement or publication of information by the regulatory supervisor for the administrator of such Benchmark (or the published component used in the calculation thereof) announcing that all Available Tenors of such Benchmark (or such component thereof) are no longer, or as of a specified future date will no longer be, representative. For the avoidance of doubt, a “Benchmark Transition Event” will be deemed to have occurred with respect to any Benchmark if a public statement or publication of information set forth above has occurred with respect to each then-current Available Tenor of such Benchmark (or the published component used in the calculation thereof). “Benchmark Unavailability Period” means, with respect to any Benchmark, the period (if any) (a) beginning at the time that a Benchmark Replacement Date pursuant to clauses (a) or (b) of that definition has occurred if, at such time, no Benchmark Replacement has replaced such then- current Benchmark for all purposes hereunder and under any Loan Document in accordance with Section 2.14 and (b) ending at the time that a Benchmark Replacement has replaced such then-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 TechnipFMC | Internal current Benchmark for all purposes hereunder and under any Loan Document in accordance with Section 2.14. “Beneficial Ownership Certification” means a certification regarding beneficial ownership or control as required by the Beneficial Ownership Regulation. “Beneficial Ownership Regulation” means 31 C.F.R. § 1010.230. “Benefit Plan” means any of (a) an “employee benefit plan” (as defined in Section 3(3) of ERISA) that is subject to Title I of ERISA, (b) a “plan” as defined in Section 4975 of the Code to which Section 4975 of the Code applies, and (c) any Person whose assets include (for purposes of the Plan Asset Regulations or otherwise for purposes of Title I of ERISA or Section 4975 of the Code) the assets of any such “employee benefit plan” or “plan”. “Bona Fide Debt Fund” means any fund or investment vehicle that is engaged in the making, purchasing, holding or otherwise investing in commercial loans, bonds and other similar extensions of credit in the ordinary course of business. “Borrower DTTP Filing” means an HM Revenue &amp; Customs’ Form DTTP2 duly completed and filed by a UK Borrower, which: (a) where it relates to a UK Treaty Lender that becomes or became (as applicable) a Lender on or before the Fifth Amendment Effective Date, contains the scheme reference number and jurisdiction of tax residence stated opposite that Lender’s name in Schedule 2.01 hereto and is or was (as applicable) filed with HM Revenue &amp; Customs prior to the date 30 days following the Fifth Amendment Effective Date; or (b) where it relates to a UK Treaty Lender that becomes a Lender after the Fifth Amendment Effective Date, contains the scheme reference number and jurisdiction of tax residence stated in respect of that Lender in the documentation which it executes on becoming a party to this Agreement as a Lender and is filed with HM Revenue &amp; Customs within 30 days of the UK Treaty Lender becoming a Lender hereunder. “Borrowers” has the meaning assigned to it in the preamble hereto. “Borrowing” means Loans of the same Type and currency, made, converted or continued on the same date and, in the case of Term Benchmark Loans, as to which a single Interest Period is in effect. “Borrowing Minimum” means (a) in the case of a Term Benchmark Borrowing and RFR Loans denominated in dollars, $1,000,000, (b) in the case of a Term Benchmark Borrowing and RFR Loans denominated in any Alternative Currency, the smallest amount of such Alternative Currency that is an integral multiple of 100,000 units of such currency and that has a Dollar Equivalent in excess of $1,000,000 and (c) in the case of an ABR Borrowing, $1,000,000. “Borrowing Multiple” means (a) in the case of a Term Benchmark Borrowing and RFR Loans denominated in dollars, $500,000, (b) in the case of a Term Benchmark Borrowing and RFR Loans denominated in any Alternative Currency, the smallest amount of such Alternative Currency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 TechnipFMC | Internal that is an integral multiple of 100,000 units of such currency and that has a Dollar Equivalent in excess of $500,000 and (c) in the case of an ABR Borrowing, $500,000. “Borrowing Request” means a request by a Borrower for a Borrowing in accordance with Section 2.03 which shall be, in the case of a written Borrowing Request, in the form of Exhibit B or any other form approved by the Administrative Agent and otherwise consistent with the requirements of Section 2.03. “Business Day” means any day (other than a Saturday or a Sunday) on which banks are open for business in New York City; provided that, in addition to the foregoing, a Business Day shall be (a) in relation to Loans denominated in Euros and in relation to the calculation or computation of EURIBOR, any day which is a TARGET Day, (b) in relation to RFR Loans and any interest rate settings, fundings, disbursements, settlements or payments of any such RFR Loan, or any other dealings in the applicable Agreed Currency of such RFR Loan, any such day that is only a RFR Business Day and (c) in relation to Loans referencing the Adjusted Term SOFR Rate and any interest rate settings, fundings, disbursements, settlements or payments of any such Loans referencing the Adjusted Term SOFR Rate or any other dealings of such Loans referencing the Adjusted Term SOFR Rate, any such day that is a U.S. Government Securities Business Day. “Capital Lease Obligations” of any Person means the obligations of such Person to pay rent or other amounts under any lease of (or other arrangement conveying the right to use) real or personal property, or a combination thereof, which obligations are required to be classified and accounted for as capital leases or financing leases on a balance sheet of such Person under GAAP, and the amount of such obligations shall be the capitalized amount thereof determined in accordance with GAAP. For purposes of Section 6.02, a Capital Lease Obligation shall be deemed to be secured by a Lien on the property being leased and such property shall be deemed to be owned by the lessee. “Cash Management Services” means cash management services for collections, treasury management services (including controlled disbursement, overdraft, automated clearing house fund transfer services, return items and interstate depository network services), any demand deposit, payroll, trust or operating account relationships, commercial credit cards, merchant card, purchase or debit cards, non-card e-payables services, and other cash management services, including electronic funds transfer services, lockbox services, stop payment services and wire transfer services. “CBR Loan” means a Loan that bears interest at a rate determined by reference to the Central Bank Rate. “CBR Spread” means the Applicable Rate applicable to such Loan that is replaced by a CBR Loan. “Central Bank Rate” means, the greater of (a)(i) for any Loan denominated in (A) Sterling, the Bank of England (or any successor thereto)’s “Bank Rate” as published by the Bank of England (or any successor thereto) from time to time, (B) Euro, one of the following three rates as may be selected by the Administrative Agent in its reasonable discretion: (1) the fixed rate for the main refinancing operations of the European Central Bank (or any successor thereto),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 TechnipFMC | Internal or, if that rate is not published, the minimum bid rate for the main refinancing operations of the European Central Bank (or any successor thereto), each as published by the European Central Bank (or any successor thereto) from time to time, (2) the rate for the marginal lending facility of the European Central Bank (or any successor thereto), as published by the European Central Bank (or any successor thereto) from time to time, or (3) the rate for the deposit facility of the central banking system of the Participating Member States, as published by the European Central Bank (or any successor thereto) from time to time, and (C) any other Alternative Currency determined after the Effective Date, a central bank rate as determined by the Administrative Agent in its reasonable discretion; plus (ii) the applicable Central Bank Rate Adjustment; and (b) the Floor. “Central Bank Rate Adjustment” means, for any day, for any Loan denominated in (a) Euro, a rate equal to the difference (which may be a positive or negative value or zero) of (i) the average of the Adjusted EURIBOR Rate for the five most recent Business Days preceding such day for which the EURIBOR Screen Rate was available (excluding, from such averaging, the highest and the lowest Adjusted EURIBOR Rate applicable during such period of five Business Days) minus (ii) the Central Bank Rate in respect of Euro in effect on the last Business Day in such period, (b) Sterling, a rate equal to the difference (which may be a positive or negative value or zero) of (i) the average of Adjusted Daily Simple RFR for Sterling Borrowings for the five most recent RFR Business Days preceding such day for which Adjusted Daily Simple RFR for Sterling Borrowings was available (excluding, from such averaging, the highest and the lowest such Adjusted Daily Simple RFR applicable during such period of five RFR Business Days) minus (ii) the Central Bank Rate in respect of Sterling in effect on the last RFR Business Day in such period and (c) any other Alternative Currency determined after the Effective Date, a Central Bank Rate Adjustment as determined by the Administrative Agent in its reasonable discretion. For purposes of this definition, (A) the term Central Bank Rate shall be determined disregarding clause (b) of the definition of such term and (B) the EURIBOR Rate on any day shall be based on the EURIBOR Screen Rate, on such day at approximately the time referred to in the definition of such term for deposits in the applicable Agreed Currency for a maturity of one month. “CFC” means a “controlled foreign corporation” within the meaning of Section 957(a) of the Code, the equity of which is owned, within the meaning of Section 958(a) of the Code, by any subsidiary of the Company that is organized in the United States and treated as a corporation for U.S. federal income tax purposes. “Change in Control” means (a) the acquisition of ownership, directly or indirectly, beneficially or of record, by any Person or group (within the meaning of the Exchange Act and the rules of the SEC thereunder) of 50% or more on a fully diluted basis of the Voting Equity Interests of the Company or (b) any “change in control”, “change of control”, “fundamental change” or the functional equivalent of the foregoing shall occur under any Material Indebtedness. “Change in Law” means the occurrence after the date of this Agreement of (a) the adoption of or taking effect of any law, rule, regulation or treaty, (b) any change in any law, rule, regulation or treaty or in the administration, interpretation, implementation or application thereof by any Governmental Authority or (c) compliance by any Lender or Issuing Bank (or, for purposes of Section 2.15(b), by any lending office of such Lender or by such Lender’s or Issuing Bank’s holding company, if any) with any request, guideline or directive (whether or not having the force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 TechnipFMC | Internal of law) of any Governmental Authority made or issued after the date of this Agreement; provided that, notwithstanding anything herein to the contrary, (x) the Dodd-Frank Wall Street Reform and Consumer Protection Act and all requests, rules, guidelines or directives thereunder or issued in connection therewith or in the implementation thereof and (y) all requests, rules, guidelines or directives promulgated by the Bank for International Settlements, the Basel Committee on Banking Supervision (or any successor or similar authority) or the U.S. or foreign regulatory authorities, in each case pursuant to Basel III, shall, in each case, be deemed to be a “Change in Law,” regardless of the date enacted, adopted, issued or implemented. “Charges” has the meaning assigned to such term in Section 9.13. “CME Term SOFR Administrator” means CME Group Benchmark Administration Limited as administrator of the forward-looking term Secured Overnight Financing Rate (SOFR) (or a successor administrator). “Code” means the Internal Revenue Code of 1986, as amended. “Co-Documentation Agents” means, collectively, Société Générale, Standard Chartered Bank and Sumitomo Mitsui Banking Corporation, in their capacities as co-documentation agents for the Facility. “Collateral” means all “Collateral” (or equivalent term) as defined in any Security Document, all Mortgaged Property, all Collateral Vessels and any and all other assets, whether real or personal, tangible or intangible, on which Liens are or are purported to be granted pursuant to the Security Documents as security for the Obligations. “Collateral and Guarantee Principles” means the following limitations and qualifications of the Collateral and Guarantee Requirement: (a) general statutory limitations, financial assistance, capital maintenance, corporate benefit, fraudulent preference, “thin capitalization” rules, earnings stripping, retention of title claims and similar principles may prohibit or limit the ability of a Loan Party to provide a Guarantee or grant a Lien or require that the relevant Guarantee or Lien be limited by an amount or otherwise; provided that the applicable Loan Parties will use their commercially reasonable efforts to mitigate any such impediment or obstacle; (b) no Loan Party will be required to provide a Guarantee or grant a Lien to the extent doing so would conflict with the fiduciary duties of such Loan Party’s directors or contravene any legal prohibition or result in a material risk of personal or criminal liability on the part of any officer or director thereof; provided that, to the extent that any of the limitations, rules and/or principles referred to in paragraph (a) or (b) require that the Guarantee provided and/or the Liens granted by any Loan Party be limited in an amount or otherwise in order to (i) make the provision of such Guarantee or the grant of such Liens legal, valid, binding or enforceable, (ii) avoid the relevant Loan Party from breaching any applicable law or (iii) avoid personal or criminal liability of the officers or directors (or equivalent) of any Loan Party, such limit shall be no more than the minimum limit required by such limitations, rules and/or principles;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 TechnipFMC | Internal (c) the giving of a Guarantee or granting of a Lien or the perfection of a Lien (including any registration) will be agreed taking into account the cost to the Loan Parties of providing such Guarantee or granting such Lien, which must not be disproportionately greater than the benefit accruing to the Lenders; (d) no Restricted Subsidiary other than those organized or incorporated in a Collateral Jurisdiction will be required to provide Guarantees or grant any Lien and, except with respect to any Vessel Mortgages, no Restricted Subsidiary will be required to grant any Lien under local law in any jurisdiction that is not a Collateral Jurisdiction; (e) the maximum guaranteed or secured amount may be limited to minimize stamp duty, notarization, registration or other applicable fees, Taxes and duties where the benefit of increasing the Guaranteed or secured amount is disproportionate to the level of such fees, Taxes and duties; provided that, to the extent that any such fees, Taxes or duties may be reduced by actions or omissions on the part of the Loan Parties, each Loan Party shall use its commercially reasonable efforts to take such actions or not take actions (as appropriate) in order to reduce the limitations on the maximum guaranteed or secured amount attributable to such fees, Taxes or duties; (f) to the extent that any Guarantee or Lien requires the consent of or consultation with any supervisory board, works council or other external body, such Guarantee and/or Lien shall not be required until such consent has been received or such consultation made; provided that each Loan Party shall use its commercially reasonable efforts to take such actions as appropriate in order to obtain the relevant consent(s) or make the relevant consultation(s); (g) no Liens will be granted and no Guarantees will be provided by any non-wholly owned Subsidiary of the Company; (h) no pledge or other security interest shall be granted on (i) with respect to the obligations of the U.S. Borrower only, any assets of a CFC, FSHCO, or a subsidiary of a CFC or FSHCO, or (ii) those assets a pledge or other security interest in which would result in a material adverse tax consequence as reasonably determined by the Company; (i) the Security Documents shall include those documents agreed among counsel for the Company and the Administrative Agent, which documentation shall, in each case, be (i) in form and substance consistent with these Collateral and Guarantee Principles, (ii) customary for the form of Collateral in the applicable jurisdiction and (iii) as mutually agreed between the Administrative Agent (or other applicable agent) and the Company; (j) the Security Documents will, where possible and practical, automatically create Liens over future assets of the same type as those already secured, including by means of first- ranking floating charges and general business charges, where available, and where local law requires, supplemental pledges will be delivered in respect of future acquired assets in order for an effective Lien to be created over that class of asset; (k) the Security Documents will be drafted so as to minimize repetition or extension of clauses set out in the other Loan Documents, including any intercreditor agreement, such as those relating to notices, cost and expenses, indemnities, tax gross up, distribution of proceeds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 TechnipFMC | Internal release of Liens or Collateral, in each case, except to the extent specifically required by local law or for the perfection of Liens or to accord with standard market practice in the relevant jurisdiction; (l) the Security Documents should not operate so as to prevent transactions which are permitted under the other Loan Documents or require additional consents or authorizations; (m) the registration of any Liens created under any Security Documents and other legal formalities and perfection steps, if required under applicable law or regulation or where customary or consistent with market practice, will be completed by each Loan Party in the relevant Collateral Jurisdiction as soon as reasonably practicable in line with applicable market practice after such Liens are granted and, in any event, within the time periods specified in the relevant Loan Documents or within the time periods specified by applicable law or regulation, in order to ensure due priority, perfection and enforceability of the Liens on the Collateral required to be created by the relevant Security Documents; and (n) to the extent possible under applicable law, any Security Documents entered into on or after the Fifth Amendment Effective Date will contain automatic release provisions upon the occurrence of the Investment Grade Date to the extent that such Security Documents do not already provide for a release of Liens on the Collateral as and when required pursuant to Section 9.14. “Collateral and Guarantee Requirement” means, at any time, subject to Section 5.15, the requirement that: (a) the Administrative Agent shall have received from the Borrowers and each Guarantor Subsidiary (i) either (A) a counterpart of the New York-Law Guarantee duly executed and delivered on behalf of such Person or (B) in the case of any Person that becomes a Guarantor Subsidiary after the Effective Date, a supplement to the New York-Law Guarantee, in the form specified therein, duly executed and delivered on behalf of such Person, together with, as applicable in each jurisdiction (1) a customary written opinion (addressed to the Administrative Agent and the Lenders) of Latham &amp; Watkins LLP, special New York counsel for the Borrowers and the Restricted Subsidiaries, and of counsel in each other applicable Collateral Jurisdiction, in each case, covering such matters relating to the Loan Parties (as applicable) or the Loan Documents as the Administrative Agent shall reasonably request and (2) (aa) a secretary’s or director’s, as applicable, certificate from each Loan Party certifying and appending such Loan Party’s (I) incumbency (to the extent applicable in the relevant jurisdiction), (II) authorizing resolutions (or extracts of such resolutions) (including, in the case of a UK Loan Party except for the Company, resolutions of the shareholder of such UK Loan Party), (III) organizational documents, (IV) governmental approvals, if any, with respect to the Loan Documents to which such Person is a party and (V) in the case of a UK Loan Party, certifying that borrowing, guaranteeing or securing, as appropriate, the Total Commitments would not cause any borrowing or guarantee, security or similar limit binding on it to be exceeded; and (bb) certificates of status or good standing (to the extent applicable) as of a recent date of each applicable Loan Party in the jurisdiction of such Loan Party’s organization, and (3) certificates of insurance and related endorsements with respect to the insurance required by Section 5.07 and the Security Documents with respect to such Person and (ii) the New York-Law Security Agreement (in the case of U.S. Loan Parties only), the New York- Law Pledge Agreement, if applicable, and/or such other Security Documents, or counterparts or supplements thereto, together with opinions and documents of the type referred to in subclauses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 TechnipFMC | Internal (i)(B)(1), (2) and (3) hereof, in each case, as are customary for the form of Collateral in the applicable jurisdiction or otherwise reasonably requested by the Administrative Agent; (b) (i) all outstanding Equity Interests, in each case owned by any Loan Party (other than any Equity Interests in any joint venture or any other Excluded Equity owned by a Loan Party), shall have been pledged or charged pursuant to the Security Documents; provided that the Loan Parties shall not be required to pledge or charge (A) with respect to the obligations of the U.S. Borrower, only more than 65% of the outstanding Equity Interests of (1) any first-tier Foreign Subsidiary of a Loan Party that is a CFC, or (2) any FSHCO, (B) those Equity Interests a pledge or other security interest in which would result in a material adverse tax consequences as reasonably determined by the Company or (C) any Equity Interests to the extent that a pledge or other security over such Equity Interests is prohibited by any requirements of law binding on such Equity Interests at the time of acquisition thereof, after giving effect to the applicable anti- assignment provisions of the Uniform Commercial Code of any applicable jurisdiction and other applicable law (the Equity Interests described in clauses (A), (B) and (C), collectively, “Excluded Equity”) and (ii) the Administrative Agent shall have received, to the extent applicable and required by the Security Documents, certificates or other instruments representing all such Equity Interests, together with undated stock powers or other instruments of transfer with respect thereto endorsed in blank (provided that no Loan Party shall have any obligation to deliver a certificate or other instrument representing any such Equity Interest if such Equity Interest is (A) uncertificated unless such Equity Interest is a “security” under the Uniform Commercial Code or (B) of a Person that is not a wholly owned Restricted Subsidiary that is a Material Subsidiary); (c) all Indebtedness of the Borrowers and each Subsidiary, and all other Indebtedness of any Person in a principal amount individually of $35,000,000 or more, in each case, that is owing to any Loan Party shall have been pledged, assigned or charged pursuant to the Security Documents, and the Administrative Agent shall have received all such promissory notes (or, in the case of any Indebtedness of the Borrowers and each Subsidiary that is owing to any Loan Party, in lieu thereof, the Global Intercompany Note) together with undated instruments of transfer with respect thereto endorsed in blank; (d) all documents, notices, acknowledgments, stamping and instruments, including Uniform Commercial Code financing statements (or their equivalent) and filings with the United States Copyright Office and the United States Patent and Trademark Office, United Kingdom Companies House filings, HM Land Registry filings, filings with the Accounting and Corporate Regulatory Authority of Singapore, payment of stamp duty to the Inland Revenue Authority of Singapore and all other actions required by law or reasonably requested by the Administrative Agent to be filed, registered, delivered, performed or recorded to create the Liens intended to be created by the Security Documents and perfect such Liens to the extent required by, and with the priority required by, the Security Documents shall have been filed, registered, delivered, performed or recorded or delivered to the Administrative Agent or its counsel for filing, registration or recording; (e) the Administrative Agent shall have received, to the extent applicable in each relevant Collateral Jurisdiction, (i) counterparts of a Real Property Mortgage with respect to each Mortgaged Property duly executed and delivered by the record owner of such Mortgaged Property; (ii) a policy or policies of title insurance (or marked up title insurance commitment having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 TechnipFMC | Internal effect of a policy of title insurance) issued by a nationally recognized title insurance company insuring the Lien of each such Real Property Mortgage as a valid and enforceable first Lien on the Mortgaged Property described therein, free of any other Liens except as expressly permitted by Section 6.02, in an amount not less than the fair market value of such Mortgaged Property, together with such endorsements, coinsurance and reinsurance as the Administrative Agent may reasonably request, and in form and substance reasonably acceptable to the Administrative Agent, or in the case of any Mortgaged Property within England a City of London Law Society Certificate of Title prepared by the Company’s solicitors in respect of the Mortgaged Property, such Certificate of Title to be in a form that is satisfactory to the Administrative Agent; (iii) a completed “Life-of- Loan” Federal Emergency Management Agency Standard Flood Hazard Determination with respect to each Mortgaged Property and, to the extent a Mortgaged Property is located in a special flood hazard area, a notice about special flood hazard area status and flood disaster assistance duly executed by each Loan Party relating thereto and evidence of flood insurance as required under Section 5.07 hereof, or in the case of any Mortgaged Property within England a policy of insurance covering flood risk, such policy to be in a form that is satisfactory to the Administrative Agent; and (iv) such new surveys, valuation reports, environmental reports, building survey reports (or existing surveys together with affidavits of no-change sufficient for the title company to remove all standard survey exceptions from the mortgage title policy relating to such Mortgaged Property and issue the survey-related endorsements), abstracts, appraisals, legal opinions (with respect to enforceability and perfection of the Real Property Mortgages and the due authorization, execution and delivery of the Real Property Mortgages) and other documents as the Administrative Agent or the Required Lenders may reasonably request with respect to any such Real Property Mortgage or Mortgaged Property, in each case, in form and substance reasonably acceptable to the Administrative Agent; provided, that evidence of compliance with Flood Insurance Laws (including but not limited to identity of to-be-mortgaged properties, appraisals, flood determinations, notice to the Loan Parties and flood insurance, if applicable) (“Flood Due Diligence”) shall be provided reasonably in advance of execution and delivery of Real Property Mortgages to enable each Lender to complete its flood insurance regulatory compliance; provided, further, that notwithstanding anything to the contrary contained herein, the Administrative Agent shall not accept executed Real Property Mortgages from any Loan Party until the earlier of (A) notification from each Lender that it is satisfied with the Flood Due Diligence and (B) 45 days from the date the Administrative Agent provided the Flood Due Diligence to the Lenders; provided, further, that in the event Administrative Agent declines to accept any Real Property Mortgages, the time period for the delivery of such Real Property Mortgages required hereunder shall automatically be extended until such time that Administrative Agent accepts such Real Property Mortgages; provided, further, that, for purposes of Real Property Mortgages in Brazil, the delivery of evidence to the Administrative Agent or its counsel of filing (protocolo) of the Real Property Mortgages with the relevant registry(ies) shall suffice for purposes of the foregoing so long as the registration of such Brazilian Real Property Mortgages is completed by the Loan Parties as soon as reasonably practicable thereafter; (f) the Administrative Agent shall have received (i) a Vessel Mortgage with respect to each Collateral Vessel, duly executed and delivered by the record owner of such Collateral Vessel, (ii) in respect of each Collateral Vessel evidence that the Vessel Mortgage in respect of that Collateral Vessel has been duly registered in the vessel or ship registry appropriate for such Collateral Vessel in favor of the Administrative Agent and (iii) such other instruments, certificates and documents as the Administrative Agent may reasonably request, including, a customary legal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17 TechnipFMC | Internal opinion relating to matters governed by the laws of the jurisdiction of the flag under which the applicable Collateral Vessel is registered and in form and substance reasonably satisfactory to the Administrative Agent; (g) each Loan Party shall have obtained all consents and approvals required to be obtained by it in connection with the execution and delivery of all Security Documents to which it is a party, the performance of its obligations thereunder and the granting by it of the Liens thereunder; and (h) the Administrative Agent shall have received such evidence of compliance with the requirements of Section 5.13 as may be reasonably requested by the Administrative Agent. The Administrative Agent may grant extensions of time for the creation or perfection of pledges of or security interests in, or the obtaining of title insurance, legal opinions or other deliverables with respect to, particular assets, rights or properties of the Loan Parties or the provision of Guarantees by any Guarantor Subsidiary (including extensions beyond the Effective Date or in connection with assets, rights or properties acquired, or Subsidiaries formed or acquired, after the Effective Date) where it determines in its reasonable discretion that such creation or perfection of security interests, obtaining of title insurance, legal opinions or other deliverables, or provision of Guarantees cannot be accomplished without undue effort or expense by the time or times at which it would otherwise be required by this Agreement or the Security Documents. It is understood and agreed that the foregoing Collateral and Guarantee Requirements shall be subject to the Collateral and Guarantee Principles. Notwithstanding anything in the Security Documents to the contrary, in no event shall the Liens granted thereunder attach to (a) any assets if, to the extent and for so long as the grant of a Lien thereon to secure the Obligations is prohibited by applicable law, rule or regulation after giving effect to the applicable anti-assignment provisions of the Uniform Commercial Code of any applicable jurisdiction and other applicable law; provided, that such security interest shall attach immediately at such time as the condition causing such prohibition shall no longer exist and, to the extent severable, shall attach immediately to any portion of such asset that does not result in such prohibition, (b) any Excluded Equity, (c) any motor vehicles owned or any other assets subject to certificates of title (excluding, for the avoidance of doubt, any owned vessels), to the extent that a security interest therein cannot be perfected by the filing of a Uniform Commercial Code financing statement or charter registration, (d) any intent-to-use trademark application in the United States prior to the filing and acceptance of a “Statement of Use” or “Amendment to Allege Use” with respect thereto, to the extent, if any, that, and solely during the period, if any, in which, the grant, attachment, or enforcement of a security interest therein would impair the validity or enforceability of such intent to use application or any registration issuing therefrom under applicable United States federal law, (e) those contracts, receivables, leases or licenses over which the granting of security interests in such contracts, receivables, leases or licenses would be prohibited thereby (in each case, while such prohibitions exist and except to the extent such prohibition is unenforceable after giving effect to applicable provisions of the Uniform Commercial Code or similar statutes and, in each case, other than proceeds thereof to the extent the assignment of such proceeds is expressly deemed effective under the Uniform Commercial Code or similar statutes notwithstanding such prohibitions), (f) those assets a pledge or other security interest in which would result in a material adverse tax consequence as reasonably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18 TechnipFMC | Internal determined by the Company, (g) assets that are subject to a Lien securing a Capital Lease Obligation, purchase money financing or similar arrangements permitted to be incurred under Section 6.02(e) and for so long as the contract or other agreement in which such Lien is granted validly prohibits the creation of any other Lien on such assets and proceeds, (h) any assets as to which the Administrative Agent reasonably determines that the costs of obtaining such security interests in such assets or perfection thereof are excessive in relation to the value of the Lenders of the security to be afforded thereby, (i) receivables, related rights or assets, collections or proceeds thereof sold, transferred, assigned, contributed or conveyed to or in connection with any Qualified Receivables Financing or any bank or deposit accounts into which any collections on any such receivables or assets are deposited (such receivables assets and related rights and bank accounts, the “Transferred Receivables Assets”), and if any Collateral hereunder or under any other Loan Document ever includes or is deemed to include any such Transferred Receivables Assets, any such interest of the Administrative Agent or the Lenders (or any collateral agent on their behalf) therein hereunder or under any other Loan Document shall be automatically released, and (j) any other property excluded by the relevant Security Documents (the items referred to in clauses (a) through (j) above being collectively referred to as the “Excluded Personal Property”); provided, that Excluded Personal Property shall not include any Proceeds (as defined in the Uniform Commercial Code), substitutions or replacements of any Excluded Personal Property (unless such Proceeds, substitutions or replacements would constitute Excluded Personal Property). Further, notwithstanding anything to the contrary herein or in any other Loan Document, on the Investment Grade Date and at all times thereafter, this “Collateral and Guarantee Requirement” shall no longer be of any force or effect (other than with respect to any Investment Grade Retained Credit Support), and any Liens on the Collateral and any Guarantees of the Obligations, in each case, granted by the Loan Parties in favor of the Administrative Agent pursuant to the Security Documents, shall be automatically released in accordance with Section 9.14 (other than any Guarantees constituting Investment Grade Retained Credit Support). “Collateral Jurisdiction” means (a) as of the Fifth Amendment Effective Date, the U.S., the United Kingdom, Brazil, the Netherlands, Norway, Singapore and France and (b) after the Fifth Amendment Effective Date, each other jurisdiction of organization or incorporation of any Material Subsidiary, subject to the Collateral and Guarantee Principles; provided, however, that, to the extent that the Company has delivered an opinion of counsel to the effect that Liens on the relevant Collateral or Guarantees in any jurisdiction referred to in clause (b) above would not be enforceable due to a lack of recognition of judgments in such jurisdiction, such jurisdiction shall be deemed not to be a Collateral Jurisdiction; provided that in no event shall (i) the combined Consolidated Total Assets or combined consolidated revenues of all Restricted Subsidiaries organized or formed in such excluded jurisdictions exceed 10.0% of the Consolidated Total Assets of the Company and the Restricted Subsidiaries or 10.0% of the consolidated revenues of the Company and the Restricted Subsidiaries, as applicable, and (ii) any jurisdiction that is a Collateral Jurisdiction as of the Fifth Amendment Effective Date be deemed to be an excluded jurisdiction by operation of the preceding proviso. “Collateral Vessel” means, as of the Fifth Amendment Effective Date, each Vessel identified on Schedule 1.01(a), and, thereafter, each Vessel that becomes a Collateral Vessel in accordance with Section 5.13(d).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19 TechnipFMC | Internal “Commitment” means, with respect to each Lender, the commitment, if any, of such Lender to make Loans and to acquire participations in Letters of Credit hereunder, expressed as an amount representing the maximum possible aggregate amount of such Lender’s Revolving Exposure hereunder, as such commitment may be (a) reduced from time to time pursuant to Section 2.08, (b) reduced or increased from time to time pursuant to assignments by or to such Lender pursuant to Section 9.04 or (c) increased from time to time pursuant to Section 2.21. The amount of each Lender’s Commitment as of the Fifth Amendment Effective Date is set forth on Schedule 2.01 or in the Assignment and Assumption pursuant to which such Lender shall have assumed its Commitment, as applicable. “Commitment Increase” has the meaning assigned to such term in Section 2.21(a). “Commodity Exchange Act” means the Commodity Exchange Act (7 U.S.C. § 1 et seq.) and any successor statute. “Communications” means, collectively, any notice, demand, communication, information, document or other material provided by or on behalf of any Loan Party pursuant to this Agreement or any other Loan Document or the transactions contemplated herein or therein that is distributed to the Administrative Agent, any Lender or any Issuing Bank by means of electronic communications pursuant to Section 9.01, including through the Platform. “Company” has the meaning assigned to it in the preamble hereto. “Connection Income Taxes” means Other Connection Taxes that are imposed on or measured by net income (however denominated) or that are franchise Taxes or branch profits Taxes. “Consolidated Amortization Expense” for any period means the amortization expense of the relevant Person and its Restricted Subsidiaries for such period, determined on a consolidated basis in accordance with GAAP. “Consolidated Cash Balance” means, as of any date of determination, the aggregate amount of all (a) cash, (b) Permitted Investments and (c) any other marketable securities, treasury bonds and bills, certificates of deposit, investments in money market funds and commercial paper, in each case, (i) held or owned by (either directly or indirectly), (ii) credited to the account of, or (iii) that would otherwise be required to be reflected as an asset on the balance sheet of, the Borrowers or any Restricted Subsidiary as of such date; provided that the Consolidated Cash Balance shall exclude: (A) any amounts in any fiduciary, escrow or trust account, (B) cash collateral required to cash collateralize (1) any Letter of Credit or (2) Performance Credit Instruments, (C) any cash or Permitted Investments constituting purchase price deposits held in escrow by an unaffiliated third party pursuant to a binding and enforceable purchase and sale agreement with an unaffiliated third party containing customary provisions regarding the payment and refunding of such deposits, (D) any cash or Permitted Investments for which any Loan Party has, in the ordinary course of business, issued checks or initiated wires or ACH transfers (or, in the case of cash or Permitted Investments that will be used to pay payroll or other Taxes, lease rental payments, renewal of software licenses and other customary general and administrative expenses, will issue checks or initiate wires or ACH transfers within five (5) Business Days in respect of amounts due and owing)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20 TechnipFMC | Internal in order to utilize such cash or Permitted Investments, (E) any “trapped” cash in a foreign jurisdiction outside of the Collateral Jurisdictions that cannot be accessed, expatriated or distributed to satisfy the provisions of Section 2.11(c) as a result of legal, regulatory or other statutory rules and regulations that may exist in the applicable foreign jurisdiction (so long as such cash is not “trapped” as a result of actions taken by the Borrowers in contemplation of availing themselves of this exception in clause (E)) and (F) cash that cannot be expatriated without causing material adverse tax consequences to the Borrowers. “Consolidated Current Liabilities” means, with respect to any Person as of any date, the amount which, in accordance with GAAP, would be set forth under the caption “Total Current Liabilities” (or any like caption) on a consolidated balance sheet of such Person and its Restricted Subsidiaries determined in accordance with GAAP. Unless the context otherwise requires, “Consolidated Current Liabilities” refers to the Consolidated Current Liabilities of the Company and its Restricted Subsidiaries. “Consolidated Debt” means, as of any date, the aggregate principal amount of Indebtedness of the type specified in the definition of “Indebtedness” under clauses (a), (b), (e) (but only to the extent supporting Indebtedness of the types specified in clauses (a), (b) and (g) of the definition thereof), (f) (but only to the extent supporting Indebtedness of the types specified in clauses (a), (b) and (g) of the definition thereof), (g), (h) (but only to the extent drawn), (i) (but only to the extend funded) and (j) of the Borrowers and the Restricted Subsidiaries outstanding as of such date determined on a consolidated basis. “Consolidated Depreciation Expense” for any period means the depreciation expense of the relevant Person and its Restricted Subsidiaries for such period, determined on a consolidated basis in accordance with GAAP. “Consolidated EBITDA” means, for any period, with respect to any specified Person and its Restricted Subsidiaries, without duplication, the sum of the amounts for such period of: (a) Consolidated Net Income, plus (b) without duplication, the amount of net cost savings, operating expense reductions and synergies projected by the Company in good faith to be realized as a result of specified actions taken or to be taken (which cost savings, operating expense reductions or synergies shall be calculated on a pro forma basis as though such cost savings, operating expense reductions or synergies had been realized on the first day of such period), net of the amount of actual benefits realized during such period from such actions; provided that (i) such cost savings, operating expense reductions or synergies are reasonably identifiable and factually supportable, (ii) such actions have been taken or are to be taken within 18 months after the date of determination to take such action and (iii) the aggregate amounts added to Consolidated EBITDA pursuant to this clause (b) in any such period shall not exceed 15% of Consolidated EBITDA for such period (calculated before giving effect to the adjustment set forth in this clause (b)), plus (c) from and after the First Amendment Effective Date, restructuring charges, accruals or reserves (including restructuring costs related to acquisitions and to closure or consolidation of facilities) and other related charges incurred after the First Amendment Effective Date; provided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21 TechnipFMC | Internal that the aggregate amount of any such restructuring charges, accruals or reserves and other related charges shall not exceed $25,000,000 in any trailing twelve month period, plus (d) in each case only to the extent deducted in determining Consolidated Net Income, (i) Consolidated Income Tax Expense, (ii) Consolidated Amortization Expense, (iii) Consolidated Depreciation Expense, (iv) Consolidated Interest Expense, and (v) all other non-cash items reducing the Consolidated Net Income (excluding any non-cash charge that results in an accrual of a reserve for cash charges in any future period) for such period, minus (e) the aggregate amount of all non-cash items, determined on a consolidated basis, to the extent such items increased Consolidated Net Income for such period (other than accrual of revenue in the ordinary course or any non-cash items to the extent they represent the reversal of an accrual of a reserve for a potential cash item that reduced Consolidated EBITDA in any prior period). “Consolidated First Lien Net Debt” means, as of any date, Consolidated Debt minus the sum of (a) the portion of Indebtedness of the Borrowers and the Restricted Subsidiaries included in Consolidated Debt that is not secured by any Lien on the Collateral, (b) the portion of Indebtedness of the Borrowers and the Restricted Subsidiaries included in Consolidated Debt that is secured by Liens on the Collateral, which Liens are expressly subordinated or junior to the Liens securing the Loans, and (c) the amount of unrestricted cash and cash equivalents held on such date by the Borrowers and the Guarantors, not to exceed (A) if any Loans are outstanding on such date, $250,000,000 and (B) otherwise, $500,000,000. “Consolidated Income Tax Expense” for any period means the provision for taxes of the relevant Person and its Restricted Subsidiaries, determined on a consolidated basis in accordance with GAAP. “Consolidated Interest Expense” means, for any period, the sum, without duplication, of: (a) consolidated interest expense of such Person and its Restricted Subsidiaries for such period, to the extent such expense was deducted (and not added back) in computing Consolidated Net Income, including (i) amortization of original issue discount or premium resulting from the issuance of Indebtedness at less than or greater than par, as applicable, (ii) all commissions, discounts and other fees and charges owed with respect to bankers acceptances, (iii) non-cash interest payments (but excluding any non-cash interest expense attributable to the movement in the mark to market valuation of Indebtedness or derivative instruments pursuant to GAAP), (iv) the interest component of Capital Lease Obligations and (v) net payments, if any, pursuant to interest rate Hedging Agreements with respect to Indebtedness, and excluding (A) any one-time cash costs associated with breakage in respect interest rate Hedging Agreements with respect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22 TechnipFMC | Internal Indebtedness, (B) penalties and interest relating to taxes, (C) accretion or accrual of discounted liabilities not constituting Indebtedness, (D) any expense resulting from the discounting of Indebtedness in connection with the application of recapitalization or purchase accounting, (E) amortization or “write-off” of deferred financing costs and expenses and (F) any expensing of bridge, commitment and other financing fees related to the Transactions or any acquisitions after the Effective Date; plus (b) consolidated capitalized interest of such Person and its Restricted Subsidiaries for such period, whether paid or accrued, less (c) interest income for such period. “Consolidated Net Debt” means, as of any date, (a) Consolidated Debt minus (b) the amount of unrestricted cash and cash equivalents held on such date by the Borrowers and the Guarantors, not to exceed (i) if any Loans are outstanding on such date, $250,000,000 and (ii) otherwise, $500,000,000. “Consolidated Net Income” means, with respect to any Person for any period, the net income (or loss) of such Person and its Restricted Subsidiaries, in each case for such period determined on a consolidated basis in accordance with GAAP; provided that there shall be excluded in calculating such net income (or loss), to the extent otherwise included therein, without duplication: (a) the net income (or loss) of any Person (other than a Restricted Subsidiary) in which any Person other than the Company and the Restricted Subsidiaries has an ownership interest, except to the extent that cash in an amount equal to any such income has actually been received by the Company or any of its Restricted Subsidiaries during such period; provided that, with respect to any Specified Joint Venture, any cash received by the Company or any of its Restricted Subsidiaries during such period shall be excluded in calculating such net income (or loss) of the Company or any such Restricted Subsidiary to the extent that any Specified Joint Venture Indebtedness that is guaranteed or otherwise incurred by the Company or any Restricted Subsidiary is outstanding in respect of such Specified Joint Venture and is not consolidated on the balance sheet of the Company and its Restricted Subsidiaries, (b) except to the extent includible in the net income (or loss) of the Company pursuant to the foregoing clause (a), the net income (or loss) of any Person that accrued prior to the date that (i) such Person becomes a Restricted Subsidiary or is merged into or consolidated with the Company or any Restricted Subsidiary or (ii) the assets of such Person are acquired by the Company or any Restricted Subsidiary, (c) the net income of any Restricted Subsidiary other than a Guarantor during such period to the extent that the declaration or payment of dividends or similar distributions by such Restricted Subsidiary of that income is not permitted by operation of the terms of its charter or any agreement, instrument, judgment, decree, order, statute, rule or governmental regulation applicable to that Subsidiary during such period, unless such restriction with respect to the payment of dividends has been legally waived, (d) gains or losses attributable to discontinued operations,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23 TechnipFMC | Internal (e) any gain (or loss), together with any related provisions for taxes on any such gain (or the tax effect of any such loss), realized during such period by the Company or any Restricted Subsidiary upon any asset sale by the Company or any Restricted Subsidiary, (f) non-cash gains and losses due solely to fluctuations in currency values and the related tax effects according to GAAP, (g) non-cash gains and losses with respect to Hedging Agreements, (h) the cumulative effect of any change in accounting principles or policies, (i) (i) any costs, expenses or charges (including advisory, legal and professional fees) related to any issuance of debt or equity, investments, acquisition, disposition, recapitalization or incurrence, amendment, waiver, modification, extinguishment or refinancing of any Indebtedness, whether or not consummated, provided that the aggregate amount of all such costs, expenses and charges so excluded shall not exceed $20,000,000 in any fiscal year and (ii) any costs, expenses or charges relating to the Transactions, (j) non-cash charges or expenses with respect to the grant of stock options, restricted stock or other equity compensation awards and the non-cash interest expense with respect to the equity component of any convertible or exchangeable debt security, and (k) goodwill write-downs or other non-cash impairments of assets. “Consolidated Net Tangible Assets” means, with respect to any Person as of any date, the Consolidated Total Assets of such Person and its Restricted Subsidiaries, excluding any such assets which would be treated as intangible under GAAP (including such assets as good will, trademarks, trade names, service marks, brand names, copyrights, and patents), minus Consolidated Current Liabilities, in each case, as set forth on the consolidated balance sheet of such Person and its Restricted Subsidiaries. Unless the context otherwise requires, “Consolidated Net Tangible Assets” refers to the Consolidated Net Tangible Assets of the Company and its Restricted Subsidiaries. “Consolidated Total Assets” means, with respect to any Person as of any date, the amount which, in accordance with GAAP, would be set forth under the caption “Total Assets” (or any like caption) on a consolidated balance sheet of such Person and its Restricted Subsidiaries determined in accordance with GAAP. Unless the context otherwise requires, “Consolidated Total Assets” refers to the Consolidated Total Assets of the Company and its Restricted Subsidiaries. “Control” means the possession, directly or indirectly, of the power to direct or cause the direction of the management or policies, or the dismissal or appointment of the management, of a Person, whether through the ability to exercise voting power, by contract or otherwise. “Controlling” and “Controlled” have meanings correlative thereto. “Corresponding Tenor” with respect to any Available Tenor means, as applicable, either a tenor (including overnight) or an interest payment period having approximately the same length (disregarding business day adjustment) as such Available Tenor.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24 TechnipFMC | Internal “Credit Party” means the Administrative Agent, each Issuing Bank and each other Lender. “CTA” means the UK Corporation Tax Act 2009. “Daily Simple RFR” means, for any day (an “RFR Interest Day”), an interest rate per annum equal to, for any RFR Loan denominated in (a) Sterling, SONIA for the day that is five (5) RFR Business Days prior to (a) if such RFR Interest Day is an RFR Business Day, such RFR Interest Day or (b) if such RFR Interest Day is not an RFR Business Day, the RFR Business Day immediately preceding such RFR Interest Day and (b) dollars, Daily Simple SOFR. “Daily Simple SOFR” means, for any day (a “SOFR Rate Day”), a rate per annum equal to SOFR for the day (such day “SOFR Determination Date”) that is five (5) RFR Business Days prior to (a) if such SOFR Rate Day is an RFR Business Day, such SOFR Rate Day or (b) if such SOFR Rate Day is not an RFR Business Day, the RFR Business Day immediately preceding such SOFR Rate Day, in each case, as such SOFR is published by the SOFR Administrator on the SOFR Administrator’s Website. Any change in Daily Simple SOFR due to a change in SOFR shall be effective from and including the effective date of such change in SOFR without notice to the Borrower. “Debt Rating” means, as of any date of determination, with respect to a given Rating Agency, the rating as determined by such Rating Agency of the senior, unsecured, non-credit enhanced, long-term debt securities of the Company (or, at the option of the Company, the corporate, issuer or similar rating with respect to the Company that has been most recently announced by such Rating Agency). “Debtor Relief Laws” means the Bankruptcy Code, UK Insolvency Act, UK Corporate Insolvency and Governance Act 2020 and all other liquidation, conservatorship, bankruptcy, assignment for the benefit of creditors, moratorium, rearrangement, receivership, insolvency, reorganization, restructuring, restructuring plan or similar debtor relief laws of the United States, the United Kingdom or other applicable jurisdictions from time to time in effect. “Default” means any event or condition that constitutes an Event of Default or that upon notice, lapse of time or both would, unless cured or waived, constitute an Event of Default. “Defaulting Lender” means any Lender that (a) has failed, within two Business Days of the date required to be funded or paid, to (i) fund any portion of its Loans, (ii) fund any portion of its participations in Letters of Credit or (iii) pay over to any Credit Party any other amount required to be paid by it hereunder, unless, in the case of clause (i) above, such Lender notifies the Administrative Agent in writing that such failure is the result of such Lender’s good faith determination that a condition precedent to funding (specifically identified and including the particular default, if any) has not been satisfied, (b) has notified the Company or any Credit Party in writing, or has made a public statement to the effect, that it does not intend or expect to comply with any of its funding obligations under this Agreement (unless such writing or public statement indicates that such position is based on such Lender’s good faith determination that a condition precedent (specifically identified and including the particular default, if any) to funding a loan under this Agreement cannot be satisfied) or generally under other agreements in which it commits to extend credit, (c) has failed, within three Business Days after request by a Credit Party, acting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25 TechnipFMC | Internal in good faith, to provide a certification in writing from an authorized officer of such Lender that it will comply with its obligations (and is financially able to meet such obligations as of the date of certification) to fund prospective Loans and participations in then outstanding Letters of Credit under this Agreement, provided that such Lender shall cease to be a Defaulting Lender pursuant to this clause (c) upon the receipt by such Credit Party of such certification in form and substance satisfactory to it and the Administrative Agent or (d) has become the subject of (i) a Bankruptcy Event or (ii) a Bail-In Action. “Designated Non-Cash Consideration” means the fair market value of non-cash consideration received by either Borrower or any Restricted Subsidiary in connection with a disposition pursuant to Section 6.05 that is designated as Designated Non-Cash Consideration pursuant to a certificate of an executive officer, setting forth the basis of such valuation (which amount will be reduced by the fair market value of the portion of the non-cash consideration converted to cash within 180 days following the consummation of such disposition). “Disqualified Equity Interest” means any Equity Interest that (a) matures or is mandatorily redeemable (other than solely for Qualified Equity Interests) or subject to mandatory repurchase or redemption or repurchase at the option of the holders thereof, in each case in whole or in part and whether upon the occurrence of any event, pursuant to a sinking fund obligation on a fixed date or otherwise, prior to the date that is 91 days after the Maturity Date, other than (i) upon payment in full of the Loan Document Obligations, reduction of the LC Exposure to zero and termination of the Commitments or (ii) upon a “change in control” or asset sale or casualty or condemnation event; provided that any payment required pursuant to this clause (ii) shall be subject to the prior repayment in full of the Loans or the terms of such Equity Interest shall provide that a Person may not repurchase such Equity Interest unless such Person would be permitted to do so in compliance with Section 6.08 or (b) is convertible or exchangeable, automatically or at the option of any holder thereof, into (i) any Indebtedness (other than any Indebtedness described in clause (j) of the definition thereof) or (ii) any Equity Interests or other assets other than Qualified Equity Interests, in each case at any time prior to the date that is 91 days after the Maturity Date; provided that (A) an Equity Interest in any Person that is issued to any employee or to any plan for the benefit of employees or by any such plan to such employees shall not constitute a Disqualified Equity Interest solely because it may be required to be repurchased by such Person or any of its subsidiaries in order to satisfy applicable statutory or regulatory obligations or as a result of such employee’s termination, death or disability and (B) any Equity Interest that would constitute a Disqualified Equity Interest solely as a result of a redemption feature that is conditioned upon, or subject to, compliance with Section 6.08 shall not constitute a Disqualified Equity Interest. “Disqualified Institutions” means those Persons (the list of all such Persons, the “Disqualified Institutions List”) that are (a) reasonably determined by the Company to be direct competitors of the Company or any of its Subsidiaries that are identified in writing by the Company on a Disqualified Institutions List delivered after the Effective Date and from time to time thereafter in a supplement to the Disqualified Institutions List or (b) Affiliates of such Persons set forth in clause (a) (other than any Bona Fide Debt Fund) that are either (i) identified in writing by the Company from time to time in a supplement to the Disqualified Institutions List or (ii) clearly identifiable solely on the basis of the similarity of such Affiliate’s name; provided, that, to the extent Persons are identified as Disqualified Institutions in a written list or supplement thereto delivered by the Company after the Effective Date, the inclusion of such Persons as Disqualified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26 TechnipFMC | Internal Institutions shall not retroactively apply to disqualify any Person that has previously acquired an assignment or participation interest in any Loans or entered into a trade for either of the foregoing. Notwithstanding the foregoing, the Company, by written notice to the Administrative Agent, may from time to time in its sole discretion remove any Person from the Disqualified Institutions List (or otherwise modify such list to exclude any particular Person), and such Person removed or excluded from the Disqualified Institutions List shall no longer be a Disqualified Institution for any purpose under this Agreement or any other Loan Document, unless subsequently identified in writing in accordance with this definition. The Company shall deliver the Disqualified Institutions List and any updates, supplements or modifications thereto to **** and any such updates, supplements or modifications thereto shall only become effective three (3) Business Days after such update, supplement or modification has been sent to such email address. In the event the Disqualified Institutions List is not delivered in accordance with the foregoing, it shall be deemed not received and not effective. “Disqualified Institutions List” has the meaning as set forth in the definition of “Disqualified Institutions.” “Dofcon Brasil” means a joint venture arrangement between (a) Technip Coflexip Norge AS, a Subsidiary of the Company as of the Effective Date and (b) Dof ASA. “Dofcon Navegação” means Dofcon Navegação Ltda., a Brazilian joint venture arrangement owned by (a) Dofcon Brasil and (b) Technip Offshore International SAS, a Subsidiary of the Company as of the Effective Date, which holds the Vessels Skandi Vitoria, Skandi Niteroi, Skandi Recife and Skandi Olinda as of the Effective Date. “dollars” or “$” refers to lawful money of the United States of America. “Dollar Equivalent” means, for any amount, at the time of determination thereof, (a) if such amount is expressed in dollars, such amount, (b) if such amount is expressed in an Alternative Currency, the equivalent of such amount in dollars determined by using the rate of exchange for the purchase of dollars with the Alternative Currency last provided (either by publication or otherwise provided to the Administrative Agent) by Reuters on the Business Day (New York City time) immediately preceding the date of determination or if such service ceases to be available or ceases to provide a rate of exchange for the purchase of dollars with the Alternative Currency, as provided by such other publicly available information service which provides that rate of exchange at such time in place of Reuters chosen by the Administrative Agent in its sole discretion (or if such service ceases to be available or ceases to provide such rate of exchange, the equivalent of such amount in dollars as determined by the Administrative Agent using any method of determination it deems appropriate in its sole discretion) and (c) if such amount is denominated in any other currency, the equivalent of such amount in dollars as determined by the Administrative Agent using any method of determination it deems appropriate in its sole discretion. “Dutch Loan Party” means, a Loan Party incorporated or organized under the laws of the Netherlands. “EEA Financial Institution” means (a) any credit institution or investment firm established in any EEA Member Country which is subject to the supervision of an EEA Resolution Authority,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27 TechnipFMC | Internal (b) any entity established in an EEA Member Country which is a parent of an institution described in clause (a) of this definition, or (c) any financial institution established in an EEA Member Country which is a subsidiary of an institution described in clauses (a) or (b) of this definition and is subject to consolidated supervision with its parent; “EEA Member Country” means any of the member states of the European Union, Iceland, Liechtenstein, and Norway. “EEA Resolution Authority” means any public administrative authority or any Person entrusted with public administrative authority of any EEA Member Country (including any delegee) having responsibility for the resolution of any EEA Financial Institution. “Effective Date” means February 16, 2021. “Electronic Signature” means an electronic sound, symbol, or process attached to, or associated with, a contract or other record and adopted by a Person with the intent to sign, authenticate or accept such contract or record. “Eligible Assignee” means (a) a Lender, (b) an Affiliate of a Lender, (c) an Approved Fund and (d) any other Person, other than, in each case, a natural person, a Defaulting Lender, a Borrower, any Subsidiary or any other Affiliate of a Borrower (subject to such consents, if any, as may be required under Section 9.04(b)). “Environmental Claim” means any investigation, notice, notice of violation, claim, action, suit, proceeding, demand, abatement order or other order or directive, which is formally alleged or asserted in writing against any Loan Party by any Governmental Authority or any other Person, with respect to (a) any actual or alleged violation of any Environmental Law; (b) any Release of any Hazardous Material or any actual or alleged Hazardous Materials Activity requiring remedial action under Environmental Law; or (c) any actual or alleged damage, injury, threat or harm to health, safety, natural resources or the environment. “Environmental Law” means any treaty, law (including common law), rule, regulation, code, ordinance, order, decree, judgment, injunction, or binding agreement issued, promulgated or entered into by or with any Governmental Authority, relating in any way to (a) the protection of the environment, (b) the preservation or reclamation of natural resources, (c) the generation, management, Release or threatened Release of any Hazardous Material or (d) public or worker health and safety matters, to the extent relating to exposure to Hazardous Materials. “Environmental Liability” means any liability, obligation, loss, claim, action, order or cost, contingent or otherwise (including any liability for damages, costs of medical monitoring, costs of environmental remediation or restoration, administrative oversight costs, consultants’ fees, fines, penalties and indemnities), directly or indirectly resulting from or based upon (a) any actual or alleged violation of any Environmental Law or permit, license or approval required thereunder, (b) the generation, use, handling, transportation, storage, treatment or disposal of any Hazardous Materials, (c) exposure to any Hazardous Materials, (d) the Release or threatened Release of any Hazardous Materials or (e) any legally binding contract or agreement or other legally binding consensual arrangement pursuant to which liability is assumed or imposed with respect to any of the foregoing.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28 TechnipFMC | Internal “Equity Interests” means shares of capital stock, partnership interests, membership interests in a limited liability company, beneficial interests in a trust or other equity ownership interests (whether voting or non-voting) in, or interests in the income or profits of, a Person, and any warrants, options or other rights entitling the holder thereof to purchase or acquire any of the foregoing (other than, prior to the date of such conversion, Indebtedness that is convertible into Equity Interests). “ERISA” means the Employee Retirement Income Security Act of 1974, as amended from time to time, and the regulations promulgated and rulings issued thereunder. “ERISA Affiliate” means any trade or business (whether or not incorporated) that, together with any Loan Party, is treated as a single employer under Section 414(b) or 414(c) of the Code or Section 4001(a)(14) of ERISA or, solely for purposes of Section 302 of ERISA and Section 412 of the Code, is treated as a single employer under Section 414(m) or (o) of the Code. “ERISA Event” means (a) any “reportable event,” as defined in Section 4043(c) of ERISA or the regulations issued thereunder with respect to a Plan (other than an event for which the 30- day notice period is waived), (b) any failure by any Plan to satisfy the minimum funding standard (within the meaning of Section 412 of the Code or Section 302 of ERISA) applicable to such Plan, whether or not waived, (c) the filing pursuant to Section 412(c) of the Code or Section 302(c) of ERISA of an application for a waiver of the minimum funding standard with respect to any Plan, (d) a determination that any Plan is, or is expected to be, in “at risk” status (as defined in Section 303(i)(4) of ERISA or Section 430(i)(4)(A) of the Code), (e) the incurrence by any Loan Party or any ERISA Affiliate of any liability under Title IV of ERISA with respect to the termination of any Plan or Multiemployer Plan under Section 4041 or 4041A of ERISA, respectively, (f) the receipt by any Loan Party or any ERISA Affiliate from the PBGC or a plan administrator of any notice relating to an intention to terminate any Plan or Multiemployer Plan under Section 4041 or 4041A of ERISA, respectively, or to appoint a trustee to administer any Plan, (g) the incurrence by any Loan Party or any ERISA Affiliate of any liability with respect to the withdrawal or partial withdrawal from any Plan or Multiemployer Plan, (h) the receipt by any Loan Party or any ERISA Affiliate of any notice concerning the imposition of Withdrawal Liability on any Loan Party or any ERISA Affiliate or a determination that a Multiemployer Plan to which any Loan Party or any ERISA Affiliate makes or is obligated to make contributions, or during the preceding five plan years, has made or been obligated to make contributions, is, or is expected to be, insolvent, within the meaning of Title IV of ERISA, or in “endangered” or “critical” status, within the meaning of Section 305 of ERISA or (i) any Foreign Benefit Event. “EU Bail-In Legislation Schedule” means the EU Bail-In Legislation Schedule published by the Loan Market Association (or any successor Person), as in effect from time to time. “EURIBOR Rate” means, with respect to any Term Benchmark Borrowing denominated in Euros and for any Interest Period, the EURIBOR Screen Rate two TARGET Days prior to the commencement of such Interest Period. “EURIBOR Screen Rate” means the euro interbank offered rate administered by the European Money Markets Institute (or any other person which takes over the administration of that rate) for the relevant period displayed (before any correction, recalculation or republication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29 TechnipFMC | Internal by the administrator) on page EURIBOR01 of the Thomson Reuters screen (or any replacement Thomson Reuters page which displays that rate) or on the appropriate page of such other information service which publishes that rate from time to time in place of Thomson Reuters as published at approximately 11:00 a.m. Brussels time two TARGET Days prior to the commencement of such Interest Period. If such page or service ceases to be available, the Administrative Agent may specify another page or service displaying the relevant rate after consultation with the Company. “Euro” and “€” mean the single currency of the Participating Member States. “Event of Default” has the meaning assigned to such term in Section 7.01. “Exchange Act” means the United States Securities Exchange Act of 1934. “Exchange Rate” means, on any day, the rate of exchange for the purchase of dollars with the Alternative Currency last provided (either by publication or otherwise provided to the Administrative Agent) by Reuters on the Business Day (New York City time) immediately preceding the date of determination or if such service ceases to be available or ceases to provide a rate of exchange for the purchase of dollars with the Alternative Currency, as provided by such other publicly available information service which provides that rate of exchange at such time in place of Reuters chosen by the Administrative Agent in its sole discretion (or if such service ceases to be available or ceases to provide such rate of exchange, the equivalent of such amount in dollars as determined by the Administrative Agent using any method of determination it deems appropriate in its sole discretion). “Excluded Personal Property” has the meaning assigned to such term in the definition of “Collateral and Guarantee Requirement.” “Excluded Equity” has the meaning assigned to such term in the definition of “Collateral and Guarantee Requirement.” “Excluded Swap Guarantor” means any Guarantor, all or a portion of whose Guarantee of, or grant of a security interest to secure, any Swap Obligation (or any Guarantee thereof) is or becomes illegal under the Commodity Exchange Act or any rule, regulation or order of the Commodity Futures Trading Commission (or the application or official interpretation of any thereof). “Excluded Swap Obligations” means, with respect to any Guarantor, any Swap Obligation if, and to the extent that, all or a portion of the Guarantee of such Guarantor of, or the grant by such Guarantor of a security interest to secure, such Swap Obligation (or any Guarantee thereof) is or becomes illegal under the Commodity Exchange Act or any rule, regulation or order of the Commodity Futures Trading Commission (or the application or official interpretation of any thereof). If a Swap Obligation arises under a master agreement governing more than one swap, such exclusion shall apply only to the portion of such Swap Obligation that is attributable to swaps for which such Guarantee or security interest is or becomes illegal. “Excluded Taxes” means any of the following Taxes imposed on or with respect to a Recipient or required to be withheld or deducted from a payment to a Recipient: (a) Taxes imposed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30 TechnipFMC | Internal on or measured by such Recipient’s net income (however denominated), franchise Taxes and branch profits Taxes, in each case (i) imposed as a result of such Recipient being organized under the laws of, or having its principal office or, in the case of any Lender, its applicable lending office located in, the jurisdiction imposing such Tax or (ii) that are Other Connection Taxes, (b) in the case of a Lender, U.S. Federal withholding Taxes imposed on amounts payable to or for the account of such Lender with respect to an applicable interest in a Loan or Commitment pursuant to a law in effect on the date on which (i) such Lender acquires such interest in such Loan or Commitment (other than pursuant to an assignment request by the Company under Section 2.19(b) or 9.02(c)) or (ii) such Lender changes its lending office, except in each case to the extent that, pursuant to Section 2.17, amounts with respect to such Taxes were payable either to such Lender’s assignor immediately before such Lender acquired the applicable interest in such Loan or Commitment or to such Lender immediately before it changed its lending office, (c) in the case of a Lender, UK Withholding Taxes (excluding UK Withholding Taxes on payments made by any Guarantor under any Guarantee of the Obligations) imposed on amounts payable to or for the account of the Lender with respect to an interest in a Loan or Commitment if, on the date on which the payment falls due, the payment could have been made without a deduction or withholding for or on account of UK Withholding Tax if the Lender had been a Qualifying Lender, but on that date the Lender is not, or has ceased to be, a Qualifying Lender other than as a result of any change after the date on which it acquired the applicable interest in the Loan or Commitment in (or in the interpretation, administration, or application of) any law or Treaty or any published practice or published concession of any relevant taxing authority, (d) any Taxes imposed by France on a payment made to a Recipient if such Taxes are imposed solely because this payment is made to (i) an account opened in the name of or for the benefit of that Recipient in a financial institution situated in a Non-Cooperative Jurisdiction or (ii) a Recipient incorporated or acting through a lending office situated in a Non-Cooperative Jurisdiction, (e) Taxes attributable to such Recipient’s failure to comply with Section 2.17(e) and (f), (f) any withholding Taxes imposed under FATCA, (g) any Bank Levy (or any payment attributable to a Bank Levy) and (h) VAT, which, for the avoidance of doubt, shall be dealt with under Section 2.17(i). “Existing Letters of Credit” means those Letters of Credit described on Schedule 2.05 hereto. “Facility” means the revolving credit facility provided for herein. “Fair Labor Standards Act” means the Fair Labor Standards Act, 29 U.S.C. §§ 201 et seq. “FATCA” means Sections 1471 through 1474 of the Code, as of the date of this Agreement (or any amended or successor version that is substantively comparable and not materially more onerous to comply with), any current or future regulations or official interpretations thereof, any agreement entered into pursuant to current Section 1471(b)(1) of the Code and any fiscal or regulatory legislation, rules or practices adopted pursuant to any intergovernmental agreement, treaty or convention among Governmental Authorities and implementing such Sections of the Code. “Federal Funds Effective Rate” means, for any day, the rate calculated by the NYFRB based on such day’s federal funds transactions by depositary institutions, as determined in such manner as shall be set forth on NYFRB’s Website from time to time, and published on the next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31 TechnipFMC | Internal succeeding Business Day by the NYFRB as the effective federal funds rate, provided that if the Federal Funds Effective Rate shall be less than zero, such rate shall be deemed to zero for the purposes of this Agreement. “Federal Reserve Board” means the Board of Governors of the Federal Reserve System of the United States of America. “Fifth Amendment” means that certain Fifth Amendment, dated as of April 24, 2023, by and among the Borrowers, each other Loan Party party thereto, the Administrative Agent and the Lenders party thereto. “Fifth Amendment Effective Date” has the definition given to the term in the Fifth Amendment. “Fifth Amendment Effective Date Existing Letters of Credit” means those Letters of Credit described on Schedule 2.05(A) hereto. “FinanceCo” has the meaning assigned to it in the preamble hereto. “Financial Covenants” means (a) during the Secured Period only, the financial covenants contained in Sections 6.12, 6.13 and 6.14 and (b) upon and after the occurrence of the Investment Grade Debt, the financial covenant contained in Section 6.13. “Financial Officer” means, with respect to any Person, the chief financial officer, principal accounting officer, treasurer, assistant treasurer or controller of such Person, or any other officer or director of such Person performing the duties that are customarily performed by a chief financial officer, principal accounting officer, treasurer, assistant treasurer or controller. “First Amendment” means that certain First Amendment, dated as of April 30, 2021, by and among the Borrowers party thereto, the Administrative Agent and the Lenders party thereto. “First Amendment Effective Date” has the definition given to the term in the First Amendment. “First Lien Leverage Ratio” means, as of the last day of any fiscal quarter, the ratio of (a) Consolidated First Lien Net Debt as of such date to (b) Consolidated EBITDA for the four consecutive fiscal quarters ended on such date. “First Vessel Mortgage” means, as applicable, a first priority or preferred ship mortgage on each Collateral Vessel, each duly registered in the vessel or ship registry appropriate for such Collateral Vessel in favor of the Administrative Agent and in such form as may be agreed between the Administrative Agent and the Company, together with, if relevant, the Vessel Deed of Covenants. “Fitch” means Fitch Ratings Inc., and any successor thereto. “Floor” means the benchmark rate floor, if any, provided in this Agreement initially (as of the Fifth Amendment Effective Date, the modification, amendment or renewal of this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32 TechnipFMC | Internal or otherwise) with respect to the Adjusted Term SOFR Rate, Adjusted EURIBOR Rate, each Adjusted Daily Simple RFR or the Central Bank Rate, as applicable. For the avoidance of doubt, the initial Floor for (a) each of the Adjusted Term SOFR Rate and Adjusted Daily Simple SOFR shall be 0.75% and (b) each of the Adjusted EURIBOR Rate, Adjusted Daily Simple SONIA or the Central Bank Rate shall be 0.00%. “Flood Insurance Laws” means, collectively, (a) the National Flood Insurance Reform Act of 1994 (which comprehensively revised the National Flood Insurance Act of 1968 and the Flood Disaster Protection Act of 1973) as now or hereafter in effect or any successor statute thereto, (b) the Flood Insurance Reform Act of 2004 as now or hereafter in effect or any successor statute thereto and (c) the Biggert-Waters Flood Insurance Reform Act of 2012 as now or hereafter in effect or any successor statute thereto. “Foreign Benefit Event” means, with respect to any Foreign Pension Plan, (a) the failure to make any material employer contributions under Requirements of Law or by the terms of such Foreign Pension Plan or (b) the receipt of a notice from a Governmental Authority relating to the intention to terminate any such Foreign Pension Plan or to appoint a trustee or similar official to administer any such Foreign Pension Plan, or alleging the insolvency of any such Foreign Pension Plan, in each case, which would reasonably be expected to result in the Company or any Restricted Subsidiary becoming subject to a material funding or contribution obligation with respect to such Foreign Pension Plan. “Foreign Lender” means a Lender that is not a U.S. Person. “Foreign Pension Plan” means any defined benefit pension plan established or maintained outside the United States by the Company or any one or more of its Restricted Subsidiaries primarily for the benefit of employees or other service providers of the Company or such Restricted Subsidiaries residing outside the United States, which plan provides, or results in, retirement income, a deferral of income in contemplation of retirement or payments to be made upon termination of employment, and which plan is not subject to ERISA or the Code. “Foreign Subsidiary” means any Subsidiary that is organized or incorporated under the laws of a jurisdiction other than the United States of America, any State thereof or the District of Columbia. “FSHCO” means any Restricted Subsidiary that has no material assets other than Equity Interests (including any debt instrument treated as Equity Interests for U.S. federal income tax purposes) or Equity Interests and Indebtedness of one or more CFCs. “GAAP” means generally accepted accounting principles in the United States of America. “Global Intercompany Note” means the global intercompany note substantially in the form of Exhibit H pursuant to which (a) intercompany obligations and advances owed by any Loan Party are subordinated to the Obligations and (b) intercompany obligations owing to any Loan Party are evidenced pursuant to clause (c) of the definition of “Collateral and Guarantee Requirement”.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33 TechnipFMC | Internal “Governmental Authority” means the government of the United States of America, any other nation or any political subdivision thereof, whether state, local or otherwise, and any agency, authority, instrumentality, regulatory body, court, central bank or other entity exercising executive, legislative, judicial, taxing, regulatory or administrative powers or functions of or pertaining to government (including any supranational bodies exercising such powers or functions, such as the European Union or the European Central Bank). “Guarantee” of or by any Person (the “guarantor”) means any obligation, contingent or otherwise, of the guarantor guaranteeing or having the economic effect of guaranteeing any Indebtedness or other obligation of any other Person (the “primary obligor”) in any manner, whether directly or indirectly, and including any obligation of the guarantor, direct or indirect, (a) to purchase or pay (or advance or supply funds for the purchase or payment of) such Indebtedness or other obligation or to purchase (or to advance or supply funds for the purchase of) any security for the payment thereof, (b) to purchase or lease property, securities or services for the purpose of assuring the owner of such Indebtedness or other obligation of the payment thereof, or (c) as an account party in respect of any letter of credit or letter of guaranty issued to support such Indebtedness or other obligation; provided that the term “Guarantee” shall not include endorsements for collection or deposit in the ordinary course of business. The amount, as of any date of determination, of any Guarantee shall be the principal amount outstanding on such date of the Indebtedness or other obligation guaranteed thereby (or, in the case of (i) any Guarantee the terms of which limit the monetary exposure of the guarantor or (ii) any Guarantee of an obligation that does not have a principal amount, the maximum monetary exposure as of such date of the guarantor under such Guarantee (as determined, in the case of clause (i), pursuant to such terms or, in the case of clause (ii), reasonably and in good faith by a Financial Officer of the Company)). The term “Guarantee” used as a verb has a corresponding meaning. “Guarantor” means each Restricted Subsidiary that is or, after the date hereof, becomes a party to the New York-Law Guarantee. “Guarantor Subsidiary” means, subject to the Collateral and Guarantee Principles, each wholly owned direct or indirect Restricted Subsidiary other than (a) with respect to obligations of the U.S. Borrower only, a Restricted Subsidiary that is (i) a CFC or a FSHCO or (ii) a Subsidiary of a CFC or a FSHCO, (b) any Subsidiary the Guarantee by which would result in a material adverse tax consequence as reasonably determined by the Company, (c) a Restricted Subsidiary that is not a Material Subsidiary and (d) any special purpose entity used for any Qualified Receivables Financing. “Hazardous Materials” means all chemicals, materials, substances or wastes defined or regulated as hazardous or toxic, or as a pollutant or contaminant, or other term of similar import, under applicable Environmental Law, or for which liability or standards of conduct may be imposed under applicable Environmental Law, including explosive or radioactive substances or wastes, petroleum or petroleum distillates, asbestos or asbestos containing materials, polychlorinated biphenyls, or radon gas. “Hazardous Materials Activity” means the use, manufacture, possession, storage, Release, threatened Release, discharge, placement, generation, transportation, processing, construction, treatment, abatement, removal, remediation, disposal, disposition or handling of any Hazardous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34 TechnipFMC | Internal Material by any Loan Party that is regulated under Environmental Laws, and any corrective action or response action with respect to any of the foregoing. “Hedging Agreement” means any agreement with respect to any swap, forward, future or derivative transaction, or any option or similar agreement, involving, or settled by reference to, one or more rates, currencies, commodities, equity or debt instruments or securities, or economic, financial or pricing indices or measures of economic, financial or pricing risk or value or any similar transaction or any combination of the foregoing transactions; provided that no phantom stock or similar plan providing for payments only on account of services provided by current or former directors, officers, employees or consultants of the Company or any Subsidiary shall be a Hedging Agreement. “Indebtedness” of any Person means, without duplication, (a) all obligations of such Person for borrowed money; (b) all obligations of such Person evidenced by bonds, debentures, notes or similar instruments; (c) all obligations of such Person under conditional sale or other title retention agreements relating to property acquired by such Person; (d) all obligations of such Person in respect of the deferred purchase price of property or services (excluding (i) trade accounts payable and other accrued or cash management obligations, in each case incurred in the ordinary course of business and (ii) any earnout obligation until such obligation ceases to be contingent); (e) all Indebtedness of others secured by (or for which the holder of such Indebtedness has an existing right, contingent or otherwise, to be secured by) any Lien on property owned or acquired by such Person, whether or not the Indebtedness secured thereby has been assumed by such Person; (f) all Guarantees by such Person of Indebtedness of others; provided, however, that Guarantees outstanding on the Effective Date by the Company or any Restricted Subsidiary of Specified Joint Venture Indebtedness outstanding on the Effective Date shall not be deemed to be Indebtedness of the Company or such Restricted Subsidiary; provided, further, that if the Company or such Restricted Subsidiary shall be required to consolidate such Specified Joint Venture Indebtedness on its balance sheet then such Guarantee shall be deemed to be Indebtedness of the Company or such Restricted Subsidiary, as the case may be, as of such date; (g) all Capital Lease Obligations of such Person; (h) all obligations, contingent or otherwise, of such Person as an account party in respect of letters of credit and letters of guaranty; (i) all obligations, contingent or otherwise, of such Person in respect of bankers’ acceptances; and (j) all Disqualified Equity Interests in such Person, valued, as of the date of determination, at the greater of (i) the maximum aggregate amount that would be payable upon maturity, redemption, repayment or repurchase thereof (or of Disqualified Equity Interests or Indebtedness into which such Disqualified Equity Interests are convertible or exchangeable) and (ii) the maximum liquidation preference of such Disqualified Equity Interests. Notwithstanding the foregoing, the term “Indebtedness” shall not include: (i) post-closing purchase price adjustments or earnouts except to the extent that the amount payable pursuant to such purchase price adjustment or earnout ceases to be contingent and (ii) Qualified Receivables Financing Indebtedness. The amount of Indebtedness of any Person for purposes of clause (e) above shall (unless such Indebtedness has been assumed by such Person or such Person has otherwise become liable for the payment thereof) be deemed to be equal to the lesser of (i) the aggregate unpaid amount of such Indebtedness and (ii) the fair market value of the property encumbered thereby as determined by such Person in good faith. “Indemnified Taxes” means (a) all Taxes, other than Excluded Taxes, imposed on or with respect to any payment made by or on account of any obligation of any Loan Party under this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35 TechnipFMC | Internal Agreement or any other Loan Document and (b) to the extent not otherwise described in clause (a) of this definition, all Other Taxes. “Indemnitee” has the meaning assigned to such term in Section 9.03(c). “Index Debt” means senior, unsecured, long-term indebtedness for borrowed money of the Company (including, for the avoidance of doubt, the Senior Unsecured Notes). “Interest Coverage Ratio” means, as of the last day of any period of four consecutive fiscal quarters of the Company, the ratio of (a) Consolidated EBITDA for such period to (b) Consolidated Interest Expense for such period. “Interest Election Request” means a request by the Company to convert or continue a Borrowing in accordance with Section 2.07, which shall be, in the case of a written Interest Election Request, in a form approved by the Administrative Agent and otherwise consistent with the requirements of Section 2.07. “Interest Payment Date” means (a) with respect to any ABR Loan, the last Business Day of each March, June, September and December and the Maturity Date, (b) with respect to any RFR Loan, (i) each date that is on the numerically corresponding day in each calendar month that is one month after the Borrowing of such Loan (or, if there is no such numerically corresponding day in such month, then the last day of such month) and (ii) the Maturity Date and (c) with respect to any Term Benchmark Loan, the last Business Day of the Interest Period applicable to the Borrowing of which such Loan is a part and, in the case of a Term Benchmark Borrowing with an Interest Period of more than three months’ duration, each day prior to the last Business Day of such Interest Period that occurs at intervals of three months’ duration after the first day of such Interest Period, and the Maturity Date. “Interest Period” means, with respect to any Term Benchmark Borrowing, the period commencing on the date of such Borrowing and ending on the numerically corresponding day in the calendar month that is one, three or six months thereafter, as the Company may elect; provided that (a) if any Interest Period would end on a day other than a Business Day, such Interest Period shall be extended to the next succeeding Business Day unless such next succeeding Business Day would fall in the next calendar month, in which case such Interest Period shall end on the next preceding Business Day and (b) any Interest Period that commences on the last Business Day of a calendar month (or on a day for which there is no numerically corresponding day in the last calendar month of such Interest Period) shall end on the last Business Day of the last calendar month of such Interest Period. For purposes hereof, the date of a Borrowing initially shall be the date on which such Borrowing is made and thereafter shall be the effective date of the most recent conversion or continuation of such Borrowing. “Investment” has the meaning assigned to such term in Section 6.04. “Investment Company Act” means the U.S. Investment Company Act of 1940. “Investment Grade Date” means the first date on or after the Fifth Amendment Effective Date that each of the following conditions are met: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36 TechnipFMC | Internal (a) the Company shall have obtained an Investment Grade Debt Rating by any two of the three Rating Agencies after giving effect to the proposed release of all of the Collateral securing the Facility and the Performance LC Facility; (b) no Default or Event of Default shall have occurred and be continuing or would occur as a result of the occurrence of the Investment Grade Date; (c) (i) no Hedging Agreement to which any Loan Party is party and no agreement in respect of Cash Management Obligations to which any Loan Party is party and (ii) no more than $75,000,000 aggregate face amount of bank guarantees and letters of credit (including any Performance Credit Instruments) shall be secured by Liens (other than Permitted Encumbrances); and (d) the Company shall have delivered a certificate of a Responsible Officer to the Administrative Agent certifying as to the conditions in clauses (a) through (c) of this definition. “Investment Grade Debt Rating” means, as of any date of determination, a Debt Rating of (a) Baa3 or better by Moody’s, (b) BBB- or better by S&amp;P, (c) BBB- or better by Fitch or (d) the equivalent of any Debt Rating described in the foregoing clauses (a), (b) and (c) by Moody’s, S&amp;P or Fitch, in each case, that is in effect at such time. “Investment Grade Retained Credit Support” has the meaning assigned to such term in Section 9.14. “IRS” means the United States Internal Revenue Service. “ISP” means, with respect to any Letter of Credit, the “International Standby Practices 1998” published by the Institute of International Banking Law &amp; Practice (or such later version thereof as may be in effect at the time of issuance). “Issuing Bank” means JPMCB, Wells Fargo Bank, National Association and each other Lender that has a Letter of Credit Commitment in respect of Fifth Amendment Effective Date Existing Letters of Credit or that shall have become an Issuing Bank hereunder as provided in Section 2.05(j) (other than any Person that shall have ceased to be an Issuing Bank as provided in Section 2.05(k)), each in its capacity as an issuer of Letters of Credit hereunder. Each Issuing Bank may, in its discretion, arrange for one or more Letters of Credit to be issued by Affiliates of such Issuing Bank, in which case the term “Issuing Bank” shall include any such Affiliate with respect to Letters of Credit issued by such Affiliate. “ITA” means the UK Income Tax Act 2007. “JPMCB” means JPMorgan Chase Bank, N.A. “Junior Lien Intercreditor Agreement” shall mean an intercreditor agreement, the terms of which shall be reasonably satisfactory to the Administrative Agent and the Borrowers, to be entered into among the Administrative Agent, the Loan Parties, DNB Bank ASA, New York Branch, as agent for the secured parties under the Performance LC Facility and the applicable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37 TechnipFMC | Internal representative of any holder of Indebtedness that is secured by Liens that rank junior in priority to the Liens securing the Obligations under the Facility. “Knowledge” means, with respect to the Company or a Restricted Subsidiary, the actual knowledge of any Responsible Officer of such Person. “LC Disbursement” means a payment made by an Issuing Bank pursuant to a Letter of Credit. “LC Exposure” means, at any time, the sum of (a) the Dollar Equivalent of the aggregate undrawn amount of all outstanding Letters of Credit at such time and (b) the Dollar Equivalent of the aggregate amount of all LC Disbursements that have not yet been reimbursed by or on behalf of the Borrowers at such time. The LC Exposure of any Lender at any time shall be such Lender’s Applicable Percentage of the aggregate LC Exposure at such time. “LC Facility” means a standalone letter of credit or bank guaranty facility. “Lender-Related Person” has the meaning assigned to such term in Section 9.03(b). “Lenders” means the Persons listed on Schedule 2.01 and any other Person that shall have become a party hereto pursuant to an Assignment and Assumption, other than any such Person that shall have ceased to be a party hereto pursuant to an Assignment and Assumption. “Letter of Credit” means any letter of credit issued pursuant to this Agreement by an Issuing Bank under the Commitments, other than any such letter of credit that shall have ceased to be a “Letter of Credit” outstanding hereunder pursuant to Section 9.05. “Letter of Credit Commitment” means, with respect to (a) Wells Fargo Bank, National Association, $80,000,000, (b) JPMCB, $50,000,000, (c) each other Issuing Bank, the commitment of such Issuing Bank to issue Letters of Credit hereunder (i) on the Fifth Amendment Effective Date, in an amount equal to the aggregate face amount of all such Fifth Amendment Effective Date Existing Letters of Credit issued by such Issuing Bank, if any, and (ii) thereafter, as agreed between such Issuing Bank and the Company, and notified to the Administrative Agent; provided that, for the avoidance of doubt, each Letter of Credit Commitment under clause (c)(i) shall be specific to the Fifth Amendment Effective Date Letters of Credit issued by such Issuing Bank and if any such Fifth Amendment Effective Date Letter of Credit issued by such Issuing Bank is not continued or renewed or otherwise expires or terminates, then such Issuing Bank’s Letter of Credit Commitment shall be automatically reduced by the face amount of such Letter of Credit unless such Issuing Bank and the Company agree otherwise. “Liabilities” means any losses, claims (including intraparty claims), demands, damages or liabilities of any kind. “Lien” means, with respect to any asset, (a) any mortgage, deed of trust, lien, pledge, hypothecation, charge, security interest or other encumbrance in, on or of such asset or (b) the interest of a vendor or a lessor under any conditional sale agreement, capital lease or title retention agreement (or any financing lease having substantially the same economic effect as any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38 TechnipFMC | Internal foregoing), or interest of a licensor under any license or sublicense agreement, relating to such asset. “Loan Document Obligations” means (a) the due and punctual payment by the Borrowers of (i) the principal of and interest (including interest accruing during the pendency of any bankruptcy, insolvency, receivership or other similar proceeding, regardless of whether allowed or allowable in such proceeding) on the Loans, when and as due, whether at maturity, by acceleration, upon one or more dates set for prepayment or otherwise, (ii) each payment required to be made by the Borrowers and the other Loan Parties under this Agreement in respect of any Letter of Credit, when and as due, including payments in respect of reimbursement of disbursements, interest thereon and obligations to provide cash collateral (including interest and other amounts and obligations accruing during the pendency of any bankruptcy, insolvency, receivership or other similar proceeding, regardless of whether allowed or allowable in such proceeding) and (iii) all other monetary obligations of the Borrowers under this Agreement and each of the other Loan Documents, including obligations to pay fees, expense reimbursement obligations (including with respect to attorneys’ fees) and indemnification obligations, whether primary, secondary, direct, contingent, fixed or otherwise (including monetary obligations incurred during the pendency of any bankruptcy, insolvency, receivership or other similar proceeding, regardless of whether allowed or allowable in such proceeding) and (b) the due and punctual payment of all the obligations of each Guarantor under or pursuant to each of the Loan Documents to which it is a party (including monetary obligations incurred during the pendency of any bankruptcy, insolvency, receivership or other similar proceeding, regardless of whether allowed or allowable in such proceeding). “Loan Documents” means this Agreement, the New York-Law Guarantee, the Security Documents, any agreement designating an additional Issuing Bank as contemplated by Section 2.05(j), except for purposes of Section 9.02, any Notes delivered pursuant to Section 2.09(c), the Pari Passu Intercreditor Agreement, any SCF Intercreditor Agreement, any Junior Lien Intercreditor Agreement, letter of credit applications and any agreements between a Borrower and an Issuing Bank regarding the issuance by such Issuing Bank of Letters of Credit hereunder and/or the respective rights and obligations between such Borrower and such Issuing Bank in connection thereunder and all other agreements, instruments, documents and certificates now or hereafter executed and delivered by a Loan Party to, or in favor of, the Administrative Agent or any Lender in connection with this Agreement to the extent designated as a “Loan Document” therein (and, in each case, any amendment, restatement, waiver, supplement or other modification to any of the foregoing). “Loan Parties” means, collectively, the Borrowers and the Guarantors. “Loans” means the loans made by the Lenders to the Borrowers pursuant to this Agreement. “Material Adverse Effect” means a material adverse effect on (a) the business, assets, liabilities, operations or financial condition of the Borrowers and the Restricted Subsidiaries, taken as a whole, (b) the ability of the Loan Parties (taken as a whole) to perform their obligations to the Lenders or the Administrative Agent under this Agreement or any other Loan Document or (c)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39 TechnipFMC | Internal rights of, or remedies available to, the Administrative Agent or the Lenders under this Agreement or any other Loan Document. “Material Indebtedness” means Indebtedness (other than the Loans, the Letters of Credit and the Guarantees under the Loan Documents), or obligations in respect of one or more Hedging Agreements, of any one or more of the Borrowers and the Restricted Subsidiaries in an aggregate principal amount exceeding $100,000,000. For purposes of determining Material Indebtedness, the “principal amount” of the obligations of a Borrower or any Restricted Subsidiary in respect of any Hedging Agreement at any time shall be the maximum aggregate amount (giving effect to any netting agreements) that such Borrower or such Restricted Subsidiary would be required to pay if such Hedging Agreement were terminated at such time. “Material Real Property” means any fee-owned real property in any Collateral Jurisdiction with a book value of at least (a) $5,000,000 or (b) to the extent that such real property was acquired after the Fifth Amendment Effective Date, $10,000,000, in each case, as reasonably determined by the Company in good faith. “Material Subsidiary” means each Restricted Subsidiary (a) the Consolidated Total Assets of which equal 5.0% or more of the Consolidated Total Assets of the Company and the Restricted Subsidiaries or (b) the consolidated revenues of which equal 5.0% or more of the consolidated revenues of the Company and the Restricted Subsidiaries, in each case as of the end of or for the most recent period of four consecutive fiscal quarters for which financial statements have been delivered pursuant to Section 5.01(a) or 5.01(b) (or, prior to the first delivery of any such financial statements, as of the end of or for the period of four consecutive fiscal quarters most recently ended prior to the Effective Date); provided that if, at the end of or for any such most recent period of four consecutive fiscal quarters, the combined Consolidated Total Assets or combined consolidated revenues of all Restricted Subsidiaries that under clauses (a) and (b) above would not constitute Material Subsidiaries shall have exceeded 10.0% of the Consolidated Total Assets of the Company and the Restricted Subsidiaries or 10.0% of the consolidated revenues of the Company and the Restricted Subsidiaries, respectively, then one or more of such excluded Restricted Subsidiaries shall, for all purposes of this Agreement, be designated by the Company to be Material Subsidiaries until such excess shall have been eliminated. “Maturity Date” means April 24, 2028. “Maximum Rate” has the meaning assigned to such term in Section 9.13. “MNPI” means material information concerning the Company, any Subsidiary or any Affiliate of any of the foregoing or their securities that has not been disseminated in a manner making it available to investors generally, within the meaning of Regulation FD under the Securities Act and the Exchange Act. For purposes of this definition, “material information” means information concerning the Company, the Subsidiaries or any Affiliate of any of the foregoing or any of their securities that could reasonably be expected to be material for purposes of the United States Federal and State securities laws and, where applicable, foreign securities laws.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40 TechnipFMC | Internal “Moody’s” means Moody’s Investors Service, Inc., and any successor to its rating agency business. “Mortgage” means a Real Property Mortgage or a Vessel Mortgage or both, as the context requires. “Mortgaged Property” means each Material Real Property owned by a Loan Party and identified on Schedule 1.01(b) as of the Fifth Amendment Effective Date, and includes each other Material Real Property owned by a Loan Party with respect to which a Real Property Mortgage is granted pursuant to Section 5.13. “Multiemployer Plan” means a “multiemployer plan,” as defined in Section 4001(a)(3) of ERISA. “New York-Law Guarantee” means the Guarantee among the Borrowers, the Guarantors and the Administrative Agent, substantially in the form of Exhibit C. “New York-Law Pledge Agreement” means the Pledge Agreement among the Administrative Agent and the Loan Parties from time to time party thereto substantially in the form of Exhibit D. “New York-Law Security Agreement” means the Security Agreement among the Administrative Agent and the U.S. Loan Parties from time to time party thereto substantially in the form of Exhibit E. “Non-Consenting Lender” has the meaning specified in Section 9.02(c). “Non-Cooperative Jurisdiction” means a “non-cooperative state or territory” (État ou territoire non coopératif) as set out in the list referred to in Article 238-0 A of the French Code général des impôts, as such list may be amended from time to time. “Non-Defaulting Lender” means any Lender that is not a Defaulting Lender. “Note” has the meaning assigned to such term in Section 2.09(c). “NYFRB” means the Federal Reserve Bank of New York. “NYFRB Rate” means, for any day, the greater of (a) the Federal Funds Effective Rate in effect on such day and (b) the Overnight Bank Funding Rate in effect on such day (or for any day that is not a Business Day, for the immediately preceding Business Day); provided that if none of such rates are published for any day that is a Business Day, the term “NYFRB Rate” means the rate for a federal funds transaction quoted at 11:00 a.m. on such day received to the Administrative Agent from a federal funds broker of recognized standing selected by it; provided, further, that if any of the aforesaid rates shall be less than zero, such rate shall be deemed to be zero for purposes of this Agreement. “NYFRB’s Website” means the website of the NYFRB at http://www.newyorkfed.org, or any successor source.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41 TechnipFMC | Internal “Obligations” means, collectively, (a) all Loan Document Obligations, (b) all Secured Cash Management Obligations, (c) all Secured Hedging Obligations, (d) all Secured LC Facility Obligations and (e) all Secured SCF Obligations. “Other Connection Tax” means, with respect to any Recipient, a Tax imposed as a result of a present or former connection between such Recipient and the jurisdiction imposing such Tax (other than connections arising from such Recipient having executed, delivered, become a party to, performed its obligations under, received payments under, received or perfected a security interest under, engaged in any other transaction pursuant to or enforced this Agreement or any other Loan Document, or sold or assigned an interest in this Agreement or any other Loan or Loan Document). “Other Taxes” means all present or future stamp, court or documentary, intangible, recording, filing or similar Taxes that arise from any payment made under, from the execution, delivery, performance, enforcement or registration of, from the receipt or perfection of a security interest under, or otherwise with respect to, this Agreement or any other Loan Document, except any such Taxes that are Other Connection Taxes imposed with respect to an assignment (other than an assignment made pursuant to Section 2.19(b) or 9.02(c)). “Overnight Bank Funding Rate” means, for any day, the rate comprised of both overnight federal funds and overnight eurodollar transactions denominated in dollars by U.S.-managed banking offices of depository institutions, as such composite rate shall be determined by the NYFRB as set forth on the NYFRB’s Website from time to time, and published on the next succeeding Business Day by the NYFRB as an overnight bank funding rate. “Overnight Rate” means, for any day, (a) with respect to any amount denominated in dollars, the NYFRB Rate and (b) with respect to any amount denominated in an Alternative Currency, an overnight rate determined by the Administrative Agent or the Issuing Banks, as the case may be, in accordance with banking industry rules on interbank compensation. “Pari Passu Intercreditor Agreement” means that certain Pari Passu Intercreditor Agreement, dated as of the Fifth Amendment Effective Date, by and among the Administrative Agent, Delaware Trust Company, as Foreign Collateral Agent, DNB Bank ASA, New York Branch and the Loan Parties party thereto from time to time. “Participant” has the meaning assigned to such term in Section 9.04(c). “Participant Register” has the meaning assigned to such term in Section 9.04(c). “Participating Member State” means any member state of the European Union that has the euro as its lawful currency in accordance with legislation of the European Union relating to Economic and Monetary Union. “Payment” has the meaning assigned to such term in Section 8.01(r)(i). “Payment Notice” has the meaning assigned to such term in Section 8.01(r)(ii).</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42 TechnipFMC | Internal “PBGC” means the Pension Benefit Guaranty Corporation referred to and defined in ERISA and any successor entity performing similar functions. “Perfection Certificate” means a certificate in the form of Exhibit F or any other form approved by the Administrative Agent. “Performance Credit Instrument” has the meaning assigned to such term in the Performance LC Credit Agreement. “Performance LC Credit Agreement” means that certain Performance LC Credit Agreement, dated as of April 24, 2023, among the Borrowers, DNB Bank ASA, New York Branch, as Administrative Agent and Green Advisor, and the lenders and issuing banks party thereto from time to time. “Performance LC Facility” means the performance letter of credit and bank guarantee facility established pursuant to the Performance LC Credit Agreement. “Performance LC Facility Documents” means the Performance LC Credit Agreement and the other “Loan Documents” (as defined in the Performance LC Credit Agreement). “Permitted Business” means any business, the majority of revenues which are derived from (a) business or activities of the type to be conducted by the Company and the Restricted Subsidiaries as described in Item 1 to the Company’s annual report on Form 10-K filed with the SEC on February 24, 2023, (b) any business that is a natural outgrowth or reasonable extension, development or expansion of any such business or any business similar, reasonably related, incidental, complimentary or ancillary to any of the foregoing or (c) any business that in the Company’s good faith business judgment constitutes a reasonable diversification of businesses conducted by the Company and its Restricted Subsidiaries. “Permitted Encumbrances” means: (a) Liens imposed by law for Taxes that are not yet delinquent or in default or are being contested in good faith by appropriate proceedings if adequate reserves with respect thereto are maintained on the books of the applicable Person in accordance with GAAP; (b) carriers’, warehousemen’s, mechanics’, materialmen’s, repairmen’s, landlords’ and other like Liens imposed by law, arising in the ordinary course of business and securing obligations that are not overdue by more than 30 days or are being contested in good faith by appropriate proceedings if adequate reserves with respect thereto are maintained on the books of the applicable Person in accordance with GAAP; (c) pledges and deposits made (i) in the ordinary course of business in compliance with workers’ compensation, unemployment insurance and other social security laws and (ii) in respect of letters of credit, bank guarantees or similar instruments issued for the account of any Subsidiary of the Borrowers in the ordinary course of business supporting obligations of the type set forth in clause (i) above;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43 TechnipFMC | Internal (d) pledges and deposits made (i) to secure the performance of bids, trade contracts (other than for payment of Indebtedness), leases (other than Capital Lease Obligations), statutory obligations, surety and appeal bonds, performance bonds and other obligations of a like nature, in each case in the ordinary course of business and (ii) in respect of letters of credit, bank guarantees or similar instruments issued for the account of a Borrower or any Subsidiary of the Borrowers in the ordinary course of business supporting obligations of the type set forth in clause (i) above; (e) judgment liens in respect of judgments that do not constitute an Event of Default under clause (k) of Section 7.01; (f) easements, zoning restrictions, rights-of-way and similar encumbrances on real property imposed by law or arising in the ordinary course of business that do not secure any monetary obligations and do not materially interfere with the ordinary conduct of business of the Borrowers or any Subsidiary and in the case of any Mortgaged Property within England only where such easements and rights of way are granted to utility providers in a standard form utility substation or gas governor lease; (g) Liens arising from Permitted Investments described in clause (d) of the definition of the term “Permitted Investments”; (h) banker’s liens, rights of setoff or similar rights and remedies as to deposit accounts or other funds maintained with depository institutions and securities accounts and other financial assets maintained with a securities intermediary; provided that such deposit accounts or funds and securities accounts or other financial assets are not established or deposited for the purpose of providing collateral for any Indebtedness; (i) Liens arising by virtue of Uniform Commercial Code financing statement filings (or similar filings under applicable law) regarding operating leases entered into by the Borrowers and the Restricted Subsidiaries; (j) Liens of a collecting bank arising in the ordinary course of business under Section 4-208 (or the applicable corresponding section) of the Uniform Commercial Code in effect in the relevant jurisdiction covering only the items being collected upon; (k) Liens representing any interest or title of a licensor, lessor or sublicensor or sublessor, or a licensee, lessee or sublicensee or sublessee, in the property or rights subject to any lease, non-exclusive license or sublicense or concession agreement, in each case, in the ordinary course of business and to the extent that they do not materially interfere with the business of the Borrowers or any Restricted Subsidiary; (l) Liens in favor of customs and revenue authorities arising as a matter of law to secure payment of customs duties in connection with the importation of goods; (m) Liens that are contractual rights of set-off; (n) Liens (i) of a collection bank arising under Section 4-210 of the Uniform Commercial Code on items in the course of collection, (ii) attaching to commodity trading accounts or other commodities brokerage accounts incurred in the ordinary course of business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44 TechnipFMC | Internal (iii) in favor of a banking institution arising as a matter of law encumbering deposits (including the right of set-off) and which are within the general parameters customary in the banking industry; (o) Liens encumbering reasonable customary initial deposits and margin deposits and similar Liens attaching to commodity trading accounts or other brokerage accounts incurred in the ordinary course of business and not for speculative purposes; (p) Liens that are contractual rights of set-off (i) relating to the establishment of depository relations with banks not given in connection with the issuance of Indebtedness, (ii) relating to pooled deposit or sweep accounts of the Borrowers or any Restricted Subsidiary to permit satisfaction of overdraft or similar obligations incurred in the ordinary course of business of the Borrowers and the Restricted Subsidiaries or (iii) relating to purchase orders and other agreements entered into with customers of the Borrowers or any Restricted Subsidiary in the ordinary course of business; and (q) in relation to the Collateral Vessels, (i) liens for unpaid master’s and crew’s wages in accordance with first class ship ownership and management practice and not being enforced through arrest; (ii) liens for salvage; (iii) liens for master’s disbursements incurred in the ordinary course of trading in accordance with first class ship ownership and management practice and not being enforced through arrest; and (iv) any other lien arising by operation of law (including applicable maritime liens) or otherwise in the ordinary course of the operation, repair or maintenance of any Collateral Vessel, not as a result of any default or omission by any Borrower or Restricted Subsidiary and not being enforced through arrest; provided that the term “Permitted Encumbrances” shall not include any Lien securing Indebtedness. “Permitted Investments” means: (a) direct obligations of, or obligations the principal of and interest on which are unconditionally guaranteed by, the United States of America (or by any agency thereof to the extent such obligations are backed by the full faith and credit of the United States of America), in each case maturing within one (1) year from the date of acquisition thereof; (b) investments in commercial paper and variable and fixed rate notes maturing within 12 months from the date of acquisition thereof and having, at such date of acquisition, a rating of at least A-2 by S&amp;P or P-2 by Moody’s; (c) investments in certificates of deposit, banker’s acceptances and demand or time deposits, in each case maturing within 12 months from the date of acquisition thereof, issued or guaranteed by or placed with, and money market deposit accounts issued or offered by, any domestic office of any commercial bank organized under the laws of the United States of America or any State thereof that has a combined capital and surplus and undivided profits of not less than $500,000,000; (d) fully collateralized repurchase agreements with a term of not more than 30 days for securities described in clause (a) above and entered into with a financial institution satisfying the criteria described in clause (c) above;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45 TechnipFMC | Internal (e) “money market funds” that (i) comply with the criteria set forth in Rule 2a-7 of the Investment Company Act, (ii) are rated AAA- by S&amp;P and Aaa3 by Moody’s and (iii) have portfolio assets of at least $5,000,000,000; and (f) in the case of any Foreign Subsidiary, other short-term investments that are analogous to the foregoing, are of comparable credit quality and are customarily used by companies in the jurisdiction of such Foreign Subsidiary for cash management purposes. “Permitted Joint Venture Investment” means, with respect to an Investment by any specified Person, an Investment by such specified Person in any other Person engaged in a Permitted Business (a) in which the Person has significant involvement in the day to day operations and management or veto power over significant management decisions or board or management committee representation and (b) of which at least 20.0% of the outstanding Equity Interests of such other Person is at the time owned directly or indirectly by the specified Person. “Permitted Tax Distribution” means if a Borrower is a member of a group filing a consolidated, combined, unitary or similar return, a distribution to its direct or indirect parent of such group to permit such parent to discharge the tax liability attributable to the income of the Borrower (and any Restricted Subsidiary of the Borrower included in such group and any Unrestricted Subsidiary of the Borrower to the extent such Unrestricted Subsidiary has made a distribution to the Borrower or any Restricted Subsidiary of the Borrower for the purpose of making such a tax distribution) in an amount not to exceed the amount of tax liability that the Borrower (together with such Subsidiaries) would have incurred if it were filing the relevant tax return on a stand-alone basis. “Permitted Vessel Financing” has the meaning assigned to such term in Section 6.01(I)(v). “Person” means any natural person, corporation, limited liability company, trust, joint venture, association, company, partnership, Governmental Authority or other entity. “Plan” means any “employee pension benefit plan,” as defined in Section 3(2) of ERISA (other than a Multiemployer Plan), that is subject to the provisions of Title IV of ERISA or Section 412 of the Code or Section 302 of ERISA, and in respect of which any Loan Party or any ERISA Affiliate is (or, if such plan were terminated, would under Section 4069 of ERISA be deemed to be) an “employer” as defined in Section 3(5) of ERISA. “Plan Asset Regulations” means 29 CFR § 2510.3-101 et seq., as modified by Section 3(42) of ERISA, as amended from time to time. “Platform” has the meaning assigned to such term in Section 9.01(d). “Prime Rate” means the rate of interest last quoted by The Wall Street Journal as the “Prime Rate” in the U.S. or, if The Wall Street Journal ceases to quote such rate, the highest per annum interest rate published by the Federal Reserve Board in Federal Reserve Statistical Release H.15 (519) (Selected Interest Rates) as the “bank prime loan” rate or, if such rate is no longer quoted therein, any similar rate quoted therein (as determined by the Administrative Agent) or any similar release by the Federal Reserve Board (as determined by the Administrative Agent). Each change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46 TechnipFMC | Internal in the Prime Rate shall be effective from and including the date such change is publicly announced or quoted as being effective. “Priority Indebtedness” means Indebtedness that is secured by assets of any Borrower or Restricted Subsidiary or that is incurred by any Restricted Subsidiary that is not a Guarantor. “Proceeding” means any claim, litigation, investigation, action, suit, arbitration or administrative, judicial or regulatory action or proceeding in any jurisdiction. “Pro Forma Basis” means, with respect to the calculation of the Financial Covenants or for purposes of determining the Total Leverage Ratio, Consolidated Interest Expense, the First Lien Leverage Ratio, Consolidated Total Assets, Consolidated Net Tangible Assets, Consolidated Current Liabilities or Consolidated EBITDA as of any date, that such calculation shall give pro forma effect to (a) all acquisitions, (b) all designations of Restricted Subsidiaries as Unrestricted Subsidiaries, (c) all designations of Unrestricted Subsidiaries as Restricted Subsidiaries, (d) all issuances, incurrences or assumptions or repayments and prepayments of Indebtedness in connection therewith (with any such Indebtedness being deemed to be amortized over the applicable testing period in accordance with its terms), and (e) all sales, transfers or other dispositions of (i) any Equity Interests in a Restricted Subsidiary or (ii) all or substantially all assets of a Restricted Subsidiary or division or line of business of a Restricted Subsidiary outside the ordinary course of business (and any related prepayments or repayments of Indebtedness), that have occurred during the four consecutive fiscal quarter period of the Company most recently ended on or prior to such date as if they occurred on the first day of such four consecutive fiscal quarter period. If any Indebtedness bears a floating rate of interest and is being given pro forma effect, the interest on such Indebtedness shall be calculated as if the rate in effect on the date of determination had been the applicable rate for the entire period (taking into account any Hedging Agreement applicable to such Indebtedness). “Proposed Change” means a proposed amendment, modification, waiver or termination of any provision of this Agreement or any other Loan Document. “PTE” means a prohibited transaction class exemption issued by the U.S. Department of Labor, as any such exemption may be amended from time to time. “Qualified Equity Interests” means Equity Interests of the Borrowers other than Disqualified Equity Interests. “Qualifying Lender” shall mean a Lender which is beneficially entitled to interest payable to that Lender in respect of an advance under this Agreement and is: (a) a Lender: (i) which is a bank (as defined for the purposes of Section 879 of the ITA) making an advance under this Agreement and is within the charge to United Kingdom corporation tax as respects any payments of interest made in respect of that advance or would be within such charge as respects such payments apart from Section 18A of the CTA;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47 TechnipFMC | Internal (ii) in respect of an advance made under this Agreement by a person that was a bank (as defined for the purposes of Section 879 of the ITA) at the time that that advance was made and within the charge to United Kingdom corporation tax as respects any payments of interest made in respect of that advance or would be within such charge as respects such payments apart from Section 18A of the CTA; or (b) a Lender which is: (i) a company resident in the United Kingdom for United Kingdom tax purposes; (ii) a partnership each member of which is (x) a company resident in the United Kingdom for United Kingdom tax purposes, or (y) a company not so resident in the United Kingdom for United Kingdom tax purposes which carries on a trade in the United Kingdom through a permanent establishment and which brings into account in computing its chargeable profits (within the meaning of Section 19 of the CTA) the whole of any share of such interest that is attributable to it because of Part 17 of the CTA; or (iii) a company not resident in the United Kingdom for United Kingdom tax purposes which carries on a trade in the United Kingdom through a permanent establishment and which brings into account such interest in computing the chargeable profits (within the meaning of Section 19 of the CTA) of that company; or (c) a UK Treaty Lender. “Qualified Receivables Financing” means any receivables purchase facility, securitization or other receivables financing facility pursuant to which the Company or any of its Restricted Subsidiaries may sell, convey or otherwise transfer, in each case on a non-recourse basis (subject to customary representations and warranties and indemnities and any Receivables Repurchase Obligations) to the Company or such Restricted Subsidiary, any receivables (whether now existing or arising in the future) owing by a Brazilian account debtor and any assets related thereto (whether in the form of accounts, chattel paper, instruments, general intangibles or otherwise) including, without limitation, all books and records relating to such receivables, all collateral securing such receivables, all contracts and all guarantees or other obligations in respect of such receivables, rights with respect to returned goods the sale or lease of which gave rise to such receivables, insurance thereon, proceeds of all of the foregoing and lockboxes and bank accounts into which collections thereon are deposited, and other assets which are customarily transferred or in respect of which security interests are customarily granted in connection with receivables financing transactions (including, for the avoidance of doubt, receivables sales, loans, servicing, contribution and purchase agreements) involving receivables (a) to one or more third party finance providers or investors or (b) to a special purpose entity that borrows against such receivables (or undivided interests therein) and related assets or issues securities payable from (or representing interests in) payments in respect of such receivables and related assets or sells such receivables (or undivided interests therein) and related assets to one or more third party finance providers or investors, whether or not amounts received in connection with the sale or other transfer or collateral assignment of such receivables and related assets to an entity referred to in clause (a) or (b) above would under GAAP be accounted for as liabilities on a consolidated balance sheet of the Company.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48 TechnipFMC | Internal “Qualified Receivables Financing Indebtedness” means (a) any Indebtedness issued or incurred under any Qualified Receivables Financing and (b) in the case of any Qualified Receivables Financing that is a purchase and sale, or otherwise does not involve issuance or incurrence of Indebtedness, the “outstanding investment” or “invested amount” (or similar term) owing to the third-party finance providers or investors pursuant to such Qualified Receivables Financing, net of any such account receivables that have been written off as uncollectible. “Rating Agency” means each of Moody’s, S&amp;P and Fitch. “Real Property Mortgage” means a mortgage, deed of trust, security deed or other security document granting a Lien on any Mortgaged Property to the Administrative Agent for the benefit of the Secured Parties to secure the Obligations, in each case, as amended, supplemented or otherwise modified from time to time. Each Real Property Mortgage shall be reasonably satisfactory in form and substance to the Administrative Agent. “Recipient” means (a) the Administrative Agent, (b) any Lender and (c) any Issuing Bank, as applicable. “Reference Time” with respect to any setting of the then-current Benchmark means (a) if such Benchmark is the Term SOFR Rate, 5:00 a.m. (Chicago time) on the day that is two U.S. Government Securities Business Days preceding the date of such setting, (b) if such Benchmark is EURIBOR Rate, 11:00 a.m. Brussels time two TARGET Days preceding the date of such setting, (c) if the RFR for such Benchmark is SONIA, then four RFR Business Days prior to such setting, (d) if the RFR for such Benchmark is Daily Simple SOFR, then four RFR Business Days prior to such setting or (e) if such Benchmark is none of the Term SOFR Rate, the EURIBOR Rate, Daily Simple SOFR or SONIA, the time determined by the Administrative Agent in its reasonable discretion. “Receivables Repurchase Obligation” means any customary obligation of a seller of receivables in a Qualified Receivables Financing to repurchase receivables arising as a result of a breach of a representation, warranty or covenant or otherwise, including as a result of a receivable or portion thereof becoming subject to any asserted defense, dispute, off-set or counterclaim of any kind as a result of any action taken by, any failure to take action by or any other event relating to the seller. “Refinancing Indebtedness” means, in respect of any Indebtedness (the “Original Indebtedness”), any Indebtedness that extends, renews or refinances such Original Indebtedness (or any Refinancing Indebtedness in respect thereof); provided that (a) the principal amount (or accreted value, if applicable) of such Refinancing Indebtedness (including undrawn or available committed amounts) shall not exceed the principal amount (or accreted value, if applicable) of such Original Indebtedness (including undrawn or available committed amounts) except by an amount no greater than the amount of accrued and unpaid interest with respect to such Original Indebtedness and any fees, premium and expenses relating to such extension, renewal or refinancing; (b) either (i) the stated final maturity of such Refinancing Indebtedness shall not be earlier than that of such Original Indebtedness or (ii) such Refinancing Indebtedness shall not mature or be required to be repaid, prepaid, redeemed, repurchased or defeased, whether on one or more fixed dates, upon the occurrence of one or more events or at the option of any holder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49 TechnipFMC | Internal thereof (except, in each case, upon the occurrence of an event of default, asset sale or a change in control or as and to the extent such repayment, prepayment, redemption, repurchase or defeasance would have been required pursuant to the terms of such Original Indebtedness) prior to the date that is 91 days after the Maturity Date; provided that, notwithstanding the foregoing, scheduled amortization payments (however denominated) of such Refinancing Indebtedness shall be permitted so long as the weighted average life to maturity of such Refinancing Indebtedness shall be no shorter than the weighted average life to maturity of such Original Indebtedness remaining as of the date of such extension, renewal or refinancing (or, if shorter, 91 days after the Maturity Date); (c) such Refinancing Indebtedness shall not constitute an obligation (including pursuant to a Guarantee) of the Borrowers or any Subsidiary, in each case that shall not have been (or, in the case of after-acquired Subsidiaries, shall not have been required to become pursuant to the terms of the Original Indebtedness) an obligor in respect of such Original Indebtedness; (d) if such Original Indebtedness shall have been subordinated to the Loan Document Obligations, such Refinancing Indebtedness shall also be subordinated to the Loan Document Obligations on terms not less favorable in any material respect to the Lenders; (e) such Refinancing Indebtedness shall not be secured by any Lien on any asset other than the assets that secured such Original Indebtedness (or would have been required to secure such Original Indebtedness pursuant to the terms thereof) or, in the event Liens securing such Original Indebtedness shall have been contractually subordinated to any Lien securing the Loan Document Obligations, by any Lien that shall not have been contractually subordinated to at least the same extent; and (f) if such Original Indebtedness was subject to the Pari Passu Intercreditor Agreement or the Junior Lien Intercreditor Agreement, the holders of such Refinancing Indebtedness (if such Indebtedness is secured) or their representative on their behalf shall become party to the Pari Passu Intercreditor Agreement or the Junior Lien Intercreditor Agreement, as applicable. “Register” has the meaning assigned to such term in Section 9.04(b)(ix). “Related Parties” means, with respect to any specified Person, such Person’s Affiliates and the respective directors, officers, employees, agents, trustees, managers, advisors, representatives and controlling persons of such Person. “Release” means any release, spill, emission, leaking, dumping, injection, pouring, deposit, disposal, discharge, dispersal, leaching or migration into or through the indoor or outdoor environment (including ambient air, surface water, groundwater, land surface or subsurface strata). “Relevant Governmental Body” means (a) with respect to a Benchmark Replacement in respect of Loans denominated in dollars, the Federal Reserve Board and/or the NYFRB, or a committee officially endorsed or convened by the Federal Reserve Board and/or the NYFRB or, in each case, any successor thereto, (b) with respect to a Benchmark Replacement in respect of Loans denominated in Sterling, the Bank of England, or a committee officially endorsed or convened by the Bank of England or, in each case, any successor thereto, (c) with respect to a Benchmark Replacement in respect of Loans denominated in Euros, the European Central Bank, or a committee officially endorsed or convened by the European Central Bank or, in each case, any successor thereto and (d) with respect to a Benchmark Replacement in respect of Loans denominated in any other currency, (i) the central bank for the currency in which such Benchmark Replacement is denominated or any central bank or other supervisor which is responsible for supervising either (A) such Benchmark Replacement or (B) the administrator of such Benchmark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50 TechnipFMC | Internal Replacement or (ii) any working group or committee officially endorsed or convened by (A) the central bank for the currency in which such Benchmark Replacement is denominated, (B) any central bank or other supervisor that is responsible for supervising either (1) such Benchmark Replacement or (2) the administrator of such Benchmark Replacement, (C) a group of those central banks or other supervisors or (D) the Financial Stability Board or any part thereof. “Relevant Rate” means (a) with respect to any Term Benchmark Borrowing denominated in dollars, the Adjusted Term SOFR Rate, (b) with respect to any Term Benchmark Borrowing denominated in Euros, the Adjusted EURIBOR Rate or (c) with respect to any Borrowing denominated in Sterling or dollars, the applicable Adjusted Daily Simple RFR, as applicable. “Relevant Screen Rate” means (a) with respect to any Term Benchmark Borrowing denominated in dollars, the Term SOFR Reference Rate or (b) with respect to any Term Benchmark Borrowing denominated in Euros, the EURIBOR Screen Rate. “Required Lenders” means, at any time, Lenders having Revolving Exposures and unused Commitments representing more than 50% of the sum of the Total Revolving Exposure and aggregate unused Commitments at such time. “Requirement of Law” means, with respect to any Person, (a) the charter, articles or certificate of organization or incorporation and bylaws or other organizational or governing documents of such Person and (b) any law (including common law), statute, ordinance, treaty, rule, regulation, official administrative pronouncement, order, decree, writ, injunction, settlement agreement or determination of any arbitrator or court or other Governmental Authority, in each case applicable to or binding upon such Person or any of its property or to which such Person or any of its property is subject. “Reset Date” has the meaning assigned to such term in Section 1.06(a). “Resolution Authority” means an EEA Resolution Authority or, with respect to any UK Financial Institution, a UK Resolution Authority. “Responsible Officer” means, with respect to a particular corporate matter, any executive officer, director or managing director, as applicable, of a Borrower or a Restricted Subsidiary with direct responsibility for such matter. “Restricted Payment” means any dividend or other distribution (whether in cash, securities or other property) by a Borrower or any Restricted Subsidiary with respect to its Equity Interests, or any payment or distribution (whether in cash, securities or other property) by a Borrower or any Restricted Subsidiary, including any sinking fund or similar deposit, on account of the purchase, redemption, retirement, acquisition, cancelation or termination of its Equity Interests. “Restricted Subsidiary” means each Subsidiary other than an Unrestricted Subsidiary. “Reuters” means, as applicable, Thomson Reuters Corp., Refinitiv, or any successor thereto.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51 TechnipFMC | Internal “Revaluation Date” shall mean (a) with respect to any Loan denominated in any Alternative Currency, each of the following: (i) the date of the Borrowing of such Loan and (ii) (A) with respect to any Term Benchmark Loan, each date of a conversion into or continuation of such Loan pursuant to the terms of this Agreement and (B) with respect to any RFR Loan, each date that is on the numerically corresponding day in each calendar month that is one month after the Borrowing of such Loan (or, if there is no such numerically corresponding day in such month, then the last day of such month); (b) with respect to any Letter of Credit denominated in an Alternative Currency, each of the following: (i) the date on which such Letter of Credit is issued, (ii) the first Business Day of each calendar month and (iii) the date of any amendment of such Letter of Credit that has the effect of increasing the face amount thereof; and (c) any additional date as the Administrative Agent may determine at any time when an Event of Default exists. “Revolving Exposure” means, with respect to any Lender at any time, the sum of (a) the Dollar Equivalent of the outstanding principal amount of such Lender’s Loans and (b) such Lender’s LC Exposure, in each case at such time. “RFR” means, for any RFR Loan denominated in (a) Sterling, SONIA and (b) dollars, Daily Simple SOFR. “RFR Administrator” means the SONIA Administrator or the SOFR Administrator. “RFR Borrowing” means, as to any Borrowing, the RFR Loans comprising such Borrowing. “RFR Business Day” means, for any Loan denominated in (a) Sterling, any day except for (i) a Saturday, (ii) a Sunday or (iii) a day on which banks are closed for general business in London and (b) dollars, a U.S. Government Securities Business Day. “RFR Interest Day” has the meaning specified in the definition of “Daily Simple RFR”. “RFR Loan” means a Loan that bears interest at a rate based on the Adjusted Daily Simple RFR. “S&amp;P” means Standard &amp; Poor’s Rating Services, a Standard &amp; Poor’s Financial Services LLC business, and any successor thereto. “Sanctioned Country” means, at any time, a country, region or territory which is itself the subject or target of any Sanctions (as of the Fifth Amendment Effective Date, the so-called Donetsk People’s Republic, the so-called Luhansk People’s Republic, the Crimea, Zaporizhzhia and Kherson Regions of Ukraine, Cuba, Iran, North Korea and Syria). “Sanctioned Person” means, at any time, (a) any Person listed in any Sanctions-related list of designated Persons maintained by the Office of Foreign Assets Control of the U.S. Department of the Treasury, the U.S. Department of State, or by the United Nations Security Council, the European Union, any European Union member state, His Majesty’s Treasury or any other relevant sanctions authority, (b) any Person operating, organized or resident in a Sanctioned Country, (c) any Person owned 50% or more or controlled by any such Person or Persons described in the foregoing clauses (a) or (b), or (d) any Person otherwise the subject of any Sanctions.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52 TechnipFMC | Internal “Sanctions” means economic or financial sanctions or trade embargoes imposed, administered or enforced from time to time by (a) the U.S. government, including those administered by the Office of Foreign Assets Control of the U.S. Department of the Treasury or the U.S. Department of State, or (b) the United Nations Security Council, the European Union, any European Union member state, His Majesty’s Treasury of the United Kingdom or any other relevant sanctions authority. “SCF Intercreditor Agreement” means a customary intercreditor agreement, in form and substance reasonably satisfactory to the Administrative Agent and the Borrowers, between the Administrative Agent, a Loan Party and any Secured Supply Chain Bank or Supply Chain Bank Purchaser. “SEC” means the United States Securities and Exchange Commission or any Governmental Authority succeeding to any of its principal functions. “Second Amendment” means that certain Second Amendment, dated as of October 6, 2021, by and among the Borrowers party thereto, the Administrative Agent and the Lenders party thereto. “Second Amendment Effective Date” has the definition given to the term in the Second Amendment. “Second Vessel Mortgage” means, as applicable, a second ranking mortgage on each Collateral Vessel, each duly registered in the vessel or ship registry appropriate for such Collateral Vessel in favor of the Administrative Agent and in such form as may be agreed between the Administrative Agent and the Company, together with, if relevant the Supplemental Vessel Deed of Covenants. “Secured Cash Management Obligations” means the due and punctual payment of any and all obligations of a Borrower or any Restricted Subsidiary (whether absolute or contingent and however and whenever created, arising, evidenced or acquired (including all renewals, extensions and modifications thereof and substitutions therefor)) arising in respect of Cash Management Services that (a) are owed to the Administrative Agent or an Affiliate thereof, or to any Person that, at the time such obligations were incurred, was the Administrative Agent or an Affiliate thereof, (b) are owed on the Effective Date to a Person that is a Lender or an Affiliate of a Lender as of the Effective Date or (c) are owed to a Person that is a Lender or an Affiliate of a Lender at the time such obligations are incurred (any such Person, a “Cash Management Bank”); provided that any Cash Management Services may at any time be designated in writing by the Company and the applicable Cash Management Bank to the Administrative Agent not to be included as Secured Cash Management Obligations. “Secured Hedging Obligations” means the due and punctual payment of any and all obligations of a Borrower or any Restricted Subsidiary arising under each Hedging Agreement that (a) is with a counterparty that is the Administrative Agent or an Affiliate thereof, or any Person that, at the time such Hedging Agreement was entered into, was the Administrative Agent or an Affiliate thereof, (b) is in effect on the Effective Date with a counterparty that is a Lender or an Affiliate of a Lender as of the Effective Date or (c) is entered into after the Effective Date with a counterparty that is a Lender or an Affiliate of a Lender at the time such Hedging Agreement 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53 TechnipFMC | Internal entered into (any such Person, a “Hedge Bank”); provided that any Hedging Agreement may at any time be designated in writing by the Company and the applicable Hedge Bank to the Administrative Agent not to be included as Secured Hedging Obligations. Notwithstanding the foregoing, in the case of any Excluded Swap Guarantor, “Secured Hedging Obligations” shall not include Excluded Swap Obligations of such Excluded Swap Guarantor. “Secured LC Facility” means any LC Facility (excluding, for the avoidance of doubt, the Performance LC Facility) that is entered into by and between a Borrower or any Restricted Subsidiary and a Secured LC Provider, including any such LC Facility that is in effect on the Effective Date; provided that the Company and the applicable Secured LC Provider shall have designated such LC Facility as a Secured LC Facility in writing delivered to the Administrative Agent (which writing, on and after the Fifth Amendment Effective Date, shall be in substantially the form of Exhibit L) (other than with respect to any LC Facility where the Administrative Agent or an Affiliate thereof is the Secured LC Provider). “Secured LC Facility Obligations” means obligations owing by a Borrower or any Restricted Subsidiary under any Secured LC Facility. “Secured LC Provider” means any bank, financial institution or other Person that is party to an LC Facility with a Borrower or any Restricted Subsidiary that entered into such LC Facility while such Person was, or before such Person became, a Lender or Affiliate of a Lender, as the case may be; provided that if such Person at any time ceases to be a Lender or an Affiliate of a Lender, as the case may be, (other than as a result of a payment in full of the Loan Document Obligations) such Person shall remain a Secured LC Provider for 365 days after such time (and after 365 days after such time, such Person shall no longer be a Secured LC Provider). “Secured Parties” means, collectively, (a) the Lenders, (b) the Administrative Agent (including, for the avoidance of doubt, any sub-agent, co-agent or trustee designated by JPMCB to serve as collateral agent or security trustee under the Security Documents or otherwise with respect to any Collateral), (c) each Issuing Bank, (d) each provider of Cash Management Services the obligations under which constitute Secured Cash Management Obligations, (e) each counterparty to any Hedging Agreement the obligations under which constitute Secured Hedging Obligations, (f) each Secured Supply Chain Bank, (g) each Secured LC Provider and (h) the successors and assigns of each of the foregoing. “Secured Period” means the period commencing on the Effective Date and ending on the Investment Grade Date. “Secured SCF Obligation” means obligations owing by a Borrower or any Restricted Subsidiary under any Secured Supply Chain Financing. “Secured Supply Chain Bank” means (a) any bank, financial institution or other Person that is a party to a Supply Chain Financing with a Borrower or any Restricted Subsidiary that (i) entered into such Supply Chain Financing while such Person was, or before such Person became, a Lender or Affiliate of a Lender, as the case may be or (ii) has executed a Secured SCF Intercreditor Agreement and (b) any Supply Chain Bank Purchaser that executes a Secured SCF Facility Intercreditor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54 TechnipFMC | Internal “Secured Supply Chain Financing” means any Supply Chain Financing that is entered into by and between a Borrower or any Restricted Subsidiary and a Secured Supply Chain Bank, including any such Supply Chain Financing that is in effect on the Effective Date; provided that (a) the Company and the applicable Secured Supply Chain Bank shall have designated such Supply Chain Financing as a Secured Supply Chain Financing in writing delivered to the Administrative Agent in substantially the form of Exhibit G (other than with respect to any Supply Chain Financings where the Administrative Agent or an Affiliate thereof is the Secured Supply Chain Bank) and (b) the trade payables under any Secured Supply Chain Financing shall become payable within 180 days from issuance thereof. “Securities Act” means the United States Securities Act of 1933. “Security Documents” means, collectively, the New York-Law Security Agreement, New York-Law Pledge Agreement, the Real Property Mortgages, the Vessel Mortgages, and each other security agreement, pledge agreement or other instrument or document executed and delivered pursuant to any of the foregoing, the Collateral and Guarantee Requirement or pursuant to Section 5.13 or 5.15 to secure any of the Obligations. “Senior Unsecured Notes” means the 6.500% senior notes due 2026 issued by the Company on January 29, 2021. “Senior Unsecured Notes Documents” means the Senior Unsecured Notes Indenture, all instruments, agreements and other documents evidencing or governing the Senior Unsecured Notes, providing for any Guarantee or other right in respect thereof, and all schedules, exhibits and annexes to each of the foregoing. “Senior Unsecured Notes Indenture” means the Indenture, dated as of January 29, 2021, among the Company, the Subsidiaries listed therein and U.S. Bank National Association, as trustee, in respect of the Senior Unsecured Notes, as amended by the first supplemental indenture dated as of February 16, 2021, by and between the Company and U.S. Bank National Association, as trustee and as further amended by the second supplemental indenture dated as of May 4, 2022, by and between the Company and U.S. Bank National Association, as trustee. “SOFR” means a rate equal to the secured overnight financing rate as administered by the SOFR Administrator. “SOFR Administrator” means the NYFRB (or a successor administrator of the secured overnight financing rate). “SOFR Administrator’s Website” means the NYFRB’s website, currently at http://www.newyorkfed.org, or any successor source for the secured overnight financing rate identified as such by the SOFR Administrator from time to time. “SOFR Determination Date” has the meaning specified in the definition of “Daily Simple SOFR”. “SOFR Rate Day” has the meaning specified in the definition of “Daily Simple SOFR”.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55 TechnipFMC | Internal “SONIA” means, with respect to any Business Day, a rate per annum equal to the Sterling Overnight Index Average for such Business Day published by the SONIA Administrator on the SONIA Administrator’s Website on the immediately succeeding Business Day. “SONIA Administrator” means the Bank of England (or any successor administrator of the Sterling Overnight Index Average). “SONIA Administrator’s Website” means the Bank of England’s website, currently at http://www.bankofengland.co.uk, or any successor source for the Sterling Overnight Index Average identified as such by the SONIA Administrator from time to time. “Specified Asset Sales” means the sales previously disclosed to the Administrative Agent and permitted under Section 6.05(m). “Specified Joint Venture” means each of (a) Dofcon Navegação and (b) Techdof Brasil. “Specified Joint Venture Indebtedness” means the Indebtedness of each of the Specified Joint Ventures outstanding on the Effective Date, related to loans provided by Banco Nacional de Desenvolvimento Econômico e Social (BNDES), in respect of the Vessels Skandi Vitoria, Skandi Niteroi, Skandi Recife and Skandi Olinda, Eksportkreddit Norge AS, in respect of the Vessel Skandi Recife, Société Générale, in respect of the Vessel Skandi Açu, and DNB Bank ASA, in respect of the Vessel Skandi Buzios. “Statutory Reserve Rate” means a fraction (expressed as a decimal), the numerator of which is the number one and the denominator of which is the number one minus the aggregate of the maximum reserve percentage (including any marginal, special, emergency or supplemental reserves) expressed as a decimal established by the Federal Reserve Board to which the Administrative Agent is subject with respect to the Adjusted EURIBOR Rate for eurocurrency funding (currently referred to as “Eurocurrency liabilities” in Regulation D) or any other reserve ratio or analogous requirement of any central banking or financial regulatory authority imposed in respect of the maintenance of the Commitments or the funding of the Loans. Such reserve percentage shall include those imposed pursuant to Regulation D. Term Benchmark Loans for which the associated Benchmark is adjusted by reference to the Statutory Reserve Rate (per the related definition of such Benchmark) shall be deemed to constitute eurocurrency funding and to be subject to such reserve requirements without benefit of or credit for proration, exemptions or offsets that may be available from time to time to any Lender under Regulation D or any comparable regulation. The Statutory Reserve Rate shall be adjusted automatically on and as of the effective date of any change in any reserve percentage. “Sterling” or “£”means the lawful currency of the United Kingdom. “Subordinated Indebtedness” means Indebtedness of the Company or any Restricted Subsidiary that is subordinated in right of payment to the Indebtedness incurred hereunder. “subsidiary” means, with respect to any Person (the “parent”) at any date, any corporation, limited liability company, partnership, association or other business entity of which a majority of the shares or securities or other interests having ordinary voting power for the election of directors or other governing body (other than securities or interests having such power only by reason of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56 TechnipFMC | Internal happening of a contingency) are at the time beneficially owned, or the management of which is otherwise controlled, directly or indirectly through one or more intermediaries, by such Person. “Subsidiary” means any subsidiary of the Company unless the context otherwise requires. “Supply Chain Bank Purchaser” means any subsequent purchaser of any trade payables that had been initially acquired by a Person that was a Secured Supply Chain Bank pursuant to clause (a) of the definition thereof; provided that such subsequent purchaser is designated as such in writing delivered to the Administrative Agent in substantially the form of Exhibit G. “Supply Chain Financing” means any agreement under which any bank, financial institution or other Person may from time to time provide any financial accommodation to any of the Borrowers or any Restricted Subsidiary in connection with trade payables of the Borrowers or any Restricted Subsidiary (including the acquisition of the receivables corresponding to such trade payables pursuant to “supply chain” or other similar financing), so long as (a) the terms of such trade payables shall not have been extended in connection with the Supply Chain Financing and (b) such Indebtedness represents amounts not in excess of those which a Borrower or any Restricted Subsidiary would otherwise have been obligated to pay to its vendor or supplier in respect of the applicable trade payables. “Swap Obligations” means, with respect to a Borrower or any Guarantor, an obligation to pay or perform under any agreement, contract or transaction that constitutes a “swap” within the meaning of § 1a(47) of the Commodity Exchange Act. “TARGET2” means the Trans-European Automated Real-time Gross Settlement Express Transfer payment system which utilizes a single shared platform and which was launched on November 19, 2007. “TARGET Day” means any day on which TARGET2 (or, if such payment system ceases to be operative, such other payment system, if any, determined by the Administrative Agent to be a suitable replacement) is open for the settlement of payments in Euro. “Taxes” means all present or future taxes, levies, imposts, duties, deductions, withholdings (including backup withholding), assessments, fees or other charges imposed by any Governmental Authority, including any interest, additions to tax or penalties applicable thereto. “Techdof Brasil” means Techdof Brasil AS, a Norwegian joint venture arrangement wholly owned by Dofcon Brasil, which holds the Vessels Skandi Açu and Skandi Buzios as of the Effective Date. “Term Benchmark” when used in reference to any Loan or Borrowing, refers to whether such Loan, or the Loans comprising such Borrowing, are bearing interest at a rate determined by reference to the Adjusted Term SOFR Rate or the Adjusted EURIBOR Rate. “Term SOFR” or “Term SOFR Rate” means, with respect to any Term Benchmark Borrowing denominated in dollars and for any tenor comparable to the applicable Interest Period, the Term SOFR Reference Rate at approximately 5:00 a.m., Chicago time, two U.S. Government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57 TechnipFMC | Internal Securities Business Days prior to the commencement of such tenor comparable to the applicable Interest Period, as such rate is published by the CME Term SOFR Administrator. “Term SOFR Determination Day” has the meaning assigned to it under the definition of Term SOFR Reference Rate. “Term SOFR Reference Rate” means, for any day and time (such day, the “Term SOFR Determination Day”), with respect to any Term Benchmark Borrowing denominated in dollars and for any tenor comparable to the applicable Interest Period, the rate per annum published by the CME Term SOFR Administrator and identified by the Administrative Agent as the forward- looking term rate based on SOFR. If by 5:00 pm (New York City time) on such Term SOFR Determination Day, the “Term SOFR Reference Rate” for the applicable tenor has not been published by the CME Term SOFR Administrator and a Benchmark Replacement Date with respect to the Term SOFR Rate has not occurred, then, so long as such day is otherwise a U.S. Government Securities Business Day, the Term SOFR Reference Rate for such Term SOFR Determination Day will be the Term SOFR Reference Rate as published in respect of the first preceding U.S. Government Securities Business Day for which such Term SOFR Reference Rate was published by the CME Term SOFR Administrator, so long as such first preceding U.S. Government Securities Business Day is not more than five (5) U.S. Government Securities Business Days prior to such Term SOFR Determination Day. “Total Commitments” means, at any time, the sum of the Commitments of all the Lenders at such time. The Total Commitments as of the Fifth Amendment Effective Date are $1,250,000,000. “Total Leverage Ratio” means, as of the last day of any fiscal quarter, the ratio of (a) Consolidated Net Debt as of such date to (b) Consolidated EBITDA for the four consecutive fiscal quarters of the Company ended on such date. “Total Revolving Exposure” means, at any time, the sum of the Revolving Exposures of all the Lenders at such time. “Transferred Receivables Assets” has the meaning assigned to such term in the definition of “Excluded Personal Property”. “Transactions” means the execution, delivery and performance by each Loan Party of the Loan Documents (including this Agreement) to which it is to be a party, the borrowing of Loans, the use of the proceeds thereof and the issuance of Letters of Credit hereunder. “Type,” when used in reference to any Loan or Borrowing, refers to whether the rate of interest on such Loan, or on the Loans comprising such Borrowing, is determined by reference to the Adjusted Term SOFR Rate, the Adjusted EURIBOR Rate, the Alternate Base Rate or the Adjusted Daily Simple RFR. “UCP” means the Uniform Customs and Practice for Documentary Credits, International Chamber of Commerce (“ICC”) Publication No. 600 (or such later version thereof as may be in effect at the time of issuance).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58 TechnipFMC | Internal “UK” or “United Kingdom” means the United Kingdom of Great Britain and Northern Ireland. “UK Borrower” means any Borrower (i) that is incorporated or existing under the laws of England and Wales or (ii) payments from which under this Agreement or any other Loan Document are subject to UK Withholding Tax. “UK Financial Institution” means any BRRD Undertaking (as such term is defined under the PRA Rulebook (as amended form time to time) promulgated by the United Kingdom Prudential Regulation Authority) or any person falling within IFPRU 11.6 of the FCA Handbook (as amended from time to time) promulgated by the United Kingdom Financial Conduct Authority, which includes certain credit institutions and investment firms, and certain affiliates of such credit institutions or investment firms. “UK Insolvency Act” means the Insolvency Act 1986 enacted in the United Kingdom, as such act may be amended, varied, supplemented or replaced from time to time. “UK Insolvency Event” means: (a) a UK Relevant Entity is unable or admits inability to pay its debts as they fall due, suspends making payments on any of its material debts or, by reason of actual or anticipated financial difficulties, commences negotiations with one or more class of creditors (other than pursuant to the Loan Documents) with a view to rescheduling any of its Material Indebtedness; (b) any corporate action, legal proceedings or other formal legal procedure or step is taken in relation to: (i) the suspension of payments of its debts generally, a moratorium of any indebtedness, winding-up, liquidation, dissolution, administration or reorganization (by way of voluntary arrangement, scheme of arrangement, restructuring plan or otherwise) of any UK Relevant Entity; (ii) (by reason of actual or anticipated financial difficulties) a composition, compromise, assignment or arrangement with any class of creditors of any UK Relevant Entity (excluding any Secured Party in its capacity as such with respect to any Obligations); (iii) the appointment of a liquidator, receiver, administrative receiver, administrator, compulsory manager, or other similar officer in respect of any UK Relevant Entity, or all or substantially all of its assets; or (iv) enforcement of any Lien over any material asset of any UK Relevant Entity, or any analogous procedure or step is taken in any jurisdiction, save that this clause (b) shall not apply to (A) any involuntary proceeding or procedure that is discharged, permanently stayed or dismissed within 21 days of commencement, or (B) any solvent liquidation or reorganization of any Restricted Subsidiary incorporated under the laws of England and Wales so long as any payments or assets distributed as a result of such liquidation or reorganization are distributed to the Company or other Restricted Subsidiaries; provided that, in the case of any such Restricted Subsidiary being liquidated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59 TechnipFMC | Internal or reorganized (1) that is a wholly-owned Restricted Subsidiary, such distribution is to one or more Loan Parties or wholly-owned Restricted Subsidiaries or (2) the Equity Interests of which were directly owned by one or more Loan Parties, such distribution is to one or more Loan Parties; (c) any expropriation, attachment, sequestration, distress or execution affects any asset or assets of a UK Relevant Entity, except where (i) such action has not had, and would not reasonably be expected to have, a Material Adverse Effect or (ii) such action is discharged within 21 days; provided that no transaction permitted by Section 6.03 shall constitute a UK Insolvency Event. “UK Loan Party” means the Company and any other Loan Party or Loan Parties incorporated or existing under the laws of England and Wales. “UK Non-Bank Lender” means a Lender which becomes a party to this Agreement after the Fifth Amendment Effective Date which gives a UK Tax Confirmation in the documentation which it executes on becoming a party as a Lender. “UK Relevant Entity” means any UK Loan Party or any other Loan Party or Material Subsidiary capable of becoming subject to an order for winding-up or administration under the Insolvency Act 1986 of the United Kingdom. “UK Resolution Authority” means the Bank of England or any other public administrative authority having responsibility for the resolution of any UK Financial Institution. “UK Tax Confirmation” means a confirmation by a Lender that the person beneficially entitled to interest payable to that Lender is either: (a) a company resident in the United Kingdom for United Kingdom tax purposes; (b) a partnership each member of which is (x) a company resident in the United Kingdom for United Kingdom tax purposes, or (y) a company not so resident in the United Kingdom for United Kingdom tax purposes which carries on a trade in the United Kingdom through a permanent establishment and which brings into account in computing its chargeable profits (within the meaning of Section 19 of the CTA) the whole of any share of such interest that is attributable to it because of Part 17 of the CTA; or (c) a company not resident in the United Kingdom for United Kingdom tax purposes which carries on a trade in the United Kingdom through a permanent establishment and which brings into account such interest in computing the chargeable profits (within the meaning of Section 19 of the CTA) of that company. “UK Treaty Lender” means a Lender which (a) is treated as a resident of a UK Treaty State for the purposes of the relevant UK Treaty; (b) does not carry on a business in the UK through a permanent establishment with which that Lender’s participation in the Loan is effectively connected; and (c) fulfils any conditions in the relevant UK Treaty which must be fulfilled or met by that Lender to obtain full exemption from UK Withholding Tax on interest payable to that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60 TechnipFMC | Internal Lender in respect of an advance under a Loan Document, subject to the completion of any necessary procedural formalities. “UK Treaty State” means a jurisdiction having a double taxation agreement (a “UK Treaty”) with the UK which makes provision for full exemption from tax imposed by the UK on interest. “UK Withholding Tax” means a deduction or withholding for or on account of Tax imposed by the UK from a payment under a Loan Document. “Unadjusted Benchmark Replacement” means the applicable Benchmark Replacement excluding the related Benchmark Replacement Adjustment. “Uniform Commercial Code” means the Uniform Commercial Code as in effect from time to time in the State of New York; provided, however, that, at any time, if by reason of mandatory provisions of law, any or all of the perfection or priority of the Administrative Agent’s and the Secured Parties’ security interest in any item or portion of the Collateral is governed by the Uniform Commercial Code as in effect in a jurisdiction other than the State of New York, the term “Uniform Commercial Code” shall mean the Uniform Commercial Code as in effect, at such time, in such other jurisdiction for purposes of the provisions hereof relating to such perfection or priority and for purposes of definitions relating to such provisions. “U.S.” means the United States of America. “U.S. Borrower” has the meaning assigned to it in the preamble hereto. “U.S. Government Securities Business Day” means any day except for (a) a Saturday, (b) a Sunday or (c) a day on which the Securities Industry and Financial Markets Association recommends that the fixed income departments of its members be closed for the entire day for purposes of trading in United States government securities. “U.S. Person” means a “United States person” within the meaning of Section 7701(a)(30) of the Code. “U.S. Tax Compliance Certificate” has the meaning assigned to such term in Section 2.17(e)(ii)(B)(3). “Unrestricted Subsidiaries” means (a) any Subsidiary that is formed or acquired after the Effective Date and is designated as an Unrestricted Subsidiary by the Company pursuant to Section 5.16 subsequent to the Effective Date and (b) any Subsidiary of an Unrestricted Subsidiary. As of the Effective Date, The Red Adair Company LLC shall be an Unrestricted Subsidiary. “Unrestricted Subsidiary Reconciliation Statement” means, with respect to any consolidated balance sheet or statement of operations, cash flows or stockholders’ equity of the Company and its consolidated Subsidiaries, such financial statement (in substantially the same form) prepared on the basis of consolidating the accounts of the Company and the Restricted Subsidiaries and treating Unrestricted Subsidiaries as if they were not consolidated and otherwise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61 TechnipFMC | Internal eliminating all accounts of Unrestricted Subsidiaries, together with an explanation of reconciliation adjustments in reasonable detail. “USA PATRIOT Act” means the Uniting and Strengthening America by Providing Appropriate Tools Required to Intercept and Obstruct Terrorism Act of 2001. “VAT” means: (a) any value added tax imposed by the United Kingdom Value Added Tax Act 1994; (b) any tax imposed in compliance with the Council Directive of 28 November 2006 on the common system of value added tax (EC Directive 2006/112); and (c) any other tax of a similar nature, whether imposed in the United Kingdom or in a member state of the European Union in substitution for, or levied in addition to, such tax referred to in paragraph (a) or (b) above, or imposed elsewhere. “Vessel” means any vessel whether now owned or later acquired by the owner and also any and all additions, improvements and replacements made in or to such vessel or any part of it or in or to its equipment and appurtenances. “Vessel Deed of Covenants” means, as applicable, a deed of covenants collateral to a Vessel Mortgage executed or, as the context may require, to be executed by the relevant owner of a Collateral Vessel in favor of the Administrative Agent in such form as may be agreed between the Administrative Agent and the Company and creating security over that Collateral Vessel. “Vessel Mortgage” means, as applicable, a First Vessel Mortgage or a Second Vessel Mortgage. “Voting Equity Interests” of any Person means the Equity Interests of such Person ordinarily having the power to vote for the election of the directors of such Person. “wholly owned Subsidiary” means, with respect to any Person at any date, a Subsidiary of such Person of which securities or other ownership interests representing 100% of the Equity Interests (other than directors’ qualifying shares) are, as of such date, owned, controlled or held by such Person or one or more wholly owned Subsidiaries of such Person or by such Person and one or more wholly owned Subsidiaries of such Person. “Withdrawal Liability” means liability to a Multiemployer Plan as a result of a complete or partial withdrawal from such Multiemployer Plan, as such terms are defined in Part I of Subtitle E of Title IV of ERISA. “Withholding Agent” means any Loan Party, the Administrative Agent and any other applicable withholding agent. “Write-Down and Conversion Powers” means, (a) with respect to any EEA Resolution Authority, the write-down and conversion powers of such EEA Resolution Authority from time to time under the Bail-In Legislation for the applicable EEA Member Country, which write-down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62 TechnipFMC | Internal and conversion powers are described in the EU Bail-In Legislation Schedule, and (b) with respect to the United Kingdom, any powers of the applicable Resolution Authority under the Bail-In Legislation to cancel, reduce, modify or change the form of a liability of any UK Financial Institution or any contract or instrument under which that liability arises, to convert all or part of that liability into shares, securities or obligations of that person or any other person, to provide that any such contract or instrument is to have effect as if a right had been exercised under it or to suspend any obligation in respect of that liability or any of the powers under that Bail-In Legislation that are related to or ancillary to any of those powers. SECTION 1.02. Classification of Loans and Borrowings. For purposes of this Agreement, Loans and Borrowings, respectively, may be classified and referred to by Type (e.g., a “Term Benchmark Loan” or “RFR Loan” or a “Term Benchmark Borrowing” or “RFR Borrowing”). SECTION 1.03. Terms Generally. The definitions of terms herein shall apply equally to the singular and plural forms of the terms defined. Whenever the context may require, any pronoun shall include the corresponding masculine, feminine and neuter forms. The words “include,” “includes” and “including” shall be deemed to be followed by the phrase “without limitation.” The word “will” shall be construed to have the same meaning and effect as the word “shall.” Unless the context requires otherwise or except as expressly provided herein, (a) any definition of or reference to any agreement, instrument or other document herein shall be construed as referring to such agreement, instrument or other document as from time to time amended, amended and restated, supplemented or otherwise modified (subject to any restrictions on such amendments, supplements or modifications set forth in the Loan Documents), (b) any definition of or reference to any statute, rule or regulation shall be construed as referring thereto as from time to time amended, supplemented or otherwise modified (including by succession of comparable successor laws), unless otherwise expressly stated to the contrary, (c) any reference herein to any Person shall be construed to include such Person’s successors and assigns, (d) the words “herein,” “hereof” and “hereunder,” and words of similar import, shall be construed to refer to this Agreement in its entirety and not to any particular provision hereof, (e) all references herein to Articles, Sections, Exhibits and Schedules shall be construed to refer to Articles and Sections of, and Exhibits and Schedules to, this Agreement and (f) the words “asset” and “property” shall be construed to have the same meaning and effect and to refer to any and all tangible and intangible assets and properties, including cash, securities, accounts and contract rights. Each reference contained herein or in any other Loan Document to Liens or security interests being created or granted “in favor of the Administrative Agent” and any similar phrases shall be construed to include, for the avoidance of doubt, any such Liens or security interests created or granted in favor of any sub-agent, co-agent or trustee designated by the Administrative Agent as collateral agent or security trustee acting on its behalf and on behalf of the Secured Parties. SECTION 1.04. Accounting Terms; GAAP. Except as otherwise expressly provided herein, all terms of an accounting or financial nature shall be construed in accordance with GAAP, as in effect from time to time; provided that (a) if the Company notifies the Administrative Agent that it requests an amendment to any provision (including any definition) hereof to eliminate the effect of any change occurring after the Effective Date in GAAP or in the application thereof on the operation of such provision (or if the Administrative Agent notifies the Company that the Required Lenders request an amendment to any provision hereof for such purpose), regardless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63 TechnipFMC | Internal whether any such notice is given before or after such change in GAAP or in the application thereof, then such provision shall be interpreted on the basis of GAAP as in effect and applied immediately before such change shall have become effective until such notice shall have been withdrawn or such provision amended in accordance herewith, (b) notwithstanding any other provision contained herein, all terms of an accounting or financial nature used herein shall be construed, and all computations of amounts and ratios referred to herein shall be made, without giving effect to any election under Statement of Financial Accounting Standards 159, The Fair Value Option for Financial Assets and Financial Liabilities, or any successor thereto (including pursuant to Accounting Standard Codifications), to value any Indebtedness of the Company or any Subsidiary at “fair value,” as defined therein and (c) notwithstanding any change in GAAP after the Effective Date which would have the effect of treating any lease properly accounted for as an operating lease prior to such accounting change as a capital lease after giving effect to any such accounting change, for all purposes of calculating Indebtedness for any purpose under this Agreement, the Loan Parties shall continue to make such determinations and calculations with respect to all leases (whether then in existence or thereafter entered into) in accordance with GAAP (as it relates to such issue) as in effect prior to such change and consistent with their past practices. SECTION 1.05. Pro Forma Calculations. With respect to any period during which (a) any acquisition permitted by this Agreement or (b) any sale, transfer or other disposition of (i) any Equity Interests in a Subsidiary or (ii) all or substantially all the assets of a Subsidiary or division or line of business of a Subsidiary outside the ordinary course of business, occurs, for purposes of determining compliance with the covenants contained in Sections 6.04(t), 6.12, 6.13 and 6.14 or otherwise for purposes of determining the Total Leverage Ratio, Consolidated Interest Expense, First Lien Leverage Ratio, Consolidated Total Assets and Consolidated EBITDA, calculations with respect to such period shall be made on a Pro Forma Basis. SECTION 1.06. Exchange Rates; Currency Equivalents. (a) The Administrative Agent or the applicable Issuing Bank, as applicable, shall determine the Dollar Equivalent amounts of Term Benchmark Borrowings or RFR Borrowings or Letter of Credit extensions denominated in Alternative Currencies. Such Dollar Equivalent shall become effective as of such Revaluation Date and shall be the Dollar Equivalent of such amounts until the next Revaluation Date to occur. Except for purposes of financial statements delivered by the Company hereunder or calculating financial covenants hereunder or except as otherwise provided herein, the applicable amount of any Agreed Currency (other than Dollars) for purposes of the Loan Documents shall be such Dollar Equivalent amount as so determined by the Administrative Agent or the applicable Issuing Bank, as applicable. (b) Solely for purposes of Article II and related definitional provisions to the extent used therein, the applicable amount of any currency (other than dollars) for purposes of the Loan Documents shall be such Dollar Equivalent amount as determined by the Administrative Agent or the applicable Issuing Bank, as applicable. If any basket is exceeded solely as a result of fluctuations in the applicable Exchange Rate after the last time such basket was utilized, such basket will not be deemed to have been exceeded solely as a result of such fluctuations in the applicable Exchange Rate. Amounts denominated in an Alternative Currency will be converted to dollars for the purposes of (i) testing the Financial Covenants, at the Exchange Rate as of the last day of the fiscal quarter for which such measurement is being made, and (ii) calculating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64 TechnipFMC | Internal Interest Coverage Ratio and the Total Leverage Ratio (other than for purposes of determining compliance with the Financial Covenants), at the Exchange Rate as of the date of calculation, and will, in the case of Indebtedness, reflect the currency translation effects, determined in accordance with GAAP, of Hedging Agreements permitted hereunder for currency exchange risks with respect to the applicable currency in effect on the date of determination of the Dollar Equivalent of such Indebtedness. (c) For purposes of Section 6.01, the amount of any Indebtedness denominated in any currency other than dollars shall be calculated based on the applicable Exchange Rate, in the case of such Indebtedness incurred or committed, on the date that such Indebtedness was incurred or committed, as applicable; provided that if such Indebtedness is incurred to refinance other Indebtedness denominated in a currency other than dollars, and such refinancing would cause the applicable dollar-denominated restriction to be exceeded if calculated at the applicable Exchange Rate on the date of such refinancing, such dollar-denominated restrictions shall be deemed not to have been exceeded so long as the principal amount of such Refinancing Indebtedness does not exceed the sum of (i) the outstanding or committed principal amount, as applicable, of such Indebtedness being refinanced plus (ii) the aggregate amount of fees, underwriting discounts, premiums and other costs and expenses incurred in connection with such refinancing. (d) For purposes of Sections 6.02, 6.04, 6.05 and 6.08, the amount of any Liens, investments, asset sales and Restricted Payments, as applicable, denominated in any currency other than dollars shall be calculated based on the applicable Exchange Rate. (e) Wherever in this Agreement in connection with a Borrowing, conversion, continuation or prepayment of a Term Benchmark Loan or an RFR Loan or the issuance, amendment or extension of a Letter of Credit, an amount, such as a required minimum or multiple amount, is expressed in dollars, but such Borrowing, Loan or Letter of Credit is denominated in an Alternative Currency, such amount shall be the Dollar Equivalent of such amount (rounded to the nearest unit of such Alternative Currency, with 0.5 of a unit being rounded upward), as determined by the Administrative Agent or the applicable Issuing Bank, as the case may be. SECTION 1.07. Divisions. For all purposes under the Loan Documents, in connection with any division or plan of division under Delaware law (or any comparable event under a different jurisdiction’s laws): (a) if any asset, right, obligation or liability of any Person becomes the asset, right, obligation or liability of a different Person, then it shall be deemed to have been transferred from the original Person to the subsequent Person, and (b) if any new Person comes into existence, such new Person shall be deemed to have been organized and acquired on the first date of its existence by the holders of its Equity Interests at such time. SECTION 1.08. Interest Rates; Benchmark Notification. The interest rate on a Loan denominated in dollars or an Alternative Currency may be derived from an interest rate benchmark that may be discontinued or is, or may in the future become, the subject of regulatory reform. Upon the occurrence of a Benchmark Transition Event, Section 2.14(b) provides a mechanism for determining an alternative rate of interest. The Administrative Agent does not warrant or accept any responsibility for, and shall not have any liability with respect to, the administration, submission, performance or any other matter related to any interest rate used in this Agreement, or with respect to any alternative or successor rate thereto, or replacement rate thereof, including,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65 TechnipFMC | Internal without limitation, whether the composition or characteristics of any such alternative, successor or replacement reference rate will be similar to, or produce the same value or economic equivalence of, the existing interest rate being replaced or have the same volume or liquidity as did any existing interest rate prior to its discontinuance or unavailability. The Administrative Agent and its affiliates and/or other related entities may engage in transactions that affect the calculation of any interest rate used in this Agreement or any alternative, successor or alternative rate (including any Benchmark Replacement) and/or any relevant adjustments thereto, in each case, in a manner adverse to the Borrower. The Administrative Agent may select information sources or services in its reasonable discretion to ascertain any interest rate used in this Agreement, any component thereof, or rates referenced in the definition thereof, in each case pursuant to the terms of this Agreement, and shall have no liability to the Borrower, any Lender or any other person or entity for damages of any kind, including direct or indirect, special, punitive, incidental or consequential damages, costs, losses or expenses (whether in tort, contract or otherwise and whether at law or in equity), for any error or calculation of any such rate (or component thereof) provided by any such information source or service. SECTION 1.09. Dutch Terms. In this Agreement where it relates to a Dutch person or entity, a reference to: (a) “The Netherlands” means the European part of the Kingdom of the Netherlands and Dutch means in or of The Netherlands; (b) an “administrator” includes a bewindvoerder and a beoogd bewindvoerder; (c) a “receiver” or an “administrative receiver” does not include a curator or bewindvoerder; and (d) an “attachment” includes a beslag and a “prejudicial attachment” includes a conservatoir beslag; (e) “gross negligence” means, where Dutch law is applicable, grove schuld; (f) a moratorium includes surseance van betaling and granted a moratorium includes surseance verleend; (g) “insolvency” includes a bankruptcy and moratorium; (h) “negligence” means, where Dutch law is applicable, schuld; (i) any authorization by all necessary corporate or other organizational action, where applicable, includes without limitation (i) any action required to comply with the Dutch Works Council Act (Wet op de ondernemingsraden) or (ii) obtaining an advice (advies) from each competent works council according to which the entrepreneur (ondernemer) can pursue with the transactions contemplated; (j) a “subsidiary” includes a ‘dochtermaatschappij’ within the meaning of section 2:24a of the Dutch Civil Code (Burgerlijk Wetboek) (regardless of whether the shares or voting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66 TechnipFMC | Internal rights in the shares in such company are held directly or indirectly through another ‘dochtermaatschappij’); (k) a “security interest” includes any mortgage (hypotheek), pledge (pandrecht), retention of title arrangement (eigendomsvoorbehoud), privilege (voorrecht), right of retention (recht van retentie), right to reclaim goods (recht van reclame), and, in general, any right in rem (beperkt recht) created for the purpose of granting security (goederenrechtelijk zekerheidsrecht); (l) any “procedure” or “step” taken in connection with insolvency proceedings includes a Dutch entity having filed notice under section 36 of the Netherlands Tax Collection Act 1990 (Invorderingswet 1990), section 60 of the Social Insurance Financing Act of the Netherlands (Wet Financiering Sociale Verzekeringen) in conjunction with section 36 of the Tax Collection Act of the Netherlands (Invorderingswet 1990) or public and/or undisclosed preventive restructuring processes within the meaning of the second part (Tweede afdeling) of the Dutch Bankruptcy Act (Failissementswet) (sections 369 et seq.); (m) a “trustee in bankruptcy” includes a curator; (n) a “liquidator” includes a curator; (o) “willful misconduct” means, where Dutch law is applicable, opzet; and (p) a “winding-up”, “liquidation”, “administration” or “dissolution” (and any of those terms) includes a Dutch entity being declared bankrupt (failliet verklaard) or dissolved (ontbonden). ARTICLE II The Credits SECTION 2.01. Commitments. Subject to the terms and conditions set forth herein, each Lender agrees to make Loans denominated in dollars or in any Alternative Currency to the Borrowers from time to time, in each case during the Availability Period, in an aggregate principal amount that will not result in such Lender’s Revolving Exposure exceeding such Lender’s Commitment. Within the foregoing limits and subject to the terms and conditions set forth herein, the Borrowers may borrow, prepay and reborrow Loans. SECTION 2.02. Loans and Borrowings. (a) Each Loan shall be made as part of a Borrowing consisting of Loans of the same Type made by the Lenders ratably in accordance with their respective Commitments. The failure of any Lender to make any Loan required to be made by it shall not relieve any other Lender of its obligations hereunder; provided that the Commitments of the Lenders are several and no Lender shall be responsible for any other Lender’s failure to make Loans as required. (b) Subject to Section 2.14, (i) each Borrowing denominated in dollars shall be comprised entirely of ABR Loans or Term Benchmark Loans as the Borrowers may request in accordance herewith, (ii) each Borrowing denominated in any Alternative Currency (other than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67 TechnipFMC | Internal Sterling) shall be comprised entirely of Term Benchmark Loans and (iii) each Borrowing denominated in Sterling shall be comprised entirely of RFR Loans. Each Lender at its option may make any Term Benchmark Loan or RFR Loan by causing any domestic or foreign branch or Affiliate of such Lender to make such Loan; provided that any exercise of such option shall not affect the obligation of the applicable Borrower to repay such Loan in accordance with the terms of this Agreement. (c) At the time that each RFR Borrowing is made and/or at the commencement of each Interest Period for any Term Benchmark Borrowing, such Borrowing shall be in an aggregate amount that is an integral multiple of the Borrowing Multiple and not less than the Borrowing Minimum; provided that a Term Benchmark Borrowing that results from a continuation of an outstanding Term Benchmark Borrowing may be in an aggregate amount that is equal to such outstanding Borrowing. At the time that each ABR Borrowing is made, such Borrowing shall be in an aggregate amount that is an integral multiple of $100,000 and not less than the Borrowing Minimum. Borrowings of more than one Type may be outstanding at the same time; provided that there shall not be more than a total of 10 Term Benchmark Borrowings or RFR Borrowings in the aggregate at any time outstanding. Notwithstanding anything to the contrary herein, an ABR Borrowing may be in an aggregate amount that is equal to the entire unused balance of the Commitment or that is required to finance the reimbursement of an LC Disbursement as contemplated by Section 2.05(e). SECTION 2.03. Requests for Borrowings. To request a Borrowing, a Borrower shall notify the Administrative Agent of such request by submitting a Borrowing Request (a)(i) in the case of a Term Benchmark Borrowing denominated in dollars, not later than 11:00 a.m., New York City time, three U.S. Government Securities Business Days before the date of the proposed Borrowing, (ii) in the case of a Term Benchmark Borrowing denominated in Euros, not later than 12:00 p.m., New York City time, three Business Days before the date of the proposed Borrowing, and (iii) in the case of an RFR Borrowing denominated in Sterling, not later than 11:00 a.m., New York City time, five RFR Business Days before the date of the proposed Borrowing or (b) in the case of an ABR Borrowing, not later than 11:00 a.m., New York City time, on the date of the proposed Borrowing; provided that no such notice shall be required for any deemed request of an ABR Borrowing to finance the reimbursement of an LC Disbursement denominated in dollars as contemplated by Section 2.05(e). Each such Borrowing Request shall be irrevocable and shall be signed by a Responsible Officer of the applicable Borrower. Each such Borrowing Request shall specify the following information (to the extent applicable, in compliance with Sections 2.01 and 2.02): (A) the Borrower to which the requested Borrowing is to be made; (B) the currency and the aggregate amount of such Borrowing; (C) the requested date of such Borrowing, which shall be a Business Day; (D) whether such Borrowing is to be an ABR Borrowing, a Term Benchmark Borrowing or an RFR Borrowing (in the case of a Borrowing to be denominated in Sterling);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68 TechnipFMC | Internal (E) in the case of a Term Benchmark Borrowing, the initial Interest Period to be applicable thereto, which shall be a period contemplated by the definition of the term “Interest Period”; (F) the location and number of the applicable Borrower’s account to which funds are to be disbursed, which shall comply with the requirements of Section 2.06(a), or, if the Borrowing is being requested to finance the reimbursement of an LC Disbursement denominated in dollars in accordance with Section 2.05(e), the identity of the Issuing Bank that made such LC Disbursement; and (G) that as of the requested date of such Borrowing, Sections 4.02(a), 4.02(b) and 4.02(c) will be satisfied. If no election as to the Type of Borrowing is specified, other than with respect to Borrowings denominated in an Alternative Currency, then the requested Borrowing shall be an ABR Borrowing. If no Interest Period is specified with respect to any requested Term Benchmark Borrowing, then such Borrower shall be deemed to have selected an Interest Period of one month’s duration. If no currency is specified with respect to any requested Loan, the Company shall be deemed to have selected dollars. Promptly following receipt of a Borrowing Request in accordance with this Section, the Administrative Agent shall advise each Lender of the details thereof and of the amount of such Lender’s Loan to be made as part of the requested Borrowing. SECTION 2.04. [Reserved]. SECTION 2.05. Letters of Credit. (a) General. Subject to the terms and conditions set forth herein, a Borrower may request the issuance of Letters of Credit for its own account (or for the account of any Restricted Subsidiary so long as a Borrower is a joint and several co-applicant in respect of such Letter of Credit), denominated in dollars or in an Alternative Currency and in a form reasonably acceptable to the Administrative Agent and the applicable Issuing Bank, at any time and from time to time during the Availability Period. All Existing Letters of Credit shall be deemed, without further action by any party hereto, to have been issued on the Effective Date pursuant to this Agreement, and the Lenders shall thereupon acquire participations in the Existing Letters of Credit as if so issued without further action by any party hereto. Notwithstanding anything contained in any letter of credit application or other agreement (other than this Agreement or any Security Document) submitted by a Borrower to, or entered into a Borrower with, any Issuing Bank relating to any Letter of Credit, (i) all provisions of such letter of credit application or other agreement purporting to grant Liens in favor of such Issuing Bank to secure obligations in respect of such Letter of Credit shall be disregarded, it being agreed that such obligations shall be secured to the extent provided in this Agreement and in the Security Documents, (ii) in the event of any inconsistency between the terms and conditions of this Agreement and the terms and conditions of such letter of credit application or such other agreement, as applicable, the terms and conditions of this Agreement shall control and (iii) an Issuing Bank shall be under no obligation to issue any Letter of Credit if the issuance of such Letter of Credit would violate (A) any Requirement of Law or (B) such Issuing Bank’s internal policies.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69 TechnipFMC | Internal (b) Notice of Issuance, Amendment, Renewal, Extension; Certain Conditions. To request the issuance of a Letter of Credit or the amendment, renewal or extension of an outstanding Letter of Credit (other than any automatic renewal permitted pursuant to paragraph (c) of this Section), a Borrower shall hand deliver or fax (or transmit by electronic communication, if arrangements for doing so have been approved by the applicable Issuing Bank) to an Issuing Bank selected by it and to the Administrative Agent (reasonably in advance of the requested date of issuance, amendment, renewal or extension, but, in any event, not less than three (3) Business Days in advance) a notice requesting the issuance of a Letter of Credit, or identifying the Letter of Credit to be amended, renewed or extended, and specifying the requested date of issuance, amendment, renewal or extension (which shall be a Business Day), the date on which such Letter of Credit is to expire (which shall comply with paragraph (c) of this Section), the currency and amount of such Letter of Credit, the name and address of the beneficiary thereof and such other information as shall be requested by the applicable Issuing Bank as necessary to enable such Issuing Bank to prepare, amend, renew or extend such Letter of Credit. If requested by the applicable Issuing Bank, such Borrower shall also submit a letter of credit application on such Issuing Bank’s standard form in connection with any request for a Letter of Credit. A Letter of Credit shall be issued, amended, renewed or extended only if (and upon issuance, amendment, renewal or extension of any Letter of Credit the applicable Borrower shall be deemed to represent and warrant that), after giving effect to such issuance, amendment, renewal or extension, (i) the LC Exposure shall not exceed $250,000,000, (ii) the Total Revolving Exposure shall not exceed the Total Commitments, (iii) the aggregate amount of Letters of Credit issued by any Issuing Bank shall not exceed its Letter of Credit Commitment and (iv) no Lender’s Revolving Exposure shall exceed its Commitment. Each Issuing Bank agrees that it shall not permit any issuance, amendment, renewal or extension of a Letter of Credit to occur unless it shall have given to the Administrative Agent written notice thereof as required under paragraph (l) of this Section. (c) Expiration Date. Each Letter of Credit shall expire at or prior to the close of business on the earlier of (i) the date that is one year after the date of the issuance of such Letter of Credit (or, in the case of any renewal or extension thereof, one year after such renewal or extension) and (ii) the date that is five (5) Business Days prior to the Maturity Date; provided, however, that (x) any Letter of Credit may, upon the request of a Borrower, include a provision whereby such Letter of Credit shall be renewed automatically for additional consecutive periods of one year or less (but not beyond the date that is five Business Days prior to the Maturity Date unless such Letter of Credit is cash collateralized or backstopped pursuant to arrangements reasonably satisfactory to the relevant Issuing Bank) unless the applicable Issuing Bank notifies the beneficiary thereof at least 30 days prior to the then-applicable expiration date that such Letter of Credit will not be renewed and (y) any Issuing Bank may agree to issue a Letter of Credit with expiry date beyond the date set forth in clause (i) in its sole discretion (but not beyond the date that is five (5) Business Days prior to the Maturity Date unless such Letter of Credit is cash collateralized or backstopped pursuant to arrangements reasonably satisfactory to the relevant Issuing Bank). (d) Participations. By the issuance of a Letter of Credit (or an amendment to a Letter of Credit increasing the amount thereof) and without any further action on the part of the applicable Issuing Bank or the Lenders, the Issuing Bank that is the issuer of such Letter of Credit hereby grants to each Lender, and each Lender hereby acquires from such Issuing Bank, a participation in such Letter of Credit equal to such Lender’s Applicable Percentage of the aggregate amount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70 TechnipFMC | Internal available to be drawn under such Letter of Credit. In consideration and in furtherance of the foregoing, each Lender hereby absolutely and unconditionally agrees to pay to the Administrative Agent, for the account of the applicable Issuing Bank, such Lender’s Applicable Percentage of each LC Disbursement made by such Issuing Bank and not reimbursed by the applicable Borrower on the date due as provided in paragraph (e) of this Section, or of any reimbursement payment required to be refunded to such Borrower for any reason. Each Lender acknowledges and agrees that its obligation to acquire participations pursuant to this paragraph in respect of Letters of Credit is absolute and unconditional and shall not be affected by any circumstance whatsoever, including any amendment, renewal or extension of any Letter of Credit, the occurrence and continuance of a Default or any reduction or termination of the Commitments, and that each such payment shall be made without any offset, abatement, withholding or reduction whatsoever. Each Lender further acknowledges and agrees that, in issuing, amending, renewing or extending any Letter of Credit, the applicable Issuing Bank shall be entitled to rely, and shall not incur any liability for relying, upon the representation and warranty of a Borrower deemed made pursuant to Section 4.02 unless, at least one Business Day prior to the time such Letter of Credit is issued, amended, renewed or extended (or, in the case of an automatic renewal permitted pursuant to paragraph (c) of this Section, at least one Business Day prior to the time by which the election not to extend must be made by the applicable Issuing Bank), the Required Lenders shall have notified the applicable Issuing Bank (with a copy to the Administrative Agent) in writing that, as a result of one or more events or circumstances described in such notice, one or more of the conditions precedent set forth in Section 4.02(a) or 4.02(b) would not be satisfied if such Letter of Credit were then issued, amended, renewed or extended (it being understood and agreed that, in the event any Issuing Bank shall have received any such notice, no Issuing Bank shall have any obligation to issue, amend, renew or extend any Letter of Credit until and unless it shall be satisfied that the events and circumstances described in such notice shall have been cured or otherwise shall have ceased to exist). (e) Reimbursement. If an Issuing Bank shall make any LC Disbursement in respect of a Letter of Credit, then the applicable Borrower shall reimburse such LC Disbursement by paying to the Administrative Agent an amount equal to such LC Disbursement (i) not later than 12:00 noon, New York City time, on the date that such LC Disbursement is made, if the applicable Borrower shall have received notice of such LC Disbursement prior to 10:00 a.m., New York City time, on such date, or (ii) if such notice has not been received by such Borrower prior to such time on such date, then not later than 12:00 noon, New York City time, on the Business Day immediately following the day that such Borrower receives such notice, if such notice is not received prior to such time on the day of receipt; provided that, unless such Borrower has notified the applicable Issuing Bank that it will reimburse such LC Disbursement by the required date and time, such Borrower shall, subject to the conditions to borrowing set forth herein, be deemed to have requested, and such Borrower does hereby request in such event that such payment be financed with an ABR Borrowing in an equivalent amount and, to the extent so financed, such Borrower’s obligation to make such payment shall be discharged and replaced by the resulting ABR Borrowing. In the case of any such reimbursement in dollars with respect to a Letter of Credit denominated in an Alternative Currency, the applicable Issuing Bank shall notify such Borrower of the Dollar Equivalent of the amount of the draft so paid promptly following the determination thereof. If such Borrower fails to reimburse any LC Disbursement by the time specified above in this paragraph, then the Administrative Agent shall notify each Lender, as the case may be, of the applicable LC Disbursement, the currency and amount of the payment then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71 TechnipFMC | Internal due from such Borrower in respect thereof and such Lender’s Applicable Percentage thereof, as applicable. Promptly following receipt of such notice, each Lender shall pay to the Administrative Agent its Applicable Percentage of the amount then due from such Borrower in the currency of the applicable LC Disbursement, in the same manner as provided in Section 2.06 with respect to Loans made by such Lender (and Section 2.06 shall apply, mutatis mutandis, to the payment obligations of the Lenders under this paragraph), and the Administrative Agent shall promptly remit to the applicable Issuing Bank the amounts so received by it from the applicable Lenders. Promptly following receipt by the Administrative Agent of any payment from a Borrower pursuant to this paragraph, the Administrative Agent shall distribute such payment to the applicable Issuing Bank or, to the extent that Lenders have made payments pursuant to this paragraph to reimburse such Issuing Bank, then to such Lenders and such Issuing Bank as their interests may appear. Any payment made by a Lender pursuant to this paragraph to reimburse an Issuing Bank for any LC Disbursement (other than the funding of an ABR Borrowing as contemplated above) shall not constitute a Loan and shall not relieve the applicable Borrower of its obligation to reimburse such LC Disbursement. (f) Obligations Absolute. The Borrowers’ obligations to reimburse LC Disbursements as provided in paragraph (e) of this Section shall be absolute, unconditional and irrevocable, and shall be performed strictly in accordance with the terms of this Agreement under any and all circumstances whatsoever and irrespective of (i) any lack of validity or enforceability of any Letter of Credit or this Agreement, or any term or provision thereof or hereof, (ii) any draft or other document presented under a Letter of Credit proving to be forged, fraudulent or invalid in any respect or any statement therein being untrue or inaccurate in any respect, (iii) payment by an Issuing Bank under a Letter of Credit against presentation of a draft or other document that does not comply with the terms of such Letter of Credit or (iv) any other event or circumstance whatsoever, whether or not similar to any of the foregoing, that might, but for the provisions of this Section, constitute a legal or equitable discharge of, or provide a right of setoff against, a Borrower’s obligations hereunder. None of the Administrative Agent, the Lenders, the Issuing Banks or any of their Related Parties shall have any liability or responsibility by reason of or in connection with the issuance or transfer of any Letter of Credit, any payment or failure to make any payment thereunder (irrespective of any of the circumstances referred to in the preceding sentence), any error, omission, interruption, loss or delay in transmission or delivery of any draft, notice or other communication under or relating to any Letter of Credit (including any document required to make a drawing thereunder), any error in interpretation of technical terms or any consequence arising from causes beyond the control of the applicable Issuing Bank; provided that the foregoing shall not be construed to excuse any Issuing Bank from liability to a Borrower to the extent of any direct damages (as opposed to special, indirect, consequential or punitive damages, claims in respect of which are hereby waived by the Borrowers to the extent permitted by applicable law) suffered by a Borrower that are caused by such Issuing Bank’s failure to exercise care when determining whether drafts and other documents presented under a Letter of Credit comply with the terms thereof. The parties hereto expressly agree that, in the absence of gross negligence or willful misconduct on the part of an Issuing Bank (as finally determined by a court of competent jurisdiction in a final and nonappealable judgment), such Issuing Bank shall be deemed to have exercised care in each such determination. In furtherance of the foregoing and without limiting the generality thereof, the parties agree that, with respect to documents presented that appear on their face to be in substantial compliance with the terms of a Letter of Credit, an Issuing Bank may, in its sole discretion, either accept and make payment upon such documents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72 TechnipFMC | Internal without responsibility for further investigation, regardless of any notice or information to the contrary, or refuse to accept and make payment upon such documents if such documents are not in strict compliance with the terms of such Letter of Credit, and any such acceptance or refusal shall be deemed not to constitute gross negligence or willful misconduct. (g) Disbursement Procedures. The Issuing Bank for any Letter of Credit shall, within the time allowed by applicable law or the specific terms of the Letter of Credit following its receipt thereof, examine all documents purporting to represent a demand for payment under such Letter of Credit. Such Issuing Bank shall promptly after such examination notify the Administrative Agent and the applicable Borrower by telephone (confirmed by telecopy or electronic mail) of such demand for payment if such Issuing Bank has made or will make an LC Disbursement thereunder; provided that any failure to give or delay in giving such notice shall not relieve the applicable Borrower of its obligation to reimburse such Issuing Bank and the Lenders with respect to any such LC Disbursement in accordance with paragraph (e) of this Section. (h) Interim Interest. If an Issuing Bank shall make any LC Disbursement, then, unless the applicable Borrower shall reimburse such LC Disbursement in full on the date such LC Disbursement is made, the unpaid amount thereof shall bear interest, for each day from and including the date such LC Disbursement is made to but excluding the date that the such Borrower reimburses such LC Disbursement in full, at (i) in the case of any LC Disbursement denominated in dollars, the rate per annum then applicable to ABR Loans and (ii) in the case of an LC Disbursement denominated in any Alternative Currency, a rate per annum determined by the applicable Issuing Bank (which determination will be conclusive absent manifest error) to represent its cost of funds plus the Applicable Rate used to determine interest applicable to Term Benchmark Loans; provided that, if the applicable Borrower fails to reimburse such LC Disbursement in full when due pursuant to paragraph (e) of this Section, then Section 2.13(d) shall apply. Interest accrued pursuant to this paragraph shall be paid to the Administrative Agent, for the account of the applicable Issuing Bank, except that interest accrued on and after the date of payment by any Lender pursuant to paragraph (e) of this Section to reimburse such Issuing Bank shall be for the account of such Lender to the extent of such payment, and shall be payable on demand or, if no demand has been made, on the date on which the applicable Borrower reimburses the applicable LC Disbursement in full. (i) Cash Collateralization. If any Event of Default shall occur and be continuing, on the Business Day on which the Company receives notice from the Administrative Agent or the Required Lenders, the Borrowers shall deposit in an account with the Administrative Agent, in the name of the Administrative Agent and for the benefit of the Lenders, an amount in cash and in the currency of each applicable Letter of Credit equal to the LC Exposure as of such date plus any accrued and unpaid interest thereon; provided that the obligation to deposit such cash collateral shall become effective immediately, and such deposit shall become immediately due and payable, without demand or other notice of any kind, upon the occurrence of any Event of Default with respect to any Borrower described in clause (h) or (i) of Section 7.01. The Borrowers also shall deposit cash collateral in accordance with this paragraph as and to the extent required by Section 2.11(b) or 2.20(c). Each such deposit shall be held by the Administrative Agent as collateral for the payment and performance of the obligations of the Borrowers under this Agreement. The Administrative Agent shall have exclusive dominion and control, including the exclusive right of withdrawal, over such account. Other than any interest earned on the investment of such deposits,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73 TechnipFMC | Internal which investments shall be made at the option and sole discretion of the Administrative Agent and at the Borrowers’ risk and expense, such deposits shall not bear interest. Interest or profits, if any, on such investments shall accumulate in such account. Notwithstanding the terms of any Security Document, moneys in such account shall be applied by the Administrative Agent to reimburse the Issuing Banks for LC Disbursements for which they have not been reimbursed and, to the extent not so applied, shall be held for the satisfaction of the reimbursement obligations of the Borrowers for the LC Exposure at such time or, if the maturity of the Loans has been accelerated (but subject to (i) the consent of the Required Lenders and (ii) in the case of any such application at a time when any Lender is a Defaulting Lender (but only if, after giving effect thereto, the remaining cash collateral shall be less than the aggregate LC Exposure of all the Defaulting Lenders), the consent of each Issuing Bank), be applied to satisfy other obligations of the Borrowers under this Agreement. If the Borrowers are required to provide an amount of cash collateral hereunder as a result of the occurrence of an Event of Default, such amount (to the extent not applied as aforesaid) shall be returned to the Borrowers within three Business Days after all Events of Default have been cured or waived. If the Borrowers are required to provide an amount of cash collateral hereunder pursuant to Section 2.11(b), such amount (to the extent not applied as aforesaid) shall be returned to the Borrowers to the extent that, after giving effect to such return, the Total Revolving Exposure would not exceed the Total Commitments and no Default shall have occurred and be continuing. If the Borrowers are required to provide an amount of cash collateral hereunder pursuant to Section 2.11(c), such amount shall be returned to the Borrowers to the extent that, after giving effect to such return, the Consolidated Cash Balance as of the end of the month would not exceed $350,000,000. If the Borrowers are required to provide an amount of cash collateral hereunder pursuant to Section 2.20(c), such amount (to the extent not applied as aforesaid) shall be returned to the Borrowers to the extent that, after giving effect to such return, no Issuing Bank shall have any exposure in respect of any outstanding Letter of Credit that is not fully covered by the Commitments of the non-Defaulting Lenders and/or the remaining cash collateral and no Default shall have occurred and be continuing. (j) Designation of Additional Issuing Banks. The Company may, at any time and from time to time, with the consent of the Administrative Agent (which consent shall not be unreasonably withheld), designate as additional Issuing Banks one or more Lenders that agree to serve in such capacity as provided below. The acceptance by a Lender of an appointment as an Issuing Bank hereunder shall be evidenced by an agreement, which shall be in form and substance reasonably satisfactory to the Administrative Agent, executed by the Borrowers, the Administrative Agent and such designated Lender and, from and after the effective date of such agreement, (i) such Lender shall have all the rights and obligations of an Issuing Bank, as applicable, under this Agreement and (ii) references herein to the term “Issuing Bank” shall be deemed to include such Lender in its capacity as an issuer of Letters of Credit hereunder. (k) Termination or Resignation of an Issuing Bank. The Borrowers may terminate the appointment of any Issuing Bank as an “Issuing Bank” hereunder by providing a written notice thereof to such Issuing Bank, with a copy to the Administrative Agent. Any such termination shall become effective upon the earlier of (i) such Issuing Bank acknowledging receipt of such notice and (ii) the tenth Business Day following the date of the delivery thereof; provided that no such termination shall become effective until and unless the LC Exposure attributable to Letters of Credit issued by such Issuing Bank (or its Affiliates) shall have been reduced to zero. At the time any such termination shall become effective, the Borrowers shall pay all unpaid fees accrued for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74 TechnipFMC | Internal the account of the terminated Issuing Bank pursuant to Section 2.12(b). Notwithstanding the effectiveness of any such termination, the terminated Issuing Bank shall remain a party hereto and shall continue to have all the rights of an Issuing Bank under this Agreement with respect to Letters of Credit issued by it prior to such termination, but shall not issue any additional Letters of Credit. Any Issuing Bank may resign at any time by giving 30 days prior notice to the Administrative Agent, the Lenders, and the Borrowers. After the resignation of an Issuing Bank hereunder, the retiring Issuing Bank shall remain a party hereto and shall continue to have all the rights and obligations of an Issuing Bank under this Agreement and the other Loan Documents with respect to Letters of Credit issued by it prior to such resignation, but shall not be required to issue additional Letters of Credit or to extend, renew or increase any existing Letter of Credit. (l) Issuing Bank Reports to the Administrative Agent. Unless otherwise agreed by the Administrative Agent, each Issuing Bank shall, in addition to its notification obligations set forth elsewhere in this Section, report in writing to the Administrative Agent (i) periodic activity (for such period or recurrent periods as shall be requested by the Administrative Agent) in respect of Letters of Credit issued by such Issuing Bank, including all issuances, extensions, amendments and renewals, all expirations and cancelations and all disbursements and reimbursements, (ii) reasonably prior to the time that such Issuing Bank issues, amends, renews or extends any Letter of Credit, the date of such issuance, amendment, renewal or extension, and the stated amount of the Letters of Credit issued, amended, renewed or extended by it and outstanding after giving effect to such issuance, amendment, renewal or extension (and whether the amounts thereof shall have changed), (iii) on each Business Day on which such Issuing Bank makes any LC Disbursement, the date and amount of such LC Disbursement, (iv) on any Business Day on which a Borrower fails to reimburse an LC Disbursement required to be reimbursed to such Issuing Bank on such day, the date of such failure and the currency and amount of such LC Disbursement and (v) on any other Business Day, such other information as the Administrative Agent shall reasonably request as to the Letters of Credit issued by such Issuing Bank. (m) LC Exposure Determination. For all purposes of this Agreement, the amount of a Letter of Credit that, by its terms or the terms of any document related thereto, provides for one or more automatic increases in the stated amount thereof shall be deemed to be the maximum stated amount of such Letter of Credit after giving effect to all such increases, whether or not such maximum stated amount is in effect at the time of determination. (n) Applicability of ISP and UCP; Governing Law. Unless otherwise expressly agreed by the applicable Issuing Bank and the applicable Borrower when a Letter of Credit is issued, (i) the rules of the ISP or UCP shall apply to each standby Letter of Credit, (ii) the rules of the UCP shall apply to each commercial Letter of Credit and (iii) each Letter of Credit shall be governed by, and construed in accordance with, the law of the State of New York. SECTION 2.06. Funding of Borrowings. (a) Each Lender shall make each Loan to be made by it hereunder on the proposed date thereof by wire transfer of immediately available funds by 12:00 noon, New York City time, to the account of the Administrative Agent most recently designated by it for such purpose by notice to the Lenders. The Administrative Agent will make such Loans available to the applicable Borrower by promptly crediting the amounts so received, in like funds, to an account of such</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75 TechnipFMC | Internal Borrower and designated by such Borrower in the applicable Borrowing Request; provided that ABR Loans made to finance the reimbursement of an LC Disbursement denominated in dollars as provided in Section 2.05(e) shall be remitted by the Administrative Agent to the applicable Issuing Bank or, to the extent that Lenders have made payments pursuant to Section 2.05(e) to reimburse such Issuing Bank, then to such Lenders and such Issuing Bank as their interests may appear. (b) Unless the Administrative Agent shall have received notice from a Lender prior to the proposed date of any Borrowing that such Lender will not make available to the Administrative Agent such Lender’s share of such Borrowing, the Administrative Agent may assume that such Lender has made such share available on such date in accordance with paragraph (a) of this Section and may, in reliance upon such assumption and in its sole discretion, make available to the applicable Borrower a corresponding amount. In such event, if a Lender has not in fact made its share of the applicable Borrowing available to the Administrative Agent, then the applicable Lender and such Borrower severally agrees to pay to the Administrative Agent forthwith on demand such corresponding amount with interest thereon, for each day from and including the date such amount is made available to the such Borrower to but excluding the date of payment to the Administrative Agent, at (i) in the case of such Lender, the greater of the applicable Overnight Rate and a rate determined by the Administrative Agent in accordance with banking industry rules on interbank compensation or (ii) in the case of the Borrowers, the interest rate applicable to (A) in the case of Loans denominated in dollars, ABR Loans and (B) in the case of Loans denominated in an Alternative Currency, the interest rate applicable to the subject Loan pursuant to Section 2.13. If the applicable Borrower and such Lender shall pay such interest to the Administrative Agent for the same or an overlapping period, the Administrative Agent shall promptly remit to such Borrower the amount of such interest paid by such Borrower for such period. If such Lender pays such amount to the Administrative Agent, then such amount shall constitute such Lender’s Loan included in such Borrowing. SECTION 2.07. Interest Elections. (a) Each Borrowing initially shall be of the Type specified in the applicable Borrowing Request or designated by Section 2.03 and, in the case of a Term Benchmark Borrowing, shall have an initial Interest Period as specified in such Borrowing Request or designated by Section 2.03. Thereafter, the applicable Borrower may elect to convert such Borrowing to a Borrowing of a different Type (provided that Term Benchmark Borrowings denominated in an Alternative Currency may not be converted into ABR Borrowings) or to continue such Borrowing and, in the case of a Term Benchmark Borrowing, may elect Interest Periods therefor, all as provided in this Section. The Company may elect different options with respect to different portions of the affected Borrowing, in which case each such portion shall be allocated ratably among the Lenders holding the Loans comprising such Borrowing, and the Loans comprising each such portion shall be considered a separate Borrowing. (b) To make an election pursuant to this Section, the applicable Borrower shall notify the Administrative Agent of such election by the time that a Borrowing Request would be required under Section 2.03 if the Company was requesting a Borrowing of the Type resulting from such election to be made on the effective date of such election. Each such Interest Election Request shall be irrevocable and shall be signed by a Responsible Officer of such Borrower.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76 TechnipFMC | Internal (c) Each Interest Election Request shall specify the following information in compliance with Section 2.02: (i) the Borrowing to which such Interest Election Request applies and, if different options are being elected with respect to different portions thereof, the portions thereof to be allocated to each resulting Borrowing (in which case the information to be specified pursuant to clauses (iii) and (iv) below shall be specified for each resulting Borrowing); (ii) the effective date of the election made pursuant to such Interest Election Request, which shall be a Business Day; (iii) whether the resulting Borrowing is to be an ABR Borrowing, a Term Benchmark Borrowing or an RFR Borrowing; and (iv) if the resulting Borrowing is to be a Term Benchmark Borrowing, the Interest Period to be applicable thereto after giving effect to such election, which shall be a period contemplated by the definition of the term “Interest Period.” If any such Interest Election Request requests a Term Benchmark Borrowing but does not specify an Interest Period, then such Borrower shall be deemed to have selected an Interest Period of one month’s duration. (d) Promptly following receipt of an Interest Election Request, the Administrative Agent shall advise each Lender of the details thereof and of such Lender’s portion of each resulting Borrowing. (e) If a Borrower fails to deliver a timely Interest Election Request with respect to a Term Benchmark Borrowing in dollars prior to the end of the Interest Period applicable thereto, then, unless such Borrowing is repaid as provided herein, at the end of such Interest Period such Borrowing shall be deemed to have an Interest Period that is one month. If a Borrower fails to deliver a timely and complete Interest Election Request with respect to a Term Benchmark Borrowing in an Alternative Currency prior to the end of the Interest Period therefor, then, unless such Term Benchmark Borrowing is repaid as provided herein, the Borrower shall be deemed to have selected that such Term Benchmark Borrowing shall automatically be continued as a Term Benchmark Borrowing in its original Agreed Currency with an Interest Period of one month at the end of such Interest Period. Notwithstanding any contrary provision hereof, if an Event of Default under clause (h) or (i) of Section 7.01 has occurred and is continuing with respect to a Borrower, or if any other Event of Default has occurred and is continuing and the Administrative Agent, at the request of the Required Lenders, has notified the Borrowers of the election to give effect to this sentence on account of such other Event of Default, then, so long as an Event of Default is continuing (i) no outstanding Borrowing may be converted to or continued as a Term Benchmark Borrowing and (ii) unless repaid, (x) each Term Benchmark Borrowing and each RFR Borrowing, in each case denominated in dollars shall be converted to an ABR Borrowing at the end of the Interest Period applicable thereto and (y) each Term Benchmark Borrowing and each RFR Borrowing, in each case denominated in an Alternative Currency shall bear interest at the Central Bank Rate for the applicable Agreed Currency plus the CBR Spread; provided that, if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77 TechnipFMC | Internal Administrative Agent determines (which determination shall be conclusive and binding absent manifest error) that the Central Bank Rate for the applicable Agreed Currency cannot be determined, any outstanding affected Term Benchmark Loans denominated in any Agreed Currency other than dollars shall either be (A) converted to an ABR Borrowing denominated in dollars (in an amount equal to the Dollar Equivalent of such Alternative Currency) at the end of the Interest Period, as applicable, therefor or (B) prepaid at the end of the applicable Interest Period in full; provided that if no election is made by the Borrower by the earlier of (x) the date that is three Business Days after receipt by the Borrower of such notice and (y) the last day of the current Interest Period for the applicable Term Benchmark Loan, the Borrower shall be deemed to have elected clause (A) above. SECTION 2.08. Termination and Reduction of Commitments. (a) Unless previously terminated, the Commitments shall automatically terminate on the Maturity Date. (b) The Company may at any time terminate, or from time to time permanently reduce, the Commitments; provided that (i) each partial reduction of the Commitments shall be in an amount that is an integral multiple of $1,000,000 and not less than $10,000,000 and (ii) the Company shall not terminate or reduce the Commitments if, after giving effect to any concurrent prepayment of the Loans in accordance with Section 2.11, the Total Revolving Exposure would exceed the Total Commitments. (c) The Company shall notify the Administrative Agent of any election to terminate or reduce the Commitments under paragraph (b) of this Section at least three (3) Business Days prior to the effective date of such termination or reduction, specifying such election and the effective date thereof. Promptly following receipt of any such notice, the Administrative Agent shall advise the Lenders of the contents thereof. Each notice delivered by the Company pursuant to this Section shall be irrevocable; provided that a notice of termination or reduction of the Commitments delivered under this paragraph may state that such notice is conditioned upon the occurrence of one or more events specified therein, in which case such notice may be revoked by the Company (by notice to the Administrative Agent on or prior to the specified effective date) if such condition is not satisfied. Any termination or reduction of the Commitments shall be permanent. Each reduction of the Commitments shall be made ratably among the Lenders in accordance with their respective Commitments. SECTION 2.09. Repayment of Loans; Evidence of Debt. (a) Each Borrower hereby unconditionally promise to pay to the Administrative Agent for the account of each Lender the then unpaid principal amount of each Loan of such Lender on the Maturity Date. (b) The records maintained by the Administrative Agent and the Lenders shall be prima facie evidence of the existence and amounts of the obligations of each Borrower in respect of Loans, LC Disbursements, interest and fees due or accrued hereunder; provided that the failure of the Administrative Agent or any Lender to maintain such records or any error therein shall not in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78 TechnipFMC | Internal any manner affect the obligation of the Borrowers to pay any amounts due hereunder in accordance with the terms of this Agreement. (c) Any Lender may request that Loans made by it be evidenced by a Note. In such event, the applicable Borrower shall prepare, execute and deliver to such Lender a promissory note payable to such Lender in substantially the form of Exhibit J attached hereto (each, a “Note”). Thereafter, the Loans evidenced by such Note and interest thereon shall at all times (including after assignment pursuant to Section 9.04) be represented by a Note in such form payable to such payee and its registered assigns. SECTION 2.10. [Reserved]. SECTION 2.11. Prepayment of Loans. (a) Each Borrower shall have the right at any time and from time to time to prepay any Borrowing, in whole or in part, without premium or penalty, subject to Section 2.16. (b) In the event and on each occasion that (i) the Total Revolving Exposure exceeds the Total Commitments (other than as a result of any revaluation of the Dollar Equivalent of Loans or the LC Exposure on any Revaluation Date in accordance with Section 1.06) or (ii) the Total Revolving Exposure exceeds 105% of the Total Commitments solely as a result of any revaluation of the Dollar Equivalent of Loans or the LC Exposure on any Revaluation Date in accordance with Section 1.06, the Borrowers shall prepay Borrowings (or, if no such Borrowings are outstanding, deposit cash collateral in an account with the Administrative Agent in accordance with Section 2.05(i)) in an aggregate amount equal to such excess. (c) If, at any time prior to the Investment Grade Date while Loans are outstanding, the Consolidated Cash Balance exceeds $350,000,000 as of the last calendar day of any month, then the Borrowers shall, within three (3) Business Days, prepay Borrowings in an aggregate amount equal to such excess, and if any excess remains after prepaying all outstanding Borrowings, the Borrowers shall deposit cash collateral in an account with the Administrative Agent in accordance with Section 2.05(i) on a pro rata basis with the Performance LC Facility (based on the LC Exposure hereunder and the aggregate outstanding face amount of Performance Credit Instruments at such time) in an aggregate amount equal to such excess. (d) Prior to any optional or mandatory prepayment of Borrowings under this Section, the Borrowers shall, subject to the next sentence, select the Borrowing or Borrowings to be prepaid and shall specify such selection in the notice of such prepayment delivered pursuant to paragraph (e) of this Section. (e) The Company and/or the applicable Borrower shall notify the Administrative Agent by telephone (confirmed by hand delivery, facsimile or other electronic imaging) of any prepayment hereunder (i)(A) in the case of prepayment of (1) a Term Benchmark Borrowing denominated in dollars, not later than 11:00 a.m., New York City time, three Business Days before the date of prepayment or (2) an RFR Borrowing denominated in dollars, not later than 11:00 a.m., New York City time, five U.S. Government Securities Business Days before the date of prepayment, (B) in the case of prepayment of a Term Benchmark Borrowing denominated in Euros, not later than 12:00 p.m., New York City time, three Business Days before the date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79 TechnipFMC | Internal prepayment and (C) in the case of prepayment of an RFR Borrowing denominated in Sterling, not later than 11:00 a.m., New York City time, five RFR Business Days before the date of prepayment or (ii) in the case of prepayment of an ABR Borrowing, not later than 11:00 a.m., New York City time, on the date of prepayment. Each such notice shall be irrevocable and shall specify the prepayment date, the principal amount of each Borrowing or portion thereof to be prepaid and, in the case of a mandatory prepayment, a reasonably detailed calculation of the amount of such prepayment; provided that if a notice of optional prepayment is given in connection with a conditional notice of termination of the Commitments as contemplated by Section 2.08, then such notice of prepayment may be revoked if such notice of termination is revoked in accordance with Section 2.08. Promptly following receipt of any such notice, the Administrative Agent shall advise the Lenders of the contents thereof. Each partial prepayment of any Borrowing shall be in an amount that would be permitted in the case of an advance of a Borrowing of the same Type as provided in Section 2.02, except as necessary to apply fully the required amount of a mandatory prepayment. Each prepayment of a Borrowing shall be applied ratably to the Loans included in the prepaid Borrowing. Prepayments shall be accompanied by accrued interest to the extent required by Section 2.13. SECTION 2.12. Fees. (a) The Borrowers agree to pay to the Administrative Agent for the account of each Lender for the period from and including the Effective Date to but excluding the date on which the Commitments terminate (or are otherwise reduced to zero), a commitment fee which shall accrue at the Applicable Rate on the average daily unused amount of the Commitment of such Lender. Such accrued commitment fees shall be payable in arrears on the fifteenth day following the last Business Day of March, June, September and December of each year and on the date on which all the Commitments terminate, commencing on the first such date to occur after the Effective Date. For purposes of computing commitment fees, a Commitment shall be deemed to be used to the extent of the outstanding Loans and LC Exposure of such Lender. (b) The Borrowers agree to pay (i) to the Administrative Agent for the account of each Lender a participation fee with respect to its participations in Letters of Credit, which shall accrue at the same Applicable Rate then used to determine the interest rate applicable to Term Benchmark Loans on the average daily amount of such Lender’s LC Exposure (excluding any portion thereof attributable to unreimbursed LC Disbursements) during the period from and including the Effective Date to but excluding the later of the date on which such Lender’s Commitment terminates and the date on which such Lender ceases to have any LC Exposure and (ii) to each Issuing Bank a fronting fee, which shall accrue at a rate per annum equal to 0.20% on the average daily amount of the LC Exposure attributable to Letters of Credit issued by such Issuing Bank (excluding any portion thereof attributable to unreimbursed LC Disbursements) during the period from and including the Effective Date to but excluding the later of the date of termination of all the Commitments and the date on which there ceases to be any such LC Exposure, as well as such Issuing Bank’s standard fees with respect to the issuance, amendment, renewal or extension of any Letter of Credit or processing of drawings thereunder. Participation fees and fronting fees accrued through and including the last day of March, June, September and December of each year shall be payable on the fifteenth day following such last day, commencing on the first such date to occur after the Effective Date; provided that all such fees shall be payable on the date on which all the Commitments terminate and any such fees accruing after the date on which all the Commitments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80 TechnipFMC | Internal terminate shall be payable on demand. Any other fees payable to an Issuing Bank pursuant to this paragraph shall be payable within the time periods separately agreed by the applicable Borrower and such Issuing Bank. (c) The Borrowers agree to pay to the Administrative Agent, for its own account, fees payable in the amounts and at the times separately agreed upon between the Borrowers and the Administrative Agent. (d) All fees payable hereunder shall be paid on the dates due, in immediately available funds, to the Administrative Agent (or to the applicable Issuing Bank, in the case of fees payable to it) for distribution, in the case of commitment fees and participation fees, to the Lenders entitled thereto. Fees paid hereunder shall not be refundable under any circumstances. No payment of fees will be made by a Guarantor organized under the Laws of France on an account opened with a financial institution situated in a Non-Cooperative Jurisdiction. (e) All commitment fees, participation fees and fronting fees payable pursuant to this Section 2.12 shall be computed on the basis of a year of 360 days and shall be payable for the actual number of days elapsed (including the first day but excluding the last day). SECTION 2.13. Interest. (a) The Loans comprising each ABR Borrowing shall bear interest at the Alternate Base Rate plus the Applicable Rate. (b) The Loans comprising each Term Benchmark Borrowing shall bear interest at the Adjusted Term SOFR Rate or the Adjusted EURIBOR Rate, as applicable, for the Interest Period in effect for such Borrowing plus the Applicable Rate. (c) Each RFR Loan shall bear interest at a rate per annum equal to the applicable Adjusted Daily Simple RFR plus the Applicable Rate. (d) Notwithstanding the foregoing, (i) upon the occurrence of an Event of Default described in Section 7.01(h) or 7.01(i) or (ii) if any principal of or interest on any Loan or any fee or other amount payable by a Borrower hereunder is not paid when due, whether at stated maturity, upon acceleration or otherwise, such overdue amount shall bear interest, after as well as before judgment, at a rate per annum equal to (A) in the case of overdue principal of any Loan, 2.00% per annum plus the rate otherwise applicable to such Loan as provided in the preceding paragraphs of this Section or (B) in the case of any other overdue amount, 2.00% per annum plus the rate applicable to ABR Loans as provided in paragraph (a) of this Section. Payment or acceptance of the increased rates of interest provided for in this paragraph (d) is not a permitted alternative to timely payment and shall not constitute a waiver of any Event of Default or otherwise prejudice or limit any rights or remedies of the Administrative Agent, any Issuing Bank or any Lender. (e) Accrued interest on each Loan shall be payable in arrears on each Interest Payment Date for such Loan and upon termination of the Commitments; provided that (i) interest accrued pursuant to paragraph (d) of this Section shall be payable on demand, (ii) in the event of any repayment or prepayment of any Loan (other than a prepayment of an ABR Loan prior to the end of the Availability Period), accrued interest on the principal amount repaid or prepaid shall be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81 TechnipFMC | Internal payable on the date of such repayment or prepayment and (iii) in the event of any conversion of a Term Benchmark Loan prior to the end of the current Interest Period therefor, accrued interest on such Loan shall be payable on the effective date of such conversion. (f) Interest computed by reference to the Term SOFR Rate or Daily Simple SOFR, the EURIBOR Rate and the Alternate Base Rate hereunder shall be computed on the basis of a year of 360 days. Interest computed by reference to SONIA or the Alternate Base Rate only at times when the Alternate Base Rate is based on the Prime Rate shall be computed on the basis of a year of 365 days (or 366 days in a leap year). In each case interest shall be payable for the actual number of days elapsed (including the first day but excluding the last day). The applicable Alternate Base Rate, Adjusted Term SOFR Rate, Term SOFR Rate, Adjusted EURIBOR Rate, EURIBOR Rate, Adjusted Daily Simple RFR or Daily Simple RFR shall be determined by the Administrative Agent, and such determination shall be conclusive absent manifest error. SECTION 2.14. Alternate Rate of Interest. (a) Subject to clauses (b), (d), (e), (f) and (g) of this Section 2.14, if: (i) the Administrative Agent determines (which determination shall be conclusive absent manifest error) (A) prior to the commencement of any Interest Period for a Term Benchmark Borrowing, that adequate and reasonable means do not exist for ascertaining the Adjusted Term SOFR Rate or the Adjusted EURIBOR Rate (including, without limitation, because the Relevant Screen Rate is not available or published on a current basis), for the applicable Agreed Currency and such Interest Period or (B) at any time, that adequate and reasonable means do not exist for ascertaining the applicable Adjusted Daily Simple RFR for the applicable Agreed Currency; or (ii) the Administrative Agent is advised by the Required Lenders that (A) prior to the commencement of any Interest Period for a Term Benchmark Borrowing, the Adjusted Term SOFR Rate or the Adjusted EURIBOR Rate for the applicable Agreed Currency and such Interest Period will not adequately and fairly reflect the cost to such Lenders (or Lender) of making or maintaining their Loans (or its Loan) included in such Borrowing for the applicable Agreed Currency and such Interest Period or (B) at any time, the applicable Adjusted Daily Simple RFR for the applicable Agreed Currency will not adequately and fairly reflect the cost to such Lenders (or Lender) of making or maintaining their Loans (or its Loan) included in such Borrowing for the applicable Agreed Currency; then the Administrative Agent shall give notice thereof to the Company and the Lenders by telephone, telecopy or electronic mail as promptly as practicable thereafter and, until (x) the Administrative Agent notifies the Company and the Lenders that the circumstances giving rise to such notice no longer exist with respect to the relevant Benchmark and (y) the Company delivers a new Interest Election Request in accordance with the terms of Section 2.07 or a new Borrowing Request in accordance with the terms of Section 2.03, (A) for Loans denominated in dollars, any Interest Election Request that requests the conversion of any Borrowing to, or continuation of any Borrowing as, a Term Benchmark Borrowing and any Borrowing Request that requests a Term Benchmark Borrowing shall instead be deemed to be an Interest Election Request or a Borrowing Request, as applicable, for (x) an RFR Borrowing denominated in dollars so long as the Adjusted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82 TechnipFMC | Internal Daily Simple RFR for dollar Borrowings is not also the subject of Section 2.14(a)(i) or (ii) above or (y) an ABR Borrowing if the Adjusted Daily Simple RFR for dollar Borrowings also is the subject of Section 2.14(a)(i) or (ii) above and (B) for Loans denominated in an Alternative Currency, any Interest Election Request that requests the conversion of any Borrowing to, or continuation of any Borrowing as, a Term Benchmark Borrowing and any Borrowing Request that requests a Term Benchmark Borrowing or an RFR Borrowing, in each case, for the relevant Benchmark, shall be ineffective; provided that if the circumstances giving rise to such notice affect only one Type of Borrowing, then all other Types of Borrowing shall be permitted. Furthermore, if any Term Benchmark Loan or RFR Loan in any Agreed Currency is outstanding on the date of the Company’s receipt of the notice from the Administrative Agent referred to in this Section 2.14(a) with respect to a Relevant Rate applicable to such Term Benchmark Loan or RFR Loan, then until (x) the Administrative Agent notifies the Company and the Lenders that the circumstances giving rise to such notice no longer exist with respect to the relevant Benchmark and (y) the Company delivers a new Interest Election Request in accordance with the terms of Section 2.07 or a new Borrowing Request in accordance with the terms of Section 2.03, (A) for Loans denominated in dollars, (1) any Term Benchmark Loan shall on the last day of the Interest Period applicable to such Loan be converted by the Administrative Agent to, and shall constitute, (x) an RFR Borrowing denominated in dollars so long as the Adjusted Daily Simple RFR for dollar Borrowings is not also the subject of Section 2.14(a)(i) or (ii) above or (y) an ABR Loan if the Adjusted Daily Simple RFR for dollar Borrowings also is the subject of Section 2.14(a)(i) or (ii) above, on such day, and (2) any RFR Loan shall on and from such day be converted by the Administrative Agent to, and shall constitute an ABR Loan and (B) for Loans denominated in an Alternative Currency, (1) any Term Benchmark Loan shall, on the last day of the Interest Period applicable to such Loan bear interest at the Central Bank Rate for the applicable Alternative Currency plus the CBR Spread; provided that, if the Administrative Agent determines (which determination shall be conclusive and binding absent manifest error) that the Central Bank Rate for the applicable Alternative Currency cannot be determined, any outstanding affected Term Benchmark Loans denominated in any Alternative Currency shall, at the Company’s election prior to such day: (A) be prepaid by the Company on such day or (B) solely for the purpose of calculating the interest rate applicable to such Term Benchmark Loan, such Term Benchmark Loan denominated in any Alternative Currency shall be deemed to be a Term Benchmark Loan denominated in dollars and shall accrue interest at the same interest rate applicable to Term Benchmark Loans denominated in dollars at such time and (2) any RFR Loan shall bear interest at the Central Bank Rate for the applicable Alternative Currency plus the CBR Spread; provided that, if the Administrative Agent determines (which determination shall be conclusive and binding absent manifest error) that the Central Bank Rate for the applicable Alternative Currency cannot be determined, any outstanding affected RFR Loans denominated in any Alternative Currency, at the Borrower’s election, shall either (A) be converted into ABR Loans denominated in dollars (in an amount equal to the Dollar Equivalent of such Alternative Currency) immediately or (B) be prepaid in full immediately. (b) Notwithstanding anything to the contrary herein or in any other Loan Document (and any Hedging Agreement shall be deemed not to be a “Loan Document” for purposes of this Section 2.14), if a Benchmark Transition Event and its related Benchmark Replacement Date have occurred prior to the Reference Time in respect of any setting of the then-current Benchmark, then (i) if a Benchmark Replacement is determined in accordance with clause (a) of the definition of “Benchmark Replacement” with respect to dollars for such Benchmark Replacement Date, such</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83 TechnipFMC | Internal Benchmark Replacement will replace such Benchmark for all purposes hereunder and under any Loan Document in respect of such Benchmark setting and subsequent Benchmark settings without any amendment to, or further action or consent of any other party to, this Agreement or any other Loan Document and (ii) if a Benchmark Replacement is determined in accordance with clause (b) of the definition of “Benchmark Replacement” with respect to any Agreed Currency for such Benchmark Replacement Date, such Benchmark Replacement will replace such Benchmark for all purposes hereunder and under any Loan Document in respect of any Benchmark setting at or after 5:00 p.m. (New York City time) on the fifth (5th) Business Day after the date notice of such Benchmark Replacement is provided to the Lenders without any amendment to, or further action or consent of any other party to, this Agreement or any other Loan Document so long as the Administrative Agent has not received, by such time, written notice of objection to such Benchmark Replacement from Lenders comprising the Required Lenders. (c) [Reserved]. (d) Notwithstanding anything to the contrary herein or in any other Loan Document, the Administrative Agent, in consultation with the Company, will have the right to make Benchmark Replacement Conforming Changes from time to time and, notwithstanding anything to the contrary herein or in any other Loan Document, any amendments implementing such Benchmark Replacement Conforming Changes will become effective without any further action or consent of any other party to this Agreement or any other Loan Document. (e) The Administrative Agent will promptly notify the Company and the Lenders of (i) any occurrence of a Benchmark Transition Event, (ii) the implementation of any Benchmark Replacement, (iii) the effectiveness of any Benchmark Replacement Conforming Changes, (iv) the removal or reinstatement of any tenor of a Benchmark pursuant to clause (f) below and (v) the commencement or conclusion of any Benchmark Unavailability Period. Any determination, decision or election that may be made by the Administrative Agent or, if applicable, any Lender (or group of Lenders) pursuant to this Section 2.14, including any determination with respect to a tenor, rate or adjustment or of the occurrence or non-occurrence of an event, circumstance or date and any decision to take or refrain from taking any action or any selection, will be conclusive and binding absent manifest error and may be made in its or their sole discretion and without consent from any other party to this Agreement or any other Loan Document, except, in each case, as expressly required pursuant to this Section 2.14. (f) Notwithstanding anything to the contrary herein or in any other Loan Document, at any time (including in connection with the implementation of a Benchmark Replacement), (i) if the then-current Benchmark is a term rate (including the Term SOFR Rate or EURIBOR Rate) and either (A) any tenor for such Benchmark is not displayed on a screen or other information service that publishes such rate from time to time as selected by the Administrative Agent in its reasonable discretion or (B) the regulatory supervisor for the administrator of such Benchmark has provided a public statement or publication of information announcing that any tenor for such Benchmark is or will be no longer representative, then the Administrative Agent may modify the definition of “Interest Period” for any Benchmark settings at or after such time to remove such unavailable or non-representative tenor and (ii) if a tenor that was removed pursuant to clause (i) above either (A) is subsequently displayed on a screen or information service for a Benchmark (including a Benchmark Replacement) or (B) is not, or is no longer, subject to an announcement that it is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84 TechnipFMC | Internal will no longer be representative for a Benchmark (including a Benchmark Replacement), then the Administrative Agent may modify the definition of “Interest Period” for all Benchmark settings at or after such time to reinstate such previously removed tenor. (g) Upon the Company’s receipt of notice of the commencement of a Benchmark Unavailability Period, the applicable Borrower may revoke any request for a Term Benchmark Borrowing or RFR Borrowing of, conversion to or continuation of any Term Benchmark Loans or RFR Loans, as applicable, to be made, converted or continued during any Benchmark Unavailability Period and, failing that, either (i) such Borrower will be deemed to have converted any request for a Term Benchmark Borrowing denominated in dollars into a request for a Borrowing of or conversion (A) an RFR Borrowing denominated in dollars so long as the Adjusted Daily Simple RFR for dollar Borrowings is not the subject of a Benchmark Transition Event or (B) an ABR Borrowing if the Adjusted Daily Simple RFR for dollar Borrowings is the subject of a Benchmark Transition Event or (ii) any Term Benchmark Borrowing or RFR Borrowing denominated in an Alternative Currency shall be ineffective. During any Benchmark Unavailability Period or at any time that a tenor for the then-current Benchmark is not an Available Tenor, the component of ABR based upon the then-current Benchmark or such tenor for such Benchmark, as applicable, will not be used in any determination of ABR. Furthermore, if any Term Benchmark Loan or RFR Loan in any Agreed Currency is outstanding on the date of the Company’s receipt of notice of the commencement of a Benchmark Unavailability Period with respect to a Relevant Rate applicable to such Term Benchmark Loan or RFR Loan, then until such time as a Benchmark Replacement for such Agreed Currency is implemented pursuant to this Section 2.14, (i) for Loans denominated in dollars (A) any Term Benchmark Loan shall on the last day of the Interest Period applicable to such Loan be converted by the Administrative Agent to, and shall constitute, (1) an RFR Borrowing denominated in dollars so long as the Adjusted Daily Simple RFR for dollar Borrowings is not the subject of a Benchmark Transition Event or (2) an ABR Loan if the Adjusted Daily Simple RFR for dollar Borrowings is the subject of a Benchmark Transition Event, on such day and (B) any RFR Loan shall on and from such day be converted by the Administrative Agent to and shall constitute an ABR Loan and (ii) for loans denominated in an Alternative Currency, (A) any Term Benchmark Loan shall, on the last day of the Interest Period applicable to such Loan bear interest at the Central Bank Rate for the applicable Alternative Currency plus the CBR Spread; provided that, if the Administrative Agent determines (which determination shall be conclusive and binding absent manifest error) that the Central Bank Rate for the applicable Alternative Currency cannot be determined, any outstanding affected Term Benchmark Loans denominated in any Alternative Currency shall, at the Borrower’s election prior to such day: (1) be prepaid by the Borrower on such day or (2) solely for the purpose of calculating the interest rate applicable to such Term Benchmark Loan, such Term Benchmark Loan denominated in any Alternative Currency shall be deemed to be a Term Benchmark Loan denominated in dollars and shall accrue interest at the same interest rate applicable to Term Benchmark Loans denominated in dollars at such time and (B) any RFR Loan shall bear interest at the Central Bank Rate for the applicable Alternative Currency plus the CBR Spread; provided that, if the Administrative Agent determines (which determination shall be conclusive and binding absent manifest error) that the Central Bank Rate for the applicable Alternative Currency cannot be determined, any outstanding affected RFR Loans denominated in any Alternative Currency, at the Borrower’s election, shall either (1) be converted into ABR Loans denominated in dollars (in an amount equal to the Dollar Equivalent of such Alternative Currency) immediately or (2) be prepaid in full immediately.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85 TechnipFMC | Internal SECTION 2.15. Increased Costs. (a) If any Change in Law shall: (i) impose, modify or deem applicable any reserve, special deposit, compulsory loan, insurance charge or similar requirement against assets of, deposits with or for the account of, or credit extended or participated in by, any Lender (except any such reserve requirement reflected in the Adjusted EURIBOR Rate) or any Issuing Bank; (ii) impose on any Lender or any Issuing Bank or the offshore interbank market for the applicable Agreed Currency any other condition, cost or expense (other than Taxes) affecting this Agreement or Loans made by such Lender or any Letter of Credit or participation therein; or (iii) subject any Recipient to any Taxes (other than (A) Indemnified Taxes, (B) Taxes described in clauses (b) through (e) of the definition of Excluded Taxes and (C) Connection Income Taxes) in respect of its loans, letters of credit, commitments or other obligations, or its deposits, reserves, other liabilities or capital attributable thereto; and the result of any of the foregoing shall be to increase the cost to such Lender or such other Recipient of making, converting to, continuing or maintaining any Loan (or of maintaining its obligation to make any such Loan) or to increase the cost to such Lender, such Issuing Bank or such other Recipient of participating in, issuing or maintaining any Letter of Credit (or of maintaining its obligation to participate in or to issue any Letter of Credit) or to reduce the amount of any sum received or receivable by such Lender, such Issuing Bank or such other Recipient hereunder (whether of principal, interest or otherwise), then, from time to time upon request of such Lender, such Issuing Bank or such other Recipient, the Borrowers will pay to such Lender, such Issuing Bank or such other Recipient, as applicable, such additional amount or amounts as will compensate such Lender, such Issuing Bank or such other Recipient, as applicable, for such additional costs or expenses incurred or reduction suffered. (b) If any Lender or any Issuing Bank determines that any Change in Law regarding capital or liquidity requirements has had or would have the effect of reducing the rate of return on such Lender’s or such Issuing Bank’s capital or on the capital of such Lender’s or such Issuing Bank’s holding company, if any, as a consequence of this Agreement, the Commitments of such Lender or the Loans made by, or participations in Letters of Credit held by, such Lender, or the Letters of Credit issued by such Issuing Bank, to a level below that which such Lender or such Issuing Bank or such Lender’s or such Issuing Bank’s holding company could have achieved but for such Change in Law (taking into consideration such Lender’s or such Issuing Bank’s policies and the policies of such Lender’s or such Issuing Bank’s holding company with respect to capital adequacy), then, from time to time upon the request of such Lender or such Issuing Bank, the Borrowers will pay to such Lender or such Issuing Bank, as applicable, such additional amount or amounts as will compensate such Lender or such Issuing Bank or such Lender’s or such Issuing Bank’s holding company for any such reduction suffered. (c) A certificate of a Lender or an Issuing Bank setting forth in reasonable detail the amount or amounts necessary to compensate such Lender or such Issuing Bank or its holding</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86 TechnipFMC | Internal company, as applicable, as specified in paragraph (a) or (b) of this Section and the calculation thereof shall be delivered to the Company and shall be conclusive absent manifest error. The Borrowers shall pay such Lender or such Issuing Bank, as applicable, the amount shown as due on any such certificate within 30 days after receipt thereof. (d) Failure or delay on the part of any Lender or any Issuing Bank to demand compensation pursuant to this Section shall not constitute a waiver of such Lender’s or such Issuing Bank’s right to demand such compensation; provided that the Borrowers shall not be required to compensate a Lender or an Issuing Bank pursuant to this Section for any increased costs or expenses incurred or reductions suffered more than 180 days prior to the date that such Lender or such Issuing Bank, as applicable, notifies the Company of the Change in Law giving rise to such increased costs or expenses or reductions and of such Lender’s or such Issuing Bank’s intention to claim compensation therefor; provided, further, that, if the Change in Law giving rise to such increased costs or expenses or reductions is retroactive, then the 180-day period referred to above shall be extended to include the period of retroactive effect thereof. (e) Notwithstanding any other provision of this Section, no Lender shall demand compensation for any increased cost or reduction pursuant to this Section unless such Lender has certified in writing to the Company that it is the general policy or practice of such Lender to demand such compensation in similar circumstances from similarly-situated borrowers. SECTION 2.16. Break Funding Payments. (a) With respect to Loans that are not RFR Loans, in the event of (i) the payment of any principal of any Term Benchmark Loan other than on the last day of an Interest Period applicable thereto (including as a result of an Event of Default), (ii) the conversion of any Term Benchmark Loan other than on the last day of the Interest Period applicable thereto, (iii) the failure to borrow, convert, continue or prepay any Term Benchmark Loan on the date specified in any notice delivered pursuant hereto (whether or not such notice may be revoked in accordance with the terms hereof), (iv) the assignment of any Term Benchmark Loan other than on the last day of the Interest Period applicable thereto as a result of a request by the Company pursuant to Section 2.19(b) or 9.02(c), or (v) the failure by the Borrowers to make any payment of any Loan or drawing under any Letter of Credit (or interest due thereof) denominated in an Alternative Currency on its scheduled due date or any payment thereof in a different currency, then, in any such event, the Borrowers shall compensate each Lender for the loss, cost and expense attributable to such event. A certificate of any Lender setting forth in reasonable detail any amount or amounts that such Lender is entitled to receive pursuant to this Section, and showing the calculation thereof, shall be delivered to the Company and shall be conclusive absent manifest error. The Borrowers shall pay such Lender the amount shown as due on any such certificate within 30 days after receipt thereof. (b) With respect to RFR Loans, in the event of (i) the payment of any principal of any RFR Loan other than on the Interest Payment Date applicable thereto (including as a result of an Event of Default), (ii) the failure to borrow or prepay any RFR Loan on the date specified in any notice delivered pursuant hereto (whether or not such notice may be revoked in accordance with the terms hereof), (iii) the assignment of any RFR Loan other than on the Interest Payment Date applicable thereto as a result of a request by the Company pursuant to Section 2.19(b) or 9.02(c), or (iv) the failure by the Borrowers to make any payment of any Loan or drawing under any Letter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87 TechnipFMC | Internal of Credit (or interest due thereof) denominated in an Alternative Currency on its scheduled due date or any payment thereof in a different currency, then, in any such event, the Borrowers shall compensate each Lender for the loss, cost and expense attributable to such event. A certificate of any Lender setting forth in reasonable detail any amount or amounts that such Lender is entitled to receive pursuant to this Section, and showing the calculation thereof, shall be delivered to the Company and shall be conclusive absent manifest error. The Borrowers shall pay such Lender the amount shown as due on any such certificate within 30 days after receipt thereof. SECTION 2.17. Taxes. (a) Payment Free of Taxes. All payments by or on account of any obligation of any Loan Party under this Agreement or any other Loan Document shall be made without deduction or withholding for any Taxes, except as required by applicable law. If any applicable law (as determined in the good faith discretion of an applicable Withholding Agent) requires the deduction or withholding of any Tax from any such payment by a Withholding Agent, then the applicable Withholding Agent shall be entitled to make such deduction or withholding and shall timely pay the full amount deducted or withheld to the relevant Governmental Authority in accordance with applicable law and, if such Tax is an Indemnified Tax, then the sum payable by the applicable Loan Party shall be increased as necessary so that after such deduction or withholding has been made (including such deductions and withholdings applicable to additional sums payable under this Section 2.17) the applicable Lender (or, in the case of a payment made to the Administrative Agent for its own account, the Administrative Agent) receives an amount equal to the sum it would have received had no such deduction or withholding been made. (b) Payment of Other Taxes by the Loan Parties. The Loan Parties shall timely pay to the relevant Governmental Authority in accordance with applicable law, or at the option of the Administrative Agent reimburse it for the payment of, any Other Taxes. (c) Evidence of Payment. As soon as practicable after any payment of Taxes by any Loan Party to a Governmental Authority pursuant to this Section 2.17, such Loan Party shall deliver to the Administrative Agent the original or a certified copy of a receipt issued by such Governmental Authority evidencing such payment, a copy of the return reporting such payment or other evidence of such payment reasonably satisfactory to the Administrative Agent. (d) Indemnification by the Loan Parties. The Loan Parties shall jointly and severally indemnify each Recipient, within 10 days after demand therefor, for the full amount of any Indemnified Taxes (including Indemnified Taxes imposed or asserted on or attributable to amounts payable under this Section 2.17) payable or paid by such Recipient or required to be withheld or deducted from a payment to such Recipient and any reasonable expenses arising therefrom or with respect thereto, whether or not such Indemnified Taxes were correctly or legally imposed or asserted by the relevant Governmental Authority. A certificate as to the amount of such payment or liability delivered to the Company by a Lender (with a copy to the Administrative Agent), or by the Administrative Agent on its own behalf or on behalf of a Lender, shall be conclusive absent manifest error.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88 TechnipFMC | Internal (e) Status of Lenders. (i) Any Lender that is entitled to an exemption from, or reduction of, withholding Tax with respect to payments made under this Agreement or any other Loan Document shall deliver to the Company and the Administrative Agent, at the time or times reasonably requested by the Company or the Administrative Agent, such properly completed and executed documentation reasonably requested by the Company or the Administrative Agent as will permit such payments to be made without withholding or at a reduced rate of withholding; provided, however, that a Lender that is not qualified for full exemption from U.S. withholding tax at the time it becomes a Lender shall not be entitled to any gross-up or indemnity for any U.S. withholding tax resulting from any change in law. In addition, any Lender, if reasonably requested by the Company or the Administrative Agent, shall deliver such other documentation prescribed by applicable law or reasonably requested by the Company or the Administrative Agent as will enable the Company or the Administrative Agent to determine whether or not such Lender is subject to backup withholding or information reporting requirements. Notwithstanding anything to the contrary in the preceding two sentences, the completion, execution and submission of such documentation (other than such documentation set forth in Section 2.17(e)(ii)(A), 2.17(e)(ii)(B) or 2.17(e)(ii)(D)) shall not be required if in the Lender’s reasonable judgment such completion, execution or submission would subject such Lender to any material unreimbursed cost or expense or would materially prejudice the legal or commercial position of such Lender. (ii) Without limiting the generality of the foregoing: (A) any Lender that is a U.S. Person shall deliver to the Company and the Administrative Agent on or prior to the date on which such Lender becomes a Lender under this Agreement (and from time to time thereafter upon the reasonable request of the Company or the Administrative Agent), executed copies of IRS Form W-9 certifying that such Lender is exempt from U.S. Federal backup withholding Tax; (B) each Foreign Lender, to the extent it is legally entitled to do so, shall deliver to the Company and the Administrative Agent on or prior to the date on which such Foreign Lender becomes a Lender under this Agreement (and from time to time thereafter upon the reasonable request of the Company or the Administrative Agent), two of whichever of the following is applicable: (1) in the case of a Foreign Lender claiming the benefits of an income tax treaty to which the United States is a party, executed copies of IRS Form W-8BEN or IRS Form W-8BEN-E (as applicable) establishing an exemption from U.S. federal withholding Tax pursuant to such tax treaty; (2) executed copies of IRS Form W-8ECI; (3) in the case of a Foreign Lender claiming the benefits of the exemption for portfolio interest under Section 881(c) of the Code, (x)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89 TechnipFMC | Internal certificate substantially in the form of Exhibit I-1 to the effect that such Foreign Lender is not a “bank” within the meaning of Section 881(c)(3)(A) of the Code, a “10-percent shareholder” of the Borrowers within the meaning of Section 871(h)(3)(B) of the Code or a “controlled foreign corporation” described in Section 881(c)(3)(C) of the Code (a “U.S. Tax Compliance Certificate”) and (y) executed copies of IRS Form W-8BEN or W-8BEN-E (as applicable); or (4) to the extent a Foreign Lender is not the beneficial owner (for example, where the Lender is a partnership, or is a participating Lender), executed copies of IRS Form W-8IMY, accompanied by IRS Form W-8ECI, IRS Form W-8BEN or W-8BEN-E (as applicable), a U.S. Tax Compliance Certificate substantially in the form of Exhibit I-2 or Exhibit I- 3, IRS Form W-9 and/or another certification document from each beneficial owner, as applicable; provided that if the Foreign Lender is a partnership (and not a participating Lender) and one or more direct or indirect partners of such Foreign Lender are claiming the portfolio interest exemption, such Foreign Lender may provide a U.S. Tax Compliance Certificate substantially in the form of Exhibit I-4 on behalf of each such direct or indirect partner; (C) any Foreign Lender shall, to the extent it is legally eligible to do so, deliver to the Company and the Administrative Agent (in such number of copies as shall be requested by the recipient) on or prior to the date on which such Foreign Lender becomes a Lender under this Agreement (and from time to time thereafter upon the reasonable request of the Company or the Administrative Agent), executed originals of any other form prescribed by applicable law as a basis for claiming exemption from, or a reduction in, U.S. Federal withholding Tax, duly completed, together with such supplementary documentation as may be prescribed by applicable law to permit the Company or the Administrative Agent to determine the withholding or deduction required to be made; and (D) if a payment made to a Lender under this Agreement or any other Loan Document would be subject to U.S. Federal withholding Tax imposed by FATCA if such Lender were to fail to comply with the applicable reporting requirements of FATCA (including those contained in Section 1471(b) or 1472(b) of the Code, as applicable), such Lender shall deliver to the Company and the Administrative Agent at the time or times prescribed by law and at such time or times reasonably requested by the Company or the Administrative Agent such documentation prescribed by applicable law (including as prescribed by Section 1471(b)(3)(C)(i) of the Code) and such additional documentation reasonably requested by the Company or the Administrative Agent as may be necessary for the Company and the Administrative Agent to comply with their obligations under FATCA, to determine whether such Lender has complied with such Lender’s obligations under FATCA and to determine the amount, if any, to deduct and withhold from such payment. Solely for purposes of this clause (D), “FATCA” shall include any amendments made to FATCA after the Effective Date.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90 TechnipFMC | Internal Each Lender agrees that if any documentation it previously delivered expires or becomes obsolete or inaccurate in any respect, it shall update such documentation or promptly notify the Company and the Administrative Agent in writing of its legal ineligibility to do so. Notwithstanding any other provision of this Section 2.17, a Lender shall not be required to provide any documentation pursuant to this Section 2.17(e) that such Lender is not legally eligible to provide. Each Lender hereby authorizes the Administrative Agent to deliver to the Loan Parties and to any successor Administrative Agent any documentation provided by such Lender to the Administrative Agent pursuant to this Section 2.17(e). (f) Additional United Kingdom Withholding Tax Matters. (i) Subject to paragraph (ii) below, each UK Treaty Lender and each UK Borrower which makes a payment to such UK Treaty Lender shall cooperate in completing any procedural formalities necessary for such UK Borrower to obtain authorization to make such payment without UK Withholding Tax. (ii) (A) A Lender which becomes or became (as applicable) a Lender hereunder on or before the Fifth Amendment Effective Date that (x) holds a passport under the HM Revenue &amp; Customs DT Treaty Passport scheme and (y) wishes such scheme to apply to this Agreement, shall provide its scheme reference number and its jurisdiction of tax residence to each UK Borrower and the Administrative Agent in Schedule 2.01 hereto; and (B) a Lender which becomes a Lender hereunder after the Fifth Amendment Effective Date that (1) holds a passport under the HM Revenue &amp; Customs DT Treaty Passport scheme and (2) wishes such scheme to apply to this Agreement, shall provide its scheme reference number and its jurisdiction of tax residence to each UK Borrower and the Administrative Agent in the documentation which it executes on becoming a party as a Lender, and (C) Upon satisfying either clause (A) or (B) above, such Lender shall have satisfied its obligation under paragraphs (e)(i) and (f)(i) above. (iii) If a Lender has confirmed its scheme reference number and its jurisdiction of tax residence in accordance with paragraph (f)(ii) above, each UK Borrower shall make a Borrower DTTP Filing with respect to such Lender; provided that, if: (A) each UK Borrower making a payment to such Lender has not made a Borrower DTTP Filing in respect of such Lender; or (B) each UK Borrower making a payment to such Lender has made a Borrower DTTP Filing in respect of such Lender but: (1) such Borrower DTTP Filing has been rejected by HM Revenue &amp; Customs;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91 TechnipFMC | Internal (2) HM Revenue &amp; Customs has not given such UK Borrower authority to make payments to such Lender without UK Withholding Tax within 60 days of the date of such Borrower DTTP Filing; or (3) HM Revenue &amp; Customs has given the Borrower authority to make payments to that Lender without UK Withholding Tax but such authority has subsequently been revoked or expired, and in each case, such UK Borrower has notified that Lender in writing of either (A), (B)(1), (B)(2) or (B)(3) above, then such Lender and such UK Borrower shall co-operate in completing any additional procedural formalities necessary for such UK Borrower to obtain authorization to make that payment without UK Withholding Tax. (iv) If a Lender has not confirmed its scheme reference number and jurisdiction of tax residence in accordance with paragraph (f)(ii) above, no UK Borrower shall make a Borrower DTTP Filing or file any other form relating to the HMRC DT Treaty Passport scheme in respect of that Lender’s Commitment(s) or its participation in any Loan unless the Lender otherwise agrees. (v) Each UK Borrower shall, promptly on making a Borrower DTTP Filing, deliver a copy of such Borrower DTTP Filing to the Administrative Agent for delivery to the relevant Lender. (vi) A UK Non-Bank Lender which is a party to this Agreement on the Fifth Amendment Effective Date shall give a UK Tax Confirmation when entering into this Agreement. A UK Non-Bank Lender shall promptly notify any UK Borrower and the Administrative Agent if there is any change in the position from that set out in the UK Tax Confirmation. (vii) Each UK Treaty Lender shall notify the Borrowers and Administrative Agent if it determines in its sole discretion that it is ceases to be entitled to claim the benefits of UK Treaty with respect to payments made by any UK Borrower hereunder. (viii) Each Lender shall indicate, in Schedule 2.01 or, as the case may be, the documentation which it executes on becoming a Lender, which of the following categories it falls in in respect of a UK Borrower: (A) Not a Qualifying Lender; (B) A Qualifying Lender (other than a UK Treaty Lender); or (C) A UK Treaty Lender (on the assumption that all procedural formalities have been completed). If a Lender fails to indicate its status in accordance with this paragraph (viii), then such Lender shall be treated for the purposes of this Agreement (including by each UK Borrower) as if it is not a Qualifying Lender until such time as it notifies the Administrative Agent which category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92 TechnipFMC | Internal applies (and the Administrative Agent, upon receipt of such notification, shall inform each UK Borrower). Such Lender shall also specify, in the documentation which it executes upon becoming a Lender or otherwise in writing delivered to the Administrative Agent, whether it is incorporated or acting through a lending office situated in a Non-Cooperative Jurisdiction. For the avoidance of doubt, the documentation which a Lender executes on becoming a party as a Lender shall not be invalidated by any failure of a Lender to comply with this paragraph (viii). (ix) Notwithstanding anything to the contrary herein, if a Lender assigns or transfers any of its rights or obligations with respect to a Loan or changes its lending office in respect of such Loan, and as a result of circumstances existing at the date the assignment, transfer or change occurs, a Loan Party would be obliged to make a payment to the successor or assign or Lender acting through its new lending office under Section 2.15 in respect of a UK Withholding Tax, then such successor or assign or Lender acting through its new lending office is only entitled to receive payment under that Section to the same extent as the assigning or transferring Lender, or Lender acting through its previous lending office would have been if the assignment, transfer or change had not occurred. This paragraph (ix) shall not apply in respect of an assignment or transfer made in the ordinary course of the primary syndication of the credit facilities provided for herein. (g) Treatment of Certain Refunds. If any party determines, in its sole discretion exercised in good faith, that it has received a refund of any Taxes as to which it has been indemnified pursuant to this Section 2.17 (including by the payment of additional amounts paid pursuant to this Section 2.17), it shall pay to the indemnifying party an amount equal to such refund (but only to the extent of indemnity payments made under this Section 2.17 with respect to the Taxes giving rise to such refund), net of all out-of-pocket expenses (including Taxes) of such indemnified party and without interest (other than any interest paid by the relevant Governmental Authority with respect to such refund). Such indemnifying party, upon the request of such indemnified party, shall repay to such indemnified party the amount paid over pursuant to this paragraph (plus any penalties, interest or other charges imposed by the relevant Governmental Authority) in the event that such indemnified party is required to repay such refund to such Governmental Authority. Notwithstanding anything to the contrary in this paragraph, in no event will any indemnified party be required to pay any amount to any indemnifying party pursuant to this paragraph the payment of which would place such indemnified party in a less favorable net after-Tax position than such indemnified party would have been in if the Tax subject to indemnification and giving rise to such refund had not been deducted or withheld or otherwise imposed and the indemnification payments or additional amounts in respect of such Tax had never been paid. This paragraph shall not be construed to require any indemnified party to make available its Tax returns (or any other information relating to its Taxes that it deems confidential) to the indemnifying party or any other Person. (h) Each party’s obligations under this Section 2.17 shall survive the resignation or replacement of the Administrative Agent or any assignment of rights by, or the replacement of, a Lender, the termination of the Commitments and the repayment, satisfaction or discharge of all Loan Document Obligations. (i) VAT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93 TechnipFMC | Internal (i) All amounts expressed to be payable under a Loan Document by any party to a Credit Party which (in whole or in part) constitute the consideration for any supply for VAT purposes are deemed to be exclusive of any VAT which is chargeable on that supply, and accordingly, subject to paragraph (ii) below, if VAT is or becomes chargeable on any supply made by any Credit Party to any party under a Loan Document and such Credit Party is required to account to the relevant tax authority for the VAT, that party must pay to such Credit Party (in addition to and at the same time as paying any other consideration for such supply) an amount equal to the amount of the VAT (and such Credit Party must promptly provide an appropriate VAT invoice to that party). (ii) If VAT is or becomes chargeable on any supply made by any Credit Party (the “Supplier”) to any other Credit Party (the “Recipient”) under a Loan Document, and any party other than the Recipient (the “Relevant Party”) is required by the terms of any Loan Document to pay an amount equal to the consideration for that supply to the Supplier (rather than being required to reimburse or indemnify the Recipient in respect of that consideration): (A) (where the Supplier is the person required to account to the relevant tax authority for the VAT) the Relevant Party must also pay to the Supplier (at the same time as paying that amount) an additional amount equal to the amount of the VAT. The Recipient must (where this paragraph (A) applies) promptly pay to the Relevant Party an amount equal to any credit or repayment the Recipient receives from the relevant tax authority which the Recipient reasonably determines relates to the VAT chargeable on that supply; and (B) (where the Recipient is the person required to account to the relevant tax authority for the VAT) the Relevant Party must promptly, following demand from the Recipient, pay to the Recipient an amount equal to the VAT chargeable on that supply but only to the extent that the Recipient reasonably determines that it is not entitled to credit or repayment from the relevant tax authority in respect of that VAT. (iii) Where a Loan Document requires any party to reimburse or indemnify a Credit Party for any cost or expense, that party shall reimburse or indemnify (as the case may be) such Credit Party for the full amount of such cost or expense, including such part thereof as represents VAT, save to the extent that such Credit Party reasonably determines that it is entitled to credit or repayment in respect of such VAT from the relevant tax authority. (iv) Any reference in this clause Section 2.17(i) to any party shall, at any time when such party is treated as a member of a group for VAT purposes, include (where appropriate and unless the context otherwise requires) a reference to the representative member of such group at such time (the term “representative member” to have the same meaning as in the Value Added Tax Act 1994). (v) In relation to any supply made by a Credit Party to any party under a Loan Document, if reasonably requested by such Credit Party, that party must promptly provide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94 TechnipFMC | Internal such Credit Party with details of that party’s VAT registration and such other information as is reasonably requested in connection with such Credit Party’s VAT reporting requirements in relation to such supply. (j) For purposes of this Section 2.17, the term “Lender” includes any Issuing Bank and the term “applicable law” includes FATCA. SECTION 2.18. Payments Generally; Pro Rata Treatment; Sharing of Setoffs; Application of Proceeds. (a) The Borrowers shall make each payment required to be made by it hereunder or under any other Loan Document (whether of principal, interest, fees or reimbursement of LC Disbursements, or of amounts payable under Section 2.15, 2.16 or 2.17, or otherwise) prior to the time expressly required hereunder or under such other Loan Document for such payment (or, if no such time is expressly required, prior to 1:00 p.m., New York City time), on the date when due, in immediately available funds, without any defense, setoff, recoupment or counterclaim. Any amounts received after such time on any date may, in the discretion of the Administrative Agent, be deemed to have been received on the next succeeding Business Day for purposes of calculating interest thereon. All such payments shall be made to such account or accounts as may be specified by the Administrative Agent, except that payments required to be made directly to any Issuing Bank shall be so made, payments pursuant to Sections 2.15, 2.16, 2.17 and 9.03 shall be made directly to the Persons entitled thereto and payments pursuant to other Loan Documents shall be made to the Persons specified therein. Notwithstanding anything contrary in this Agreement, no payment shall be made by a Guarantor organized under the Laws of France on an account opened with a financial institution situated in a Non-Cooperative Jurisdiction. The Administrative Agent shall distribute any such payment received by it for the account of any other Person to the appropriate recipient promptly following receipt thereof. If any payment under this Agreement or any other Loan Document shall be due on a day that is not a Business Day, the date for payment shall be extended to the next succeeding Business Day and, in the case of any payment accruing interest, interest thereon shall be payable for the period of such extension. All payments hereunder of principal or interest in respect of any Loan or LC Disbursement shall, except as otherwise expressly provided herein, be made in the currency of such Loan or LC Disbursement; all other payments hereunder and under each other Loan Document shall be made in dollars. (b) If at any time insufficient funds are received by and available to the Administrative Agent to pay fully all amounts of principal, unreimbursed LC Disbursements, interest and fees then due hereunder, such funds shall be applied (i) first, towards payment of interest and fees then due to such parties, and (ii) second, towards payment of principal and unreimbursed LC Disbursements then due hereunder, ratably among the parties entitled thereto in accordance with the amounts of principal and unreimbursed LC Disbursements then due to such parties. (c) If any Lender shall, by exercising any right of setoff or counterclaim or otherwise, obtain payment in respect of any principal of or interest on any of its Loans or participations in LC Disbursements resulting in such Lender receiving payment of a greater proportion of the aggregate amount of its Loans and participations in LC Disbursements and accrued interest thereon than the proportion received by any other Lender, then the Lender receiving such greater proportion shall notify the Administrative Agent of such fact and shall purchase (for cash at face value)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95 TechnipFMC | Internal participations in the Loans and participations in LC Disbursements of other Lenders to the extent necessary so that the aggregate amount of all such payments shall be shared by the Lenders ratably in accordance with the aggregate amount of principal of and accrued interest on their respective Loans and participations in LC Disbursements; provided that (i) if any such participations are purchased and all or any portion of the payment giving rise thereto is recovered, such participations shall be rescinded and the purchase price restored to the extent of such recovery, without interest, and (ii) the provisions of this paragraph shall not be construed to apply to any payment made by a Borrower pursuant to and in accordance with the express terms of this Agreement or any payment obtained by a Lender as consideration for the assignment of or sale of a participation in any of its Loans or participations in LC Disbursements to any Eligible Assignee. The Borrowers consent to the foregoing and agree, to the extent it may effectively do so under applicable law, that any Lender acquiring a participation pursuant to the foregoing arrangements may exercise against the Borrowers rights of setoff and counterclaim with respect to such participation as fully as if such Lender were a direct creditor of the Borrowers in the amount of such participation. (d) Unless the Administrative Agent shall have received notice from the Company prior to the date on which any payment is due to the Administrative Agent for the account of any of the Lenders or the Issuing Banks hereunder that the Borrowers will not make such payment, the Administrative Agent may assume that the Borrowers have made such payment on such date in accordance herewith and may, in reliance upon such assumption and in its sole discretion, distribute to the applicable Lenders or the Issuing Banks, as applicable, the amount due. In such event, if the Borrowers have not in fact made such payment, then each of the applicable Lenders or the Issuing Banks, as applicable, severally agrees to repay to the Administrative Agent forthwith on demand the amount so distributed to such Lender or such Issuing Bank with interest thereon, for each day from and including the date such amount is distributed to it to but excluding the date of payment to the Administrative Agent, at the applicable Overnight Rate. (e) [Reserved]. (f) All proceeds of Collateral and all other amounts received by the Administrative Agent after an Event of Default has occurred and is continuing and all or any portion of the Loans shall have been accelerated hereunder pursuant to Section 7.01, shall, upon election by the Administrative Agent or at the direction of the Required Lenders, be applied, first, on a pro rata basis, to pay any fees, indemnities, or expense reimbursements then due to the Administrative Agent, second, to pay interest due and payable in respect of any Loans, on a pro rata basis, third, to the payment of any other Obligation due to the Administrative Agent or any Secured Party on a pro rata basis, and fourth, to the Borrowers or as the Borrowers shall direct. SECTION 2.19. Mitigation Obligations; Replacement of Lenders. (a) If any Lender requests compensation under Section 2.15, or if any Loan Party is required to pay any Indemnified Taxes or additional amounts to any Lender or to any Governmental Authority for the account of any Lender pursuant to Section 2.17, or any amount payable by a Guarantor organized under the Laws of France becomes not deductible from that Guarantor’s taxable income for French tax purposes by reason of that amount being paid or accrued to a Recipient incorporated, domiciled, established or acting through a lending office situated in a Non-Cooperative Jurisdiction or paid to an account opened in the name of or for the benefit of that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96 TechnipFMC | Internal Recipient in a financial institution situated in a Non-Cooperative Jurisdiction, then such Lender shall (at the request of the Company) use commercially reasonable efforts to designate a different lending office for funding or booking its Loans hereunder or to assign and delegate its rights and obligations hereunder to another of its offices, branches or Affiliates, if, in the judgment of such Lender, such designation or assignment and delegation (i) would eliminate or reduce amounts payable pursuant to Section 2.15 or 2.17, as applicable, in the future or avoid such non-tax deductibility for French income tax purposes and (ii) would not subject such Lender to any unreimbursed cost or expense and would not be inconsistent with its internal policies or otherwise be disadvantageous to such Lender in any material respect. The Borrowers hereby agree to pay all reasonable and documented costs and expenses incurred by any Lender in connection with any such designation or assignment and delegation. (b) If (i) any Lender has requested compensation under Section 2.15, (ii) the Borrowers are required to pay any Indemnified Taxes or additional amounts to any Lender or any Governmental Authority for the account of any Lender pursuant to Section 2.17 or (iii) any Lender has become a Defaulting Lender, then the Company may, at its sole expense and effort, upon notice to such Lender and the Administrative Agent, require such Lender to assign and delegate, without recourse (in accordance with and subject to the restrictions contained in Section 9.04), all its interests, rights (other than its existing rights to payments pursuant to Section 2.15 or 2.17) and obligations under this Agreement and the other Loan Documents to an Eligible Assignee that shall assume such obligations (which assignee may be another Lender, if a Lender accepts such assignment and delegation); provided that (A) the Company shall have received the prior written consent of the Administrative Agent (and, if a Commitment is being assigned, each Issuing Bank), which consent shall not unreasonably be withheld or delayed, (B) such Lender shall have received payment of an amount equal to the outstanding principal of its Loans and participations in LC Disbursements, accrued interest thereon, accrued fees and all other amounts payable to it hereunder from the assignee or the Borrowers, (C) the Borrowers or such assignee shall have paid to the Administrative Agent the processing and recordation fee specified in Section 9.04(b), (D) in the case of any such assignment and delegation resulting from a claim for compensation under Section 2.15 or payments required to be made pursuant to Section 2.17, such assignment will result in a reduction in such compensation or payments and (E) such assignment does not conflict with applicable law. A Lender shall not be required to make any such assignment and delegation if, prior thereto, as a result of a waiver or consent by such Lender or otherwise (including as a result of any action taken by such Lender under paragraph (a) above), the circumstances entitling the Company to require such assignment and delegation have ceased to apply. SECTION 2.20. Defaulting Lenders. Notwithstanding any provision of this Agreement to the contrary, if any Lender becomes a Defaulting Lender, then the following provisions shall apply for so long as such Lender is a Defaulting Lender: (a) in the case of a Defaulting Lender that is a Lender, commitment fees shall cease to accrue on the unfunded portion of the Commitment of such Defaulting Lender pursuant to Section 2.12(a); (b) the Loans and Commitments of such Defaulting Lender shall not be included in determining whether the Required Lenders or any other requisite Lenders have taken or may take any action hereunder or under any other Loan Document (including any consent to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97 TechnipFMC | Internal amendment, waiver or other modification pursuant to Section 9.02); provided that any amendment, waiver or other modification requiring the consent of all Lenders or all Lenders affected thereby shall, except as otherwise provided in Section 9.02, require the consent of such Defaulting Lender in accordance with the terms hereof; (c) in the case of a Defaulting Lender that is a Lender, if any LC Exposure exists at the time such Lender becomes a Defaulting Lender, then: (i) all or any part of the LC Exposure (other than any portion thereof attributable to unreimbursed LC Disbursements with respect to which such Defaulting Lender shall have funded its participation as contemplated by Sections 2.05(e) and 2.05(f)) of such Defaulting Lender shall be reallocated among the Non-Defaulting Lenders in accordance with their respective Applicable Percentages but only to the extent that the sum of all Non-Defaulting Lenders’ Exposures plus such Defaulting Lender’s LC Exposure does not exceed the sum of all Non-Defaulting Lenders’ Commitments; provided that no reallocation under this clause (i) shall constitute a waiver or release of any claim of any party hereunder against a Defaulting Lender arising from that Lender having become a Defaulting Lender, including any claim of a Non-Defaulting Lender as a result of such Non-Defaulting Lender’s increased exposure following such reallocation; (ii) if the reallocation described in clause (i) above cannot, or can only partially, be effected, the Borrowers shall within one Business Day following notice by the Administrative Agent cash collateralize for the benefit of the Issuing Banks the portion of such Defaulting Lender’s LC Exposure that has not been reallocated in accordance with the procedures set forth in Section 2.05(i) for so long as such LC Exposure is outstanding; (iii) if the Borrowers cash collateralize any portion of such Defaulting Lender’s LC Exposure pursuant to clause (ii) above, the Borrowers shall not be required to pay participation fees to such Defaulting Lender pursuant to Section 2.12(b) with respect to such portion of such Defaulting Lender’s LC Exposure for so long as such Defaulting Lender’s LC Exposure is cash collateralized; (iv) if any portion of the LC Exposure of such Defaulting Lender is reallocated pursuant to clause (i) above, then the fees payable to the Lenders pursuant to Sections 2.12(a) and 2.12(b) shall be adjusted to give effect to such reallocation; and (v) if all or any portion of such Defaulting Lender’s LC Exposure is neither reallocated nor cash collateralized pursuant to clause (i) or (ii) above, then, without prejudice to any rights or remedies of any Issuing Bank or any other Lender hereunder, all participation fees payable under Section 2.12(b) with respect to such Defaulting Lender’s LC Exposure shall be payable to the Issuing Banks (and allocated among them ratably based on the amount of such Defaulting Lender’s LC Exposure attributable to Letters of Credit issued by each Issuing Bank) until and to the extent that such LC Exposure is reallocated and/or cash collateralized; and (d) so long as such Lender is a Defaulting Lender, in the case of a Defaulting Lender that is a Lender, no Issuing Bank shall be required to issue, amend, renew or extend any Letter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98 TechnipFMC | Internal Credit unless it is satisfied that the related exposure and the Defaulting Lender’s then outstanding LC Exposure will be fully covered by the Commitments of the Non-Defaulting Lenders and/or cash collateral provided by the Borrowers in accordance with Section 2.20(c), and participating interests in any such issued, amended, renewed or extended Letter of Credit will be allocated among the Non-Defaulting Lenders in a manner consistent with Section 2.20(c)(i) (and such Defaulting Lender shall not participate therein). In the event that (i) a Bankruptcy Event or a Bail-In Action with respect to a direct or indirect parent company of a Lender shall occur following the Effective Date and for so long as such Bankruptcy Event or Bail-In Action shall continue or (ii) any applicable Issuing Bank has a good faith belief that any Lender has defaulted in fulfilling its obligations under one or more other agreements in which such Lender commits to extend credit, such Issuing Bank shall not be required to issue, amend, renew or extend any Letter of Credit, unless such Issuing Bank shall have entered into arrangements with the applicable Borrower or the applicable Lender, satisfactory to such Issuing Bank to defease any risk to it in respect of such Lender hereunder. In the event that the Administrative Agent, the Company and each applicable Issuing Bank each agrees that a Defaulting Lender has adequately remedied all matters that caused the applicable Lender to be a Defaulting Lender, then the LC Exposure of the Lenders shall be readjusted to reflect the inclusion of such Lender’s Commitment and on such date such Lender shall purchase at par such of the Loans of the other Lenders as the Administrative Agent shall determine may be necessary in order for such Lender to hold such Loans in accordance with its Applicable Percentage; provided that no adjustments will be made retroactively with respect to fees accrued or payments made by or on behalf of the Borrowers while such Lender was a Defaulting Lender; provided, further that, except as otherwise expressly agreed by the affected parties, no change hereunder from a Defaulting Lender to a non-Defaulting Lender will constitute a waiver or release of any claim of any party hereunder arising from such Lender’s having been a Defaulting Lender. SECTION 2.21. Increase in Commitments. (a) At any time and from time to time, commencing on the Fifth Amendment Effective Date and ending on the Maturity Date, subject to the terms and conditions set forth herein, the Company shall have the right to increase the Total Commitments on one or more occasions by obtaining additional Commitments (each such additional Commitment, a “Commitment Increase”), either from one or more of the Lenders or another lending institution; provided that (i) any such request for a Commitment Increase shall be in a minimum amount of $10,000,000 (or such lesser amount agreed by the Administrative Agent in its sole discretion), (ii) after giving effect thereto, the Total Commitments (including such additional Commitments) shall not exceed $1,750,000,000, (iii) the Administrative Agent and the Issuing Banks shall approve the identity of any new Lender, such approvals not to be unreasonably withheld, (iv) any such new Lender shall assume all of the rights and obligations of a “Lender” hereunder, and (v) the procedures described in Section 2.21(b) shall be satisfied. Nothing contained in this Section 2.21 shall constitute, or otherwise be deemed to be, a commitment on the part of any Lender to increase its Commitment hereunder at any time. (b) Any amendment hereto for such Commitment Increase shall be in form and substance reasonably satisfactory to the Administrative Agent and shall only require the written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99 TechnipFMC | Internal signatures of the Administrative Agent, the Company and each Lender being added or increasing its Commitment; provided that the terms and conditions of any Loans or Letters of Credit made pursuant to such Commitment Increase shall be identical to the Loans and Letters of Credit made pursuant to the Commitments in effect on the Fifth Amendment Effective Date (other than with respect to structuring, arranging and applicable upfront fees). As condition precedents to such Commitment Increase, (i)(A) the representations and warranties contained in Article III and the other Loan Documents shall be true and correct in all material respects (or, in the case of representations and warranties qualified as to materiality, in all respects) on and as of the date of such Commitment Increase, except in the case of any such representation and warranty that expressly relates to a prior date, in which case such representation and warranty shall be true and correct in all material respects (or in all respects, as applicable) as of such earlier date, (B) no Default or Event of Default shall exist and (C) the Company shall be in compliance (on a Pro Forma Basis) with the Financial Covenants based on the Company’s most recent quarterly or annual financial statements delivered pursuant to Section 5.01(a) or 5.01(b), as applicable, (ii) the Company shall deliver to the Administrative Agent a certificate of a Financial Officer of the Company (A) certifying and attaching the resolutions adopted by the Company and any other applicable Loan Parties approving or consenting to such Commitment Increase, (B) certifying, before and after giving effect to such Commitment Increase, as to the conditions specified in the foregoing subclause (i), and (C) including reasonably detailed calculations demonstrating compliance with subclause (i)(C) above, and (iii) the Administrative Agent shall have received legal opinions and documents consistent with those delivered on the Fifth Amendment Effective Date, to the extent reasonably requested by the Administrative Agent. (c) On the effective date of any such Commitment Increase, (i) any Lender increasing (or, in the case of any newly added Lender, extending) its Commitment shall make available to the Administrative Agent such amounts in immediately available funds as the Administrative Agent shall determine, for the benefit of the other Lenders, are required in order to cause, after giving effect to such increase or addition and the use of such amounts to make payments to such other Lenders, each Lender’s Revolving Exposure to equal its revised Applicable Percentage of the Total Revolving Exposure, and the Administrative Agent shall make such other adjustments among the Lenders with respect to the Loans and Letters of Credit then outstanding and amounts of principal, interest, commitment fees and other amounts paid or payable with respect thereto as shall be necessary, in the opinion of the Administrative Agent, in order to effect such reallocation and (ii) the Borrowers shall be deemed to have repaid and reborrowed all outstanding Loans as of the date of any Commitment Increase (with such reborrowing to consist of the Types of Loans, with related Interest Periods if applicable, specified in a notice delivered by the Company, in accordance with the requirements of Section 2.03). The deemed payments made pursuant to clause (ii) of the immediately preceding sentence shall be accompanied by payment of all accrued interest on the amount prepaid and, in respect of each Term Benchmark Loan or RFR Loan, shall be subject to indemnification by the Borrowers pursuant to the provisions of Section 2.16 if the deemed payment occurs other than on the last day of the related Interest Periods and/or the Interest Payment Date applicable thereto. Within a reasonable time after the effective date of any increase or addition, the Administrative Agent shall, and is hereby authorized and directed to, revise Schedule 2.01 to reflect such Commitment Increase and shall distribute such revised Schedule 2.01 to each of the Lenders and the Company, whereupon such revised Schedule 2.01 shall replace the prior Schedule 2.01 and become part of this Agreement.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509265-2360-19308-ACTIVE.66444598.5 100 TechnipFMC | Internal ARTICLE III Representations and Warranties Each Borrower (with respect to itself and, where applicable, its respective Subsidiaries) represents and warrants to the Administrative Agent, each of the Issuing Banks and each of the Lenders that: SECTION 3.01. Organization; Powers. Each Borrower and each Restricted Subsidiary (a) is duly organized, incorporated or established, validly existing and, to the extent that such concept is applicable in the relevant jurisdiction, in good standing under the laws of the jurisdiction of its organization, incorporation or establishment except, in the case of any Restricted Subsidiary that is not a Loan Party, to the extent the failure of such Restricted Subsidiary to be in good standing would not reasonably be expected to have a Material Adverse Effect, (b) has all requisite power and authority, and the legal right, to carry on its business as now conducted and as proposed to be conducted, and (c) except where the failure to do so, individually or in the aggregate, could not reasonably be expected to result in a Material Adverse Effect, is qualified to do business in, and, to the extent that such concept is applicable in the relevant jurisdiction, is in good standing in, every jurisdiction where such qualification is required. SECTION 3.02. Authorization; Due Execution and Delivery; Enforceability. Each Loan Party has all requisite power and authority to execute, deliver and perform its obligations under each Loan Document to which it is a party. The execution, delivery and performance by each Loan Party of each Loan Document to which such Person is a party have been duly authorized by all necessary corporate or other organizational action and, if required, action by the holders of such Loan Party’s Equity Interests. This Agreement has been duly executed and delivered by the Borrowers and constitutes, and each other Loan Document to which any Loan Party is to be a party, when executed and delivered by such Loan Party, will constitute, a legal, valid and binding obligation of the Borrowers or such Loan Party, as applicable, enforceable against such Person in accordance with its terms, subject to applicable bankruptcy, insolvency, fraudulent conveyance, reorganization, moratorium or other laws affecting creditors’ rights generally and subject to general principles of equity, regardless of whether considered in a proceeding in equity or at law and an implied covenant of good faith and fair dealing. SECTION 3.03. Governmental Approvals; No Conflicts. The execution, delivery and performance by each Loan Party of each Loan Document to which such Person is a party (a) as of the date such Loan Document is executed, will not require any consent or approval of, registration or filing with, or any other action by, any Governmental Authority, except such as have been obtained or made and are in full force and effect and except (i) during the Secured Period only, registrations or filings necessary to perfect Liens created under the Loan Documents and payment of applicable stamp duty in respect of the Loan Documents, (ii) consents, approvals, registrations or filings which have been obtained or made and are in full force and effect or (iii) where failure to obtain such consent or approval, or make such registration or filing, in the aggregate, could not reasonably be expected to have a Material Adverse Effect, (b) will not violate any Requirement of Law applicable to a Borrower or any Restricted Subsidiary, (c) will not violate or result (alone or with notice or lapse of time or both) in a default under any indenture, agreement or other instrument binding upon a Borrower or any Restricted Subsidiary or their respective assets, or give rise to a</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509265-2360-19308-ACTIVE.66444598.5 101 TechnipFMC | Internal right thereunder to require any payment, repurchase or redemption to be made by a Borrower or any Restricted Subsidiary or give rise to a right of, or result in, termination, cancelation or acceleration of any obligation thereunder, except with respect to any violation, default, payment, repurchase, redemption, termination, cancellation or acceleration that would not reasonably be expected to have a Material Adverse Effect and (d) will not result in the creation or imposition of any Lien on any asset now owned or hereafter acquired by a Borrower or any Restricted Subsidiary, except Liens created under the Loan Documents. SECTION 3.04. [Reserved]. SECTION 3.05. [Reserved]. SECTION 3.06. [Reserved]. SECTION 3.07. Compliance with Laws. Each Borrower and each of its Restricted Subsidiaries is in compliance with all laws, regulations and orders of any Governmental Authority applicable to it or its property and all indentures, agreements and other instruments binding upon it or its property, except where the failure to do so, individually or in the aggregate, could not reasonably be expected to result in a Material Adverse Effect. SECTION 3.08. Anti-Terrorism Laws; Anti-Corruption Laws. (a) To the extent applicable, the Borrowers and the Restricted Subsidiaries are in compliance, in all material respects, with (i) the Trading with the Enemy Act, as amended, and each of the foreign assets control regulations of the United States Treasury Department (31 CFR, Subtitle B, Chapter V, as amended) and any other enabling legislation or executive order relating thereto, and (ii) the USA PATRIOT Act. (b) The Borrowers have implemented and maintain in effect policies and procedures designed to ensure compliance by the Borrowers, their Subsidiaries and their respective directors, officers, employees and agents (in each case, in their capacity related to the Borrowers or their Subsidiaries) with Anti-Corruption Laws and applicable Sanctions, and the Borrowers, their Subsidiaries and their respective officers and directors and to the Knowledge of the Borrowers, their employees and agents (in each case, in their capacity related to the Borrowers or their Subsidiaries), are in compliance with Anti-Corruption Laws and applicable Sanctions in all material respects and are not knowingly engaged in any activity that would reasonably be expected to result in a Borrower being designated as a Sanctioned Person. None of (a) the Borrowers, any Subsidiary, any of their respective directors or officers or employees, or (b) to the Knowledge of the Borrowers, any agent of the Borrowers or any Subsidiary that will act in any capacity in connection with or benefit from the credit facility established hereby is a Sanctioned Person. No Borrowing or Letter of Credit, use of proceeds or Transaction will violate any Anti-Corruption Law or applicable Sanctions. SECTION 3.09. Investment Company Status. None of the Borrowers or any Restricted Subsidiary is an “investment company” as defined in, or subject to regulation under, the Investment Company Act.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509265-2360-19308-ACTIVE.66444598.5 102 TechnipFMC | Internal SECTION 3.10. Federal Reserve Regulations. None of the Borrowers or any Restricted Subsidiary is engaged or will engage, principally or as one of their important activities, in the business of purchasing or carrying margin stock (within the meaning of Regulation U of the Federal Reserve Board) or extending credit for the purpose of purchasing or carrying margin stock. No part of the proceeds of the Loans will be used, directly or indirectly, for any purpose that entails a violation (including on the part of any Lender) of any of the regulations of the Federal Reserve Board, including Regulations T, U and X. SECTION 3.11. Taxes. Except to the extent that failure to do so would not reasonably be expected, individually or in the aggregate, to result in a Material Adverse Effect, each Borrower and each Restricted Subsidiary (a) has timely filed or caused to be filed all Tax returns and reports required to have been filed by it and (b) has paid or caused to be paid all Taxes required to have been paid by it (including in its capacity as a withholding agent), except where the validity or amount thereof is being contested in good faith by appropriate proceedings and where such Borrower or such Restricted Subsidiary, as applicable, have set aside on their books adequate reserves therefor in accordance with GAAP; no Tax Lien has been filed, and no claim is being asserted, with respect to any such Tax, fee or other charge. SECTION 3.12. ERISA. (a) Except as would not reasonably be expected, individually or in the aggregate, to have a Material Adverse Effect, no ERISA Event has occurred or is reasonably expected to occur. The present value of all accumulated benefit obligations under each Plan (based on the assumptions used for purposes of Accounting Standards Codification Topic 715 or subsequent recodification thereof, as applicable) would not, as of the date of the most recent financial statements of the Company, exceed the fair market value of the assets of such Plan by an amount that, individually or in the aggregate together with all other Plans, would reasonably be expected to have a Material Adverse Effect. (b) None of the Company or any of its Subsidiaries is an entity deemed to hold “plan assets” (within the meaning of the Plan Asset Regulations), and to the Knowledge of the Borrowers neither the execution, delivery or performance of the transactions contemplated under this Agreement, including the making of any Loan and the issuance of any Letter of Credit hereunder, will give rise to a non-exempt prohibited transaction under Section 406 of ERISA or Section 4975 of the Code. SECTION 3.13. [Reserved]. SECTION 3.14. [Reserved]. SECTION 3.15. Use of Proceeds. The proceeds of the Loans and of Letters of Credit will be used by the Borrowers and the Restricted Subsidiaries in accordance with Section 5.11. SECTION 3.16. [Reserved]. SECTION 3.17. Solvency. Immediately after the consummation of the Transactions and immediately after the making of each Loan or the issuance, amendment, renewal or extension of any Letter of Credit, the (a) fair value of the assets of the Borrowers and the Restricted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509265-2360-19308-ACTIVE.66444598.5 103 TechnipFMC | Internal Subsidiaries, taken as a whole, at a fair valuation, will exceed their debts and liabilities, subordinated, contingent or otherwise, (b) present fair saleable value of the property of the Borrowers and the Restricted Subsidiaries, taken as a whole, will be greater than the amount that will be required to pay the probable liability of their debts and other liabilities, subordinated, contingent or otherwise, as such debts and other liabilities become absolute and matured, (c) the Borrowers and the Restricted Subsidiaries, taken as a whole, will be able to pay their debts and liabilities, subordinated, contingent or otherwise, as such debts and liabilities become absolute and matured and (d) the Borrowers and the Restricted Subsidiaries, taken as a whole, will not have unreasonably small capital with which to conduct the business in which they are engaged as such business is now conducted and is proposed to be conducted following the Effective Date. For purposes of this Section, the amount of contingent liabilities at any time shall be computed as the amount that, in light of all the facts and circumstances existing at such time, represents the amount that can reasonably be expected to become an actual or matured liability. SECTION 3.18. [Reserved]. SECTION 3.19. Affected Financial Institutions. No Loan Party is an Affected Financial Institution. SECTION 3.20. No Default or Event of Default. No Default or Event of Default has occurred and is continuing. SECTION 3.21. [Reserved]. SECTION 3.22. Senior Indebtedness. The Obligations shall constitute “Senior Indebtedness”, “Designated Senior Indebtedness” or any similar designation under and as defined in any agreement, to the extent such designation is referenced therein or required thereby, governing any unsecured, senior subordinated or subordinated Indebtedness and the subordination provisions set forth in each such agreement, if any, are legally valid and enforceable against the parties thereto subject to applicable bankruptcy, insolvency, reorganization, moratorium or other laws affecting creditors’ rights generally and subject to general principles of equity, regardless of whether considered in a proceeding in equity or at law. SECTION 3.23. Dutch Works Council. The Dutch Loan Parties (save for FMC Separation Systems B.V.) do not have, nor are required to establish, a works council (ondernemingsraad) within the meaning of the Dutch Works Councils Act (Wet op de ondernemingsraden) nor has it received any request from their respective employees to install a work council. The works council of FMC Separation Systems B.V. has rendered a neutral advice without conditions with respect to FMC Separation Systems B.V.’s entry into and performance of the Loan Documents and has acknowledged and agreed to waive its right to start legal proceedings. Consequently, the one month suspension period as referred to in article 25 subparagraph 6 of the Dutch Works Councils Act does not have to be observed. ARTICLE IV Conditions SECTION 4.01. [Reserved].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509265-2360-19308-ACTIVE.66444598.5 104 TechnipFMC | Internal SECTION 4.02. Each Post-Effective Date Credit Event. After the Effective Date, the obligations of the Lenders to make Loans on the occasion of any Borrowing, and of the Issuing Banks to issue, amend, renew or extend any Letter of Credit is subject to receipt of the request therefor in accordance herewith and to the satisfaction of the following conditions: (a) The representations and warranties of each Loan Party set forth in the Loan Documents shall be true and correct in all material respects (or, in the case of representations and warranties qualified as to materiality, in all respects) on and as of the date of such Borrowing or the date of issuance, amendment, renewal or extension of such Letter of Credit, as applicable, except in the case of any such representation and warranty that expressly relates to a prior date, in which case such representation and warranty shall be true and correct in all material respects (or in all respects, as applicable) as of such earlier date. (b) At the time of and immediately after giving effect to such Borrowing or the issuance, amendment, renewal or extension of such Letter of Credit, as applicable, no Default or Event of Default shall have occurred and be continuing. (c) During the Secured Period only, at the time of and immediately after giving effect to such Borrowing, the Consolidated Cash Balance shall not exceed $350,000,000. (d) The applicable Borrower shall have delivered (i) in the case of any Borrowing, the notice required by Section 2.03 or (ii) with respect to the issuance, amendment, renewal or extension of any Letter of Credit, the notice required by Section 2.05(b). Each Borrowing (provided that a conversion or a continuation of a Borrowing shall not constitute a “Borrowing” for purposes of this Section 4.02) and each issuance, amendment, renewal or extension of a Letter of Credit shall be deemed to constitute a representation and warranty by the Borrowers on the date thereof as to the matters specified in paragraphs (a), (b) and (c) of this Section 4.02. ARTICLE V Affirmative Covenants From and including the Effective Date and until the Commitments shall have expired or been terminated and the principal of and interest on each Loan and all fees, expenses other amounts (other than contingent amounts not yet due) payable under this Agreement or any other Loan Document and the other Loan Document Obligations shall have been paid in full and all Letters of Credit (other than those collateralized or back-stopped on terms reasonably satisfactory to the applicable Issuing Bank) shall have expired or been terminated and all LC Disbursements shall have been reimbursed, the Borrowers covenant and agree with the Lenders that: SECTION 5.01. Financial Statements and Other Information. The Company will furnish to the Administrative Agent, which shall furnish to each Lender, the following: (a) within 90 days after the end of each fiscal year (or such later date as Form 10-K is required to be filed with the SEC taking into account any extension granted by the SEC, provided that the Company gives the Administrative Agent notice of any such extension), its audited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509265-2360-19308-ACTIVE.66444598.5 105 TechnipFMC | Internal consolidated balance sheet and audited consolidated statements of operations, shareholders’ equity and cash flows as of the end of and for such fiscal year, and related notes thereto, setting forth in each case in comparative form the figures for the previous fiscal year, prepared in accordance with GAAP consistently applied and reported on by PricewaterhouseCoopers LLP or other independent public accountants of recognized national standing (without a “going concern” or like qualification, exception or statement and without any qualification or exception as to the scope of such audit other than with respect to internal controls over financial reporting for which an opinion as to effectiveness is not required) to the effect that such financial statements present fairly in all material respects the financial condition, results of operations and cash flow of the Company and its Subsidiaries on a consolidated basis as of the end of and for such fiscal year and accompanied by a management’s discussion and analysis describing the financial position, results of operations and cash flow of the Company and its consolidated Subsidiaries (for the avoidance of doubt, the delivery of a filed Form 10-K by the Company to the Administrative Agent shall be deemed to satisfy the delivery requirement of management’s discussion and analysis required by this Section 5.01(a)); (b) within 45 days after the end of each of the first three fiscal quarters of each fiscal year (or such later date as Form 10-Q of the Company is required to be filed with the SEC taking into account any extension granted by the SEC, provided that the Company gives the Administrative Agent notice of any such extension), its unaudited consolidated balance sheet and unaudited consolidated statements of operations and cash flows as of the end of and for such fiscal quarter and the then elapsed portion of the then-current fiscal year, setting forth in each case in comparative form the figures for the corresponding period or periods of (or, in the case of the balance sheet, as of the end of) the previous fiscal year, all certified by a Financial Officer of the Company as presenting fairly in all material respects the financial condition, results of operations and cash flows of the Company and its Subsidiaries on a consolidated basis as of the end of and for such fiscal quarter and such portion of the then-current fiscal year in accordance with GAAP consistently applied, subject to normal year-end audit adjustments and the absence of footnotes, and accompanied by a management’s discussion and analysis describing the financial position, results of operations and cash flow of the Company and its consolidated Subsidiaries (for the avoidance of doubt, the delivery of a filed Form 10-K by the Company to the Administrative Agent shall be deemed to satisfy the delivery requirement of management’s discussion and analysis required by this Section 5.01(b)); (c) concurrently with the delivery of financial statements under clause (a) or (b) above, a certificate of a Financial Officer of the Company (i) certifying as to whether a Default has occurred and, if a Default has occurred, specifying the details thereof and any action taken or proposed to be taken with respect thereto, (ii) setting forth reasonably detailed calculations demonstrating compliance with the Financial Covenants on a Pro Forma Basis, (iii) stating whether any change in GAAP or in the application thereof has occurred since the later of the date of the Company’s audited financial statements referred to in Section 3.04 and the date of the prior certificate delivered pursuant to this clause (c) indicating such a change and, if any such change has occurred, specifying the effect of such change on the financial statements accompanying such certificate, (iv) in the case of financial statements delivered under clause (a) above, setting forth a current list of all Material Subsidiaries and, to the extent required by the definition of “Material Subsidiaries”, designating one or more previously excluded Restricted Subsidiaries as a Material Subsidiary and (v) at any time when there is any Unrestricted Subsidiary, including as an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509265-2360-19308-ACTIVE.66444598.5 106 TechnipFMC | Internal attachment with respect to each such financial statement, an Unrestricted Subsidiary Reconciliation Statement (except to the extent that the information required thereby is separately provided with the public filing of such financial statement); (d) promptly following any request therefor, information and documentation reasonably requested by the Administrative Agent or any Lender for purposes of compliance with applicable “know your customer” and anti-money laundering rules and regulations, including the USA PATRIOT Act and the Beneficial Ownership Regulation; (e) promptly after the same becomes publicly available, copies of all periodic and other reports, proxy statements and other materials filed by the Company or any Restricted Subsidiary with the SEC or with any national securities exchange, or distributed by the Company to the holders of its Equity Interests generally, as applicable; (f) (i) during the Secured Period only, promptly upon becoming aware of Moody’s or S&amp;P having announced a change in the rating established or deemed to have been established for any Index Debt and (ii) on the Investment Grade Date and at any time thereafter, promptly upon becoming aware of Moody’s, S&amp;P or Fitch having announced a change in the Debt Rating, in each case of clauses (i) and (ii), written notice of such rating change; (g) promptly following any request therefor, such information as may be reasonably requested by the Administrative Agent from time to time with respect to any cash excluded from the monthly calculation of the Company’s Consolidated Cash Balance in reliance on clause (E) or (F) of the definition thereof; and (h) promptly following any request therefor, but subject to the limitations set forth in the proviso to the last sentence of Section 5.09 and Section 9.12, such other information regarding the operations, business affairs, assets, liabilities (including contingent liabilities) and financial condition of the Company or any Restricted Subsidiary, or compliance with the terms of this Agreement or any other Loan Document, as the Administrative Agent, any Issuing Bank or any Lender may reasonably request. Documents required to be delivered pursuant to Section 5.01(a), (b) or (e) (to the extent any such documents are included in materials otherwise filed with the SEC) may be delivered electronically and, if so delivered, shall be deemed to have been delivered on the date (i) on which such materials are publicly available as posted on the Electronic Data Gathering, Analysis and Retrieval system (EDGAR); or (ii) on which such documents are posted on the Company’s behalf on an Internet or intranet website, if any, to which each Lender and the Administrative Agent have access (whether a commercial, third-party website or whether made available by the Administrative Agent); provided that: (A) upon written request by the Administrative Agent (or any Lender through the Administrative Agent) to the Company, the Company shall deliver paper copies of such documents to the Administrative Agent or such Lender until a written request to cease delivering paper copies is given by the Administrative Agent or such Lender and (B) the Company shall notify the Administrative Agent and each Lender (by electronic mail) of the posting of any such documents and provide to the Administrative Agent by electronic mail electronic versions (i.e., soft copies) of such documents. The Administrative Agent shall have no obligation to request the delivery of or to maintain paper copies of the documents referred to above, and in</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509265-2360-19308-ACTIVE.66444598.5 107 TechnipFMC | Internal any event shall have no responsibility to monitor compliance by the Company with any such request by a Lender for delivery, and each Lender shall be solely responsible for timely accessing posted documents or requesting delivery of paper copies of such document to it and maintaining its copies of such documents. SECTION 5.02. Notices of Material Events. The Company will furnish to the Administrative Agent, which shall furnish to each Issuing Bank and each Lender, prompt written notice of the following: (a) the occurrence of any Default; (b) the filing or commencement of any action, suit or proceeding by or before any arbitrator or Governmental Authority against or, to the Knowledge of the Borrowers, the Borrowers or any Restricted Subsidiary, or any adverse development in any such pending action, suit or proceeding not previously disclosed in writing by the Borrowers to the Administrative Agent, that in each case could reasonably be expected to result in a Material Adverse Effect or that in any manner questions the validity of this Agreement or any other Loan Document; (c) any material change in accounting or financial reporting practices by the Company or any Subsidiary; (d) any change in the information provided in the Beneficial Ownership Certification delivered to any Lender that would result in a change to the list of beneficial owners identified in such certification; and (e) any other development (including notice of any matter or event that could give rise to an Environmental Liability or ERISA Event) that has resulted, or could reasonably be expected to result, in a Material Adverse Effect. Each notice delivered under this Section (i) shall be in writing, (ii) shall contain a heading or a reference line that reads “Notice under Section 5.02 of TechnipFMC Credit Agreement dated February 16, 2021” and (iii) shall be accompanied by a statement of a Financial Officer or other executive officer of the Company setting forth the details of the event or development requiring such notice and any action taken or proposed to be taken with respect thereto. SECTION 5.03. Information Regarding Collateral. During the Secured Period only: (a) The Borrowers will furnish to the Administrative Agent prompt (and in any event within 30 days) written notice of any change (i) in any Loan Party’s legal name, as set forth in such Loan Party’s organizational documents, (ii) in the jurisdiction of incorporation, establishment or organization of any Loan Party, (iii) in the form of organization of any Loan Party or (iv) in any Loan Party’s organizational identification number or company registration number, if any, or, with respect to a Loan Party organized under the laws of a jurisdiction that requires such information to be set forth on the face of a Uniform Commercial Code financing statement, the Federal Taxpayer Identification Number of such Loan Party. The Borrowers shall provide the Administrative Agent with certified organizational documents reflecting any of the changes described in the preceding sentence and shall, and shall cause the other Loan Parties to, take all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509265-2360-19308-ACTIVE.66444598.5 108 TechnipFMC | Internal action necessary to maintain the perfection and priority of the security interest of the Administrative Agent for the benefit of the Secured Parties in the Collateral, if applicable; and (b) the Borrowers shall deliver to the Administrative Agent, promptly following a written request from the Administrative Agent, a supplemental perfection certificate (i) indicating, in a manner reasonably satisfactory to the Administrative Agent, any changes in the information included in the Perfection Certificate delivered on the Effective Date or the most recent supplement thereto delivered pursuant to this Section or (ii) certifying that there has been no change in such information from the Perfection Certificate delivered on the Effective Date or the most recent supplement thereto delivered pursuant to this Section. SECTION 5.04. Existence; Conduct of Business. The Borrowers will, and will cause each of their Restricted Subsidiaries to, (a) preserve, renew and keep in full force and effect their legal existence and (b) take all reasonable action to maintain the rights, licenses, permits, privileges, franchises, patents, copyrights, trademarks, trade names and other intellectual property necessary for the conduct of their business; provided that the foregoing shall not prohibit (i) any merger, consolidation, liquidation or dissolution permitted under Section 6.03 or (ii) the Borrowers and each of their Restricted Subsidiaries from allowing their respective immaterial patents, copyrights, trademarks, trade names and other intellectual property to lapse, expire or become abandoned in the ordinary course of business or their reasonable business judgment, as applicable. SECTION 5.05. Payment of Taxes. The Borrowers will, and will cause each of their Restricted Subsidiaries to, pay their Tax liabilities before the same shall become delinquent or in default (including in their capacity as a withholding agent), except where (a) (i) the validity or amount thereof is being contested in good faith by appropriate proceedings and (ii) the Borrowers or such Restricted Subsidiary has set aside on their books adequate reserves with respect thereto in accordance with GAAP or (b) the failure to make payment would not reasonably be expected, individually or in the aggregate, to result in a Material Adverse Effect. SECTION 5.06. Maintenance of Properties. Except if failure to do so would not reasonably be expected to have a Material Adverse Effect, the Borrowers will, and will cause each of their Restricted Subsidiaries to, keep and maintain all property necessary for the conduct of their business in good working order and condition, ordinary wear and tear excepted. SECTION 5.07. Insurance. The Borrowers will, and will cause each of their Restricted Subsidiaries to, maintain, with financially sound and reputable insurance companies, insurance in such amounts (with no greater risk retention) and against such risks as is customarily maintained by companies of established repute engaged in the same or similar businesses operating in the same or similar locations. During the Secured Period only, each such policy of liability or property insurance maintained by or on behalf of the Loan Parties will (a) in the case of each liability insurance policy (other than workers’ compensation, director and officer liability or other policies in which such endorsements are not customary), name the Administrative Agent and the Secured Parties as additional insureds thereunder, (b) in the case of each property insurance policy, contain a lender’s loss payable or mortgagee clause or endorsement, as applicable, that names the Administrative Agent, on behalf of the Secured Parties, as the lender’s loss payee and mortgagee, as applicable, thereunder and (c) provide for at least 30 days’ prior written notice to the Administrative Agent of any cancellation of such policy (or 10 days’ prior written notice in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509265-2360-19308-ACTIVE.66444598.5 109 TechnipFMC | Internal case of cancellation of such policy for nonpayment). During the Secured Period only, if any portion of any Mortgaged Property is at any time located in an area identified by the Federal Emergency Management Agency (or any successor agency) as a special flood hazard area with respect to which flood insurance has been made available under the Flood Insurance Laws, then the Borrowers shall, or shall cause each Loan Party to, (i) maintain, or cause to be maintained, with a financially sound and reputable insurer, flood insurance in an amount and otherwise sufficient to comply with all applicable rules and regulations promulgated pursuant to the Flood Insurance Laws, (ii) cooperate with the Administrative Agent and each Lender and provide information reasonably required by the Administrative Agent and such Lender to comply with the Flood Insurance Laws and (iii) deliver to the Administrative Agent and each Lender evidence of such compliance in form and substance reasonably acceptable to the Administrative Agent and such Lender, including, without limitation, evidence of annual renewals of such insurance. SECTION 5.08. Environmental. (a) Environmental Disclosure. The Borrowers will deliver to the Administrative Agent: (i) as soon as reasonably practicable following the sending or receipt thereof by the Borrowers or any of their Restricted Subsidiaries, a copy of material written non- privileged communications with respect to (A) any Environmental Claims that, individually or in the aggregate, are reasonably expected to give rise to a Material Adverse Effect and (B) any Release required to be reported by the Borrowers or any of their Restricted Subsidiaries to any Governmental Authority that reasonably could be expected to have a Material Adverse Effect; (ii) with reasonable promptness, such other non-privileged documents and information as from time to time may be reasonably requested by the Administrative Agent in relation to any matters disclosed pursuant to this Section 5.08(a). (b) Hazardous Materials Activities, Etc. The Borrowers shall promptly take, and shall cause each of their Restricted Subsidiaries promptly to take, any and all actions necessary to (i) cure any violation of Environmental Laws that could reasonably be expected to have, individually or in the aggregate, a Material Adverse Effect and (ii) make an appropriate response to any Environmental Claim, in each case, where failure to do so could reasonably be expected to have, individually or in the aggregate, a Material Adverse Effect. SECTION 5.09. Books and Records; Inspection and Audit Rights. The Borrowers will, and will cause each of their Restricted Subsidiaries to, keep proper books of record and accounts in which full, true and correct entries in conformity with GAAP and all Requirements of Law are made of all dealings and transactions in relation to their business and activities. The Borrowers will, and will cause each of their Restricted Subsidiaries to, permit any representatives designated by the Administrative Agent or any Lender, upon reasonable prior notice, to visit and inspect their properties, to examine and make extracts from their books and records, and to discuss their affairs, finances and condition with their officers and independent accountants, all at such reasonable times during normal business hours upon reasonable prior notice to the Borrowers, but, unless an Event of Default has occurred and is continuing, no more often than two times during any calendar year;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509265-2360-19308-ACTIVE.66444598.5 110 TechnipFMC | Internal provided that none of the Borrowers or any Restricted Subsidiary will be required to disclose, permit the inspection, examination or making copies or abstracts of, or discussion of, any document, information or other matter (i) that constitutes non-financial trade secrets or non- financial proprietary information, (ii) in respect of which disclosure to the Administrative Agent or any Lender (or their respective representatives or contractors) is prohibited by Requirement of Law or any binding agreement or (iii) that is subject to attorney-client or similar privilege or constitutes attorney work product. SECTION 5.10. Compliance with Laws. The Borrowers will, and will cause each of their Restricted Subsidiaries to, comply with all Requirements of Law (including Environmental Laws) with respect to them or their property, except where the failure to do so, individually or in the aggregate, would not reasonably be expected to result in a Material Adverse Effect. The Borrowers will maintain in effect and enforce policies and procedures reasonably designed to ensure compliance by the Borrowers, their Subsidiaries and their respective directors, officers, employees and agents (in each case, in their capacity related to the Borrowers or their Subsidiaries) with Anti-Corruption Laws and applicable Sanctions. SECTION 5.11. Use of Proceeds and Letters of Credit. The proceeds of the Loans will be used by the Borrowers and the Restricted Subsidiaries for working capital and general corporate purposes. Letters of Credit will be used by the Borrowers and the Restricted Subsidiaries for general corporate purposes, including to replace or provide credit support for any Existing Letters of Credit as of the Effective Date. SECTION 5.12. Additional Subsidiaries. (a) If any additional Subsidiary is formed or acquired (or otherwise becomes a Guarantor Subsidiary) after the Effective Date, then the Borrowers will, as promptly as practicable and, in any event, within 30 days (or such longer period as the Administrative Agent, acting reasonably, may agree to in writing (including electronic mail)) after such Subsidiary is formed or acquired (or otherwise becomes a Guarantor Subsidiary), notify the Administrative Agent thereof and, to the extent applicable, cause the Collateral and Guarantee Requirement to be satisfied (i) with respect to such Guarantor Subsidiary and any Equity Interest in or Indebtedness of such Guarantor Subsidiary owned by or on behalf of any Loan Party. (b) The Borrowers may at any time designate any wholly-owned Restricted Subsidiary as a Guarantor Subsidiary, the Borrowers will cause the Collateral and Guarantee Requirement to be satisfied with respect to such Restricted Subsidiary within the time period and to the extent set forth in Section 5.12(a) as if such Restricted Subsidiary is a Person that became a Guarantor Subsidiary after the Effective Date. (c) Notwithstanding anything to the contrary contained herein or in any other Loan Document, to the extent that any Restricted Subsidiary formed or acquired (or that otherwise becomes a Guarantor Subsidiary) after the Effective Date would not be permitted to Guarantee the Senior Unsecured Notes, or any Refinancing Indebtedness in respect thereof, under applicable law, then such Restricted Subsidiary shall be deemed not to be a Guarantor Subsidiary for purposes hereof and will not enter into the New York-Law Guarantee or New York-Law Security Agreement, provide any Guarantee of the Obligations or enter into any other Security Document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509265-2360-19308-ACTIVE.66444598.5 111 TechnipFMC | Internal granting a Lien on any of such Restricted Subsidiary’s assets, in each case while such prohibition exists. Notwithstanding anything to the contrary herein, upon and following the Investment Grade Date, this Section 5.12 shall no longer be of any force and effect (other than with respect to any Investment Grade Retained Credit Support). SECTION 5.13. Further Assurances. (I) During the Secured Period only: (a) The Borrowers will, and will cause each of their Subsidiaries that is a Guarantor to, execute any and all further documents, financing statements, agreements and instruments, and take all such further actions (including the filing and recording of financing statements, fixture filings, mortgages, deeds of trust and other documents), that may be required under any applicable law, or that the Administrative Agent may reasonably request, to cause the Collateral and Guarantee Requirement to be and remain satisfied, all at the expense of the Loan Parties. The Borrowers also agree to, and shall cause each of their Subsidiaries that is a Guarantor to, provide to the Administrative Agent, from time to time upon request, evidence reasonably satisfactory to the Administrative Agent as to the perfection and priority of the Liens created or intended to be created by the Security Documents. (b) [Reserved]. (c) If, after the Effective Date, any Loan Party acquires any Material Real Property or any real property owned by any Loan Party becomes Material Real Property, then such Loan Party shall promptly notify the Administrative Agent, and shall, within (60) days of such acquisition (or such later date as the Administrative Agent may agree in its reasonable discretion), cause such Material Real Property to be subjected to a Lien securing the Obligations and will take such actions as shall be reasonably necessary or reasonably requested by the Administrative Agent to grant and perfect or record such Lien, including the actions described in clause (e) of the definition of “Collateral and Guarantee Requirement”. (d) If, after the Effective Date, (i) any Vessel is constructed or acquired by any Loan Party and/or (ii) the granting of a Lien on any Vessel that is not already a Collateral Vessel is not prohibited by any financing arrangements with respect to such Vessel, the Company will promptly notify the Administrative Agent, and the Company will cause such Vessel to be subjected to a Lien securing the Obligations and will take, and cause the Guarantors to take, such actions as shall be necessary or reasonably requested by the Administrative Agent to grant and perfect such Lien, including the actions described in clause (f) of the definition of “Collateral and Guarantee Requirement”. (e) If, after the Effective Date, any Loan Party acquires any intellectual property consisting of a registered patent, trademark or copyright, any application for registration thereof, or any exclusive license to any registered U.S. copyright, then such Loan Party shall notify the Administrative Agent of such acquisition concurrently with the delivery of the next Financial Officer certificate required to be provided to the Administrative Agent pursuant to Section 5.01(c), and concurrently with the delivery of such notice, shall cause such intellectual property to be subjected to a Lien securing the Obligations and shall take such actions as shall be reasonably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509265-2360-19308-ACTIVE.66444598.5 112 TechnipFMC | Internal necessary or reasonably requested by the Administrative Agent to grant and perfect or record such Lien, including the actions described in clause (d) of the definition of “Collateral and Guarantee Requirement”. (f) If any other asset that has an individual book value in excess of $20,000,000 is acquired by the Borrowers or any Guarantor after the Effective Date (other than any asset constituting Collateral under any Security Document that becomes subject to the Lien created by such Security Document upon acquisition thereof), the Borrowers will notify the Administrative Agent, and, if requested by the Administrative Agent, the Borrowers will cause such assets to be subjected to a Lien securing the Obligations and will take, and cause the Guarantors to take, such actions as shall be necessary or reasonably requested by the Administrative Agent to grant and perfect such Liens, including the actions described in paragraph (a) of this Section, all at the expense of the Loan Parties. (II) On and after the Investment Grade Date, the Company shall, and shall cause each Restricted Subsidiary to, execute and deliver, or cause to be executed and delivered, to the Administrative Agent such documents, agreements, instruments, forms and notices and will take or cause to be taken such further actions which may be required by Requirements of Law or which the Administrative Agent may, from time to time, reasonably request to carry out the terms and conditions of this Agreement and the other Loan Documents, all at the expense of the Loan Parties. SECTION 5.14. Vessel Appraisals. During the Secured Period only, upon the Administrative Agent’s reasonable request, the Borrowers will, or will cause any Loan Party that is the owner of a Collateral Vessel to, obtain a valuation report (or updated valuation report) for each Collateral Vessel owned by it, in each case in form and substance consistent with those appraisals provided on or prior to the Effective Date for the Collateral Vessels and prepared by a reputable valuer; provided that no more than one such valuation report per Collateral Vessel shall be required to be delivered per year. SECTION 5.15. Post-Closing Covenants. To the extent that any of the following obligations, documents and/or security interests cannot be performed, provided, delivered or perfected on the Fifth Amendment Effective Date (except with respect to assets for which a Lien may be perfected by the filing of a financing statement under the Uniform Commercial Code) after the Borrowers’ or the relevant Loan Party’s use of commercially reasonable efforts to do so, the Borrowers shall comply, and shall cause each of the Loan Parties to comply, with each of the following obligations and/or deliver to the Administrative Agent each of the following documents, instruments, agreements and information, in each case, in form and substance satisfactory to the Administrative Agent, on or before the date set forth for each such item below (unless waived in accordance with Section 9.02): (a) Within five (5) Business Days of the Fifth Amendment Effective Date (or such longer period of time as the Administrative Agent may reasonably agree in its sole discretion), the Administrative Agent shall have received (i) a revised Schedule III to the New York-Law Security Agreement setting forth the Intellectual Property (as defined in the New York-Law Security Agreement) required to be listed thereon as of the Fifth Amendment Effective Date and (ii) an updated and complete Perfection Certificate as of the Fifth Amendment Effective Date, to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509265-2360-19308-ACTIVE.66444598.5 113 TechnipFMC | Internal extent the same (or any part thereof) is not delivered to the Administrative Agent in connection with the closing of the Performance LC Facility on the Fifth Amendment Effective Date. (b) Within 30 days of the Fifth Amendment Effective Date (or such longer period of time as the Administrative Agent may reasonably agree in its sole discretion), the Administrative Agent shall have received the certificates of insurance and related endorsements required by Section 5.07. (c) Within 30 days of the Fifth Amendment Effective Date (or such longer period of time as the Administrative Agent may reasonably agree in its sole discretion), the Administrative Agent, on behalf of the Secured Parties, shall have received from each Loan Party organized or incorporated in a non-U.S. Collateral Jurisdiction other than the United Kingdom, executed copies of, or counterparts or supplements or joinders to, (i) a reaffirmation agreement with respect to the exiting Liens and Guarantees, in form and substance reasonably satisfactory to the Administrative Agent, and (ii) the Pari Passu Intercreditor Agreement, together with such opinions, certificates, and other documentation as may be required by the Administrative Agent. (d) Within 60 days of the Fifth Amendment Effective Date (or such longer period of time as the Administrative Agent may reasonably agree in its sole discretion), and subject to Section 5.15(e), the Administrative Agent, on behalf of the Secured Parties, shall have received from each Loan Party organized or incorporated in a non-U.S. Collateral Jurisdiction, executed copies of, or counterparts or supplements to, any and all Security Documents required to create and/or maintain valid and perfected Liens over all Collateral over which a perfected Lien was not established or continued to the reasonable satisfaction of the Administrative Agent as of the Fifth Amendment Effective Date, together with such opinions, certificates, and other documentation as may be required by the Administrative Agent so as to cause the Collateral and Guarantee Requirement to be and remain satisfied, including a customary legal opinion relating to matters governed by the laws of the jurisdiction of the flag under which each Collateral Vessel is registered and in form and substance reasonably satisfactory to the Administrative Agent. (e) Within ninety (90) days of the Fifth Amendment Effective Date (or such later date as may be agreed to by the Administrative Agent in its reasonable discretion), the Borrowers shall, or shall cause the applicable Loan Party to, deliver the following with respect to each Mortgaged Property: (i) Written or e-mail confirmation from local counsel in the jurisdiction in which the Mortgaged Property is located substantially to the effect that: (i) the recording of the existing Mortgage is the only filing or recording necessary to give constructive notice to third parties of the lien created by such Mortgage as security for the Obligations, including the obligations evidenced by the Fifth Amendment and (ii) no other documents, instruments, filings, recordings, re-recordings, re-filings or other actions, including, without limitation, the payment of any mortgage recording Taxes or similar Taxes are necessary or appropriate under applicable law in order to maintain the continued enforceability, validity or priority of the Lien created by such Mortgage as security for the Obligations, including the obligations evidenced by the Fifth Amendment;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509265-2360-19308-ACTIVE.66444598.5 114 TechnipFMC | Internal (ii) an amendment to each Mortgage or a replacement Mortgage, as applicable in the applicable jurisdiction (each, a “Mortgage Amendment” and, collectively, the “Mortgage Amendments”), duly executed and acknowledged by the applicable Loan Party, and in form for recording in the applicable recording office in each case in form and substance reasonably satisfactory to the Administrative Agent; (iii) executed legal opinions from counsel to the Borrowers as to the enforceability of each Mortgage Amendment, and otherwise in form and substance reasonably satisfactory to the Administrative Agent; (iv) with respect to each amended Mortgage a date-down endorsement or similar title product to each existing title insurance policy insuring the Lien of each Mortgage, or in the case of any Mortgaged Property located in Texas, a new title policy (each a “Title Endorsement” and, collectively, the “Title Endorsements”) (x) insuring that such Mortgage, as amended by such Mortgage Amendment, is a valid and enforceable lien on such Mortgaged Property in favor of the Administrative Agent for the benefit of the Secured Parties free and clear of all Liens except Permitted Liens (as defined in the Mortgage) and (y) otherwise in form and substance reasonably satisfactory to the Administrative Agent; (v) evidence reasonably acceptable to the Administrative Agent of payment by Borrowers of all premiums, search and examination charges, escrow charges and related charges, mortgage recording Taxes, fees, charges, costs and expenses required for the recording of the Mortgage Amendments and issuance of the Title Endorsements; and (vi) such affidavits, certificates, information (including financial data) and instruments of indemnification (including a so-called “gap” indemnification) as shall be required to induce the title insurer to issue the Title Endorsements; provided that, for purposes of Real Property Mortgages in Brazil, the delivery of evidence to the Administrative Agent or its counsel of filing (protocolo) of the Real Property Mortgages with the relevant registry(ies) shall suffice for purposes of the foregoing so long as the registration of such Brazilian Real Property Mortgages is completed by the Loan Parties as soon as reasonably practicable thereafter. SECTION 5.16. Designation of Subsidiaries. The Borrowers may at any time designate any Restricted Subsidiary as an Unrestricted Subsidiary or any Unrestricted Subsidiary as a Restricted Subsidiary; provided that (a) immediately before and after such designation, (i) no Default or Event of Default shall have occurred and be continuing or would result from such designation, (ii) the Company shall be in compliance with the Financial Covenants on a Pro Forma Basis and (iii) the representations and warranties of each Loan Party set forth in the Loan Documents shall be true and correct in all material respects (or, in the case of representations and warranties qualified as to materiality, in all respects) on and as of the date of such designation, except in the case of any such representation and warranty that expressly relates to a prior date, in which case such representation and warranty shall be true and correct in all material respects (or in all respects, as applicable) as of such earlier date, and (b) no Subsidiary may be designated as an Unrestricted Subsidiary if it is a “restricted subsidiary” or a “guarantor” (or any similar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509265-2360-19308-ACTIVE.66444598.5 115 TechnipFMC | Internal designation) for any Material Indebtedness. The designation of any Subsidiary as an Unrestricted Subsidiary shall constitute an Investment by the parent company of such Subsidiary therein under Section 6.04(u) at the date of designation in an amount equal to the net book value of such parent company’s investment therein. The designation of any Unrestricted Subsidiary as a Restricted Subsidiary shall constitute the incurrence at the time of designation of any Indebtedness or Liens of such Subsidiary, and the making of an Investment by such Subsidiary in any Investments of such Subsidiary, in each case existing at such time. Within 10 days (or such shorter period of time as the Administrative Agent may reasonably agree to in writing) following any designation described above, the Company will deliver to the Administrative Agent a notice of such designation accompanied by a certificate signed by a Responsible Officer certifying compliance with all requirements of this Section 5.16 and setting forth all information required in order to establish such compliance. ARTICLE VI Negative Covenants Until the Commitments shall have expired or been terminated and the principal of and interest on each Loan and all fees, expenses, other amounts (other than contingent amounts not yet due) payable under this Agreement or any other Loan Document and the other Loan Document Obligations have been paid in full, and all Letters of Credit (other than those collateralized or back- stopped on terms reasonably satisfactory to the applicable Issuing Bank) have expired or been terminated and all LC Disbursements shall have been reimbursed, the Borrowers covenant and agree (provided that notwithstanding anything to the contrary set forth in this Agreement or any other Loan Document, no provision of this Agreement or any other Loan Document shall prevent or restrict the consummation of any of the Transactions, nor shall the Transactions give rise to any Default, or constitute the utilization of any basket, under this Agreement (including this Article VI) or any other Loan Document) with the Lenders that: SECTION 6.01. Indebtedness. (I) During the Secured Period only, the Borrowers will not, nor will they permit any of their Restricted Subsidiaries to, create, incur, assume or permit to exist any Indebtedness, except: (a) Indebtedness created hereunder and under the other Loan Documents; (b) (i) the Senior Unsecured Notes in an aggregate principal amount not to exceed $202,892,000 and (ii) Refinancing Indebtedness in respect of such Senior Unsecured Notes (it being understood and agreed that, for purposes of this Section, any Indebtedness that is incurred for the purpose of repurchasing or redeeming any Senior Unsecured Notes (or any Refinancing Indebtedness in respect thereof) shall, if otherwise meeting the requirements set forth in the definition of the term “Refinancing Indebtedness,” be deemed to be Refinancing Indebtedness in respect of the Senior Unsecured Notes (or such Refinancing Indebtedness), and shall be permitted to be incurred and be in existence, notwithstanding that the proceeds of such Refinancing Indebtedness shall not be applied to make such repurchase or redemption of the Senior Unsecured Notes (or such Refinancing Indebtedness) immediately upon the incurrence thereof, if the proceeds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509265-2360-19308-ACTIVE.66444598.5 116 TechnipFMC | Internal of such Refinancing Indebtedness are applied to make such repurchase or redemption no later than 90 days following the date of the incurrence thereof); (c) Indebtedness existing on the Second Amendment Effective Date and set forth in Schedule 6.01 and any Refinancing Indebtedness in respect thereof; (d) Indebtedness of the Borrowers to any Restricted Subsidiary and of any Restricted Subsidiary to the Borrowers or any other Restricted Subsidiary; provided that (i) Indebtedness of any Subsidiary that is not a Loan Party to the Borrowers or any Guarantor shall be subject to Section 6.04 and (ii) Indebtedness of the Borrowers or any Guarantor to any Restricted Subsidiary that is not a Guarantor shall be subordinated to the Obligations on terms reasonably acceptable to the Administrative Agent; (e) Guarantees by the Borrowers of Indebtedness of any Restricted Subsidiary and by any Restricted Subsidiary of Indebtedness of the Borrowers or any other Restricted Subsidiary; provided that (i) the Indebtedness so Guaranteed is permitted by this Section (other than clause (c) or (g)), (ii) Guarantees by the Borrowers or any Guarantor of Indebtedness of any Subsidiary that is not a Loan Party shall be subject to Section 6.04, (iii) if the Indebtedness so Guaranteed is subordinated to the Obligations, Guarantees permitted under this clause (e) shall be subordinated to the Obligations to the same extent and on the same terms as the Indebtedness so Guaranteed is subordinated to the Obligations and (iv) none of the Senior Unsecured Notes shall be Guaranteed by any Restricted Subsidiary unless such Restricted Subsidiary is a Guarantor; (f) (i) Indebtedness of the Borrowers or any Restricted Subsidiary incurred after the Fifth Amendment Effective Date to finance the acquisition, construction, repair, replacement or improvement of any fixed or capital assets, including Capital Lease Obligations and any Indebtedness assumed by the Borrowers or any Restricted Subsidiary in connection with the acquisition of any such assets or secured by a Lien on any such assets prior to the acquisition thereof; provided that such Indebtedness is incurred prior to or within 270 days after such acquisition or the completion of such construction, repair, replacement or improvement, and (ii) Refinancing Indebtedness in respect of Indebtedness incurred or assumed pursuant to subclause (i) above; provided, further, that at the time of incurrence thereof, the aggregate principal amount of Indebtedness incurred pursuant to this clause (f) shall not exceed the greater of (A) $150,000,000 and (B) 1.50% of Consolidated Total Assets determined at the time of incurrence; (g) (i) Indebtedness of any Person that becomes a Restricted Subsidiary (or of any Person not previously a Restricted Subsidiary that is merged or consolidated with or into the Borrowers or a Restricted Subsidiary in a transaction permitted hereunder) after the Effective Date, or Indebtedness of any Person that is assumed by the Borrowers or any Restricted Subsidiary in connection with an acquisition of assets by the Borrowers or such Restricted Subsidiary in an acquisition permitted by Section 6.04; provided that (A) such Indebtedness exists at the time such Person becomes a Restricted Subsidiary (or is so merged or consolidated) or such assets are acquired and is not created in contemplation of or in connection with such Person becoming a Restricted Subsidiary (or such merger or consolidation) or such assets being acquired and (B) after giving effect to such Indebtedness on a Pro Forma Basis, the Borrowers would be in compliance with the Financial Covenants and (ii) Refinancing Indebtedness in respect of Indebtedness incurred or assumed, as applicable, pursuant to clause (i) above;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509265-2360-19308-ACTIVE.66444598.5 117 TechnipFMC | Internal (h) other Indebtedness in an aggregate principal amount not exceeding at the time of incurrence thereof, the greater of (i) $200,000,000 and (ii) 2.00% of Consolidated Total Assets determined at the time of incurrence; (i) Indebtedness owed to any Person (including obligations in respect of letters of credit for the benefit of such Person) providing workers’ compensation, health, disability or other employee benefits or property, casualty or liability insurance, pursuant to reimbursement or indemnification obligations to such Person, in each case incurred in the ordinary course of business; (j) Indebtedness in respect of performance bonds, bid bonds, appeal bonds, surety bonds, performance and completion guarantees and similar obligations (other than in respect of other Indebtedness), in each case provided in the ordinary course of business; (k) Indebtedness in respect of Hedging Agreements; (l) Indebtedness owed in respect of any overdrafts and related liabilities arising from treasury, depositary and Cash Management Services or in connection with any automated clearinghouse transfers of funds; provided that such Indebtedness shall be repaid in full within five Business Days of the incurrence thereof; (m) Indebtedness in the form of purchase price adjustments, earnouts, non-competition agreements or other arrangements representing acquisition consideration or deferred payments of a similar nature incurred in connection with any acquisition or other investment permitted under Section 6.04; (n) Indebtedness in respect of Supply Chain Financings not to exceed $200,000,000 in the aggregate at any time; (o) Indebtedness incurred under a declaration of joint and several liability (hoofdelijke aansprakelijkheid) in respect of any Restricted Subsidiary organized in the Netherlands used for the purpose of section 2:403 of the Dutch Civil Code (Burgerlijk Wetboek) (and any residual liability (overblijvende aansprakelijkheid) under such declaration arising pursuant to section 2:404(2) of the Dutch Civil Code); (p) Indebtedness (including Guarantees) arising as a result of a fiscal unity (fiscale eenheid) for Dutch tax purposes with any other Restricted Subsidiary organized in the Netherlands; (q) Indebtedness representing deferred compensation to directors, officers, consultants or employees of the Borrowers and their Restricted Subsidiaries incurred in the ordinary course of business; (r) Indebtedness consisting of promissory notes issued by any Loan Party to current or former officers, directors, consultants and employees or their respective estates, spouses or former spouses to finance the purchase or redemption of Equity Interests of the Borrowers permitted by Section 6.08;</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509265-2360-19308-ACTIVE.66444598.5 118 TechnipFMC | Internal (s) Indebtedness of Foreign Subsidiaries incurred after the Fifth Amendment Effective Date in an aggregate principal amount, at the time of incurrence thereof, not exceeding the greater of (i) $250,000,000 at any time outstanding and (ii) 2.50% of Consolidated Total Assets determined at the time of incurrence; (t) other unsecured Indebtedness in an aggregate principal amount not to exceed $1,000,000,000 and Refinancing Indebtedness in respect thereof; (u) Indebtedness under the Performance LC Facility in an aggregate face amount not to exceed $500,000,000, subject to any Commitment Increase (as defined in the Performance LC Credit Agreement) entered into after the Fifth Amendment Effective Date in an aggregate amount not to exceed $500,000,000; and (v) Indebtedness (including Guarantees thereof) incurred by the Company or a Restricted Subsidiary in connection with the acquisition, construction or repair of any Vessel and any Refinancing Indebtedness in respect thereof; provided that (i) no Default or Event of Default exists at the time such Indebtedness is incurred or would result therefrom; (ii) such Indebtedness is incurred prior to or within 365 days after such acquisition or the completion of such construction or repair or exists at the time of such acquisition, construction or repair, (iii) such Indebtedness does not exceed the cost of acquiring, constructing or repairing such Vessel (plus fees and expenses related thereto); and (iv) the Company shall be in compliance with the Financial Covenants on a Pro Forma Basis immediately after giving pro forma effect thereto and any contemporaneous repayment of other Indebtedness (any such Indebtedness being a “Permitted Vessel Financing”); provided that, notwithstanding the foregoing, Indebtedness permitted to be incurred under Section 6.01(I)(f) and/or Section 6.01(I)(s) as in effect immediately prior to the Fifth Amendment Effective Date, to the extent outstanding on the Fifth Amendment Effective Date and set forth on Schedule 6.01(A) or Schedule 6.01(B), respectively, and any Refinancing Indebtedness in respect thereof, shall be permitted. (II) On the Investment Grade Date and at any time thereafter, the Borrowers will not, nor will they permit any of their Restricted Subsidiaries to, create, incur, assume or permit to exist any Priority Indebtedness except (a) Indebtedness described in Section 6.01(I) (other than clauses (h) and (t) thereof); and (b) other Indebtedness in an aggregate principal amount at any time outstanding not to exceed the greater of (i) $500,000,000 and (ii) 15% of Consolidated Net Tangible Assets; provided that the aggregate outstanding principal amount of all such Indebtedness of Restricted Subsidiaries that are not Guarantors shall not exceed $250,000,000 at any time. SECTION 6.02. Liens. The Borrowers will not, nor will they permit any of their Restricted Subsidiaries to, create, incur, assume or permit to exist any Lien on any asset now owned or hereafter acquired by it, except: (a) Liens created under the Loan Documents (other than in respect of Secured Supply Chain Financings and Secured LC Facilities); (b) Permitted Encumbrances;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509265-2360-19308-ACTIVE.66444598.5 119 TechnipFMC | Internal (c) any Lien on any asset of the Borrowers or any Restricted Subsidiary existing on the Effective Date and set forth in Schedule 6.02(A); provided that (i) such Lien shall not apply to any other asset of the Borrowers or any Restricted Subsidiary (other than assets financed by the same financing source in the ordinary course of business), and (ii) such Lien shall secure only those obligations that it secures on the Effective Date and extensions, renewals, replacements and refinancings thereof so long as the principal amount of such extensions, renewals, replacements and refinancings does not exceed the principal amount of the obligations being extended, renewed, replaced or refinanced or, in the case of any such obligations constituting Indebtedness, that are permitted under Section 6.01(I)(c) as Refinancing Indebtedness in respect thereof; (d) any Lien existing on any asset prior to the acquisition thereof by the Borrowers or any Restricted Subsidiary or existing on any asset of any Person that becomes a Restricted Subsidiary (or of any Person not previously a Restricted Subsidiary that is merged or consolidated with or into the Borrowers or a Restricted Subsidiary in a transaction permitted hereunder) after the Effective Date but prior to the time such Person becomes a Restricted Subsidiary (or is so merged or consolidated); provided that (i) such Lien is not created in contemplation of or in connection with such acquisition or such Person becoming a Restricted Subsidiary (or such merger or consolidation), (ii) such Lien shall not apply to any other asset of the Borrowers or any Restricted Subsidiary (other than (x) assets financed by the same financing source in the ordinary course of business and (y) in the case of any such merger or consolidation, the assets of any special purpose merger Subsidiary that is a party thereto) and (iii) such Lien shall secure only those obligations that it secures on the date of such acquisition or the date such Person becomes a Restricted Subsidiary (or is so merged or consolidated) and extensions, renewals, replacements and refinancings thereof so long as the principal amount of such extensions, renewals and replacements does not exceed the principal amount of the obligations being extended, renewed or replaced or, in the case of any such obligations constituting Indebtedness, that are permitted under Section 6.01(I)(g) as Refinancing Indebtedness in respect thereof; (e) Liens on fixed or capital assets acquired, constructed, repaired, replaced or improved (including any such assets made the subject of a Capital Lease Obligation incurred) by the Borrowers or any Restricted Subsidiary; provided that (i) such Liens secure Indebtedness incurred to finance such acquisition, construction, repair, replacement or improvement and permitted by Section 6.01(I)(f)(i) or any Refinancing Indebtedness in respect thereof permitted by Section 6.01(I)(f)(ii) (including, in each case, any such Indebtedness existing on the Fifth Amendment Effective Date and set forth on Schedule 6.01(A) and any Refinancing Indebtedness in respect thereof), (ii) such Liens and the Indebtedness secured thereby are incurred prior to or within 270 days after such acquisition or the completion of such construction, repair, replacement or improvement (provided that this clause (ii) shall not apply to any Refinancing Indebtedness (x) permitted by Section 6.01(I)(f)(ii) or (y) in respect of Indebtedness set forth on Schedule 6.01(A) or, in each case, any Lien securing such Refinancing Indebtedness), (iii) the Indebtedness secured thereby does not exceed the cost of acquiring, constructing, repairing, replacing or improving such fixed or capital asset and in any event, the aggregate principal amount of such Indebtedness does not exceed the sum of (A) the amount permitted under the second proviso of Section 6.01(I)(f) and (B) the aggregate principal amount of the Indebtedness set forth on Schedule 6.01(A) and (iv) such Liens shall not apply to any other property or assets of the Borrowers or any Restricted Subsidiary (except assets financed by the same financing source in the ordinary course of business);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509265-2360-19308-ACTIVE.66444598.5 120 TechnipFMC | Internal (f) in connection with the sale or transfer of any Equity Interests or other assets in a transaction permitted under Section 6.05, customary rights and restrictions contained in agreements relating to such sale or transfer pending the completion thereof; (g) in the case of (i) any Restricted Subsidiary that is not a wholly owned Subsidiary or (ii) the Equity Interests in any Person that is not a Restricted Subsidiary, any encumbrance or restriction, including any put and call arrangements, related to Equity Interests in such Restricted Subsidiary or such other Person set forth in the organizational documents of such Restricted Subsidiary or such other Person or any related joint venture, shareholders’ or similar agreement; (h) Liens solely on any cash earnest money deposits, escrow arrangements or similar arrangements made by the Borrowers or any Restricted Subsidiary in connection with any letter of intent or purchase agreement for an acquisition or other transaction permitted hereunder; (i) Liens securing Indebtedness under Secured Supply Chain Financings in an amount not to exceed $200,000,000 in the aggregate at any time; (j) during the Secured Period only, Liens securing Indebtedness under Secured LC Facilities in an amount not to exceed $1,000,000,000 in the aggregate at any time; provided that in no event shall the aggregate amount of Indebtedness secured by Liens pursuant to this clause (j) and clause (m) below exceed $1,500,000,000; (k) Liens arising under the Dutch General Banking Conditions (Algemene Bankvoorwaarden) or any similar term applied by a financial institution in the Netherlands pursuant to its general terms and conditions; (l) during the Secured Period only, Liens (i) not otherwise permitted by this Section to the extent that such Liens are junior or subordinated to the Liens securing the Obligations and are subject to a Junior Lien Intercreditor Agreement, if applicable, or (ii) that do not encumber any Collateral; provided that, for each of clauses (i) and (ii) combined, the aggregate outstanding principal amount of the obligations secured thereby, at the time of incurrence thereof, does not exceed the greater of (A) $150,000,000 and (B) 1.50% of Consolidated Total Assets determined at the time of incurrence; (m) Liens securing Indebtedness under the Performance LC Facility; (n) Liens on accounts receivable and related assets incurred pursuant to any Qualified Receivables Financing; (o) Liens securing any Permitted Vessel Financing permitted under Section 6.01(I)(v); provided that such Liens shall not attach to (i) any property or assets (other than related contracts, intangibles, and other assets that are incidental thereto or arise therefrom, including improvements on and the proceeds or products thereof) of the Company or any Restricted Subsidiary other than the Vessel constructed or acquired with the proceeds of such Permitted Vessel Financing or (ii) for the avoidance of doubt, any Collateral Vessel; and (p) on the Investment Grade Date and at any time thereafter, (i) Liens that do not secure Indebtedness; (ii) Liens encumbering reasonable customary deposits of cash and cash equivalents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509265-2360-19308-ACTIVE.66444598.5 121 TechnipFMC | Internal securing obligations in respect of Hedging Agreements; (iii) Liens which secure Indebtedness permitted under Section 6.01(II)(b) in an aggregate principal amount not to exceed at any time outstanding the greater of (A) $500,000,000 and (B) 15% of Consolidated Net Tangible Assets; and (iv) Liens arising from the deposit of funds or securities in trust for the purpose of decreasing or defeasing Indebtedness so long as such Indebtedness is permitted under Section 6.01. Notwithstanding anything to the contrary contained in the foregoing, during the Secured Period only, (A) the Borrowers will not, and will not permit any of their Restricted Subsidiaries to create, incur, assume, or suffer to exist, directly or indirectly, any Lien on or with respect to any Real Property set forth on Schedule 6.02(B); provided that, for the avoidance of doubt, the foregoing restriction shall not prohibit any sale, transfer, lease or other disposition of such Real Property otherwise permitted by this Agreement; and (B) no bank guaranty, letter of guaranty, letter of credit (other than a Letter of Credit issued pursuant to this Agreement) or any similar instrument issued for the account of any Loan Party or its Restricted Subsidiaries may be secured by any Lien other than Liens permitted under Section 6.02(j), Section 6.02(m) or clauses (c) or (d) of the definition of Permitted Encumbrances. SECTION 6.03. Fundamental Changes. (a) The Borrowers will not, nor will they permit any of their Restricted Subsidiaries to, merge into or consolidate with any other Person, or permit any other Person to merge into or consolidate with it, or liquidate or dissolve, except that, (i) any Person may merge into or consolidate with the Company in a transaction in which the Company is the surviving entity; (ii) any Person (other than the Company) may merge into or consolidate with any Restricted Subsidiary in a transaction in which the surviving entity is a Restricted Subsidiary and, if any party to such merger or consolidation is a Guarantor, is a Guarantor; provided that if such transaction involves the U.S. Borrower or FinanceCo, the U.S. Borrower or FinanceCo, as applicable, shall be the surviving entity; and (iii) any Restricted Subsidiary other than the U.S. Borrower and FinanceCo may liquidate or dissolve if the Company determines in good faith that such liquidation or dissolution is in the best interests of the Borrowers and is not materially disadvantageous to the Lenders; provided that any such merger or consolidation involving a Person that is not a wholly owned Restricted Subsidiary immediately prior to such merger or consolidation shall not be permitted unless (A) at the time thereof and immediately after giving effect thereto no Event of Default shall have occurred and be continuing, and (B) such merger or consolidation is also permitted by Section 6.04. (b) The Borrowers will not, nor will they permit any Restricted Subsidiary to, engage to any material extent in any business other than a Permitted Business. SECTION 6.04. Investments, Loans, Advances, Guarantees and Acquisitions. The Borrowers will not, nor will they permit any of their Restricted Subsidiaries to, purchase, hold or acquire (including pursuant to any merger or consolidation with any Person that was not a wholly owned Restricted Subsidiary prior to such merger or consolidation) any Equity Interests in or evidences of Indebtedness or other securities (including any option, warrant or other right to acquire any of the foregoing) of, make or permit to exist any loans or advances to, Guarantee any obligations of, or make or permit to exist any investment in, any other Person, or purchase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509265-2360-19308-ACTIVE.66444598.5 122 TechnipFMC | Internal otherwise acquire (in one transaction or a series of transactions) any assets of any other Person constituting a business unit (each of the foregoing, an “Investment”), except: (a) Permitted Investments; (b) Investments constituting the purchase or other acquisition (in one transaction or a series of related transactions) of all or substantially all of the property and assets or business of any Person or of assets constituting a business unit, a line of business or division of such Person, or the Equity Interests in a Person that, upon the consummation thereof, will be a Restricted Subsidiary if, after giving effect thereto on a Pro Forma Basis, the Borrowers would be in compliance with the Financial Covenants; provided that the aggregate amount of cash consideration paid in respect of such Investments (including in the form of loans or advances made to Restricted Subsidiaries that are not Loan Parties) by Loan Parties involving the acquisition of Restricted Subsidiaries that do not become Loan Parties (together with Investments permitted under subclause (ii) of clause (e) of this Section) shall not exceed, at the time such Investment is made and after giving effect thereto, the greater of (A) $50,000,000 and (B) 0.50% of Consolidated Total Assets determined at the time of investment; (c) cash and cash equivalents; (d) (i) Investments (including intercompany loans and advances) existing on the Effective Date in the Borrowers and the Restricted Subsidiaries and (ii) other Investments existing on the Fifth Amendment Effective Date and set forth on Schedule 6.04; (e) Investments made by any Loan Party (i) in any other Loan Party or (ii) in Restricted Subsidiaries that are not Loan Parties; provided that (A) any Equity Interests held by a Loan Party shall be pledged or charged to the extent required by the definition of the term “Collateral and Guarantee Requirement”, (B) any loans and advances made by a Loan Party shall be evidenced, on and after the Effective Date, by a promissory note pledged or charged pursuant to the Security Documents and (C) the aggregate amount of all Investments permitted under subclause (ii) of this clause (e) (together with Investments permitted under clause (b) of this Section) shall not exceed, at the time such Investment is made and after giving effect thereto, the greater of (A) $300,000,000 and (B) 3.00% of Consolidated Total Assets determined at the time of investment (in each case determined without regard to any write-downs or write-offs); (f) [reserved]; (g) [reserved]; (h) loans or advances to directors, officers, consultants or employees of the Borrowers or any Restricted Subsidiary made in the ordinary course of business of the Borrowers or such Restricted Subsidiary, as applicable, not exceeding $25,000,000 in the aggregate outstanding at any time (determined without regard to any write-downs or write-offs of such loans or advances); (i) payroll, travel and similar advances to cover matters that are expected at the time of such advances ultimately to be treated as expenses of the Borrowers or any Restricted Subsidiary for accounting purposes and that are made in the ordinary course of business;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509265-2360-19308-ACTIVE.66444598.5 123 TechnipFMC | Internal (j) Investments received in connection with the bankruptcy or reorganization of, or settlement of delinquent accounts and disputes with, customers and suppliers, in each case in the ordinary course of business; (k) Investments in the form of Hedging Agreements; (l) Investments of any Person existing at the time such Person becomes a Restricted Subsidiary or consolidates or merges with the Borrowers or any Restricted Subsidiary so long as such Investments were not made in contemplation of such Person becoming a Restricted Subsidiary or of such consolidation or merger; (m) Investments resulting from pledges or deposits described in clause (c) or (d) of the definition of the term “Permitted Encumbrance”; (n) Investments made as a result of the receipt of noncash consideration from a sale, transfer, lease or other disposition of any asset in compliance with Section 6.05; (o) Investments that result solely from the receipt by the Borrowers or any Restricted Subsidiary from any of their subsidiaries of a dividend or other Restricted Payment in the form of Equity Interests, evidences of Indebtedness or other securities (but not any additions thereto made after the date of the receipt thereof); (p) receivables or other trade payables owing to the Borrowers or a Restricted Subsidiary if created or acquired in the ordinary course of business and payable or dischargeable in accordance with customary trade terms; provided that such trade terms may include such concessionary trade terms as the Borrowers or any Restricted Subsidiary deems reasonable under the circumstances; (q) mergers and consolidations permitted under Section 6.03 that do not involve any Person other than the Borrowers and Restricted Subsidiaries that are wholly owned Restricted Subsidiaries; (r) Investments made in connection with any Qualified Receivables Financing, including Investments made to fund the payment of fees and expenses incurred in connection with any Qualified Receivables Financing and the purchase of assets pursuant to a Receivables Repurchase Obligation; (s) Guarantees by the Borrowers or any Restricted Subsidiary of leases (other than Capital Lease Obligations) or of other obligations that do not constitute Indebtedness, in each case entered into in the ordinary course of business; (t) Investments by the Borrower or any Restricted Subsidiary if, on a Pro Forma Basis after giving effect thereto including all related commitments for future Investments (and the principal amount of any Indebtedness that is assumed or otherwise incurred in connection with such Investment), the Total Leverage Ratio is less than 2.75 to 1.00; (u) other Investments by the Borrowers or any Restricted Subsidiary in an aggregate amount, as valued at cost at the time each such Investment is made and including all related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509265-2360-19308-ACTIVE.66444598.5 124 TechnipFMC | Internal commitments for future Investments, in an aggregate amount not exceeding, at the time such Investments are made and after giving effect thereto, the greater of (i) $300,000,000 and (ii) 3.00% of Consolidated Total Assets determined at the time of investment; (v) Permitted Joint Venture Investments made by the Company or any of its Restricted Subsidiaries, in an aggregate amount (measured on the date each such Investment was made and without giving effect to subsequent changes in value), when taken together with all other Investments made pursuant to this clause (v) and then outstanding, that does not exceed the greater of (i) $100,000,000 and (ii) 1.00% of Consolidated Total Assets determined at the time of investment; and (w) upon the occurrence of the Investment Grade Date and at any time thereafter, Investments that (i) do not violate the articles or certificate of incorporation or by-laws or partnership agreement or limited liability company operating agreement of any Borrower or any Restricted Subsidiary and (ii) immediately before and immediately after giving pro forma effect to any such Investment, the Borrowers and their Restricted Subsidiaries are in compliance with Section 6.03(b). Notwithstanding anything to the contrary contained herein, (i) Investments in Unrestricted Subsidiaries shall only be permitted (A) during the Secured Period, in an aggregate amount for all such Investments up to the greater of (1) $150,000,000 and (2) 1.50% of Consolidated Total Assets, and (B) upon the occurrence of the Investment Grade Date, in an aggregate amount for all such Investments up to the greater of (1) $350,000,000 and (2) 3.50% of Consolidated Net Tangible Assets, determined at the time of investment, and (ii) the making of any such Investment shall be permitted only to the extent that (A) no Default or Event of Default shall have occurred and be continuing or would result from the making of such Investment and (B) the Company shall be in compliance with the Financial Covenants on a Pro Forma Basis. SECTION 6.05. Asset Sales. The Borrowers will not, nor will they permit any of their Restricted Subsidiaries to, sell, transfer, lease, license or otherwise dispose of all or substantially all of their respective assets or, at any time prior to the Investment Grade Date, any asset, including, in each case, Equity Interests owned by it, nor, at any time prior to the occurrence of the Investment Grade Date, will the Borrowers permit any Restricted Subsidiary to issue any additional Equity Interest in such Restricted Subsidiary (other than issuing directors’ qualifying shares and other than issuing Equity Interests to the Borrowers or another Restricted Subsidiary), except: (a) sales, transfers, leases and other dispositions of (i) inventory, (ii) used, obsolete or surplus equipment, (iii) property no longer used or useful in the conduct of the business of the Borrowers and the Restricted Subsidiaries (including intellectual property, subject to Section 5.04(b)), (iv) immaterial assets and (v) cash and Permitted Investments, in each case in the ordinary course of business; (b) sales, transfers, leases and other dispositions to the Borrowers or a Restricted Subsidiary; provided that any such sales, transfers, leases or other dispositions involving a Restricted Subsidiary that is not a Loan Party shall, to the extent applicable, be made in compliance with Section 6.04;</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509265-2360-19308-ACTIVE.66444598.5 125 TechnipFMC | Internal (c) sales, transfers and other dispositions of accounts receivable in connection with the compromise, settlement or collection thereof not as part of any accounts receivables financing transaction; (d) (i) sales, transfers, leases and other dispositions of assets to the extent that such assets constitute an Investment permitted by clause (j), (l) or (n) of Section 6.04 or another asset received as consideration for the disposition of any asset permitted by this Section (in each case, other than Equity Interests in a Restricted Subsidiary, unless all Equity Interests in such Restricted Subsidiary (other than directors’ qualifying shares) are sold) and (ii) sales, transfers, and other dispositions of the Equity Interests of a Restricted Subsidiary by the Borrowers or a Restricted Subsidiary to the extent such sale, transfer or other disposition would be permissible as an Investment in a Restricted Subsidiary permitted by Section 6.04(e) or (u); (e) leases or subleases entered into in the ordinary course of business, to the extent that they do not materially interfere with the business of the Borrowers or any Restricted Subsidiary and in the case of any Mortgaged Property within England only where such leases are granted to utility providers and are in a standard form utility substation or gas governor lease; (f) non-exclusive licenses or sublicenses of intellectual property in the ordinary course of business, to the extent that they do not materially interfere with the business of the Borrowers or any Restricted Subsidiary; (g) dispositions resulting from any casualty or other insured damage to, or any taking under power of eminent domain or by condemnation or similar proceeding of, any asset of the Borrowers or any Restricted Subsidiary; (h) dispositions of assets to the extent that (i) such assets are exchanged for credit against the purchase price of similar replacement assets or (ii) the proceeds of such disposition are promptly applied to the purchase price of such replacement assets; (i) dispositions permitted by Section 6.08; (j) sales, transfers or other dispositions of accounts receivable and related assets (and any bank or deposit accounts into which collections thereon may be deposited) in connection with any Qualified Receivables Financing; (k) sales, transfers, leases, licenses and other dispositions of assets if (i) on a Pro Forma Basis after giving effect thereto, the Total Leverage Ratio is less than 3.00 to 1.00 and (ii) no Event of Default has occurred and is continuing at the time of such sale, transfer, lease or other disposition or would result therefrom; (l) [Reserved]; and (m) sales, transfers, leases, licenses and other dispositions of assets that are not permitted by any other clause of this Section; provided that (i) the aggregate fair value of all assets sold, transferred, leased, licensed or otherwise disposed of in reliance upon this clause (m) shall not exceed, during the term of this Agreement, the sum of (A) the greater of (1) $500,000,000 and (2) 5.00% of Consolidated Total Assets and (B) the amount of any proceeds received by the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509265-2360-19308-ACTIVE.66444598.5 126 TechnipFMC | Internal Company or any Restricted Subsidiary in connection with the Specified Asset Sales and (ii) no Event of Default has occurred and is continuing at the time of such sale, transfer, lease or other disposition or would result therefrom; provided that all sales, transfers, leases, licenses and other dispositions permitted by clauses (k) and (m) shall be made for fair value (as determined in good faith by the Borrowers), and at least 75% of the aggregate consideration from all sales, transfers, leases and other dispositions permitted by clauses (k) and (m) and made on or after the Effective Date, on a cumulative basis, is in the form of cash or cash equivalents; provided, further, that (i) any consideration in the form of Permitted Investments that are disposed of for cash consideration within 30 Business Days after such sale, transfer or other disposition shall be deemed to be cash consideration in an amount equal to the amount of such cash consideration for purposes of this proviso; (ii) any liabilities (as shown on the Company’s most recent balance sheet provided hereunder or in the footnotes thereto) of a Borrower or such Restricted Subsidiary, other than liabilities that are by their terms subordinated to the payment in cash of the Obligations, that are assumed by the transferee with respect to the applicable sale, transfer, lease or other disposition and for which the Borrowers and all the Restricted Subsidiaries shall have been validly released by all applicable creditors in writing shall be deemed to be cash consideration in an amount equal to the liabilities so assumed; and (iii) any Designated Non-Cash Consideration received by such Borrower or such Restricted Subsidiary in respect of any such sale, transfer, lease or other disposition having an aggregate fair market value, taken together with all other Designated Non-Cash Consideration received pursuant to this clause (iii) that is at that time outstanding, not in excess of $50,000,000 at the time of the receipt of such Designated Non-Cash Consideration (with the fair market value of each item of Designated Non- Cash Consideration being measured at the time received and without giving effect to subsequent changes in value) shall be deemed to be cash consideration. SECTION 6.06. [Reserved]. SECTION 6.07. Use of Proceeds and Letters of Credit. No part of the proceeds of any Loan will be used, whether directly or indirectly, for any purpose that entails a violation of any of the regulations of the Federal Reserve Board, including Regulations T, U and X. The Borrowers will not request any Borrowing or Letter of Credit, and the Borrowers shall not use, and shall procure that their Subsidiaries and their or their respective directors, officers, employees and agents shall not use, the proceeds of any Borrowing or Letter of Credit (A) in furtherance of an offer, payment, promise to pay, or authorization of the payment or giving of money, or anything else of value, to any Person in violation of any Anti-Corruption Laws, (B) for the purpose of funding, financing or facilitating any activities, business or transaction of or with any Sanctioned Person, or in any Sanctioned Country, except to the extent permitted for a Person required to comply with Sanctions, or (C) in any manner that would result in the violation of any Sanctions applicable to any party hereto. SECTION 6.08. Restricted Payments; Certain Payments of Junior Indebtedness. (a) The Borrowers will not, nor will they permit any of their Restricted Subsidiaries to, declare or make, or agree to pay or make, directly or indirectly, any Restricted Payment, or incur any obligation (contingent or otherwise) to do so, except that: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509265-2360-19308-ACTIVE.66444598.5 127 TechnipFMC | Internal (i) Permitted Tax Distributions may be made; (ii) any Restricted Subsidiary may declare and pay dividends or make other distributions with respect to its Equity Interests, or make other Restricted Payments in respect of its Equity Interests, in each case ratably to the holders of such Equity Interests (or better, with respect to any holders that are Loan Parties or Restricted Subsidiaries); (iii) [reserved]; (iv) the Company may declare and pay dividends with respect to its Equity Interests payable solely in shares of Qualified Equity Interests; (v) the Company may make Restricted Payments, not exceeding $25,000,000 during any fiscal year, for the repurchase, retirement, cancellation or other acquisition or retirement for value of Equity Interests of the Company and its Restricted Subsidiaries held by any future, present or former employee, director, manager or consultant of the Company and its Restricted Subsidiaries pursuant to any management equity plan or stock option plan or any other management or employee benefit plan or agreement, or any stock subscription or stockholder agreement; (vi) [reserved]; (vii) the Company may make cash payments in lieu of the issuance of fractional shares in connection with the exercise of warrants, options or other securities convertible into or exchangeable for Equity Interests in the Company; (viii) the Company may repurchase Equity Interests upon the exercise or vesting of stock options and restricted stock (A) if such Equity Interests represent a portion of the exercise price of such stock options or restricted stock (and related redemption or cancellation of shares for payment of taxes or other amounts with respect to such exercise or vesting) or (B) in order to reduce the dilutive effect of such exercise (so long as the amount of Equity Interests repurchased is in an equal or lesser amount to the amount exercised); (ix) concurrently with any issuance of Qualified Equity Interests, the Company may redeem, purchase or retire any Equity Interests of the Company using the proceeds of, or convert or exchange any Equity Interests of the Company for, such Qualified Equity Interests; (x) the Company may declare and make Restricted Payments so long as (A) after giving effect thereto on a Pro Forma Basis, the Total Leverage Ratio does not exceed 2.75 to 1.00 and (B) no Event of Default has occurred and is continuing or would result therefrom; (xi) the Company may declare and make Restricted Payments in an aggregate amount not to exceed, at the time such dividends are paid and after giving effect thereto, the greater of (A) $100,000,000 and (B) 1.00% of Consolidated Total Assets (reduced by the amount of any prepayments of Indebtedness pursuant to Section 6.08(b)(v)), so long as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509265-2360-19308-ACTIVE.66444598.5 128 TechnipFMC | Internal no Default or Event of Default has occurred and is continuing or would result therefrom; and (xii) on the Investment Grade Date and at any time thereafter, the Company may declare and make Restricted Payments so long as (A) after giving effect thereto on a Pro Forma Basis, the Total Leverage Ratio does not exceed 3.25 to 1.00 and (B) no Event of Default has occurred and is continuing or would result therefrom. (b) The Borrowers will not, nor will they permit any of their Restricted Subsidiaries to, prepay, redeem, purchase or otherwise satisfy any Material Indebtedness of the type described in clauses (a) or (b) of the definition of Indebtedness, the Senior Unsecured Notes or any other Indebtedness for borrowed money that is subordinated in right of payment to or is unsecured or secured by a Lien that is junior to the Indebtedness incurred hereunder, except for: (i) payments of or in respect of any such Indebtedness if, after giving effect thereto on a Pro Forma Basis, the Total Leverage Ratio is less than 2.75 to 1.00, so long as no Default or Event of Default has occurred and is continuing or would result therefrom; (ii) regularly scheduled interest and principal payments as and when due in respect of any such Indebtedness, other than payments in respect of such Indebtedness prohibited by the subordination provisions thereof; (iii) Refinancing Indebtedness incurred to refinance Indebtedness permitted under Section 6.01(I); (iv) prepayments, redemptions, repurchases or satisfactions of Indebtedness (other than Subordinated Indebtedness and Disqualified Equity Interests), so long as (A) no Default or Event of Default has occurred and is continuing or would result therefrom and (B) immediately after giving effect to such prepayment, redemption, repurchase or satisfaction of Indebtedness, the amount of Consolidated First Lien Net Debt of the Borrowers and the Restricted Subsidiaries shall not exceed $400,000,000; provided, that the payments of or in respect of any such Indebtedness permitted pursuant to this clause (iv) shall not exceed $1,000,000,000 in the aggregate; (v) payments of or in respect of any such Indebtedness in an amount equal to, at the time such payments are made and after giving effect thereto, the greater of (A) $150,000,000 (reduced by any amounts declared and paid as Restricted Payments pursuant to Section 6.08(a)(xi)), and (B) 1.50% of Consolidated Total Assets, so long as no Default or Event of Default has occurred and is continuing or would result therefrom; and (vi) on the Investment Grade Date and at any time thereafter, payments of or in respect of any such Indebtedness if (A) after giving effect thereto on a Pro Forma Basis, the Total Leverage Ratio does not exceed 3.25 to 1.00 and (B) no Event of Default has occurred and is continuing or would result therefrom. SECTION 6.09. Transactions with Affiliates. The Borrowers will not, nor will they permit any of their Restricted Subsidiaries to, sell, lease, license or otherwise transfer any assets to, or purchase, lease, license or otherwise acquire any assets from, or otherwise engage in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509265-2360-19308-ACTIVE.66444598.5 129 TechnipFMC | Internal other transactions involving aggregate consideration in excess of $20,000,000 with, any of their Affiliates, except (a) transactions that are at prices and on terms and conditions not materially less favorable to the Borrowers or such Restricted Subsidiary than could be obtained on an arm’s- length basis from unrelated third parties, (b) transactions between or among the Borrowers and any Restricted Subsidiaries not involving any other Affiliate, (c) advances, equity issuances, other Restricted Payments permitted under Section 6.08, and Investments permitted under Section 6.04 and any other transaction involving the Borrowers and the Restricted Subsidiaries permitted under Section 6.03 (to the extent such transaction is between the Borrowers and one or more Restricted Subsidiaries or between two or more Restricted Subsidiaries) and Section 6.05 (to the extent such transaction is not required to be for fair value thereunder), (d) the payment of reasonable fees to directors of the Borrowers or any Restricted Subsidiary who are not employees of the Borrowers or any Restricted Subsidiary, and compensation and employee benefit arrangements paid to, and indemnities provided for the benefit of, directors, officers, consultants or employees of the Borrowers or the Restricted Subsidiaries in the ordinary course of business, (e) any issuances of securities or other payments, awards or grants in cash, securities or otherwise pursuant to, or the funding of, employment agreements, stock options and stock ownership plans approved by the Borrowers’ board of directors and (f) employment and severance arrangements entered into in the ordinary course of business between the Borrowers or any Restricted Subsidiary and any employee thereof and approved by the applicable Borrower’s board of directors. SECTION 6.10. Restrictive Agreements. The Borrowers will not, nor will they permit any of their Restricted Subsidiaries to, directly or indirectly, enter into, incur or permit to exist any agreement or other arrangement that prohibits, restricts or imposes any condition upon (a) during the Secured Period only, the ability of the Borrowers or any Restricted Subsidiary to create, incur or permit to exist any Lien upon any of their assets in favor of the Administrative Agent to secure the Obligations or (b) the ability of any Restricted Subsidiary to make or repay loans or advances to the Borrowers or any Restricted Subsidiary, to Guarantee the Obligations, or to transfer any of its properties or assets (including, for the avoidance of doubt, the payment of dividends or distributions) to the Borrowers or any Restricted Subsidiary; provided that (i) the foregoing shall not apply to (A) restrictions and conditions imposed by law or by this Agreement, any other Loan Document or any document governing any Refinancing Indebtedness in respect of the Loan Documents; (B) restrictions and conditions imposed by the Senior Unsecured Notes Documents as in effect on the Effective Date or any agreement or document evidencing Refinancing Indebtedness in respect of the Senior Unsecured Notes Documents permitted under Section 6.01(I)(b); provided that the restrictions and conditions contained in any such agreement or document taken as a whole are not materially less favorable to the Lenders than the restrictions and conditions imposed by the Senior Unsecured Notes Documents; (C) restrictions and conditions imposed by the Performance LC Facility Documents as in effect on the Fifth Amendment Effective Date or any agreement or document evidencing Refinancing Indebtedness in respect of the Performance LC Facility Documents permitted under Section 6.01(I); provided that the restrictions and conditions contained in any such agreement or document taken as a whole are not materially less favorable to the Lenders than the restrictions and conditions imposed by the Performance LC Facility Documents; (D) in the case of any Restricted Subsidiary that is not a wholly owned Restricted Subsidiary, restrictions and conditions imposed by its organizational documents or any related joint venture or similar agreements; provided that such restrictions and conditions apply only to such Restricted Subsidiary; (E) customary restrictions and conditions contained in agreements relating to the sale of a Restricted Subsidiary or any assets of the Borrowers or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509265-2360-19308-ACTIVE.66444598.5 130 TechnipFMC | Internal Restricted Subsidiary, in each case pending such sale; provided that such restrictions and conditions apply only to such Restricted Subsidiary or the assets that are to be sold and, in each case, such sale is permitted hereunder; (F) restrictions and conditions existing on the Effective Date and identified on Schedule 6.10 (and any extension or renewal of, or any amendment, modification or replacement of the documents set forth on such schedule that do not expand the scope of, any such restriction or condition in any material respect); (G) restrictions and conditions imposed by any agreement relating to Indebtedness of any Restricted Subsidiary in existence at the time such Restricted Subsidiary became a Restricted Subsidiary and otherwise permitted by Section 6.01(I)(g) or to any restrictions in any Indebtedness of a non-Loan Party Restricted Subsidiary permitted by Section 6.01(I)(h) or Section 6.01(I)(s), in each case if such restrictions and conditions apply only to such Restricted Subsidiary and its subsidiaries; and (H) restrictions or conditions imposed by any agreement relating to any Qualified Receivables Financing permitted by this Agreement; and (ii) clause (a) of the foregoing shall not apply to (A) restrictions and conditions imposed by any agreement relating to secured Indebtedness permitted by Section 6.01(I)(f) if such restrictions and conditions apply only to the assets securing such Indebtedness and (B) customary provisions in leases and other agreements restricting the assignment thereof. SECTION 6.11. Amendment of Material Documents. During the Secured Period only, the Borrowers will not, nor will they permit any of their Restricted Subsidiaries to (a) amend, modify or waive their certificate of incorporation, bylaws or other organizational documents or (b) amend, modify, waive or otherwise change, or consent or agree to any amendment, modification, waiver or other change to, any of the terms of any Material Indebtedness, including the Senior Unsecured Notes and the Performance LC Facility, in each case of clauses (a) and (b), if the effect of such amendment, modification or waiver would be materially adverse to the Lenders and, in the case of clause (b) only, other than amendments or modifications that otherwise comply with the definition of Refinancing Indebtedness that may be incurred to refinance any such Material Indebtedness. SECTION 6.12. Interest Coverage Ratio. During the Secured Period only, the Company will not permit the Interest Coverage Ratio as of the last day of any period of four consecutive fiscal quarters of the Company to be less than 3.00 to 1.00. SECTION 6.13. Total Leverage Ratio. The Company will not permit the Total Leverage Ratio as of the last day of any fiscal quarter of the Company to exceed 3.25 to 1.00. SECTION 6.14. First Lien Leverage Ratio. During the Secured Period only, the Company will not permit the First Lien Leverage Ratio as of the last day of any fiscal quarter of the Company to exceed 2.00 to 1.00. SECTION 6.15. Changes in Fiscal Periods. The Borrowers will neither (a) permit their fiscal year or the fiscal year of any Restricted Subsidiary to end on a day other than December 31, nor (b) change their method of determining fiscal quarters.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509265-2360-19308-ACTIVE.66444598.5 131 TechnipFMC | Internal ARTICLE VII Events of Default SECTION 7.01. Events of Default. If any of the following events (each such event, an “Event of Default”) shall occur: (a) the Borrowers shall fail to pay any principal of any Loan or any reimbursement obligation in respect of any LC Disbursement when and as the same shall become due and payable, whether at the due date thereof or at a date fixed for prepayment thereof or otherwise; (b) the Borrowers shall fail to pay any interest on any Loan or any fee or any other amount (other than an amount referred to in clause (a) of this Section) payable under this Agreement or any other Loan Document, when and as the same shall become due and payable, and such failure shall continue unremedied for a period of three (3) Business Days; (c) on and after the Effective Date, any representation or warranty made or deemed made by or on behalf of the Borrowers or any Restricted Subsidiary in this Agreement or any other Loan Document, or in any report, certificate or financial statement furnished pursuant to or in connection with this Agreement or any other Loan Document, shall prove to have been incorrect in any material respect when made or deemed made; (d) on and after the Effective Date, the Borrowers shall fail to observe or perform any covenant, condition or agreement contained in Section 5.02(a), 5.04 (with respect to the existence of the Borrowers), 5.16 or in Article VI; (e) on and after the Effective Date, any Loan Party shall fail to observe or perform any covenant, condition or agreement contained in this Agreement or any other Loan Document (other than those specified in clause (a), (b) or (d) of this Section), and such failure shall continue unremedied for a period of 30 days after notice thereof from the Administrative Agent or any Lender to the Borrowers; (f) the Borrowers or any Restricted Subsidiary shall fail to make any payment (whether of principal, interest, premium or otherwise and regardless of amount) in respect of any Material Indebtedness when and as the same shall become due and payable (after giving effect to any applicable grace period in respect of such failure under the documentation governing such Material Indebtedness); (g) (i) during the Secured Period only, any event or condition occurs that results in any Material Indebtedness becoming due or being terminated or required to be prepaid, repurchased, redeemed or defeased prior to its scheduled maturity or that enables or permits (with all applicable grace periods, if any, in respect of such event or condition under the documentation representing such Material Indebtedness having expired) the holder or holders of any Material Indebtedness or any trustee or agent on its or their behalf, or, in the case of any Hedging Agreement, the applicable counterparty, to cause any Material Indebtedness to become due, or to terminate or require the prepayment, repurchase, redemption or defeasance thereof, prior to its scheduled maturity and (ii) on the Investment Grade Date and at any time thereafter, any event or condition occurs that results in any Material Indebtedness becoming due or being terminated or required to be prepaid,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509265-2360-19308-ACTIVE.66444598.5 132 TechnipFMC | Internal repurchased, redeemed or defeased prior to its scheduled maturity; provided that this clause (g) shall not apply to (A) any secured Indebtedness that becomes due as a result of the voluntary sale, transfer or other disposition of the assets securing such Indebtedness (to the extent such sale, transfer or other disposition is not prohibited under this Agreement) or (B) any Indebtedness that becomes due as a result of a voluntary refinancing thereof permitted under Section 6.01(I); (h) an involuntary proceeding shall be commenced or an involuntary petition shall be filed seeking (i) liquidation, reorganization or other relief in respect of the Borrowers, any Guarantor or any Material Subsidiary or its debts, or of a substantial part of its assets, under any Federal, State or foreign bankruptcy, insolvency, receivership or similar law now or hereafter in effect or (ii) the appointment of a receiver, trustee, custodian, sequestrator, conservator or similar official for the Borrowers, any Guarantor or any Material Subsidiary or for a substantial part of its assets, and, in any such case, such proceeding or petition shall continue undismissed for 60 days or an order or decree approving or ordering any of the foregoing shall be entered; (i) the Borrowers, any Guarantor or any Material Subsidiary shall (i) voluntarily commence any proceeding or file any petition seeking liquidation (other than any liquidation permitted under Section 6.03(a)(iii)), reorganization or other relief under any Federal, State or foreign bankruptcy, insolvency, receivership or similar law now or hereafter in effect, (ii) consent to the institution of, or fail to contest in a timely and appropriate manner, any proceeding or petition described in clause (h) of this Section, (iii) apply for or consent to the appointment of a receiver, trustee, custodian, sequestrator, conservator or similar official for the Borrowers, any Guarantor or any Material Subsidiary or for a substantial part of their assets, (iv) file an answer admitting the material allegations of a petition filed against it in any such proceeding or (v) make a general assignment for the benefit of creditors, or the board of directors (or similar governing body) of the Borrowers, any Guarantor or any Material Subsidiary (or any committee thereof) shall adopt any resolution or otherwise authorize any action to approve any of the actions referred to above in this clause (i) or in clause (h) of this Section; (j) the Borrowers, any Guarantor or any Material Subsidiary shall admit in writing their inability or fail generally to pay their debts as they become due; (k) one or more judgments for the payment of money in an aggregate amount in excess of $100,000,000 (other than any such judgment covered by insurance (other than under a self- insurance program) to the extent a claim therefor has been made in writing and liability therefor has not been denied by the insurer) shall be rendered against the Borrowers, any Restricted Subsidiary or any combination thereof and the same shall remain undischarged for a period of 60 consecutive days during which execution shall not be effectively stayed, or any action shall be legally taken by a judgment creditor to attach or levy upon any assets of the Borrowers or any Restricted Subsidiary to enforce any such judgment; (l) an ERISA Event shall have occurred that, when taken together with all other ERISA Events that have occurred, (i) could reasonably be expected to result in a Material Adverse Effect or (ii) result in a Lien on any of the assets of any Loan Party; (m) during the Secured Period only, any Lien purported to be created under any Security Document shall cease to be, or shall be asserted by any Loan Party not to be, a valid and perfected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509265-2360-19308-ACTIVE.66444598.5 133 TechnipFMC | Internal Lien on any material Collateral, with the priority required by the applicable Security Document, except as a result of (i) the sale or other disposition of the applicable Collateral in a transaction permitted under the Loan Documents or (ii) the release thereof as provided in Section 9.14; (n) during the Secured Period only, any Security Document shall cease to be, or shall be asserted by any Loan Party not to be, in full force and effect, except as a result of the release thereof as provided in the applicable Loan Document or Section 9.14; (o) during the Secured Period only (or, with respect to any Investment Grade Retained Credit Support, at any time), any Guarantee purported to be created under any Loan Document shall cease to be, or shall be asserted by any Loan Party not to be, in full force and effect, except as a result of the release thereof as provided in the applicable Loan Document or Section 9.14; or (p) a Change in Control shall occur; (q) upon the occurrence of the Investment Grade Date and thereafter, the Company shall fail to maintain Debt Ratings from at least two of the Rating Agencies; (r) cash collateral in excess of $100,000,000 in the aggregate is deposited in respect of LC Exposure, Secured LC Facility Obligations and/or Performance Credit Instruments and such excess is not returned to the Borrowers or their Restricted Subsidiaries within 30 days; or (s) a UK Insolvency Event shall occur in respect of any UK Relevant Entity; then, (I) and in every such event (other than an event with respect to the Borrowers described in clause (h) or (i) of this Section 7.01), and at any time thereafter during the continuance of such event, the Administrative Agent may, and at the request of the Required Lenders shall, by notice to the Borrowers, take any or all of the following actions, at the same or different times: (i) terminate the Commitments, and thereupon the Commitments shall terminate immediately, (ii) declare the Loans then outstanding to be due and payable in whole (or in part), in which case any principal not so declared to be due and payable may thereafter be declared to be due and payable), and thereupon the principal of the Loans so declared to be due and payable, together with accrued interest thereon and all fees and other obligations of the Borrowers hereunder, shall become due and payable immediately and (iii) require the deposit of cash collateral in respect of LC Exposure as provided in Section 2.05(i), in each case, without presentment, demand, protest or other notice of any kind, all of which are hereby waived by the Borrowers, and (II) in the case of any event with respect to the Borrowers described in clause (h) or (i) of this Section, the Commitments shall automatically terminate and the principal of the Loans then outstanding, together with accrued interest thereon and all fees and other obligations of the Borrowers hereunder, shall immediately and automatically become due and payable and the deposit of such cash collateral in respect of LC Exposure shall immediately and automatically become due, in each case, without presentment, demand, protest or other notice of any kind, all of which are hereby waived by the Borrowers.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509265-2360-19308-ACTIVE.66444598.5 134 TechnipFMC | Internal ARTICLE VIII The Administrative Agent SECTION 8.01. Administrative Agent Matters. (a) Each of the Secured Parties hereby irrevocably appoints the entity named as Administrative Agent in the heading of this Agreement and its successors to serve as administrative agent and collateral agent (without prejudice to the right of the Administrative Agent to designate any sub-agent, co-agent or trustee to serve as collateral agent or security trustee) under the Loan Documents and authorizes the Administrative Agent to take such actions and to exercise such powers as are delegated to the Administrative Agent by the terms of the Loan Documents, together with such actions and powers as are reasonably incidental thereto. In addition, to the extent required under the laws of any jurisdiction other than the United States of America, each of the Secured Parties hereby grants to the Administrative Agent (including any sub-agent, co-agent or trustee designated by the Administrative Agent) any required powers of attorney to execute any Security Document governed by the laws of such jurisdiction on such Secured Party’s behalf. It is understood and agreed that the use of the term “agent” (or any similar term) herein or in any other Loan Document with reference to the Administrative Agent is not intended to connote any fiduciary duty or other implied (or express) obligations arising under agency doctrine of any applicable law. Instead, such term is used as a matter of market custom and is intended to create or reflect only an administrative relationship between contracting parties. (b) The Person serving as the Administrative Agent hereunder shall have the same rights and powers in its capacity as a Secured Party as any other Secured Party and may exercise the same as though it were not the Administrative Agent, and such Person and its Affiliates may accept deposits from, lend money to, own securities of, act as the financial advisor or in any other advisory capacity for and generally engage in any kind of business with the Borrowers or any Subsidiary or other Affiliate thereof as if such Person were not the Administrative Agent hereunder and without any duty to account therefor to the other Secured Parties. (c) The Administrative Agent shall not have any duties or obligations except those expressly set forth in the Loan Documents, and its duties hereunder shall be administrative in nature. Without limiting the generality of the foregoing, (i) the Administrative Agent shall not be subject to any fiduciary or other implied duties, regardless of whether a Default has occurred and is continuing, (ii) the Administrative Agent shall not have any duty to take any discretionary action or to exercise any discretionary power, except discretionary rights and powers expressly contemplated by the Loan Documents that the Administrative Agent is required to exercise as directed in writing by the Required Lenders (or such other number or percentage of the Lenders as shall be necessary, or as the Administrative Agent shall believe in good faith to be necessary, under the circumstances as provided in the Loan Documents); provided that the Administrative Agent shall not be required to take any action that, in its opinion, could expose the Administrative Agent to liability or be contrary to this Agreement or any other Loan Document or applicable law, and (iii) except as expressly set forth in the Loan Documents, the Administrative Agent shall not have any duty to disclose, and shall not be liable for the failure to disclose, any information relating to the Borrowers, any Subsidiary or any other Affiliate of any of the foregoing that is communicated to or obtained by the Person serving as Administrative Agent or any of its Affiliates in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509265-2360-19308-ACTIVE.66444598.5 135 TechnipFMC | Internal capacity. The Administrative Agent shall not be liable for any action taken or not taken by it with the consent or at the request of the Required Lenders (or such other number or percentage of the Lenders as shall be necessary, or as the Administrative Agent shall believe in good faith to be necessary, under the circumstances as provided in the Loan Documents) or in the absence of its own gross negligence or willful misconduct (such absence to be presumed unless otherwise determined by a court of competent jurisdiction by a final and nonappealable judgment). The Administrative Agent shall be deemed not to have knowledge of any Default unless and until written notice thereof (stating that it is a “notice of default”) is given to the Administrative Agent by the Borrowers, a Lender or an Issuing Bank, and the Administrative Agent shall not be responsible for or have any duty to ascertain or inquire into (A) any statement, warranty or representation made in or in connection with this Agreement or any other Loan Document, (B) the contents of any certificate, report or other document delivered hereunder or thereunder or in connection herewith or therewith, (C) the performance or observance of any of the covenants, agreements or other terms or conditions set forth in this Agreement or any other Loan Document or the occurrence of any Default, (D) the sufficiency, validity, enforceability, effectiveness or genuineness of this Agreement or any other Loan Document or any other agreement, instrument or document or (E) the satisfaction of any condition set forth in Article IV or elsewhere in this Agreement or any other Loan Document, other than to confirm receipt of items expressly required to be delivered to the Administrative Agent or satisfaction of any condition that expressly refers to the matters described therein being acceptable or satisfactory to the Administrative Agent. Notwithstanding anything herein to the contrary, the Administrative Agent shall not be liable for, or be responsible for any loss, cost or expense suffered by the Borrowers or any Lender or Issuing Bank as a result of, any determination of the Revolving Exposure or the component amounts thereof. (d) The Administrative Agent shall be entitled to rely, and shall not incur any liability for relying, upon any notice, request, certificate, consent, statement, instrument, document or other writing (including any electronic message, Internet or intranet website posting or other distribution) believed by it to be genuine and to have been signed or sent or otherwise authenticated by the proper Person (whether or not such Person in fact meets the requirements set forth in the Loan Documents for being the signatory, sender or authenticator thereof). The Administrative Agent also shall be entitled to rely, and shall not incur any liability for relying, upon any statement made to it orally or by telephone and believed by it to be made by the proper Person (whether or not such Person in fact meets the requirements set forth in the Loan Documents for being the signatory, sender or authenticator thereof), and may act upon any such statement prior to receipt of written confirmation thereof. In determining compliance with any condition hereunder to the making of a Loan, or the issuance, extension, renewal or increase of a Letter of Credit, that by its terms must be fulfilled to the satisfaction of a Lender or an Issuing Bank, the Administrative Agent may presume that such condition is satisfactory to such Lender or such Issuing Bank unless the Administrative Agent shall have received notice to the contrary from such Lender or such Issuing Bank prior to the making of such Loan or the issuance of such Letter of Credit. The Administrative Agent may consult with legal counsel (who may be counsel for the Borrowers), independent accountants and other experts selected by it, and shall not be liable for any action taken or not taken by it in accordance with the advice of any such counsel, accountants or experts. (e) The Administrative Agent may perform any of and all its duties and exercise its rights and powers hereunder or under any other Loan Document (including, for the avoidance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509265-2360-19308-ACTIVE.66444598.5 136 TechnipFMC | Internal doubt, the role of collateral agent and/or security trustee) by or through any one or more sub- agents, co-agents or trustees appointed by the Administrative Agent. The Administrative Agent and any such sub-agent may perform any of and all their duties and exercise their rights and powers by or through their respective Related Parties. The exculpatory provisions of this Article shall apply to any such sub-agent and to the Related Parties of the Administrative Agent and any such sub-agent and shall apply to their respective activities in connection with the syndication of the credit facilities provided for herein as well as activities as Administrative Agent. The Administrative Agent shall not be responsible for the negligence or misconduct of any sub-agent, co-agent or trustee except to the extent that a court of competent jurisdiction determines in a final and nonappealable judgment that the Administrative Agent acted with gross negligence or willful misconduct in the selection of such sub-agents. (f) Subject to the terms of this paragraph, the Administrative Agent may resign at any time from its capacity as such. In connection with such resignation, the Administrative Agent shall give notice of its intent to resign to the Lenders, the Issuing Banks and the Borrowers. Upon receipt of any such notice of resignation, the Required Lenders shall have the right, with the consent of the Borrowers (which shall not be unreasonably withheld or delayed), to appoint a successor. If no successor shall have been so appointed by the Required Lenders and shall have accepted such appointment within 30 days after the retiring Administrative Agent gives notice of its intent to resign, then the retiring Administrative Agent may, on behalf of the Lenders and the Issuing Banks, appoint a successor Administrative Agent, which shall be a bank with an office in New York, New York, or an Affiliate of any such bank. Upon the acceptance of its appointment as Administrative Agent hereunder by a successor, such successor shall succeed to and become vested with all the rights, powers, privileges and duties of the retiring Administrative Agent, and the retiring Administrative Agent shall be discharged from its duties and obligations hereunder and under the other Loan Documents. The fees payable by the Borrowers to a successor Administrative Agent shall be the same as those payable to its predecessor unless otherwise agreed by the Borrowers and such successor. Notwithstanding the foregoing, in the event no successor Administrative Agent shall have been so appointed and shall have accepted such appointment within 30 days after the retiring Administrative Agent gives notice of its intent to resign, the retiring Administrative Agent may give notice of the effectiveness of its resignation to the Lenders, the Issuing Banks and the Borrowers, whereupon, on the date of effectiveness of such resignation stated in such notice, (i) the retiring Administrative Agent shall be discharged from its duties and obligations hereunder and under the other Loan Documents; provided that, solely for purposes of maintaining any security interest granted to the Administrative Agent under any Security Document for the benefit of the Secured Parties, the retiring Administrative Agent (or any applicable sub-agent or security trustee) shall continue to be vested with such security interest as collateral agent for the benefit of the Secured Parties and, in the case of any Collateral in the possession of the Administrative Agent (or such sub-agent or security trustee), shall continue to hold such Collateral, in each case until such time as a successor Administrative Agent is appointed and accepts such appointment in accordance with this paragraph (it being understood and agreed that the retiring Administrative Agent shall have no duty or obligation to take any further action under any Security Document, including any action required to maintain the perfection of any such security interest), and (ii) the Required Lenders shall succeed to and become vested with all the rights, powers, privileges and duties of the retiring Administrative Agent; provided that (A) all payments required to be made hereunder or under any other Loan Document to the Administrative Agent for the account of any Person other than the Administrative Agent shall be made directly to</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509265-2360-19308-ACTIVE.66444598.5 137 TechnipFMC | Internal such Person (and as far as payments by a Guarantor organized under the Laws of France are concerned, no payment shall be made on an account opened with a financial institution situated in a Non-Cooperative Jurisdiction) and (B) all notices and other communications required or contemplated to be given or made to the Administrative Agent shall also directly be given or made to each Lender and each Issuing Bank. Following the effectiveness of the Administrative Agent’s resignation from its capacity as such, the provisions of this Article and Section 9.03, as well as any exculpatory, reimbursement and indemnification provisions set forth in any other Loan Document, shall continue in effect for the benefit of such retiring Administrative Agent, its sub-agents and their respective Related Parties in respect of any actions taken or omitted to be taken by any of them while it was acting as Administrative Agent and in respect of the matters referred to in the proviso under clause (a) above. (g) Each Lender and each Issuing Bank acknowledges that it has, independently and without reliance upon the Administrative Agent, the Arrangers or any other Lender or Issuing Bank, or any of the Related Parties of any of the foregoing, and based on such documents and information as it has deemed appropriate, made its own credit analysis and decision to enter into this Agreement. Each Lender and each Issuing Bank also acknowledges that it will, independently and without reliance upon the Administrative Agent, the Arrangers or any other Lender or Issuing Bank, or any of the Related Parties of any of the foregoing, and based on such documents and information as it shall from time to time deem appropriate, continue to make its own decisions in taking or not taking action under or based upon this Agreement, any other Loan Document or any related agreement or any document furnished hereunder or thereunder. (h) Each Lender, by delivering its signature page to this Agreement and funding its Loans on the Effective Date, or delivering its signature page to an Assignment and Assumption or any other Loan Document pursuant to which it shall become a Lender hereunder, shall be deemed to have acknowledged receipt of, and consented to and approved, this Agreement and each other Loan Document and each other document required to be delivered to, or be approved by or satisfactory to, the Administrative Agent or the Lenders on the Effective Date and shall be deemed to have consented to and approved the each Security Document to be entered into by the Administrative Agent after the Effective Date pursuant to Section 5.15. The Lenders, each Issuing Bank and each other Secured Party irrevocably (i) authorizes the Administrative Agent to enter into or amend (A) the Pari Passu Intercreditor Agreement, (B) any Secured SCF Intercreditor Agreement with any representative of the holders of Secured SCF Obligations that are permitted to be secured by a Lien on the Collateral as permitted under this Agreement and (C) any Junior Lien Intercreditor Agreement, in each case for the purpose of adding the holders of such Indebtedness (or their representative) as a party thereto and otherwise causing such Indebtedness to be subject thereto and (ii) and consents to the Administrative Agent and agrees not to assert any claims against the Administrative Agent or any successor thereof arising from the role of the Administrative Agent or such successor under the Pari Passu Intercreditor Agreement, any such Junior Lien Intercreditor Agreement and any such Secured SCF Intercreditor Agreement, so long as it is acting in accordance with the terms of the Loan Documents and the Pari Passu Intercreditor Agreement, such Junior Lien Intercreditor Agreement or such Secured SCF Intercreditor Agreement, as applicable (it being understood that any action taken by the Administrative Agent acting at the direction of, or with the negative consent of, the Required Lenders shall be an action that is undertaken in accordance with the terms of the Loan Documents). Upon request by the Administrative Agent at any time, the Required Lenders will confirm in writing the Administrative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509265-2360-19308-ACTIVE.66444598.5 138 TechnipFMC | Internal Agent’s authority to enter into any such Junior Lien Intercreditor Agreement or Secured SCF Intercreditor Agreement or amend the Pari Passu Intercreditor Agreement or any such Junior Lien Intercreditor Agreement or Secured SCF Intercreditor Agreement pursuant to this Section 8.01(h). (i) Except with respect to the exercise of setoff rights of any Lender in accordance with Section 9.08 or with respect to a Lender’s right to file a proof of claim in an insolvency proceeding, no Secured Party shall have any right individually to realize upon any of the Collateral or to enforce any Guarantee of the Obligations, it being understood and agreed that all powers, rights and remedies under the Loan Documents may be exercised solely by the Administrative Agent (or any sub-agent, co-agent or trustee designated by it as collateral agent or security trustee) on behalf of the Secured Parties in accordance with the terms thereof. In the event of a foreclosure by the Administrative Agent (or any sub-agent(s) designated by it as collateral agent or security trustee) on any of the Collateral pursuant to a public or private sale or other disposition, the Administrative Agent or any Lender may be the purchaser or licensor of any or all of such Collateral at any such sale or other disposition, and the Administrative Agent (or any sub-agent, co-agent or trustee designated by it as collateral agent or security trustee), as agent for and representative of the Secured Parties (but not any Lender or Lenders in its or their respective individual capacities unless the Required Lenders shall otherwise agree in writing) shall be entitled, for the purpose of bidding and making settlement or payment of the purchase price for all or any portion of the Collateral sold at any such public sale, to use and apply any of the Loan Document Obligations as a credit on account of the purchase price for any collateral payable by the Administrative Agent (or any sub-agent, co-agent or trustee designated by it as collateral agent or security trustee) on behalf of the Secured Parties at such sale or other disposition. (j) The Secured Cash Management Obligations, the Secured Hedging Obligations, the Secured LC Facility Obligations and the Secured SCF Obligations shall be secured and guaranteed pursuant to the Loan Documents only to the extent that, and for so long as, the other Obligations are so secured and guaranteed. No person shall have any voting rights under any Loan Document solely as a result of the existence of Secured Cash Management Obligations, Secured Hedging Obligations, Secured LC Facility Obligations or Secured SCF Obligations owed to it. For the avoidance of doubt, no release of Collateral or Guarantors effected in the manner permitted by this Agreement shall require the consent of any holder of Secured Cash Management Obligations, Secured Hedging Obligations, Secured LC Facility Obligations or Secured SCF Obligations. By accepting the benefits of the Collateral, each Secured Party that is a provider of Cash Management Services or a party to any Hedging Agreement, Secured LC Facility or Secured Supply Chain Financing shall be deemed to have appointed the Administrative Agent to serve as administrative agent and collateral agent (without prejudice to the Administrative Agent’s right to designate any sub-agent, co-agent or trustee as collateral agent or security trustee) under the Loan Documents and agreed to be bound by the Loan Documents as a Secured Party thereunder, subject to the limitations set forth in this paragraph. (k) The Secured Parties irrevocably authorize the Administrative Agent (or any sub- agent, co-agent or trustee designated by it as collateral agent or security trustee), at its option and in its discretion, to subordinate any Lien on any property granted to or held by the Administrative Agent under any Loan Document to the holder of any Lien on such property that is permitted by Section 6.02(b). The Administrative Agent (or any sub-agent, co-agent or trustee designated by it as collateral agent or security trustee) shall not be responsible for or have a duty to ascertain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509265-2360-19308-ACTIVE.66444598.5 139 TechnipFMC | Internal inquire into any representation or warranty regarding the existence, value or collectability of the Collateral, the existence, priority or perfection of the Administrative Agent’s (or any designated collateral agent’s or security trustee’s) Lien thereon or any certificate prepared by any Loan Party in connection therewith, nor shall the Administrative Agent (or any sub-agent, co-agent or trustee designated by it as collateral agent or security trustee) be responsible or liable to the Lenders for any failure to monitor or maintain any portion of the Collateral. (l) The Secured Parties hereby irrevocably authorize the Administrative Agent, at the direction of the Required Lenders, to credit bid all or any portion of the Obligations (including by accepting some or all of the Collateral in satisfaction of some or all of the Obligations pursuant to a deed in lieu of foreclosure or otherwise) and in such manner purchase (either directly or through one or more acquisition vehicles) all or any portion of the Collateral (i) at any sale thereof conducted under the provisions of the Bankruptcy Code, including under Sections 363, 1123 or 1129 of the Bankruptcy Code, or any similar laws in any other jurisdictions to which a Loan Party is subject, or (ii) at any other sale, foreclosure or acceptance of collateral in lieu of debt conducted by (or with the consent or at the direction of) the Administrative Agent (whether by judicial action or otherwise) in accordance with any applicable law. In connection with any such credit bid and purchase, the Obligations owed to the Secured Parties shall be entitled to be, and shall be, credit bid by the Administrative Agent at the direction of the Required Lenders on a ratable basis (with Obligations with respect to contingent or unliquidated claims receiving contingent interests in the acquired assets on a ratable basis that shall vest upon the liquidation of such claims in an amount proportional to the liquidated portion of the contingent claim amount used in allocating the contingent interests) for the asset or assets so purchased (or for the equity interests or debt instruments of the acquisition vehicle or vehicles that are issued in connection with such purchase). In connection with any such bid (A) the Administrative Agent shall be authorized to form one or more acquisition vehicles and to assign any successful credit bid to such acquisition vehicle or vehicles, (B) each of the Secured Parties’ ratable interests in the Obligations which were credit bid shall be deemed without any further action under this Agreement to be assigned to such vehicle or vehicles for the purpose of closing such sale, (C) the Administrative Agent shall be authorized to adopt documents providing for the governance of the acquisition vehicle or vehicles (provided that any actions by the Administrative Agent with respect to such acquisition vehicle or vehicles, including any disposition of the assets or equity interests thereof, shall be governed, directly or indirectly, by, and the governing documents shall provide for, control by the vote of the Required Lenders or their permitted assignees under the terms of this Agreement or the governing documents of the applicable acquisition vehicle or vehicles, as the case may be, irrespective of the termination of this Agreement and without giving effect to the limitations on actions by the Required Lenders contained in Section 9.02 of this Agreement), (D) the Administrative Agent on behalf of such acquisition vehicle or vehicles shall be authorized to issue to each of the Secured Parties, ratably on account of the relevant Obligations which were credit bid, interests, whether as equity, partnership interests, limited partnership interests or membership interests, in any such acquisition vehicle and/or debt instruments issued by such acquisition vehicle, all without the need for any Secured Party or acquisition vehicle to take any further action and (E) to the extent that Obligations that are assigned to an acquisition vehicle are not used to acquire Collateral for any reason (as a result of another bid being higher or better, because the amount of Obligations assigned to the acquisition vehicle exceeds the amount of Obligations credit bid by the acquisition vehicle or otherwise), such Obligations shall automatically be reassigned to the Secured Parties pro rata with their original interest in such Obligations and the equity interests and/or debt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509265-2360-19308-ACTIVE.66444598.5 140 TechnipFMC | Internal instruments issued by any acquisition vehicle on account of such Obligations shall automatically be cancelled, without the need for any Secured Party or any acquisition vehicle to take any further action. Notwithstanding that the ratable portion of the Obligations of each Secured Party are deemed assigned to the acquisition vehicle or vehicles as set forth in clause (B) above, each Secured Party shall execute such documents and provide such information regarding the Secured Party (and/or any designee of the Secured Party which will receive interests in or debt instruments issued by such acquisition vehicle) as the Administrative Agent may reasonably request in connection with the formation of any acquisition vehicle, the formulation or submission of any credit bid or the consummation of the transactions contemplated by such credit bid. (m) In case of the pendency of any proceeding with respect to any Loan Party under any Federal, State or foreign bankruptcy, insolvency, receivership or similar law now or hereafter in effect, the Administrative Agent (irrespective of whether the principal of any Loan or any LC Disbursement shall then be due and payable as herein expressed or by declaration or otherwise and irrespective of whether the Administrative Agent shall have made any demand on the Borrowers) shall be entitled and empowered (but not obligated) by intervention in such proceeding or otherwise: (i) to file and prove a claim for the whole amount of the principal and interest owing and unpaid in respect of the Loans, LC Exposure and all other Obligations that are owing and unpaid and to file such other documents as may be necessary or advisable in order to have the claims of the Lenders, the Issuing Banks and the Administrative Agent (including any claim under Sections 2.12, 2.13, 2.15, 2.16, 2.17 and 9.03) allowed in such judicial proceeding; and (ii) to collect and receive any monies or other property payable or deliverable on any such claims and to distribute the same; and any custodian, receiver, assignee, trustee, liquidator, sequestrator or other similar official in any such proceeding is hereby authorized by each Lender, each Issuing Bank and each other Secured Party to make such payments to the Administrative Agent and, in the event that the Administrative Agent shall consent to the making of such payments directly to the Lenders, the Issuing Banks or the other Secured Parties, to pay to the Administrative Agent any amount due to it, in its capacity as the Administrative Agent, under the Loan Documents (including under Section 9.03). (n) Notwithstanding anything herein to the contrary, neither the Arrangers nor any Person named on the cover page of this Agreement as a Co-Documentation Agent shall have any duties or obligations under this Agreement or any other Loan Document (except in its capacity, as applicable, as a Lender or an Issuing Bank), but all such Persons shall have the benefit of the indemnities provided for hereunder. (o) The provisions of this Article are solely for the benefit of the Administrative Agent (including, for the avoidance of doubt, any sub-agent, co-agent or trustee designated by it as collateral agent or security trustee), the Lenders and the Issuing Banks, and, except solely to the extent of the Borrowers’ rights to consent pursuant to and subject to the conditions set forth in this Article, none of the Borrowers or any Subsidiary shall have any rights as a third-party beneficiary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509265-2360-19308-ACTIVE.66444598.5 141 TechnipFMC | Internal of any such provisions. Each Secured Party, whether or not a party hereto, will be deemed, by its acceptance of the benefits of the Collateral and the Guarantees of the Obligations provided under the Loan Documents, to have agreed to the provisions of this Article. (p) To the extent required by any applicable Requirement of Law, the Administrative Agent may withhold from any payment to any Lender under any Loan Document an amount equal to any applicable withholding Tax. If the IRS or any Governmental Authority asserts a claim that the Administrative Agent did not properly withhold Tax from any amount paid to or for the account of any Lender for any reason (including because the appropriate form was not delivered or was not properly executed, or because such Lender failed to notify the Administrative Agent of a change in circumstances that rendered the exemption from, or reduction of, withholding Tax ineffective), such Lender shall indemnify and hold harmless the Administrative Agent (to the extent that the Administrative Agent has not already been reimbursed by the Loan Parties and without limiting or expanding the obligation of the Loan Parties to do so) for all amounts paid, directly or indirectly, by the Administrative Agent as Tax or otherwise, together with all expenses incurred, including legal expenses and any out-of-pocket expenses, whether or not such Tax was correctly or legally imposed or asserted by the relevant Governmental Authority. A certificate as to the amount of such payment or liability delivered to any Lender by the Administrative Agent shall be conclusive absent manifest error. Each Lender hereby authorizes the Administrative Agent to set off and apply any and all amounts at any time owing to such Lender under this Agreement or any other Loan Document against any amount due to the Administrative Agent under this paragraph. The agreements in this paragraph shall survive the resignation and/or replacement of the Administrative Agent, any assignment of rights by, or the replacement of, a Lender, the termination of the Loans and the repayment, satisfaction or discharge of all obligations under this Agreement. (q) Unless required by applicable Requirement of Law, at no time shall the Administrative Agent have any obligation to file for or otherwise pursue on behalf of a Lender any refund of Taxes withheld or deducted from funds paid for the account of such Lender. For purposes of this paragraph, the term “Lender” includes any Issuing Bank. (r) (i) Each Lender and each Issuing Bank hereby agrees that (A) if the Administrative Agent notifies such Lender and/or Issuing Bank that the Administrative Agent has determined in its sole discretion that any funds received by such Lender or Issuing Bank from the Administrative Agent or any of its Affiliates (whether as a payment, prepayment or repayment of principal, interest, fees or otherwise; individually and collectively, a “Payment”) were erroneously transmitted to such Lender or Issuing Bank (whether or not known to such Lender or Issuing Bank), and demands the return of such Payment (or a portion thereof), such Lender and/or Issuing Bank shall promptly, but in no event later than one Business Day thereafter, return to the Administrative Agent the amount of any such Payment (or portion thereof) as to which such a demand was made in same day funds, together with interest thereon in respect of each day from and including the date such Payment (or portion thereof) was received by such Lender or Issuing Bank to the date such amount is repaid to the Administrative Agent at the greater of the NYFRB Rate and a rate determined by the Administrative Agent in accordance with banking industry rules on interbank compensation from time to time in effect, and (B) to the extent permitted by applicable law, such Lender or Issuing Bank, as applicable, shall not assert, and hereby waives, as to the Administrative Agent, any claim, counterclaim, defense or right of set-off or recoupment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509265-2360-19308-ACTIVE.66444598.5 142 TechnipFMC | Internal with respect to any demand, claim or counterclaim by the Administrative Agent for the return of any Payments received, including without limitation any defense based on “discharge for value” or any similar doctrine. A notice of the Administrative Agent to any Lender or Issuing Bank under this Section 8.01(r) shall be conclusive, absent manifest error. (ii) Each Lender and each Issuing Bank hereby further agrees that if it receives a Payment from the Administrative Agent or any of its Affiliates (A) that is in a different amount than, or on a different date from, that specified in a notice of payment sent by the Administrative Agent (or any of its Affiliates) with respect to such Payment (a “Payment Notice”) or (B) that was not preceded or accompanied by a Payment Notice, it shall be on notice, in each such case, that an error has been made with respect to such Payment. Each Lender and each Issuing Bank agrees that, in each such case, or if it otherwise becomes aware a Payment (or portion thereof) may have been sent in error, such Lender and/or Issuing Bank shall promptly notify the Administrative Agent of such occurrence and, upon demand from the Administrative Agent, it shall promptly, but in no event later than one Business Day thereafter, return to the Administrative Agent the amount of any such Payment (or portion thereof) as to which such a demand was made in same day funds, together with interest thereon in respect of each day from and including the date such Payment (or portion thereof) was received by such Lender or Issuing Bank, as applicable, to the date such amount is repaid to the Administrative Agent at the greater of the NYFRB Rate and a rate determined by the Administrative Agent in accordance with banking industry rules on interbank compensation from time to time in effect. (iii) The Borrowers and each other Loan Party hereby agree that (A) in the event an erroneous Payment (or portion thereof) are not recovered from any Lender or Issuing Bank that has received such Payment (or portion thereof) for any reason, the Administrative Agent shall be subrogated to all the rights of such Lender and/or Issuing Bank with respect to such amount and (B) an erroneous Payment shall not pay, prepay, repay, discharge or otherwise satisfy any Obligations owed by any Borrower or any other Loan Party. (iv) Each party’s obligations under this Section 8.01(r) shall survive the resignation or replacement of the Administrative Agent or any transfer of rights or obligations by, or the replacement of, a Lender or an Issuing Bank, the termination of the Commitments or the repayment, satisfaction or discharge of all Obligations under any Loan Document. SECTION 8.02. Certain ERISA Matters. (a) Each Lender (x) represents and warrants, as of the date such Person becomes a Lender party hereto, and (y) covenants, from the date such Person becomes a Lender party hereto, to the date such Person ceases being a Lender party hereto, for the benefit of the Administrative Agent, each Arranger and their respective Affiliates, and not, for the avoidance of doubt, to or for the benefit of the Borrowers or any other Loan Party, that at least one of the following is and will be true: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509265-2360-19308-ACTIVE.66444598.5 143 TechnipFMC | Internal (i) such Lender is not using “plan assets” (within the meaning of the Plan Asset Regulations) of one or more Benefit Plans in connection with the Loans, the Letters of Credit or the Commitments, (ii) the transaction exemption set forth in one or more PTEs, such as PTE 84- 14 (a class exemption for certain transactions determined by independent qualified professional asset managers), PTE 95-60 (a class exemption for certain transactions involving insurance company general accounts), PTE 90-1 (a class exemption for certain transactions involving insurance company pooled separate accounts), PTE 91-38 (a class exemption for certain transactions involving bank collective investment funds) or PTE 96- 23 (a class exemption for certain transactions determined by in-house asset managers), is applicable with respect to such Lender’s entrance into, participation in, administration of and performance of the Loans, the Letters of Credit, the Commitments and this Agreement, (iii) (A) such Lender is an investment fund managed by a “Qualified Professional Asset Manager” (within the meaning of Part VI of PTE 84-14), (B) such Qualified Professional Asset Manager made the investment decision on behalf of such Lender to enter into, participate in, administer and perform the Loans, the Letters of Credit, the Commitments and this Agreement, (C) the entrance into, participation in, administration of and performance of the Loans, the Letters of Credit, the Commitments and this Agreement satisfies the requirements of sub-sections (b) through (g) of Part I of PTE 84-14 and (D) to the best knowledge of such Lender, the requirements of subsection (a) of Part I of PTE 84-14 are satisfied with respect to such Lender’s entrance into, participation in, administration of and performance of the Loans, the Letters of Credit, the Commitments and this Agreement, or (iv) such other representation, warranty and covenant as may be agreed in writing between the Administrative Agent, in its sole discretion, and such Lender. (b) In addition, unless sub-clause (i) in the immediately preceding clause (a) is true with respect to a Lender or such Lender has provided another representation, warranty and covenant as provided in sub-clause (iv) in the immediately preceding clause (a), such Lender further (x) represents and warrants, as of the date such Person becomes a Lender party hereto, and (y) covenants, from the date such Person becomes a Lender party hereto, to the date such Person ceases being a Lender party hereto, for the benefit of the Administrative Agent, each Arranger and their respective Affiliates, and not, for the avoidance of doubt, to or for the benefit of the Borrowers or any other Loan Party, that none of the Administrative Agent, any Arranger, any Co- Documentation Agent or any of their respective Affiliates is a fiduciary with respect to the assets of such Lender (including in connection with the reservation or exercise of any rights by the Administrative Agent under this Agreement, any Loan Document or any documents related hereto or thereto). (c) The Administrative Agent, each Arranger and each Co-Documentation Agent hereby informs the Lenders that each such Person is not undertaking to provide investment advice or to give advice in a fiduciary capacity, in connection with the transactions contemplated hereby, and that such Person has a financial interest in the transactions contemplated hereby in that such Person or an Affiliate thereof (i) may receive interest or other payments with respect to the Loans,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509265-2360-19308-ACTIVE.66444598.5 144 TechnipFMC | Internal the Letters of Credit, the Commitments, this Agreement and any other Loan Documents (ii) may recognize a gain if it extended the Loans, the Letters of Credit or the Commitments for an amount less than the amount being paid for an interest in the Loans, the Letters of Credit or the Commitments by such Lender or (iii) may receive fees or other payments in connection with the Transactions, the Loan Documents or otherwise, including structuring fees, commitment fees, arrangement fees, facility fees, upfront fees, underwriting fees, ticking fees, agency fees, administrative agent or collateral agent fees, utilization fees, minimum usage fees, letter of credit fees, fronting fees, deal-away or alternate transaction fees, amendment fees, processing fees, term out premiums, banker’s acceptance fees, breakage or other early termination fees or fees similar to the foregoing. ARTICLE IX Miscellaneous SECTION 9.01. Notices. (a) General. All notices and other communications provided for herein shall be in writing and shall be delivered by hand or overnight courier service, mailed by certified or registered mail or sent by fax, as follows: (i) if to the Borrowers, Hadrian House, Wincomblee Road, Newcastle Upon Tyne, NE6 3PL, United Kingdom, Attention: Alf Melin, Email:****; (ii) if to the Administrative Agent, to it at: JPMorgan Chase Bank, N.A. 712 Main Street, 5th Floor Houston, TX 77002 Attention: Stephanie Balette Email: **** and JPMorgan Chase Bank, N.A. 10 South Dearborn, Floor L2 Chicago, IL 60603-2300 Attention: Michael Stevens Phone: **** Fax: **** Email: **** (iii) if to any Issuing Bank, to it at its address (or fax number) most recently specified by it in a notice delivered to the Administrative Agent and the Borrowers (or, in the absence of any such notice, to the address (or fax number) set forth in the Administrative Questionnaire of the Lender that is serving as such Issuing Bank or is an Affiliate thereof);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509265-2360-19308-ACTIVE.66444598.5 145 TechnipFMC | Internal (iv) if to any other Lender, to it at its address (or fax number) set forth in its Administrative Questionnaire. Notices and communications sent by hand or overnight courier service, or mailed by certified or registered mail, shall be deemed to have been given when received; notices sent by fax shall be deemed to have been given when sent (except that, if not given during normal business hours for the recipient, shall be deemed to have been given at the opening of business on the next Business Day for the recipient). Notices delivered through electronic communications, to the extent provided in paragraph (b) of this Section, shall be effective as provided in such paragraph. (b) Electronic Communications. Notices and other communications to the Lenders and the Issuing Banks hereunder may be delivered or furnished by electronic communication (including e-mail and Internet and intranet websites) pursuant to procedures approved by the Administrative Agent; provided that the foregoing shall not apply to notices under Article II to any Lender or any Issuing Bank if such Lender or such Issuing Bank, as applicable, has notified the Administrative Agent that it is incapable of receiving notices under such Article by electronic communication. The Administrative Agent, or the Borrowers may, in their discretion, agree to accept notices and other communications to it hereunder by electronic communications pursuant to procedures approved by it; provided that approval of such procedures may be limited to particular notices or communications or may be rescinded by any such Person by notice to each other such Person. Unless the Administrative Agent otherwise prescribes, (i) notices and other communications sent to an e-mail address shall be deemed received upon the sender’s receipt of an acknowledgment from the intended recipient (such as by the “return receipt requested” function, as available, return e-mail or other written acknowledgment) and (ii) notices and other communications posted to an Internet or intranet website shall be deemed received upon the deemed receipt by the intended recipient, at its e-mail address as described in the foregoing clause (i), of notification that such notice or communication is available and identifying the website address therefore; provided that, for both clauses (i) and (ii) above, if such notice or other communication is not sent during the normal business hours of the recipient, such notice or communication shall be deemed to have been sent at the opening of business on the next Business Day for the recipient. (c) Change of Address, etc. Any party hereto may change its address or fax number for notices and other communications hereunder by notice to the other parties hereto. (d) Platform. The Borrowers agree that the Administrative Agent may, but shall not be obligated to, make any Communications by posting such Communication on Debt Domain, IntraLinks, SyndTrak or a substantially similar electronic transmission system (the “Platform”). The Platform is provided “as is” and “as available.” Neither the Administrative Agent nor any of its Related Parties warrants, or shall be deemed to warrant, as to the adequacy of the Platform and each such Person expressly disclaims any liability for errors or omissions in the Communications. No warranty of any kind, express, implied or statutory, including any warranty of merchantability, fitness for a particular purpose, non-infringement of third-party rights or freedom from viruses or other code defects, is made, or shall be deemed to be made, by the Administrative Agent or any of its Related Parties in connection with the Communications or the Platform.</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509265-2360-19308-ACTIVE.66444598.5 146 TechnipFMC | Internal SECTION 9.02. Waivers; Amendments. (a) No failure or delay by the Administrative Agent, any Issuing Bank or any Lender in exercising any right or power hereunder or under any other Loan Document shall operate as a waiver thereof, nor shall any single or partial exercise of any such right or power, or any abandonment or discontinuance of steps to enforce such a right or power, preclude any other or further exercise thereof or the exercise of any other right or power. The rights and remedies of the Administrative Agent, the Issuing Banks and the Lenders hereunder and under the other Loan Documents are cumulative and are not exclusive of any rights or remedies that they would otherwise have. No waiver of any provision of this Agreement or any other Loan Document or consent to any departure by any Loan Party therefrom shall in any event be effective unless the same shall be permitted by paragraph (b) of this Section, and then such waiver or consent shall be effective only in the specific instance and for the specific purpose for which given. Without limiting the generality of the foregoing, the execution and delivery of this Agreement, the making of a Loan or the issuance, amendment, renewal or extension of a Letter of Credit shall not be construed as a waiver of any Default, regardless of whether the Administrative Agent, any Lender or any Issuing Bank may have had notice or knowledge of such Default at the time. No notice or demand on the Borrowers in any case shall entitle the Borrowers to any other or further notice or demand in similar or other circumstances. (b) Except as provided in Sections 2.14(b) and 2.14(d) and the first sentence of Section 2.21(b) (with respect to any commitment increase), none of this Agreement, any other Loan Document or any provision hereof or thereof may be waived, amended or modified except, in the case of this Agreement, pursuant to an agreement or agreements in writing entered into by the Borrowers, the Administrative Agent and the Required Lenders and, in the case of any other Loan Document, pursuant to an agreement or agreements in writing entered into by the Administrative Agent and the Loan Party or Loan Parties that are parties thereto, in each case with the consent of the Required Lenders; provided that no such agreement shall (i) increase the Commitment of any Lender without the written consent of such Lender, (ii) reduce the principal amount of any Loan or LC Disbursement or reduce the rate of interest thereon, or reduce any fees payable hereunder, in each case without the written consent of each Lender affected thereby (provided that the consent of the Required Lenders shall be sufficient to waive or reduce the increased portion of interest resulting from Section 2.13(d)), (iii) postpone the scheduled maturity date of any Loan or the required date of reimbursement of any LC Disbursement, or any date for the payment of any interest or fees payable hereunder, or reduce the amount of, waive or excuse any such payment, or postpone the scheduled date of expiration of any Commitment, without the written consent of each Lender affected thereby, (iv) change any of the provisions of this Section, change any provision of Section 2.18(b) or (c) in a manner that would alter the pro rata sharing of payments required thereby or the percentage set forth in the definition of the term “Required Lenders” or any other provision of this Agreement or any other Loan Document specifying the number or percentage of Lenders required to waive, amend or otherwise modify any rights thereunder or make any determination or grant any consent thereunder, without the written consent of each Lender, (v) release all or substantially all of the value of the Guarantees provided by the Loan Parties under the New York-Law Guarantee, in each case without the written consent of each Lender (except as expressly provided in Section 9.14 or the New York-Law Guarantee (including any such release by the Administrative Agent in connection with any sale or other disposition of any Subsidiary upon the exercise of remedies under the Security Documents), it being understood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509265-2360-19308-ACTIVE.66444598.5 147 TechnipFMC | Internal and agreed that an amendment or other modification of the type of obligations guaranteed under the New York-Law Guarantee shall not be deemed to be a release of any Guarantee), (vi) release all or substantially all the Collateral from the Liens of the Security Documents without the written consent of each Lender (except as expressly provided in Section 9.14 or the applicable Security Document (including any such release by the Administrative Agent in connection with any sale or other disposition of the Collateral upon the exercise of remedies under the Security Documents), it being understood and agreed that an amendment or other modification of the type of obligations secured by the Security Documents shall not be deemed to be a release of the Collateral from the Liens of the Security Documents), (vii) [reserved], (viii) [reserved] or (ix) amend Section 2.18(f) without the written consent of each Lender; provided, further, that no such agreement shall amend, modify, extend or otherwise affect the rights or obligations of the Administrative Agent or any Issuing Bank without the prior written consent of the Administrative Agent or such Issuing Bank, as applicable. Notwithstanding any of the foregoing, (A) no consent with respect to any waiver, amendment or other modification of this Agreement or any other Loan Document shall be required of any Defaulting Lender, except with respect to any waiver, amendment or other modification referred to in clause (i), (ii) or (iii) of the first proviso of this paragraph and then only in the event such Defaulting Lender shall be affected by such waiver, amendment or other modification and (B) any provision of this Agreement or any other Loan Document may be amended by an agreement in writing entered into by the Borrowers and the Administrative Agent to cure any ambiguity, omission, mistake, defect or inconsistency so long as, in each case, the Lenders shall have received at least five Business Days prior written notice thereof and the Administrative Agent shall not have received, within five Business Days of the date of such notice to the Lenders, a written notice from (1) the Required Lenders stating that the Required Lenders object to such amendment or (2) if affected by such amendment, any Issuing Bank stating that it objects to such amendment. (c) In connection with any Proposed Change requiring the consent of all Lenders or all affected Lenders, if the consent of the Required Lenders to such Proposed Change is obtained, but the consent to such Proposed Change of other Lenders whose consent is required is not obtained (any such Lender whose consent is not obtained as described in paragraph (b) of this Section being referred to as a “Non-Consenting Lender” for purposes of this clause (c)), then the Borrowers may, at their sole expense and effort, upon notice to such Non-Consenting Lender and the Administrative Agent, require such Non-Consenting Lender to assign and delegate, without recourse (in accordance with and subject to the restrictions contained in Section 9.04), all its interests, rights and obligations under this Agreement to an assignee that shall assume such obligations (which assignee may be another Lender, if a Lender accepts such assignment); provided that (i) if the Administrative Agent is not such Non-Consenting Lender, the Borrowers shall have received the prior written consent of the Administrative Agent (and, if a Commitment is being assigned, each Issuing Bank), which consent shall not unreasonably be withheld or delayed, (ii) such Non-Consenting Lender shall have received payment of an amount equal to the outstanding principal of its Loans and participations in LC Disbursements, accrued interest thereon, accrued fees and all other amounts payable to it hereunder from the assignee or the Borrowers, (iii) the Borrowers or such assignee shall have paid to the Administrative Agent the processing and recordation fee specified in Section 9.04(b), (iv) such assignment does not conflict with applicable law and (v) the assignee shall have given its consent to such Proposed Change and, as a result of such assignment and delegation and any contemporaneous assignments and delegations and consents, such Proposed Change can be effected. Any assignment required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509265-2360-19308-ACTIVE.66444598.5 148 TechnipFMC | Internal pursuant to this Section 9.02(c) may be effected pursuant to an Assignment and Assumption executed by the Borrowers, the Administrative Agent and the assignee, and the Lender required to make such assignment shall not be required to be a party to such Assignment and Assumption. (d) Notwithstanding anything herein to the contrary, the Administrative Agent may, without the consent of any Secured Party, consent to a departure by any Loan Party from any covenant of such Loan Party set forth in this Agreement, the New York-Law Guarantee or any Security Document to the extent such departure is consistent with the authority of the Administrative Agent set forth in the definition of the term “Collateral and Guarantee Requirement.” (e) The Administrative Agent may, but shall have no obligation to, with the concurrence of any Lender, execute waivers, amendments or other modifications on behalf of such Lender. Any waiver, amendment or other modification effected in accordance with this Section, shall be binding upon each Person that is at the time thereof a Lender and each Person that subsequently becomes a Lender. SECTION 9.03. Expenses; Limitation of Liability; Indemnity, Etc. (a) Expenses. The Borrowers shall pay (i) all reasonable and documented out-of- pocket expenses incurred by the Administrative Agent, the Arrangers, the Co-Documentation Agents and their respective Affiliates, including the reasonable fees, charges and disbursements of one firm of counsel for all such Persons, taken as a whole, and, if relevant, of a single firm of local counsel in each applicable jurisdiction (which may include a single firm of special counsel acting in multiple jurisdictions) for all such Persons, taken as a whole (and, in the case of an actual or perceived conflict of interest where the Person affected by such conflict informs the Borrowers of such conflict and thereafter retains its own counsel, of another firm of counsel for such affected Person and, if reasonably necessary, of a single firm of local counsel in each applicable jurisdiction (which may include a single firm of special counsel acting in multiple jurisdictions) for such affected Person), in connection with the structuring, arrangement and syndication of the Facility and any credit or similar facility refinancing or replacing, in whole or in part, the Facility, as well as the preparation, negotiation, execution, delivery and administration of this Agreement, the other Loan Documents or any waiver, amendments or modifications of the provisions hereof or thereof (whether or not the transactions contemplated hereby or thereby shall be consummated), (ii) all reasonable and documented out-of-pocket expenses incurred by any Issuing Bank in connection with the issuance, amendment, renewal or extension of any Letter of Credit or any demand for payment thereunder and (iii) all reasonable and documented out-of-pocket expenses incurred by the Administrative Agent, any Issuing Bank or any Lender, including the reasonable and documented fees, charges and disbursements of counsel for any of the foregoing, in connection with the enforcement or protection of its rights in connection with the Loan Documents, including its rights under this Section, or in connection with the Loans made or Letters of Credit issued hereunder, including all such out-of-pocket expenses incurred during any workout, restructuring or negotiations in respect of such Loans or Letters of Credit. (b) Limitation of Liability. To the extent permitted by applicable law (i) the Borrowers and each other Loan Party shall not assert, and the Borrowers and each other Loan Party hereby waive, any claim against the Administrative Agent, any Arranger, any Co-Documentation Agent,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509265-2360-19308-ACTIVE.66444598.5 149 TechnipFMC | Internal any Issuing Bank and any Lender, and any Related Party of any of the foregoing Persons (each such Person being called a “Lender-Related Person”) for any Liabilities arising from the use by others of information or other materials (including, without limitation, any personal data) obtained through telecommunications, electronic or other information transmission systems (including the Internet), and (ii) no party hereto shall assert, and each such party hereby waives, any Liabilities against any other party hereto, on any theory of liability, for special, indirect, consequential or punitive damages (as opposed to direct or actual damages) arising out of, in connection with, or as a result of, this Agreement, any other Loan Document, or any agreement or instrument contemplated hereby or thereby, the Transactions, any Loan or Letter of Credit or the use of the proceeds thereof; provided that, nothing in this Section 9.03(b) shall relieve the Borrowers or any other Loan Party of any obligation they may have to indemnify an Indemnitee, as provided in Section 9.03(c), against any special, indirect, consequential or punitive damages asserted against such Indemnitee by a third party. (c) Indemnity. The Borrowers shall indemnify the Administrative Agent, the Arrangers, the Co-Documentation Agents, the Lenders, the Issuing Banks and each Related Party of any of the foregoing Persons (each such Person being called an “Indemnitee”), against, and hold each Indemnitee harmless from, any and all Liabilities and related expenses (including the reasonable and documented fees, charges and disbursements of one firm of counsel for all such Indemnitees, taken as a whole, and, if relevant, of a single firm of local counsel in each applicable jurisdiction (which may include a single firm of special counsel acting in multiple jurisdictions) for all such Indemnitees, taken as a whole (and, in the case of an actual or perceived conflict of interest where the Indemnitee affected by such conflict informs the Borrowers of such conflict and thereafter retains its own counsel, of another firm of counsel for such affected Indemnitee and, if reasonably necessary, of a single firm of local counsel in each applicable jurisdiction (which may include a single firm of special counsel acting in multiple jurisdictions) for such affected Indemnitee)), incurred by or asserted against such Indemnitees arising out of, in connection with or as a result of any actual or prospective Proceeding relating to (i) the structuring, arrangement and syndication of the credit facilities provided for herein, the preparation, negotiation, execution, delivery and administration of this Agreement, the other Loan Documents or any other agreement or instrument contemplated hereby or thereby, the performance by the parties to this Agreement or the other Loan Documents of their respective obligations hereunder or thereunder or the consummation of the Transactions or any other transactions contemplated hereby or thereby, (ii) any Loan or Letter of Credit or the use of the proceeds therefrom (including any refusal by any Issuing Bank to honor a demand for payment under a Letter of Credit if the documents presented in connection with such demand do not strictly comply with the terms of such Letter of Credit) or (iii) any actual or alleged presence or Release of Hazardous Materials on, at, to or from any Mortgaged Property or any other property currently or formerly owned or operated by the Borrowers or any Subsidiary, or any other Environmental Liability related in any way to the Borrowers or any Subsidiary, in each case, whether based on contract, tort or any other theory and whether initiated against or by any party to this Agreement or any other Loan Document, any Affiliate of any of the foregoing or any third party (and regardless of whether any Indemnitee is a party thereto); provided that the foregoing indemnity shall not, as to any Indemnitee, apply to any Liabilities or related expenses to the extent (A) they are found in a final and non-appealable judgment of a court of competent jurisdiction to have primarily resulted from the willful misconduct, bad faith or gross negligence of such Indemnitee or (B) a proceeding that does not involve an act or omission by the Borrowers or any of their respective Affiliates and that is brought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509265-2360-19308-ACTIVE.66444598.5 150 TechnipFMC | Internal by an Indemnitee against any other Indemnitee (other than a proceeding that is brought against the Administrative Agent, any Issuing Bank or any other agent or any Arranger in its capacity or in fulfilling its roles as an agent, issuing bank or arranger hereunder or any similar role with respect to the Indebtedness incurred or to be incurred hereunder). This Section 9.03(c) shall not apply with respect to Taxes other than any Taxes that represent losses, claims or damages arising from any non-Tax claim. (d) Lender Reimbursement. Each Lender severally agrees to pay any amount required to be paid by the Borrowers under paragraphs (a), (b) or (c) of this Section 9.03 or the Pari Passu Intercreditor Agreement, any Junior Lien Intercreditor Agreement or any SCF Intercreditor Agreement to the Administrative Agent (including, for the avoidance of doubt, any sub-agent, co- agent or trustee designated by it as collateral agent or security trustee), any Issuing Bank, or any Related Party of any of the foregoing Persons (each, an “Agent-Related Person”) (to the extent not reimbursed by the Borrowers and without limiting their obligation to do so), ratably according to their respective Applicable Percentage in effect on the date on which such payment is sought under this Section (or, if such payment is sought after the date upon which the Commitments shall have terminated and the Loans shall have been paid in full, ratably in accordance with such Applicable Percentage immediately prior to such date), and agrees to indemnify and hold each Agent-Related Person harmless from and against any and all Liabilities and related expenses, including the fees, charges and disbursements of any kind whatsoever that may at any time (whether before or after the payment of the Loans) be imposed on, incurred by or asserted against such Agent-Related Person in any way relating to or arising out of the Commitments, this Agreement, any of the other Loan Documents or any documents contemplated by or referred to herein or therein or the transactions contemplated hereby or thereby or any action taken or omitted by such Agent-Related Person under or in connection with any of the foregoing; provided that the unreimbursed expense or Liability or related expense, as the case may be, was incurred by or asserted against such Agent- Related Person in its capacity as such; provided, further that no Lender shall be liable for the payment of any portion of such Liabilities, costs, expenses or disbursements that are found by a final and nonappealable decision of a court of competent jurisdiction to have resulted primarily from such Agent-Related Party’s gross negligence or willful misconduct. The agreements in this Section shall survive the termination of this Agreement and the payment of the Loans and all other amounts payable hereunder. (e) All amounts due under this Section shall be payable promptly after written demand therefor. SECTION 9.04. Successors and Assigns. (a) General. The provisions of this Agreement shall be binding upon and inure to the benefit of the parties hereto and their respective successors and assigns permitted hereby (including any Affiliate of any Issuing Bank that issues any Letter of Credit), except that (i) neither of the Borrowers may assign, delegate or otherwise transfer any of their rights or obligations hereunder without the prior written consent of the Administrative Agent and each Lender (and any attempted assignment, delegation or transfer by a Borrower without such consent shall be null and void) and (ii) no Lender may assign, delegate or otherwise transfer its rights or obligations hereunder except in accordance with this Section. Nothing in this Agreement, expressed or implied, shall be construed to confer upon any Person (other than the parties hereto, their respective successors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509265-2360-19308-ACTIVE.66444598.5 151 TechnipFMC | Internal assigns permitted hereby (including any Affiliate of any Issuing Bank that issues any Letter of Credit), Participants (to the extent provided in paragraph (c) of this Section), the Arrangers, the Co-Documentation Agents and, to the extent expressly contemplated hereby, the Related Parties of any of the Administrative Agent, any Arranger, any Co-Documentation Agent, any Issuing Bank and any Lender) any legal or equitable right, remedy or claim under or by reason of this Agreement. (b) Assignments by Lenders. (i) Subject to the conditions set forth in paragraph (b)(ii) below, any Lender may assign and delegate to one or more Eligible Assignees all or a portion of its rights and obligations under this Agreement (including all or a portion of its Commitment and the Loans at the time owing to it) with the prior written consent (such consent not to be unreasonably withheld or delayed, except in connection with a proposed assignment to any Disqualified Institution) of (A) the Borrowers; provided that no consent of the Borrowers shall be required (1) for an assignment and delegation to a Lender, an affiliate of a Lender or an Approved Fund in respect of a Lender and (2) if an Event of Default of the type set forth in Section 7.01(a), (b), (d) (with respect to any Financial Covenant), (h) or (i) has occurred and is continuing, for any other assignment and delegation; provided, further, that the Borrowers shall be deemed to have consented to any such assignment and delegation unless they shall object thereto by written notice to the Administrative Agent within ten (10) Business Days after having received notice thereof, (B) the Administrative Agent; provided that no consent of the Administrative Agent shall be required for an assignment and delegation of all or any portion of a Commitment or Loan to a Lender, an affiliate of a Lender or an Approved Fund in respect of a Lender and (C) each Issuing Bank, in the case of any assignment and delegation of all or a portion of a Commitment or any Lender’s obligations in respect of its LC Exposure. (ii) Assignments shall be subject to the following additional conditions: (A) except in the case of an assignment to a Lender, an Affiliate of a Lender or an Approved Fund or an assignment of the entire remaining amount of the assigning Lender’s Commitment or Loans, the amount of the Commitment or Loans of the assigning Lender subject to each such assignment (determined as of the date the Assignment and Assumption with respect to such assignment and delegation is delivered to the Administrative Agent) shall not be less than $5,000,000, unless each Borrower and the Administrative Agent otherwise consents; provided that no such consent of the Borrowers shall be required if an Event of Default has occurred and is continuing, (B) each partial assignment shall be made as an assignment of a proportionate part of all the assigning Lender’s rights and obligations under this Agreement, (C) the parties to each assignment shall execute and deliver to the Administrative Agent (1) an Assignment and Assumption or (2) to the extent applicable, an agreement incorporating an Assignment and Assumption by reference pursuant to a Platform as to which the Administrative Agent and the parties to the Assignment and Assumption are participants, together with a processing and recordation fee of $3,500; provided with respect to any assignment pursuant to Section 2.19(b) or 9.02(c), the parties hereto agree that such assignment may be effected pursuant to an Assignment and Assumption executed by the Borrowers, the Administrative Agent and the assignee and that the Lender required to make such assignment need not be a party thereto, and (D) the assignee, if it shall not be a Lender, shall deliver to the Administrative Agent an Administrative Questionnaire in which the assignee designates one or more credit contacts to whom all syndicate-level information (which may contain MNPI) will be made available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509265-2360-19308-ACTIVE.66444598.5 152 TechnipFMC | Internal and who may receive such information in accordance with the assignee’s compliance procedures and applicable law, including Federal, State and foreign securities laws. (iii) Subject to acceptance and recording thereof pursuant to paragraph (b)(ii) of this Section, from and after the effective date specified in each Assignment and Assumption, the assignee thereunder shall be a party hereto and, to the extent of the interest assigned by such Assignment and Assumption, have the rights and obligations of a Lender under this Agreement, and the assigning Lender thereunder shall, to the extent of the interest assigned by such Assignment and Assumption, be released from its obligations under this Agreement (and, in the case of an Assignment and Assumption covering all the assigning Lender’s rights and obligations under this Agreement, such Lender shall cease to be a party hereto but shall continue to be entitled to the benefits of (and subject to the obligations and limitations of) Sections 2.15, 2.16, 2.17 and 9.03 and to any fees payable hereunder that have accrued for such Lender’s account but have not yet been paid). Any assignment or transfer by a Lender of rights or obligations under this Agreement that does not comply with this Section 9.04, other than with respect to Disqualified Institutions, whether or not such assignment or transfer is reflected in the Register, shall be treated for purposes of this Agreement as a sale by such Lender of a participation in such rights and obligations in accordance with clause (c) of this Section 9.04. (iv) [Reserved]. (v) If any assignment under this Section 9.04(b) is made to any Disqualified Institution without the Borrowers’ prior written consent, then the Borrowers may, at their sole expense and effort, upon notice to the applicable Disqualified Institution and the Administrative Agent and to the extent such Disqualified Institution continues to hold any such Loans or Commitments, (A) terminate any Commitment of such Disqualified Institution and repay the outstanding amount of Loans, together with accrued and unpaid interest thereon, unpaid fees and all other amounts owing to such Disqualified Institution and/or (B) require such Disqualified Institution to assign, without recourse (in accordance with and subject to the restrictions contained in this Section 9.04), all of its interests, rights and obligations under this Agreement to one or more Eligible Assignees. Nothing in this Section 9.04 shall be deemed to prejudice any right or remedy that the Borrowers may otherwise have at law or equity. (vi) Notwithstanding anything to the contrary contained in this Agreement, each Disqualified Institution (A) will not receive information provided solely to Lenders by the Borrowers, the Administrative Agent or any Lender (other than the Disqualified Institutions List to any potential assignee for the purpose of determining if such potential assignee is a Disqualified Institution) and will not be permitted to attend or participate in conference calls or meetings attended solely by the Lenders and the Administrative Agent, other than the right to receive notices of prepayments and other administrative notices in respect of its Loans or Commitments required to be delivered to Lenders pursuant to Article II and (B) (1) for purposes of determining whether the Required Lenders have (i) consented (or not consented) to any amendment, modification, waiver, consent or other action with respect to any of the terms of any Loan Document or any departure by any Loan Party therefrom, (ii) otherwise acted on any matter related to any Loan Document, 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509265-2360-19308-ACTIVE.66444598.5 153 TechnipFMC | Internal (iii) directed or required the Administrative Agent or any Lender to undertake any action (or refrain from taking any action) with respect to or under any Loan Document, shall not have any right to consent (or not consent), otherwise act or direct or require the Administrative Agent or any Lender to take (or refrain from taking) any such action, and all Loans held by any Disqualified Institution shall be deemed to be not outstanding for all purposes of calculating whether the Required Lenders or all Lenders have taken any actions, except that no amendment, modification or waiver of any Loan Document shall, without the consent of the applicable Disqualified Institution, deprive any Disqualified Institution of its pro rata share of any payment to which all Lenders are entitled and (2) hereby agrees that if a proceeding under any Debtor Relief Law shall be commenced by or against the Borrowers or any other Loan Party, such Disqualified Institution will be deemed to vote in the same proportion as Lenders that are not Disqualified Institutions. (vii) The Administrative Agent shall have the right, and the Borrowers hereby expressly authorize the Administrative Agent, to provide the Disqualified Institutions List to each Lender or potential Lender requesting the same (provided that such Lender or potential Lender agrees to maintain the confidentiality of the Disqualified Institutions List (which agreement may be by way of a “click through” or other affirmative action on the part of the recipient to access the Disqualified Institutions List and acknowledge its confidentiality obligations in respect thereof)). (viii) The Administrative Agent shall not be responsible or have any liability for, or have any duty to ascertain, inquire into, monitor the list or identities of, or enforce, compliance with the provisions hereof relating to Disqualified Institutions. Without limiting the generality of the foregoing, the Administrative Agent shall not (A) be obligated to ascertain, monitor or inquire as to whether any Lender or prospective Lender is a Disqualified Institution or (B) have any liability with respect to or arising out of any assignment of Loans, or disclosure of confidential information, to any Disqualified Institution. (ix) The Administrative Agent, acting solely for this purpose as a non-fiduciary agent of the Borrowers, shall maintain at one of its offices a copy of each Assignment and Assumption delivered to it and a register for the recordation of the names and addresses of the Lenders, and the Commitment of, and principal amount (and related interest amounts) of the Loans and LC Disbursements owing to, each Lender pursuant to the terms hereof from time to time (the “Register”). The entries in the Register shall be conclusive absent manifest error, the Borrowers, the Administrative Agent, the Issuing Banks and the Lenders shall treat each Person whose name is recorded in the Register pursuant to the terms hereof as a Lender hereunder for all purposes of this Agreement, notwithstanding notice to the contrary. The Register shall be available for inspection by the Borrowers, any Issuing Bank or any Lender, at any reasonable time and from time to time upon reasonable prior notice. (x) Upon its receipt of (A) a duly completed Assignment and Assumption executed by an assigning Lender and an assignee or (B) to the extent applicable, an agreement incorporating an Assignment and Assumption by reference pursuant to a Platform as to which the Administrative Agent and the parties to the Assignment and Assumption are participants, the assignee’s completed Administrative Questionnaire</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509265-2360-19308-ACTIVE.66444598.5 154 TechnipFMC | Internal (unless the assignee shall already be a Lender hereunder), the processing and recordation fee referred to in paragraph (b)(ii) of this Section and any written consent to such assignment required by paragraph (b)(i) of this Section, the Administrative Agent shall accept such Assignment and Assumption and record the information contained therein in the Register; provided that if either the assigning Lender or the assignee shall have failed to make any payment required to be made by it pursuant to Section 2.05(d) or (e), 2.06(b), 2.18(d) or 9.03(d), the Administrative Agent shall have no obligation to accept such Assignment and Assumption and record the information therein in the Register unless and until such payment shall have been made in full, together with all accrued interest thereon. No assignment shall be effective for purposes of this Agreement unless it has been recorded in the Register as provided in this paragraph. (c) Participations. Any Lender may, without the consent of, or notice to, the Borrowers, the Administrative Agent, or any Issuing Bank, sell participations to one or more Eligible Assignees (each, a “Participant”) in all or a portion of such Lender’s rights and/or obligations under this Agreement (including all or a portion of its Commitment and/or the Loans owing to it); provided that (A) such Lender’s obligations under this Agreement shall remain unchanged, (B) such Lender shall remain solely responsible to the other parties hereto for the performance of such obligations and (C) the Borrowers, the Administrative Agent, the Issuing Banks and the other Lenders shall continue to deal solely and directly with such Lender in connection with such Lender’s rights and/or obligations under this Agreement. Any agreement or instrument pursuant to which a Lender sells such a participation shall provide that such Lender shall retain the sole right to enforce this Agreement and to approve any amendment, modification or waiver of any provision of this Agreement or any other Loan Document; provided that such agreement or instrument may provide that such Lender will not, without the consent of the Participant, agree to any amendment, modification or waiver described in the first proviso to Section 9.02(b) that affects such Participant. The Borrowers agree that each Participant shall be entitled to the benefits of Sections 2.15, 2.16 and 2.17 (subject to the requirements and limitations therein, including the requirements under Section 2.17(e) (it being understood and agreed that the documentation required under Section 2.17(e) and (f) shall be delivered to the participating Lender and the information and documentation required under 2.17(f) will be delivered to the Borrowers and the Administrative Agent) to the same extent as if it were a Lender and had acquired its interest by assignment and delegation pursuant to paragraph (b) of this Section); provided that such Participant (A) agrees to be subject to the provisions of Sections 2.18 and 2.19 as if it were an assignee under paragraph (b) of this Section and (B) shall not be entitled to receive any greater payment under Section 2.15 or 2.17, with respect to any participation, than its participating Lender would have been entitled to receive, except to the extent such entitlement to receive a greater payment results from a Change in Law that occurs after the Participant acquired the applicable participation. Each Lender that sells a participation agrees, at the Borrowers’ request and expense, to use reasonable efforts to cooperate with the Borrowers to effectuate the provisions of Section 2.19(b) with respect to any Participant. To the extent permitted by law, each Participant also shall be entitled to the benefits of Section 9.08 as though it were a Lender; provided that such Participant agrees to be subject to Section 2.18(c) as though it were a Lender. Each Lender that sells a participation shall, acting solely for this purpose as a non-fiduciary agent of the Borrowers, maintain a register on which it enters the name and address of each Participant and the principal amounts (and stated interest) of each Participant’s interest in the Loans or other obligations under this Agreement or any other Loan Document (the “Participant Register”); provided that no Lender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509265-2360-19308-ACTIVE.66444598.5 155 TechnipFMC | Internal shall have any obligation to disclose all or any portion of the Participant Register (including the identity of any Participant or any information relating to a Participant’s interest in any Commitments, Loans, Letters of Credit or its other obligations under this Agreement or any other Loan Document) to any Person except to the extent that such disclosure is necessary to establish that such Commitment, Loan, Letter of Credit or other obligation is in registered form under Section 5f.103-1(c) or Proposed Section 1.163-5(b) of the United States Treasury Regulations (or, in each case, any amended or successor version). The entries in the Participant Register shall be conclusive absent manifest error, and such Lender shall treat each Person whose name is recorded in the Participant Register as the owner of such participation for all purposes of this Agreement notwithstanding any notice to the contrary. For the avoidance of doubt, the Administrative Agent (in its capacity as Administrative Agent) shall have no responsibility for maintaining a Participant Register. (d) Certain Pledges. Any Lender may, without the consent of the Borrowers, the Administrative Agent or any Issuing Bank, at any time pledge or assign a security interest in all or any portion of its rights under this Agreement to secure obligations of such Lender, including any pledge or assignment to secure obligations to a Federal Reserve Bank, and this Section shall not apply to any such pledge or assignment of a security interest; provided that no such pledge or assignment of a security interest shall release a Lender from any of its obligations hereunder or substitute any such pledgee or assignee for such Lender as a party hereto. SECTION 9.05. Survival. All covenants, agreements, representations and warranties made by the Loan Parties in this Agreement and the other Loan Documents and in the certificates or other instruments delivered in connection with or pursuant to this Agreement or any other Loan Document shall be considered to have been relied upon by the other parties hereto and shall survive the execution and delivery of this Agreement and the other Loan Documents and the making of any Loans and issuance of any Letters of Credit, regardless of any investigation made by any such other party or on its behalf and notwithstanding that the Administrative Agent, the Arrangers, the Co-Documentation Agents, any Issuing Bank, any Lender or any Affiliate of any of the foregoing may have had notice or knowledge of any Default or incorrect representation or warranty at the time this Agreement or any other Loan Document is executed and delivered or any credit is extended hereunder, and shall continue in full force and effect as long as the principal of or any accrued interest on any Loan or any fee or any other amount payable under this Agreement is outstanding and unpaid or any LC Exposure is outstanding and so long as the Commitments have not expired or terminated. Notwithstanding the foregoing or anything else to the contrary set forth in this Agreement or any other Loan Document, in the event that, in connection with the refinancing or repayment in full of the credit facilities provided for herein, an Issuing Bank shall have provided to the Administrative Agent a written consent to the release of the Lenders from their obligations hereunder with respect to any Letter of Credit issued by such Issuing Bank (whether as a result of the obligations of the Borrowers (and any other account party) in respect of such Letter of Credit having been collateralized in full by a deposit of cash with such Issuing Bank, or being supported by a letter of credit that names such Issuing Bank as the beneficiary thereunder, or otherwise), then from and after such time such Letter of Credit shall cease to be a “Letter of Credit” outstanding hereunder for all purposes of this Agreement and the other Loan Documents, and the Lenders shall be deemed to have no participations in such Letter of Credit, and no obligations with respect thereto, under Section 2.05(d) or 2.05(e). The provisions of Sections 2.15, 2.16, 2.17, and 9.03 and Article VIII shall survive and remain in full force and effect regardless of</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509265-2360-19308-ACTIVE.66444598.5 156 TechnipFMC | Internal the consummation of the transactions contemplated hereby, the repayment or prepayment of the Loans, the expiration or termination of the Letters of Credit and the Commitments or the termination of this Agreement or any provision hereof. SECTION 9.06. Counterparts; Integration; Effectiveness. (a) This Agreement may be executed in counterparts (and by different parties hereto on different counterparts), each of which shall constitute an original, but all of which when taken together shall constitute a single contract. This Agreement, the other Loan Documents and any separate letter agreements with respect to fees payable to the Administrative Agent or the syndication of the Loans and Commitments constitute the entire contract among the parties relating to the subject matter hereof and supersede any and all previous agreements and understandings, oral or written, relating to the subject matter hereof. This Agreement shall become effective when it shall have been executed by the Administrative Agent and the Administrative Agent shall have received counterparts hereof that, when taken together, bear the signatures of each of the other parties hereto, and thereafter shall be binding upon and inure to the benefit of the parties hereto and their respective successors and assigns. (b) Delivery of an executed counterpart of a signature page of (i) this Agreement, (ii) any other Loan Document and/or (iii) any document, amendment, approval, consent, information, notice (including, for the avoidance of doubt, any notice delivered pursuant to Section 9.01), certificate, request, statement, disclosure or authorization related to this Agreement, any other Loan Document and/or the transactions contemplated hereby and/or thereby (each an “Ancillary Document”) that is an Electronic Signature transmitted by telecopy, emailed pdf. or any other electronic means that reproduces an image of an actual executed signature page shall be effective as delivery of a manually executed counterpart of this Agreement, such other Loan Document or such Ancillary Document, as applicable. The words “execution,” “signed,” “signature,” “delivery,” and words of like import in or relating to this Agreement, any other Loan Document and/or any Ancillary Document shall be deemed to include Electronic Signatures, deliveries or the keeping of records in any electronic form (including deliveries by telecopy, emailed pdf. or any other electronic means that reproduces an image of an actual executed signature page), each of which shall be of the same legal effect, validity or enforceability as a manually executed signature, physical delivery thereof or the use of a paper-based recordkeeping system, as the case may be; provided that nothing herein shall require the Administrative Agent to accept Electronic Signatures in any form or format without its prior written consent and pursuant to procedures approved by it; provided, further, without limiting the foregoing, (i) to the extent the Administrative Agent has agreed to accept any Electronic Signature, the Administrative Agent and each of the Lenders shall be entitled to rely on such Electronic Signature purportedly given by or on behalf of the Borrowers or any other Loan Party without further verification thereof and without any obligation to review the appearance or form of any such Electronic signature and (ii) upon the request of the Administrative Agent or any Lender, any Electronic Signature shall be promptly followed by a manually executed counterpart. Without limiting the generality of the foregoing, the Borrowers and each Loan Party hereby (i) agree that, for all purposes, including without limitation, in connection with any workout, restructuring, enforcement of remedies, bankruptcy proceedings or litigation among the Administrative Agent, the Lenders, and the Loan Parties, Electronic Signatures transmitted by telecopy, emailed pdf. or any other electronic means that reproduces an image of an actual executed signature page and/or any electronic images of this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509265-2360-19308-ACTIVE.66444598.5 157 TechnipFMC | Internal Agreement, any other Loan Document and/or any Ancillary Document shall have the same legal effect, validity and enforceability as any paper original, (ii) the Administrative Agent and each of the Lenders may, at its option, create one or more copies of this Agreement, any other Loan Document and/or any Ancillary Document in the form of an imaged electronic record in any format, which shall be deemed created in the ordinary course of such Person’s business, and destroy the original paper document (and all such electronic records shall be considered an original for all purposes and shall have the same legal effect, validity and enforceability as a paper record), (iii) waive any argument, defense or right to contest the legal effect, validity or enforceability of this Agreement, any other Loan Document and/or any Ancillary Document based solely on the lack of paper original copies of this Agreement, such other Loan Document and/or such Ancillary Document, respectively, including with respect to any signature pages thereto and (iv) waive any claim against any Lender-Related Person for any Liabilities arising solely from the Administrative Agent’s and/or any Lender’s reliance on or use of Electronic Signatures and/or transmissions by telecopy, emailed pdf. or any other electronic means that reproduces an image of an actual executed signature page, including any Liabilities arising as a result of the failure of the Borrowers and/or any Loan Party to use any available security measures in connection with the execution, delivery or transmission of any Electronic Signature. SECTION 9.07. Severability. Any provision of this Agreement held to be invalid, illegal or unenforceable in any jurisdiction shall, as to such jurisdiction, be ineffective to the extent of such invalidity, illegality or unenforceability without affecting the validity, legality and enforceability of the remaining provisions hereof; and the invalidity of a particular provision in a particular jurisdiction shall not invalidate such provision in any other jurisdiction. SECTION 9.08. Right of Setoff. If an Event of Default shall have occurred and be continuing, each Lender and each Issuing Bank is hereby authorized at any time and from time to time, to the fullest extent permitted by applicable law, to set off and apply any and all deposits (general or special, time or demand, provisional or final, in whatever currency) or other amounts at any time held and other obligations (in whatever currency) at any time owing by such Lender or such Issuing Bank to or for the credit or the account of the Borrowers against any of and all the obligations then due of the Borrowers now or hereafter existing under this Agreement held by such Lender or such Issuing Bank, irrespective of whether or not such Lender or such Issuing Bank shall have made any demand under this Agreement and although such obligations of the Borrowers are owed to a branch or office of such Lender or such Issuing Bank different from the branch or office holding such deposit or obligated on such Indebtedness. Each Lender and each Issuing Bank agrees to notify the Borrowers and the Administrative Agent promptly after any such setoff and application; provided that the failure to give or any delay in giving such notice shall not affect the validity of any such setoff and application under this Section. The rights of each Lender and each Issuing Bank under this Section are in addition to other rights and remedies (including other rights of setoff) that such Lender or such Issuing Bank may have. SECTION 9.09. Governing Law; Jurisdiction; Consent to Service of Process. (a) This Agreement and any claim, controversy, dispute or cause of action (whether in contract or tort or otherwise) based upon, arising out of or relating to this Agreement and the transactions contemplated hereby shall be governed by, and construed in accordance with, the law of the State of New York.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509265-2360-19308-ACTIVE.66444598.5 158 TechnipFMC | Internal (b) Each of the Lenders and the Administrative Agent hereby irrevocably and unconditionally agrees that, notwithstanding the governing law provisions of any applicable Loan Document, any claims brought against the Administrative Agent by any Secured Party relating to this Agreement, any other Loan Document, the Collateral or the consummation or administration of the transactions contemplated hereby or thereby shall be construed in accordance with and governed by the law of the State of New York. (c) Each of the Borrowers hereby irrevocably and unconditionally submits, for itself and its property, to the exclusive jurisdiction of the United States District Court for the Southern District of New York sitting in the Borough of Manhattan (or if such court lacks subject matter jurisdiction, the Supreme Court of the State of New York sitting in the Borough of Manhattan), and any appellate court from any thereof, in any action or proceeding arising out of or relating to this Agreement or any other Loan Document or the transactions relating hereto or thereto, or for recognition or enforcement of any judgment, and each of the parties hereto hereby irrevocably and unconditionally agrees that all claims in respect of any such action or proceeding may (and any such claims, cross-claims or third-party claims brought against the Administrative Agent or any of its Related Parties may only) be heard and determined in such Federal (to the extent permitted by law) or New York State court. Each of the parties hereto agrees that a final judgment in any such action or proceeding shall be conclusive and may be enforced in other jurisdictions by suit on the judgment or in any other manner provided by law. Nothing in this Agreement or in any other Loan Document shall affect any right that the Administrative Agent, any Issuing Bank or any Lender may otherwise have to bring any action or proceeding relating to this Agreement against any Loan Party or any of its properties in the courts of any jurisdiction. (d) Each party hereto hereby irrevocably and unconditionally waives, to the fullest extent permitted by applicable law, any objection that it may now or hereafter have to the laying of venue of any action, litigation or proceeding arising out of or relating to this Agreement or any other Loan Document in any court referred to in paragraph (c) of this Section. Each of the parties hereto hereby irrevocably waives, to the fullest extent permitted by law, the defense of an inconvenient forum to the maintenance of such action or proceeding in any such court. (e) Each party to this Agreement irrevocably consents to service of process in the manner provided for notices in Section 9.01; provided that the Company hereby acknowledges that it has appointed the U.S. Borrower as its agent for service of process, with an address for service of process of 1209 Orange Street, Wilmington DE 19801 (with a copy to be delivered to 13460 Lockwood Rd., Houston, Texas 77044, Attention: Alf Melin), and agrees that service of any process, summons, notice or document by hand delivery or registered mail upon such agent shall be effective service of process for any suit, action or proceeding brought in any court referred to in Section 9.09(c). Nothing in this Agreement or any other Loan Document will affect the right of any party to this Agreement to serve process in any other manner permitted by law. SECTION 9.10. WAIVER OF JURY TRIAL. EACH PARTY HERETO HEREBY IRREVOCABLY WAIVES, TO THE FULLEST EXTENT PERMITTED BY APPLICABLE LAW, ANY RIGHT IT MAY HAVE TO A TRIAL BY JURY IN ANY LEGAL PROCEEDING DIRECTLY OR INDIRECTLY ARISING OUT OF OR RELATING TO THIS AGREEMENT OR ANY OTHER LOAN DOCUMENT OR THE TRANSACTIONS CONTEMPLATED HEREBY OR THEREBY (WHETHER BASED ON CONTRACT, TORT OR ANY OTHER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509265-2360-19308-ACTIVE.66444598.5 159 TechnipFMC | Internal THEORY). EACH PARTY HERETO (A) CERTIFIES THAT NO REPRESENTATIVE, AGENT OR ATTORNEY OF ANY OTHER PARTY HAS REPRESENTED, EXPRESSLY OR OTHERWISE, THAT SUCH OTHER PARTY WOULD NOT, IN THE EVENT OF LITIGATION, SEEK TO ENFORCE THE FOREGOING WAIVER AND (B) ACKNOWLEDGES THAT IT AND THE OTHER PARTIES HERETO HAVE BEEN INDUCED TO ENTER INTO THIS AGREEMENT AND THE OTHER LOAN DOCUMENTS BY, AMONG OTHER THINGS, THE MUTUAL WAIVERS AND CERTIFICATIONS IN THIS SECTION. SECTION 9.11. Headings. Article and Section headings and the Table of Contents used herein are for convenience of reference only, are not part of this Agreement and shall not affect the construction of, or be taken into consideration in interpreting, this Agreement. SECTION 9.12. Confidentiality. Each of the Administrative Agent, the Lenders and the Issuing Banks agrees to maintain the confidentiality of the Information (as defined below), except that Information may be disclosed (a) to its and its Affiliates’ directors, officers, employees and agents, including accountants, legal counsel and other advisors, it being understood and agreed that the Persons to whom such disclosure is made will be informed of the confidential nature of such Information and instructed to keep such Information confidential, (b) to the extent required or requested by any Governmental Authority (including any self-regulatory authority, such as the National Association of Insurance Commissioners), (c) to the extent required by applicable laws or regulations or by any subpoena or similar legal process, (d) to any other party to this Agreement, (e) in connection with the exercise of any remedies under this Agreement or any other Loan Document or any Proceeding relating to this Agreement or any other Loan Document or the enforcement of rights hereunder or thereunder, (f) subject to an agreement containing confidentiality undertakings substantially similar to those of this Section, to (i) any assignee of or Participant in, or any prospective assignee of or Participant in, any of its rights or obligations under this Agreement (including, for the avoidance of doubt, the Disqualified Institutions List for the purpose of determining if a potential assignee is a Disqualified Institution), (ii) any actual or prospective counterparty (or its Related Parties) to or provider of, as applicable, any Hedging Agreement, Cash Management Services, LC Facility or Supply Chain Financing (including any Supply Chain Bank Purchaser) relating to the Borrowers or any Subsidiary and their obligations hereunder or under any other Loan Document or any other transaction under which payments are to be made by reference to the Borrowers or any Subsidiary and their obligations hereunder or under any other Loan Document and (iii) to any Secured Party (as defined in the Performance LC Credit Agreement) under the Performance LC Credit Agreement, (g) on a confidential basis to (i) any rating agency in connection with rating the Borrowers or their Subsidiaries or Facility or (ii) the CUSIP Service Bureau or any similar agency in connection with the issuance and monitoring of identification numbers with respect to the Facility, (h) with the consent of the Borrowers, (i) to the extent such Information (i) becomes publicly available other than as a result of a breach of this Section or (ii) becomes available to the Administrative Agent, any Lender or any Issuing Bank or any Affiliate of any of the foregoing on a nonconfidential basis from a source other than the Borrowers or (j) to any credit insurance provider or potential credit insurance provider relating to the Borrowers or their Obligations. For purposes of this Section, “Information” means all information received from the Borrowers relating to the Borrowers or any Subsidiary or their businesses, other than any such information that is available to the Administrative Agent, any Lender or any Issuing Bank on a nonconfidential basis prior to disclosure by the Borrowers and</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509265-2360-19308-ACTIVE.66444598.5 160 TechnipFMC | Internal other than information pertaining to this Agreement routinely provided by arrangers to data service providers, including league table providers, that serve the lending industry; provided that, in the case of information received from the Borrower after the date hereof, such information is clearly identified at the time of delivery as confidential. Any Person required to maintain the confidentiality of Information as provided in this Section shall be considered to have complied with its obligation to do so if such Person has exercised the same degree of care to maintain the confidentiality of such Information as such Person would accord to its own confidential information. SECTION 9.13. Interest Rate Limitation. Notwithstanding anything herein to the contrary, if at any time the interest rate applicable to any Loan or participation in any LC Disbursement, together with all fees, charges and other amounts that are treated as interest on such Loan or LC Disbursement or participation therein under applicable law (collectively the “Charges”), shall exceed the maximum lawful rate (the “Maximum Rate”) that may be contracted for, charged, taken, received or reserved by the Lender holding such Loan or LC Disbursement or participation therein in accordance with applicable law, the rate of interest payable in respect of such Loan hereunder, together with all Charges payable in respect thereof, shall be limited to the Maximum Rate and, to the extent lawful, the interest and Charges that would have been payable in respect of such Loan or LC Disbursement or participation therein but were not payable as a result of the operation of this Section shall be cumulated and the interest and Charges payable to such Lender in respect of other Loans or LC Disbursements or participation therein or periods shall be increased (but not above the Maximum Rate therefor) until such cumulated amount, together with interest thereon at the applicable Overnight Rate to the date of repayment, shall have been received by such Lender. SECTION 9.14. Release of Liens and Guarantees. Subject to the reinstatement provisions set forth in the New York-Law Guarantee or any Security Document, a Guarantor shall automatically be released from its obligations under the Loan Documents, and all security interests created by the Security Documents in Collateral owned by such Guarantor shall be automatically released, upon the consummation of any transaction permitted by this Agreement as a result of which such Guarantor ceases to be a Subsidiary; provided that, if so required by this Agreement, the Required Lenders shall have consented to such transaction and the terms of such consent shall not have provided otherwise. Upon any sale or other transfer by any Loan Party (other than to the Borrowers or any other Loan Party) of any Collateral in a transaction permitted under this Agreement, or upon the effectiveness of any written consent to the release of the security interest created under any Security Document in any Collateral pursuant to Section 9.02, the security interests in such Collateral created by the Security Documents shall be automatically released. Upon the earlier to occur of (i) payment in full of the Loan Document Obligations (other than contingent amounts not yet due), expiration or termination of all Commitments and the expiration or termination of all Letters of Credit (other than those collateralized or back-stopped on terms reasonably satisfactory to the applicable Issuing Bank) and reimbursement of all LC Disbursements and (ii) the Investment Grade Date, the Guarantees made by the Guarantors pursuant to the New York-Law Guarantee and the security interests granted to the Administrative Agent pursuant to the Security Documents shall be terminated; provided that, notwithstanding anything to the contrary contained herein, to the extent that the Company or any Restricted Subsidiary Guarantees any other Indebtedness in an aggregate principal amount exceeding $75,000,000 on the Investment Grade Date or at any time thereafter, then the Company and/or</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509265-2360-19308-ACTIVE.66444598.5 161 TechnipFMC | Internal such Restricted Subsidiary shall be required to Guarantee the Obligations and no such Guarantee shall be released on the Investment Grade Date or thereafter except as expressly set forth herein (such Guarantees, the “Investment Grade Retained Credit Support”). In connection with any termination or release pursuant to this Section, the Administrative Agent shall execute and deliver to any Loan Party, at such Loan Party’s expense, all documents that such Loan Party shall reasonably request to evidence such termination or release (except as expressly contemplated herein with respect to Investment Grade Credit Support). Any execution and delivery of documents pursuant to this Section shall be without recourse to or warranty by the Administrative Agent. Each of the Secured Parties irrevocably authorizes the Administrative Agent, at its option and in its discretion, to effect the releases set forth in this Section, the Borrowers shall deliver to the Administrative Agent such officer’s certificates as the Administrative Agent may reasonably request to evidence compliance with the applicable provisions of the Loan Documents (including the Administrative Agent’s authority hereunder) and the Secured Parties acknowledge and agree that the Administrative Agent may rely, without independent investigation on such certificates. SECTION 9.15. USA PATRIOT Act Notice. Each Lender, each Issuing Bank and the Administrative Agent (for itself and not on behalf of any Lender) hereby notifies each Loan Party that, pursuant to the requirements of the USA PATRIOT Act, it is required to obtain, verify and record information that identifies such Loan Party, which information includes the name and address of such Loan Party and other information that will allow such Lender, such Issuing Bank or the Administrative Agent, as applicable, to identify such Loan Party in accordance with the USA PATRIOT Act, and each Loan Party agrees to provide such information from time to time to such Lender, such Issuing Bank and the Administrative Agent, as applicable. SECTION 9.16. No Fiduciary Relationship. The Borrowers acknowledge and agree, and acknowledge their Subsidiaries’ understanding, that no Credit Party will have any obligations except those obligations expressly set forth herein and in the other Loan Documents and each Credit Party is acting solely in the capacity of an arm’s-length contractual counterparty to the Borrowers with respect to the Loan Documents and the transaction contemplated therein and not as a financial advisor or a fiduciary to, or an agent of, the Borrowers or any other person. The Borrowers agree that they will not assert any claim against any Credit Party based on an alleged breach of fiduciary duty by such Credit Party in connection with this Agreement and the transactions contemplated hereby. Additionally, the Borrowers acknowledge and agree that no Credit Party is advising the Borrowers as to any legal, tax, investment, accounting, regulatory or any other matters in any jurisdiction. The Borrowers shall consult with their own advisors concerning such matters and shall be responsible for making their own independent investigation and appraisal of the transactions contemplated hereby, and the Credit Parties shall have no responsibility or liability to the Borrowers with respect thereto. The Borrowers further acknowledge and agree, and acknowledge their Subsidiaries’ understanding, that each Credit Party is a full service securities or banking firm engaged in securities trading and brokerage activities as well as providing investment banking and other financial services. In the ordinary course of business, any Credit Party may provide investment banking and other financial services to, and/or acquire, hold or sell, for its own accounts and the accounts of customers, equity, debt and other securities and financial instruments (including bank loans and other obligations) of, you and other companies with which you may have commercial or other relationships. With respect to any securities and/or financial instruments so held by any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509265-2360-19308-ACTIVE.66444598.5 162 TechnipFMC | Internal Credit Party or any of its customers, all rights in respect of such securities and financial instruments, including any voting rights, will be exercised by the holder of the rights, in its sole discretion. In addition, the Borrowers acknowledge and agree, and acknowledge their Subsidiaries’ understanding, that each Credit Party and its affiliates may be providing debt financing, equity capital or other services (including financial advisory services) to other companies in respect of which you may have conflicting interests regarding the transactions described herein and otherwise. No Credit Party will use confidential information obtained from you by virtue of the transactions contemplated by the Loan Documents or its other relationships with you in connection with the performance by such Credit Party of services for other companies, and no Credit Party will furnish any such information to other companies. You also acknowledge that no Credit Party has any obligation to use in connection with the transactions contemplated by the Loan Documents, or to furnish to you, confidential information obtained from other companies. SECTION 9.17. Non-Public Information. (a) Each Lender acknowledges that all information, including requests for waivers and amendments, furnished by the Borrowers or the Administrative Agent pursuant to or in connection with, or in the course of administering, this Agreement will be syndicate-level information, which may contain MNPI. Each Lender represents to the Borrowers and the Administrative Agent that (i) it has developed compliance procedures regarding the use of MNPI and that it will handle MNPI in accordance with such procedures and applicable law, including Federal, State and foreign securities laws, and (ii) it has identified in its Administrative Questionnaire a credit contact who may receive information that may contain MNPI in accordance with its compliance procedures and applicable law, including Federal, State and foreign securities laws. (b) The Borrowers and each Lender acknowledge that, if information furnished by the Borrowers pursuant to or in connection with this Agreement is being distributed by the Administrative Agent through the Platform, (i) the Administrative Agent may post any information that the Borrowers have indicated as containing MNPI solely on that portion of the Platform as is designated for private side Lender representatives and (ii) if the Borrowers have not indicated whether any information furnished by it pursuant to or in connection with this Agreement contains MNPI, the Administrative Agent reserves the right to post such information solely on that portion of the Platform as is designated for private side Lender representatives. The Borrowers agree to clearly designate all information provided to the Administrative Agent by or on behalf of the Borrowers that is suitable to be made available to public side Lender representatives, and the Administrative Agent shall be entitled to rely on any such designation by the Borrowers without liability or responsibility for the independent verification thereof. SECTION 9.18. Acknowledgement and Consent to Bail-In of Affected Financial Institutions. Notwithstanding anything to the contrary in any Loan Document or in any other agreement, arrangement or understanding among any such parties, each party hereto acknowledges that any liability of any Affected Financial Institution arising under any Loan Document may be subject to the Write-Down and Conversion Powers of the applicable Resolution Authority and agrees and consents to, and acknowledges and agrees to be bound by:</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509265-2360-19308-ACTIVE.66444598.5 163 TechnipFMC | Internal (a) the application of any Write-Down and Conversion Powers by the applicable Resolution Authority to any such liabilities arising hereunder which may be payable to it by any party hereto that is an Affected Financial Institution; and (b) the effects of any Bail-In Action on any such liability, including, if applicable: (i) a reduction in full or in part or cancellation of any such liability; (ii) a conversion of all, or a portion of, such liability into shares or other instruments of ownership in such Affected Financial Institution, its parent entity, or a bridge institution that may be issued to it or otherwise conferred on it, and that such shares or other instruments of ownership will be accepted by it in lieu of any rights with respect to any such liability under this Agreement or any other Loan Document; or (iii) the variation of the terms of such liability in connection with the exercise of the Write-Down and Conversion Powers of the applicable Resolution Authority. SECTION 9.19. Acknowledgement Regarding Any Supported QFCs. To the extent that the Loan Documents provide support, through a guarantee or otherwise, for any agreement or instrument that is a QFC (such support, “QFC Credit Support”, and each such QFC, a “Supported QFC”), the parties acknowledge and agree as follows with respect to the resolution power of the Federal Deposit Insurance Corporation under the Federal Deposit Insurance Act and Title II of the Dodd-Frank Wall Street Reform and Consumer Protection Act (together with the regulations promulgated thereunder, the “U.S. Special Resolution Regimes”) in respect of such Supported QFC and QFC Credit Support (with the provisions below applicable notwithstanding that the Loan Documents and any Supported QFC may in fact be stated to be governed by the laws of the State of New York and/or of the United States or any other state of the United States): (a) In the event a Covered Entity that is party to a Supported QFC (each, a “Covered Party”) becomes subject to a proceeding under a U.S. Special Resolution Regime, the transfer of such Supported QFC and the benefit of such QFC Credit Support (and any interest and obligation in or under such Supported QFC and such QFC Credit Support, and any rights in property securing such Supported QFC or such QFC Credit Support) from such Covered Party will be effective to the same extent as the transfer would be effective under the U.S. Special Resolution Regime if the Supported QFC and such QFC Credit Support (and any such interest, obligation and rights in property) were governed by the laws of the United States or a state of the United States. In the event a Covered Party or a BHC Act Affiliate of a Covered Party becomes subject to a proceeding under a U.S. Special Resolution Regime, Default Rights under the Loan Documents that might otherwise apply to such Supported QFC or any QFC Credit Support that may be exercised against such Covered Party are permitted to be exercised to no greater extent than such Default Rights could be exercised under the U.S. Special Resolution Regime if the Supported QFC and the Loan Documents were governed by the laws of the United States or a state of the United States. Without limitation of the foregoing, it is understood and agreed that rights and remedies of the parties with respect to a Defaulting Lender shall in no event affect the rights of any Covered Party with respect to a Supported QFC or any QFC Credit Support. (b) As used in this Section 9.19, the following terms have the following meanings:</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509265-2360-19308-ACTIVE.66444598.5 164 TechnipFMC | Internal “BHC Act Affiliate” of a party means an “affiliate” (as such term is defined under, and interpreted in accordance with, 12 U.S.C. 1841(k)) of such party. “Covered Entity” means any of the following: (i) a “covered entity” as that term is defined in, and interpreted in accordance with, 12 C.F.R. § 252.82 (b); (ii) a “covered bank” as that term is defined in, and interpreted in accordance with, 12 C.F.R. § 47.3(b); or (iii) a “covered FSI” as that term is defined in, and interpreted in accordance with, 12 C.F.R. § 382.2(b). “Default Right” has the meaning assigned to that term in, and shall be interpreted in accordance with, 12 C.F.R. §§ 252.81, 47.2 or 382.1, as applicable. “QFC” has the meaning assigned to the term “qualified financial contract” in, and shall be interpreted in accordance with, 12 U.S.C. 5390(c)(8)(D). SECTION 9.20. Judgment Currency. If for the purposes of obtaining judgment in any court it is necessary to convert a sum due from any Borrower hereunder in the currency expressed to be payable herein (the “specified currency”) into another currency, the parties hereto agree, to the fullest extent that they may effectively do so, that the rate of exchange used shall be that at which in accordance with usual and customary banking procedures the Administrative Agent could purchase the specified currency with such other currency at any of the Administrative Agent’s offices in the United States of America on the Business Day preceding that on which final judgment is given. The obligations of such Borrower in respect of any sum due to any Credit Party hereunder or under the other Loan Documents shall, notwithstanding any judgment in a currency other than the specified currency, be discharged only to the extent that on the Business Day following receipt by such Lender, the applicable Issuing Bank or the Administrative Agent (as the case may be) of any sum adjudged to be so due in such other currency such Lender, the applicable Issuing Bank or the Administrative Agent (as the case may be) may in accordance with normal, reasonable banking procedures purchase the specified currency with such other currency. If the amount of the specified currency so purchased is less than the sum originally due to such Lender, the applicable Issuing Bank or the Administrative Agent, as the case may be, in the specified currency, such Borrower agrees, to the fullest extent that it may effectively do so, as a separate obligation and notwithstanding any such judgment, to indemnify such Lender, the applicable Issuing Bank or the Administrative Agent, as the case may be, against such loss, and if the amount of the specified currency so purchased exceeds (a) the sum originally due to any Lender, the applicable Issuing Bank or the Administrative Agent, as the case may be, in the specified currency and (b) any amounts shared with other Lenders as a result of allocations of such excess as a disproportionate payment to such Lender under Section 2.18, each Lender, Issuing Bank or the Administrative Agent, as the case may be, agrees to promptly remit such excess to such Borrower (or to any other Person who may be entitled thereto under applicable law). SECTION 9.21. Borrower Representative. Each of the U.S. Borrower and FinanceCo hereby irrevocably appoints the Company as its agent for all purposes of this Agreement and the other Loan Documents, including with respect to (i) the giving and receipt of notices (including any Borrowing Request) and (ii) the execution and delivery of all documents, instruments and certificates contemplated herein. Notwithstanding anything to the contrary contained herein or in any other Loan Document, each of the U.S. Borrower and FinanceCo hereby acknowledges that</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509265-2360-19308-ACTIVE.66444598.5 165 TechnipFMC | Internal any amendment or other modification to this Agreement or any other Loan Document may be effected as set forth in Section 9.02, that no consent of the U.S. Borrower or FinanceCo shall be required to effect any such amendment or other modification and that the U.S. Borrower and FinanceCo shall be bound by this Agreement or any other Loan Document (to which it is already a party) as so amended or modified. [Remainder of page intentionally left blank]</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spacing w:before="0" w:after="0"/>
        <w:ind w:left="360"/>
        <w:jc w:val="center"/>
      </w:pPr>
      <w:r>
        <w:rPr>
          <w:rFonts w:ascii="Times New Roman" w:hAnsi="Times New Roman"/>
          <w:b w:val="false"/>
          <w:i w:val="false"/>
          <w:color w:val="000000"/>
          <w:sz w:val="22"/>
        </w:rPr>
        <w:t xml:space="preserve"> </w:t>
      </w:r>
      <w:r>
        <w:drawing>
          <wp:inline distT="0" distB="0" distL="0" distR="0">
            <wp:extent cx="5732145" cy="7416472"/>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5732145" cy="7416472"/>
                    </a:xfrm>
                    <a:prstGeom prst="rect">
                      <a:avLst/>
                    </a:prstGeom>
                  </pic:spPr>
                </pic:pic>
              </a:graphicData>
            </a:graphic>
          </wp:inline>
        </w:drawing>
      </w:r>
      <w:r>
        <w:rPr>
          <w:rFonts w:ascii="Times New Roman" w:hAnsi="Times New Roman"/>
          <w:b w:val="false"/>
          <w:i w:val="false"/>
          <w:color w:val="000000"/>
          <w:sz w:val="22"/>
        </w:rPr>
        <w:t xml:space="preserve"> </w:t>
      </w:r>
    </w:p>
    <w:p>
      <w:pPr>
        <w:spacing w:before="0" w:after="0"/>
        <w:ind w:left="360"/>
        <w:jc w:val="center"/>
      </w:pPr>
      <w:r>
        <w:rPr>
          <w:rFonts w:ascii="Times New Roman" w:hAnsi="Times New Roman"/>
          <w:b w:val="false"/>
          <w:i w:val="false"/>
          <w:color w:val="000000"/>
          <w:sz w:val="22"/>
        </w:rPr>
        <w:t xml:space="preserve"> </w:t>
      </w:r>
      <w:r>
        <w:rPr>
          <w:rFonts w:ascii="Times New Roman" w:hAnsi="Times New Roman"/>
          <w:b w:val="false"/>
          <w:i w:val="false"/>
          <w:color w:val="ffffff"/>
          <w:sz w:val="2"/>
        </w:rPr>
        <w:t>TechnipFMC | Internal</w:t>
      </w:r>
      <w:r>
        <w:rPr>
          <w:rFonts w:ascii="Times New Roman" w:hAnsi="Times New Roman"/>
          <w:b w:val="false"/>
          <w:i w:val="false"/>
          <w:color w:val="000000"/>
          <w:sz w:val="22"/>
        </w:rPr>
        <w:t xml:space="preserve"> </w:t>
      </w:r>
    </w:p>
    <w:p>
      <w:pPr>
        <w:spacing w:before="269" w:after="269"/>
        <w:ind w:left="360"/>
        <w:jc w:val="center"/>
      </w:pPr>
    </w:p>
    <w:p>
      <w:r>
        <w:pict>
          <v:rect style="width:0;height:1.5pt" id="_x0000_i1025" o:hr="t" o:hrstd="t" o:hralign="center" stroked="f" fillcolor="#a0a0a0"/>
        </w:pict>
      </w:r>
    </w:p>
    <w:p>
      <w:pPr>
        <w:spacing w:before="269" w:after="269"/>
        <w:ind w:left="360"/>
        <w:jc w:val="center"/>
      </w:pPr>
    </w:p>
    <w:p>
      <w:pPr>
        <w:pageBreakBefore/>
        <w:spacing w:before="0" w:after="0"/>
        <w:ind w:left="360"/>
        <w:jc w:val="center"/>
      </w:pPr>
      <w:r>
        <w:rPr>
          <w:rFonts w:ascii="Times New Roman" w:hAnsi="Times New Roman"/>
          <w:b w:val="false"/>
          <w:i w:val="false"/>
          <w:color w:val="000000"/>
          <w:sz w:val="22"/>
        </w:rPr>
        <w:t> </w:t>
      </w:r>
    </w:p>
    <w:p>
      <w:pPr>
        <w:pageBreakBefore/>
        <w:spacing w:before="0" w:after="0"/>
        <w:ind w:left="120"/>
        <w:jc w:val="left"/>
      </w:pPr>
    </w:p>
    <w:bookmarkStart w:name="i1363712b239546a68198652ff94e3a9f_1" w:id="1677"/>
    <w:p>
      <w:pPr>
        <w:spacing w:before="0" w:after="0"/>
        <w:ind w:left="120"/>
        <w:jc w:val="left"/>
      </w:pPr>
    </w:p>
    <w:bookmarkEnd w:id="1677"/>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31.1</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EXECUTIVE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PURSUANT TO RULE 13A-14(A) AND RULE 15D-14(A)</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OF THE SECURITIES EXCHANGE ACT OF 1934, AS AMENDED</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Douglas J. Pferdehirt, certify that: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1.</w:t>
      </w:r>
      <w:r>
        <w:rPr>
          <w:rFonts w:ascii="Times New Roman" w:hAnsi="Times New Roman"/>
          <w:b w:val="false"/>
          <w:i w:val="false"/>
          <w:color w:val="000000"/>
          <w:sz w:val="22"/>
        </w:rPr>
        <w:t xml:space="preserve"> </w:t>
      </w:r>
      <w:r>
        <w:rPr>
          <w:rFonts w:ascii="Arial" w:hAnsi="Arial"/>
          <w:b w:val="false"/>
          <w:i w:val="false"/>
          <w:color w:val="000000"/>
          <w:sz w:val="18"/>
        </w:rPr>
        <w:t>I have reviewed this quarterly report on Form 10-Q for the period ended June 30, 2025 of TechnipFMC plc (the “registrant”);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2.</w:t>
      </w:r>
      <w:r>
        <w:rPr>
          <w:rFonts w:ascii="Times New Roman" w:hAnsi="Times New Roman"/>
          <w:b w:val="false"/>
          <w:i w:val="false"/>
          <w:color w:val="000000"/>
          <w:sz w:val="22"/>
        </w:rPr>
        <w:t xml:space="preserve"> </w:t>
      </w:r>
      <w:r>
        <w:rPr>
          <w:rFonts w:ascii="Arial" w:hAnsi="Arial"/>
          <w:b w:val="false"/>
          <w:i w:val="false"/>
          <w:color w:val="000000"/>
          <w:sz w:val="18"/>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3.</w:t>
      </w:r>
      <w:r>
        <w:rPr>
          <w:rFonts w:ascii="Times New Roman" w:hAnsi="Times New Roman"/>
          <w:b w:val="false"/>
          <w:i w:val="false"/>
          <w:color w:val="000000"/>
          <w:sz w:val="22"/>
        </w:rPr>
        <w:t xml:space="preserve"> </w:t>
      </w:r>
      <w:r>
        <w:rPr>
          <w:rFonts w:ascii="Arial" w:hAnsi="Arial"/>
          <w:b w:val="false"/>
          <w:i w:val="false"/>
          <w:color w:val="000000"/>
          <w:sz w:val="18"/>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4.</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are responsible for establishing and maintaining disclosure controls and procedures (as defined in Exchange Act Rules 13a-15(e) and 15d-15(e)) and internal control over financial reporting (as defined in Exchange Act Rules 13a-15(f) and 15d-15(f)) for the registrant and have:</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(c)    Evaluated the effectiveness of the registrant’s disclosure controls and procedures and presented in this report our conclusions about the effectiveness of the disclosure controls and procedures, as of the end of the period covered by this report based on such evaluation;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(d)    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5.</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have disclosed, based on our most recent evaluation of internal control over financial reporting, to the registrant’s auditors and the audit committee of the registrant’s board of directors (or persons performing the equivalent functions):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All significant deficiencies and material weaknesses in the design or operation of internal control over financial reporting which are reasonably likely to adversely affect the registrant’s ability to record, process, summarize and report financial information;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Any fraud, whether or not material, that involves management or other employees who have a significant role in the registrant’s internal control over financial reporting.</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July 24, 2025</w:t>
      </w:r>
      <w:r>
        <w:rPr>
          <w:rFonts w:ascii="Times New Roman" w:hAnsi="Times New Roman"/>
          <w:b w:val="false"/>
          <w:i w:val="false"/>
          <w:color w:val="000000"/>
          <w:sz w:val="22"/>
        </w:rPr>
        <w:t xml:space="preserve"> </w:t>
      </w:r>
    </w:p>
    <w:p>
      <w:pPr>
        <w:spacing w:before="0" w:after="1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15"/>
        <w:gridCol w:w="2045"/>
        <w:gridCol w:w="40"/>
        <w:gridCol w:w="116"/>
        <w:gridCol w:w="4205"/>
        <w:gridCol w:w="40"/>
        <w:gridCol w:w="529"/>
        <w:gridCol w:w="4579"/>
        <w:gridCol w:w="530"/>
      </w:tblGrid>
      <w:tr>
        <w:trPr>
          <w:trHeight w:val="30" w:hRule="atLeast"/>
        </w:trPr>
        <w:tc>
          <w:tcPr>
            <w:tcW w:w="115" w:type="dxa"/>
            <w:tcBorders/>
            <w:tcMar>
              <w:top w:w="15" w:type="dxa"/>
              <w:left w:w="15" w:type="dxa"/>
              <w:bottom w:w="15" w:type="dxa"/>
              <w:right w:w="15" w:type="dxa"/>
            </w:tcMar>
            <w:vAlign w:val="center"/>
          </w:tcPr>
          <w:p/>
        </w:tc>
        <w:tc>
          <w:tcPr>
            <w:tcW w:w="20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6" w:type="dxa"/>
            <w:tcBorders/>
            <w:tcMar>
              <w:top w:w="15" w:type="dxa"/>
              <w:left w:w="15" w:type="dxa"/>
              <w:bottom w:w="15" w:type="dxa"/>
              <w:right w:w="15" w:type="dxa"/>
            </w:tcMar>
            <w:vAlign w:val="center"/>
          </w:tcPr>
          <w:p/>
        </w:tc>
        <w:tc>
          <w:tcPr>
            <w:tcW w:w="420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529" w:type="dxa"/>
            <w:tcBorders/>
            <w:tcMar>
              <w:top w:w="15" w:type="dxa"/>
              <w:left w:w="15" w:type="dxa"/>
              <w:bottom w:w="15" w:type="dxa"/>
              <w:right w:w="15" w:type="dxa"/>
            </w:tcMar>
            <w:vAlign w:val="center"/>
          </w:tcPr>
          <w:p/>
        </w:tc>
        <w:tc>
          <w:tcPr>
            <w:tcW w:w="4579" w:type="dxa"/>
            <w:tcBorders/>
            <w:tcMar>
              <w:top w:w="15" w:type="dxa"/>
              <w:left w:w="15" w:type="dxa"/>
              <w:bottom w:w="15" w:type="dxa"/>
              <w:right w:w="15" w:type="dxa"/>
            </w:tcMar>
            <w:vAlign w:val="center"/>
          </w:tcPr>
          <w:p/>
        </w:tc>
        <w:tc>
          <w:tcPr>
            <w:tcW w:w="53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DOUGLAS J. PFERDEHIRT</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Douglas J. Pferdehirt</w:t>
            </w:r>
            <w:r>
              <w:rPr>
                <w:rFonts w:ascii="Times New Roman" w:hAnsi="Times New Roman"/>
                <w:b w:val="false"/>
                <w:i w:val="false"/>
                <w:color w:val="000000"/>
                <w:sz w:val="22"/>
              </w:rPr>
              <w:t xml:space="preserve"> </w:t>
            </w:r>
          </w:p>
        </w:tc>
      </w:tr>
      <w:tr>
        <w:trPr>
          <w:trHeight w:val="43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Chairman and Chief Executive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Executive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aed6b83052c84db19ca34d91d01473e5_1" w:id="1678"/>
    <w:p>
      <w:pPr>
        <w:spacing w:before="0" w:after="0"/>
        <w:ind w:left="120"/>
        <w:jc w:val="left"/>
      </w:pPr>
    </w:p>
    <w:bookmarkEnd w:id="1678"/>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31.2</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FINANCIAL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PURSUANT TO RULE 13A-14(A) AND RULE 15D-14(A)</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OF THE SECURITIES EXCHANGE ACT OF 1934, AS AMENDED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18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Alf Melin, certify that: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1.</w:t>
      </w:r>
      <w:r>
        <w:rPr>
          <w:rFonts w:ascii="Times New Roman" w:hAnsi="Times New Roman"/>
          <w:b w:val="false"/>
          <w:i w:val="false"/>
          <w:color w:val="000000"/>
          <w:sz w:val="22"/>
        </w:rPr>
        <w:t xml:space="preserve"> </w:t>
      </w:r>
      <w:r>
        <w:rPr>
          <w:rFonts w:ascii="Arial" w:hAnsi="Arial"/>
          <w:b w:val="false"/>
          <w:i w:val="false"/>
          <w:color w:val="000000"/>
          <w:sz w:val="18"/>
        </w:rPr>
        <w:t>I have reviewed this quarterly report on Form 10-Q for the period ended June 30, 2025 of TechnipFMC plc (the “registrant”);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2.</w:t>
      </w:r>
      <w:r>
        <w:rPr>
          <w:rFonts w:ascii="Times New Roman" w:hAnsi="Times New Roman"/>
          <w:b w:val="false"/>
          <w:i w:val="false"/>
          <w:color w:val="000000"/>
          <w:sz w:val="22"/>
        </w:rPr>
        <w:t xml:space="preserve"> </w:t>
      </w:r>
      <w:r>
        <w:rPr>
          <w:rFonts w:ascii="Arial" w:hAnsi="Arial"/>
          <w:b w:val="false"/>
          <w:i w:val="false"/>
          <w:color w:val="000000"/>
          <w:sz w:val="18"/>
        </w:rPr>
        <w:t>Based on my knowledge, this report does not contain any untrue statement of a material fact or omit to state a material fact necessary to make the statements made, in light of the circumstances under which such statements were made, not misleading with respect to the period covered by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3.</w:t>
      </w:r>
      <w:r>
        <w:rPr>
          <w:rFonts w:ascii="Times New Roman" w:hAnsi="Times New Roman"/>
          <w:b w:val="false"/>
          <w:i w:val="false"/>
          <w:color w:val="000000"/>
          <w:sz w:val="22"/>
        </w:rPr>
        <w:t xml:space="preserve"> </w:t>
      </w:r>
      <w:r>
        <w:rPr>
          <w:rFonts w:ascii="Arial" w:hAnsi="Arial"/>
          <w:b w:val="false"/>
          <w:i w:val="false"/>
          <w:color w:val="000000"/>
          <w:sz w:val="18"/>
        </w:rPr>
        <w:t>Based on my knowledge, the financial statements, and other financial information included in this report, fairly present in all material respects the financial condition, results of operations and cash flows of the registrant as of, and for, the periods presented in this report;</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4.</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are responsible for establishing and maintaining disclosure controls and procedures (as defined in Exchange Act Rules 13a-15(e) and 15d-15(e)) and internal control over financial reporting (as defined in Exchange Act Rules 13a-15(f) and 15d-15(f)) for the registrant and have:</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Designed such disclosure controls and procedures, or caused such disclosure controls and procedures to be designed under our supervision, to ensure that material information relating to the registrant, including its consolidated subsidiaries, is made known to us by others within those entities, particularly during the period in which this report is being prepared;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Designed such internal control over financial reporting, or caused such internal control over financial reporting to be designed under our supervision, to provide reasonable assurance regarding the reliability of financial reporting and the preparation of financial statements for external purposes in accordance with generally accepted accounting principles;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(c)    Evaluated the effectiveness of the registrant’s disclosure controls and procedures and presented in this report our conclusions about the effectiveness of the disclosure controls and procedures, as of the end of the period covered by this report based on such evaluation;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(d)    Disclosed in this report any change in the registrant’s internal control over financial reporting that occurred during the registrant’s most recent fiscal quarter (the registrant’s fourth fiscal quarter in the case of an annual report) that has materially affected, or is reasonably likely to materially affect, the registrant’s internal control over financial reporting; and</w:t>
      </w:r>
      <w:r>
        <w:rPr>
          <w:rFonts w:ascii="Times New Roman" w:hAnsi="Times New Roman"/>
          <w:b w:val="false"/>
          <w:i w:val="false"/>
          <w:color w:val="000000"/>
          <w:sz w:val="22"/>
        </w:rPr>
        <w:t xml:space="preserve"> </w:t>
      </w:r>
    </w:p>
    <w:p>
      <w:pPr>
        <w:pBdr>
          <w:left w:space="27"/>
        </w:pBdr>
        <w:spacing w:before="0" w:after="180"/>
        <w:ind w:left="840"/>
        <w:jc w:val="left"/>
      </w:pPr>
      <w:r>
        <w:rPr>
          <w:rFonts w:ascii="Times New Roman" w:hAnsi="Times New Roman"/>
          <w:b w:val="false"/>
          <w:i w:val="false"/>
          <w:color w:val="000000"/>
          <w:sz w:val="22"/>
        </w:rPr>
        <w:t xml:space="preserve"> </w:t>
      </w:r>
      <w:r>
        <w:rPr>
          <w:rFonts w:ascii="Arial" w:hAnsi="Arial"/>
          <w:b w:val="false"/>
          <w:i w:val="false"/>
          <w:color w:val="000000"/>
          <w:sz w:val="18"/>
        </w:rPr>
        <w:t>5.</w:t>
      </w:r>
      <w:r>
        <w:rPr>
          <w:rFonts w:ascii="Times New Roman" w:hAnsi="Times New Roman"/>
          <w:b w:val="false"/>
          <w:i w:val="false"/>
          <w:color w:val="000000"/>
          <w:sz w:val="22"/>
        </w:rPr>
        <w:t xml:space="preserve"> </w:t>
      </w:r>
      <w:r>
        <w:rPr>
          <w:rFonts w:ascii="Arial" w:hAnsi="Arial"/>
          <w:b w:val="false"/>
          <w:i w:val="false"/>
          <w:color w:val="000000"/>
          <w:sz w:val="18"/>
        </w:rPr>
        <w:t>The registrant’s other certifying officer and I have disclosed, based on our most recent evaluation of internal control over financial reporting, to the registrant’s auditors and the audit committee of the registrant’s board of directors (or persons performing the equivalent functions):</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(a)    All significant deficiencies and material weaknesses in the design or operation of internal control over financial reporting which are reasonably likely to adversely affect the registrant’s ability to record, process, summarize and report financial information; and</w:t>
      </w:r>
      <w:r>
        <w:rPr>
          <w:rFonts w:ascii="Times New Roman" w:hAnsi="Times New Roman"/>
          <w:b w:val="false"/>
          <w:i w:val="false"/>
          <w:color w:val="000000"/>
          <w:sz w:val="22"/>
        </w:rPr>
        <w:t xml:space="preserve"> </w:t>
      </w:r>
    </w:p>
    <w:p>
      <w:pPr>
        <w:pBdr>
          <w:left w:space="54"/>
        </w:pBdr>
        <w:spacing w:before="0" w:after="180"/>
        <w:ind w:left="1560"/>
        <w:jc w:val="left"/>
      </w:pPr>
      <w:r>
        <w:rPr>
          <w:rFonts w:ascii="Times New Roman" w:hAnsi="Times New Roman"/>
          <w:b w:val="false"/>
          <w:i w:val="false"/>
          <w:color w:val="000000"/>
          <w:sz w:val="22"/>
        </w:rPr>
        <w:t xml:space="preserve"> </w:t>
      </w:r>
      <w:r>
        <w:rPr>
          <w:rFonts w:ascii="Arial" w:hAnsi="Arial"/>
          <w:b w:val="false"/>
          <w:i w:val="false"/>
          <w:color w:val="000000"/>
          <w:sz w:val="18"/>
        </w:rPr>
        <w:t>(b)    Any fraud, whether or not material, that involves management or other employees who have a significant role in the registrant’s internal control over financial reporting.</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July 24, 2025</w:t>
      </w:r>
      <w:r>
        <w:rPr>
          <w:rFonts w:ascii="Times New Roman" w:hAnsi="Times New Roman"/>
          <w:b w:val="false"/>
          <w:i w:val="false"/>
          <w:color w:val="000000"/>
          <w:sz w:val="22"/>
        </w:rPr>
        <w:t xml:space="preserve"> </w:t>
      </w:r>
    </w:p>
    <w:p>
      <w:pPr>
        <w:spacing w:before="0" w:after="1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17"/>
        <w:gridCol w:w="2102"/>
        <w:gridCol w:w="40"/>
        <w:gridCol w:w="118"/>
        <w:gridCol w:w="4321"/>
        <w:gridCol w:w="40"/>
        <w:gridCol w:w="386"/>
        <w:gridCol w:w="4687"/>
        <w:gridCol w:w="388"/>
      </w:tblGrid>
      <w:tr>
        <w:trPr>
          <w:trHeight w:val="30" w:hRule="atLeast"/>
        </w:trPr>
        <w:tc>
          <w:tcPr>
            <w:tcW w:w="117" w:type="dxa"/>
            <w:tcBorders/>
            <w:tcMar>
              <w:top w:w="15" w:type="dxa"/>
              <w:left w:w="15" w:type="dxa"/>
              <w:bottom w:w="15" w:type="dxa"/>
              <w:right w:w="15" w:type="dxa"/>
            </w:tcMar>
            <w:vAlign w:val="center"/>
          </w:tcPr>
          <w:p/>
        </w:tc>
        <w:tc>
          <w:tcPr>
            <w:tcW w:w="2102"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8" w:type="dxa"/>
            <w:tcBorders/>
            <w:tcMar>
              <w:top w:w="15" w:type="dxa"/>
              <w:left w:w="15" w:type="dxa"/>
              <w:bottom w:w="15" w:type="dxa"/>
              <w:right w:w="15" w:type="dxa"/>
            </w:tcMar>
            <w:vAlign w:val="center"/>
          </w:tcPr>
          <w:p/>
        </w:tc>
        <w:tc>
          <w:tcPr>
            <w:tcW w:w="4321"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386" w:type="dxa"/>
            <w:tcBorders/>
            <w:tcMar>
              <w:top w:w="15" w:type="dxa"/>
              <w:left w:w="15" w:type="dxa"/>
              <w:bottom w:w="15" w:type="dxa"/>
              <w:right w:w="15" w:type="dxa"/>
            </w:tcMar>
            <w:vAlign w:val="center"/>
          </w:tcPr>
          <w:p/>
        </w:tc>
        <w:tc>
          <w:tcPr>
            <w:tcW w:w="4687" w:type="dxa"/>
            <w:tcBorders/>
            <w:tcMar>
              <w:top w:w="15" w:type="dxa"/>
              <w:left w:w="15" w:type="dxa"/>
              <w:bottom w:w="15" w:type="dxa"/>
              <w:right w:w="15" w:type="dxa"/>
            </w:tcMar>
            <w:vAlign w:val="center"/>
          </w:tcPr>
          <w:p/>
        </w:tc>
        <w:tc>
          <w:tcPr>
            <w:tcW w:w="388"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ALF MELIN</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Alf Melin</w:t>
            </w:r>
            <w:r>
              <w:rPr>
                <w:rFonts w:ascii="Times New Roman" w:hAnsi="Times New Roman"/>
                <w:b w:val="false"/>
                <w:i w:val="false"/>
                <w:color w:val="000000"/>
                <w:sz w:val="22"/>
              </w:rPr>
              <w:t xml:space="preserve"> </w:t>
            </w:r>
          </w:p>
        </w:tc>
      </w:tr>
      <w:tr>
        <w:trPr>
          <w:trHeight w:val="70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Vice President and Chief Financial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Financial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e502d60dfaaa4a0997cedffa8400e399_1" w:id="1679"/>
    <w:p>
      <w:pPr>
        <w:spacing w:before="0" w:after="0"/>
        <w:ind w:left="120"/>
        <w:jc w:val="left"/>
      </w:pPr>
    </w:p>
    <w:bookmarkEnd w:id="1679"/>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32.1</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EXECUTIVE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UNDER SECTION 906 OF THE SARBANES-OXLEY</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ACT OF 2002, 18 U.S.C. SECTION 1350</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Douglas J. Pferdehirt, Executive Chairman and Chief Executive Officer of TechnipFMC plc (the “Company”), do hereby certify, pursuant to 18 U.S.C. Section 1350, as adopted pursuant to Section 906 of the Sarbanes-Oxley Act of 2002, that, to my knowledge: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(a) The Quarterly Report on Form 10-Q of the Company for the period ended June 30, 2025, as filed with the Securities and Exchange Commission (the “Report”), fully complies with the requirements of Section 13(a) or 15(d) of the Securities Exchange Act of 1934, as amended; and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(b) The information contained in the Report fairly presents, in all material respects, the financial condition and results of operations of the Company.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July 24, 2025</w:t>
      </w:r>
      <w:r>
        <w:rPr>
          <w:rFonts w:ascii="Times New Roman" w:hAnsi="Times New Roman"/>
          <w:b w:val="false"/>
          <w:i w:val="false"/>
          <w:color w:val="000000"/>
          <w:sz w:val="22"/>
        </w:rPr>
        <w:t xml:space="preserve"> </w:t>
      </w:r>
    </w:p>
    <w:p>
      <w:pPr>
        <w:spacing w:before="0" w:after="0"/>
        <w:ind w:left="120"/>
        <w:jc w:val="left"/>
      </w:pPr>
    </w:p>
    <w:p>
      <w:pPr>
        <w:spacing w:before="0" w:after="1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15"/>
        <w:gridCol w:w="2045"/>
        <w:gridCol w:w="40"/>
        <w:gridCol w:w="116"/>
        <w:gridCol w:w="4205"/>
        <w:gridCol w:w="40"/>
        <w:gridCol w:w="529"/>
        <w:gridCol w:w="4579"/>
        <w:gridCol w:w="530"/>
      </w:tblGrid>
      <w:tr>
        <w:trPr>
          <w:trHeight w:val="30" w:hRule="atLeast"/>
        </w:trPr>
        <w:tc>
          <w:tcPr>
            <w:tcW w:w="115" w:type="dxa"/>
            <w:tcBorders/>
            <w:tcMar>
              <w:top w:w="15" w:type="dxa"/>
              <w:left w:w="15" w:type="dxa"/>
              <w:bottom w:w="15" w:type="dxa"/>
              <w:right w:w="15" w:type="dxa"/>
            </w:tcMar>
            <w:vAlign w:val="center"/>
          </w:tcPr>
          <w:p/>
        </w:tc>
        <w:tc>
          <w:tcPr>
            <w:tcW w:w="204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6" w:type="dxa"/>
            <w:tcBorders/>
            <w:tcMar>
              <w:top w:w="15" w:type="dxa"/>
              <w:left w:w="15" w:type="dxa"/>
              <w:bottom w:w="15" w:type="dxa"/>
              <w:right w:w="15" w:type="dxa"/>
            </w:tcMar>
            <w:vAlign w:val="center"/>
          </w:tcPr>
          <w:p/>
        </w:tc>
        <w:tc>
          <w:tcPr>
            <w:tcW w:w="420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529" w:type="dxa"/>
            <w:tcBorders/>
            <w:tcMar>
              <w:top w:w="15" w:type="dxa"/>
              <w:left w:w="15" w:type="dxa"/>
              <w:bottom w:w="15" w:type="dxa"/>
              <w:right w:w="15" w:type="dxa"/>
            </w:tcMar>
            <w:vAlign w:val="center"/>
          </w:tcPr>
          <w:p/>
        </w:tc>
        <w:tc>
          <w:tcPr>
            <w:tcW w:w="4579" w:type="dxa"/>
            <w:tcBorders/>
            <w:tcMar>
              <w:top w:w="15" w:type="dxa"/>
              <w:left w:w="15" w:type="dxa"/>
              <w:bottom w:w="15" w:type="dxa"/>
              <w:right w:w="15" w:type="dxa"/>
            </w:tcMar>
            <w:vAlign w:val="center"/>
          </w:tcPr>
          <w:p/>
        </w:tc>
        <w:tc>
          <w:tcPr>
            <w:tcW w:w="530"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DOUGLAS J. PFERDEHIRT</w:t>
            </w:r>
            <w:r>
              <w:rPr>
                <w:rFonts w:ascii="Times New Roman" w:hAnsi="Times New Roman"/>
                <w:b w:val="false"/>
                <w:i w:val="false"/>
                <w:color w:val="000000"/>
                <w:sz w:val="22"/>
              </w:rPr>
              <w:t xml:space="preserve"> </w:t>
            </w: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Douglas J. Pferdehirt</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Executive Chairman and Chief Executive Officer</w:t>
            </w:r>
            <w:r>
              <w:rPr>
                <w:rFonts w:ascii="Times New Roman" w:hAnsi="Times New Roman"/>
                <w:b w:val="false"/>
                <w:i w:val="false"/>
                <w:color w:val="000000"/>
                <w:sz w:val="22"/>
              </w:rPr>
              <w:t xml:space="preserve"> </w:t>
            </w:r>
          </w:p>
        </w:tc>
      </w:tr>
      <w:tr>
        <w:trPr>
          <w:trHeight w:val="315"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(Principal Executive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pageBreakBefore/>
        <w:spacing w:before="0" w:after="0"/>
        <w:ind w:left="120"/>
        <w:jc w:val="left"/>
      </w:pPr>
    </w:p>
    <w:bookmarkStart w:name="ie4fb72fcee304ca09226903b7dc2ae9f_1" w:id="1680"/>
    <w:p>
      <w:pPr>
        <w:spacing w:before="0" w:after="0"/>
        <w:ind w:left="120"/>
        <w:jc w:val="left"/>
      </w:pPr>
    </w:p>
    <w:bookmarkEnd w:id="1680"/>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right"/>
      </w:pPr>
      <w:r>
        <w:rPr>
          <w:rFonts w:ascii="Times New Roman" w:hAnsi="Times New Roman"/>
          <w:b w:val="false"/>
          <w:i w:val="false"/>
          <w:color w:val="000000"/>
          <w:sz w:val="22"/>
        </w:rPr>
        <w:t xml:space="preserve"> </w:t>
      </w:r>
      <w:r>
        <w:rPr>
          <w:rFonts w:ascii="Arial" w:hAnsi="Arial"/>
          <w:b/>
          <w:i w:val="false"/>
          <w:color w:val="000000"/>
          <w:sz w:val="18"/>
        </w:rPr>
        <w:t>Exhibit 32.2</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CERTIFICATION OF CHIEF FINANCIAL OFFICER</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UNDER SECTION 906 OF THE SARBANES-OXLEY</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rPr>
          <w:rFonts w:ascii="Arial" w:hAnsi="Arial"/>
          <w:b/>
          <w:i w:val="false"/>
          <w:color w:val="000000"/>
          <w:sz w:val="18"/>
        </w:rPr>
        <w:t>ACT OF 2002, 18 U.S.C. SECTION 1350</w:t>
      </w: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I, Alf Melin, Executive Vice President and Chief Financial Officer of TechnipFMC plc (the “Company”), do hereby certify, pursuant to 18 U.S.C. Section 1350, as adopted pursuant to Section 906 of the Sarbanes-Oxley Act of 2002, that, to my knowledge:</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(a) The Quarterly Report on Form 10-Q of the Company for the period ended June 30, 2025, as filed with the Securities and Exchange Commission (the “Report”), fully complies with the requirements of Section 13(a) or 15(d) of the Securities Exchange Act of 1934, as amended; and</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(b) The information contained in the Report fairly presents, in all material respects, the financial condition and results of operations of the Company.</w:t>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p>
      <w:pPr>
        <w:spacing w:before="0" w:after="0"/>
        <w:ind w:left="120"/>
        <w:jc w:val="left"/>
      </w:pPr>
      <w:r>
        <w:rPr>
          <w:rFonts w:ascii="Times New Roman" w:hAnsi="Times New Roman"/>
          <w:b w:val="false"/>
          <w:i w:val="false"/>
          <w:color w:val="000000"/>
          <w:sz w:val="22"/>
        </w:rPr>
        <w:t xml:space="preserve"> </w:t>
      </w:r>
      <w:r>
        <w:rPr>
          <w:rFonts w:ascii="Arial" w:hAnsi="Arial"/>
          <w:b w:val="false"/>
          <w:i w:val="false"/>
          <w:color w:val="000000"/>
          <w:sz w:val="18"/>
        </w:rPr>
        <w:t>Date: July 24, 2025</w:t>
      </w:r>
      <w:r>
        <w:rPr>
          <w:rFonts w:ascii="Times New Roman" w:hAnsi="Times New Roman"/>
          <w:b w:val="false"/>
          <w:i w:val="false"/>
          <w:color w:val="000000"/>
          <w:sz w:val="22"/>
        </w:rPr>
        <w:t xml:space="preserve"> </w:t>
      </w:r>
    </w:p>
    <w:p>
      <w:pPr>
        <w:spacing w:before="0" w:after="0"/>
        <w:ind w:left="120"/>
        <w:jc w:val="center"/>
      </w:pPr>
    </w:p>
    <w:p>
      <w:pPr>
        <w:spacing w:before="0" w:after="120"/>
        <w:ind w:left="120"/>
        <w:jc w:val="left"/>
      </w:pPr>
      <w:r>
        <w:rPr>
          <w:rFonts w:ascii="Times New Roman" w:hAnsi="Times New Roman"/>
          <w:b w:val="false"/>
          <w:i w:val="false"/>
          <w:color w:val="000000"/>
          <w:sz w:val="22"/>
        </w:rPr>
        <w:t xml:space="preserve"> </w:t>
      </w:r>
    </w:p>
    <w:tbl>
      <w:tblPr>
        <w:tblW w:w="0" w:type="auto"/>
        <w:tblCellSpacing w:w="0" w:type="auto"/>
        <w:tblBorders>
          <w:top w:val="none"/>
          <w:left w:val="none"/>
          <w:bottom w:val="none"/>
          <w:right w:val="none"/>
          <w:insideH w:val="none"/>
          <w:insideV w:val="none"/>
        </w:tblBorders>
      </w:tblPr>
      <w:tblGrid>
        <w:gridCol w:w="116"/>
        <w:gridCol w:w="2078"/>
        <w:gridCol w:w="40"/>
        <w:gridCol w:w="117"/>
        <w:gridCol w:w="3695"/>
        <w:gridCol w:w="40"/>
        <w:gridCol w:w="447"/>
        <w:gridCol w:w="5217"/>
        <w:gridCol w:w="449"/>
      </w:tblGrid>
      <w:tr>
        <w:trPr>
          <w:trHeight w:val="30" w:hRule="atLeast"/>
        </w:trPr>
        <w:tc>
          <w:tcPr>
            <w:tcW w:w="116" w:type="dxa"/>
            <w:tcBorders/>
            <w:tcMar>
              <w:top w:w="15" w:type="dxa"/>
              <w:left w:w="15" w:type="dxa"/>
              <w:bottom w:w="15" w:type="dxa"/>
              <w:right w:w="15" w:type="dxa"/>
            </w:tcMar>
            <w:vAlign w:val="center"/>
          </w:tcPr>
          <w:p/>
        </w:tc>
        <w:tc>
          <w:tcPr>
            <w:tcW w:w="2078"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117" w:type="dxa"/>
            <w:tcBorders/>
            <w:tcMar>
              <w:top w:w="15" w:type="dxa"/>
              <w:left w:w="15" w:type="dxa"/>
              <w:bottom w:w="15" w:type="dxa"/>
              <w:right w:w="15" w:type="dxa"/>
            </w:tcMar>
            <w:vAlign w:val="center"/>
          </w:tcPr>
          <w:p/>
        </w:tc>
        <w:tc>
          <w:tcPr>
            <w:tcW w:w="3695" w:type="dxa"/>
            <w:tcBorders/>
            <w:tcMar>
              <w:top w:w="15" w:type="dxa"/>
              <w:left w:w="15" w:type="dxa"/>
              <w:bottom w:w="15" w:type="dxa"/>
              <w:right w:w="15" w:type="dxa"/>
            </w:tcMar>
            <w:vAlign w:val="center"/>
          </w:tcPr>
          <w:p/>
        </w:tc>
        <w:tc>
          <w:tcPr>
            <w:tcW w:w="40" w:type="dxa"/>
            <w:tcBorders/>
            <w:tcMar>
              <w:top w:w="15" w:type="dxa"/>
              <w:left w:w="15" w:type="dxa"/>
              <w:bottom w:w="15" w:type="dxa"/>
              <w:right w:w="15" w:type="dxa"/>
            </w:tcMar>
            <w:vAlign w:val="center"/>
          </w:tcPr>
          <w:p/>
        </w:tc>
        <w:tc>
          <w:tcPr>
            <w:tcW w:w="447" w:type="dxa"/>
            <w:tcBorders/>
            <w:tcMar>
              <w:top w:w="15" w:type="dxa"/>
              <w:left w:w="15" w:type="dxa"/>
              <w:bottom w:w="15" w:type="dxa"/>
              <w:right w:w="15" w:type="dxa"/>
            </w:tcMar>
            <w:vAlign w:val="center"/>
          </w:tcPr>
          <w:p/>
        </w:tc>
        <w:tc>
          <w:tcPr>
            <w:tcW w:w="5217" w:type="dxa"/>
            <w:tcBorders/>
            <w:tcMar>
              <w:top w:w="15" w:type="dxa"/>
              <w:left w:w="15" w:type="dxa"/>
              <w:bottom w:w="15" w:type="dxa"/>
              <w:right w:w="15" w:type="dxa"/>
            </w:tcMar>
            <w:vAlign w:val="center"/>
          </w:tcPr>
          <w:p/>
        </w:tc>
        <w:tc>
          <w:tcPr>
            <w:tcW w:w="449" w:type="dxa"/>
            <w:tcBorders/>
            <w:tcMar>
              <w:top w:w="15" w:type="dxa"/>
              <w:left w:w="15" w:type="dxa"/>
              <w:bottom w:w="15" w:type="dxa"/>
              <w:right w:w="15" w:type="dxa"/>
            </w:tcMar>
            <w:vAlign w:val="center"/>
          </w:tcPr>
          <w:p/>
        </w:tc>
      </w:tr>
      <w:tr>
        <w:trPr>
          <w:trHeight w:val="33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spacing w:before="0" w:after="0"/>
              <w:ind w:left="0"/>
              <w:jc w:val="center"/>
            </w:pPr>
            <w:r>
              <w:rPr>
                <w:rFonts w:ascii="Times New Roman" w:hAnsi="Times New Roman"/>
                <w:b w:val="false"/>
                <w:i w:val="false"/>
                <w:color w:val="000000"/>
                <w:sz w:val="22"/>
              </w:rPr>
              <w:t xml:space="preserve"> </w:t>
            </w:r>
            <w:r>
              <w:rPr>
                <w:rFonts w:ascii="Arial" w:hAnsi="Arial"/>
                <w:b w:val="false"/>
                <w:i w:val="false"/>
                <w:color w:val="000000"/>
                <w:sz w:val="18"/>
              </w:rPr>
              <w:t>/s/ ALF MELIN</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op w:val="single" w:color="000000" w:sz="11"/>
            </w:tcBorders>
            <w:tcMar>
              <w:top w:w="30" w:type="dxa"/>
              <w:left w:w="15" w:type="dxa"/>
              <w:bottom w:w="30" w:type="dxa"/>
              <w:right w:w="15" w:type="dxa"/>
            </w:tcMar>
            <w:vAlign w:val="bottom"/>
          </w:tcPr>
          <w:p>
            <w:pPr>
              <w:pBdr>
                <w:left w:space="3"/>
                <w:right w:space="3"/>
              </w:pBdr>
              <w:spacing w:before="55" w:after="30"/>
              <w:ind w:left="208"/>
              <w:jc w:val="center"/>
            </w:pPr>
            <w:r>
              <w:rPr>
                <w:rFonts w:ascii="Times New Roman" w:hAnsi="Times New Roman"/>
                <w:b w:val="false"/>
                <w:i w:val="false"/>
                <w:color w:val="000000"/>
                <w:sz w:val="22"/>
              </w:rPr>
              <w:t xml:space="preserve"> </w:t>
            </w:r>
            <w:r>
              <w:rPr>
                <w:rFonts w:ascii="Arial" w:hAnsi="Arial"/>
                <w:b w:val="false"/>
                <w:i w:val="false"/>
                <w:color w:val="000000"/>
                <w:sz w:val="18"/>
              </w:rPr>
              <w:t>Alf Melin</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pBdr>
                <w:left w:space="3"/>
                <w:right w:space="3"/>
              </w:pBdr>
              <w:spacing w:before="75" w:after="30"/>
              <w:ind w:left="208"/>
              <w:jc w:val="center"/>
            </w:pPr>
            <w:r>
              <w:rPr>
                <w:rFonts w:ascii="Times New Roman" w:hAnsi="Times New Roman"/>
                <w:b w:val="false"/>
                <w:i w:val="false"/>
                <w:color w:val="000000"/>
                <w:sz w:val="22"/>
              </w:rPr>
              <w:t xml:space="preserve"> </w:t>
            </w:r>
            <w:r>
              <w:rPr>
                <w:rFonts w:ascii="Arial" w:hAnsi="Arial"/>
                <w:b w:val="false"/>
                <w:i w:val="false"/>
                <w:color w:val="000000"/>
                <w:sz w:val="18"/>
              </w:rPr>
              <w:t>Executive Vice President and Chief Financial Officer</w:t>
            </w:r>
            <w:r>
              <w:rPr>
                <w:rFonts w:ascii="Times New Roman" w:hAnsi="Times New Roman"/>
                <w:b w:val="false"/>
                <w:i w:val="false"/>
                <w:color w:val="000000"/>
                <w:sz w:val="22"/>
              </w:rPr>
              <w:t xml:space="preserve"> </w:t>
            </w:r>
          </w:p>
        </w:tc>
      </w:tr>
      <w:tr>
        <w:trPr>
          <w:trHeight w:val="420" w:hRule="atLeast"/>
        </w:trPr>
        <w:tc>
          <w:tcPr>
            <w:tcW w:w="0" w:type="auto"/>
            <w:gridSpan w:val="3"/>
            <w:tcBorders/>
            <w:tcMar>
              <w:top w:w="15" w:type="dxa"/>
              <w:left w:w="15" w:type="dxa"/>
              <w:bottom w:w="15" w:type="dxa"/>
              <w:right w:w="15" w:type="dxa"/>
            </w:tcMar>
            <w:vAlign w:val="center"/>
          </w:tcPr>
          <w:p/>
        </w:tc>
        <w:tc>
          <w:tcPr>
            <w:tcW w:w="0" w:type="auto"/>
            <w:gridSpan w:val="3"/>
            <w:tcBorders/>
            <w:tcMar>
              <w:top w:w="15" w:type="dxa"/>
              <w:left w:w="15" w:type="dxa"/>
              <w:bottom w:w="15" w:type="dxa"/>
              <w:right w:w="15" w:type="dxa"/>
            </w:tcMar>
            <w:vAlign w:val="center"/>
          </w:tcPr>
          <w:p/>
        </w:tc>
        <w:tc>
          <w:tcPr>
            <w:tcW w:w="0" w:type="auto"/>
            <w:gridSpan w:val="3"/>
            <w:tcBorders/>
            <w:tcMar>
              <w:top w:w="30" w:type="dxa"/>
              <w:left w:w="15" w:type="dxa"/>
              <w:bottom w:w="30" w:type="dxa"/>
              <w:right w:w="15" w:type="dxa"/>
            </w:tcMar>
            <w:vAlign w:val="bottom"/>
          </w:tcPr>
          <w:p>
            <w:pPr>
              <w:pBdr>
                <w:left w:space="3"/>
                <w:right w:space="3"/>
              </w:pBdr>
              <w:spacing w:before="75" w:after="30"/>
              <w:ind w:left="208"/>
              <w:jc w:val="center"/>
            </w:pPr>
            <w:r>
              <w:rPr>
                <w:rFonts w:ascii="Times New Roman" w:hAnsi="Times New Roman"/>
                <w:b w:val="false"/>
                <w:i w:val="false"/>
                <w:color w:val="000000"/>
                <w:sz w:val="22"/>
              </w:rPr>
              <w:t xml:space="preserve"> </w:t>
            </w:r>
            <w:r>
              <w:rPr>
                <w:rFonts w:ascii="Arial" w:hAnsi="Arial"/>
                <w:b w:val="false"/>
                <w:i w:val="false"/>
                <w:color w:val="000000"/>
                <w:sz w:val="18"/>
              </w:rPr>
              <w:t>(Principal Financial Officer)</w:t>
            </w:r>
            <w:r>
              <w:rPr>
                <w:rFonts w:ascii="Times New Roman" w:hAnsi="Times New Roman"/>
                <w:b w:val="false"/>
                <w:i w:val="false"/>
                <w:color w:val="000000"/>
                <w:sz w:val="22"/>
              </w:rPr>
              <w:t xml:space="preserve"> </w:t>
            </w:r>
          </w:p>
        </w:tc>
      </w:tr>
    </w:tbl>
    <w:p>
      <w:pPr>
        <w:spacing w:before="0" w:after="0"/>
        <w:ind w:left="0"/>
        <w:jc w:val="left"/>
      </w:pPr>
      <w:r>
        <w:rPr>
          <w:rFonts w:ascii="Times New Roman" w:hAnsi="Times New Roman"/>
          <w:b w:val="false"/>
          <w:i w:val="false"/>
          <w:color w:val="000000"/>
          <w:sz w:val="22"/>
        </w:rPr>
        <w:t xml:space="preserve"> </w:t>
      </w:r>
    </w:p>
    <w:p>
      <w:pPr>
        <w:spacing w:before="0" w:after="0"/>
        <w:ind w:left="120"/>
        <w:jc w:val="center"/>
      </w:pPr>
      <w:r>
        <w:rPr>
          <w:rFonts w:ascii="Times New Roman" w:hAnsi="Times New Roman"/>
          <w:b w:val="false"/>
          <w:i w:val="false"/>
          <w:color w:val="000000"/>
          <w:sz w:val="22"/>
        </w:rPr>
        <w:t xml:space="preserve"> </w:t>
      </w:r>
      <w:r>
        <w:br/>
      </w:r>
      <w:r>
        <w:rPr>
          <w:rFonts w:ascii="Times New Roman" w:hAnsi="Times New Roman"/>
          <w:b w:val="false"/>
          <w:i w:val="false"/>
          <w:color w:val="000000"/>
          <w:sz w:val="22"/>
        </w:rPr>
        <w:t xml:space="preserve"> </w:t>
      </w:r>
    </w:p>
    <w:sectPr>
      <w:pgSz w:w="11907" w:h="16839" w:code="9"/>
      <w:pgMar w:top="1440" w:right="1440" w:bottom="1440" w:left="1440"/>
    </w:sectPr>
  </w:body>
</w:document>
</file>

<file path=word/numbering.xml><?xml version="1.0" encoding="utf-8"?>
<w:numbering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file>

<file path=word/settings.xml><?xml version="1.0" encoding="utf-8"?>
<w:settings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mc:Ignorable="">
  <w:compat>
    <w:compatSetting w:name="overrideTableStyleFontSizeAndJustification" w:uri="http://schemas.microsoft.com/office/word" w:val="1"/>
  </w:compat>
</w:settings>
</file>

<file path=word/styles.xml><?xml version="1.0" encoding="utf-8"?>
<w:styles xmlns:w="http://schemas.openxmlformats.org/wordprocessingml/2006/main" xmlns:w15="http://schemas.microsoft.com/office/word/2012/wordml" xmlns:w14="http://schemas.microsoft.com/office/word/2010/wordml" xmlns:m="http://schemas.openxmlformats.org/officeDocument/2006/math" xmlns:r="http://schemas.openxmlformats.org/officeDocument/2006/relationships" xmlns:wp="http://schemas.openxmlformats.org/drawingml/2006/wordprocessingDrawing" xmlns:a="http://schemas.openxmlformats.org/drawingml/2006/main" xmlns:wp14="http://schemas.microsoft.com/office/word/2010/wordprocessingDrawing" xmlns:mc="http://schemas.openxmlformats.org/markup-compatibility/2006" xmlns:a14="http://schemas.microsoft.com/office/drawing/2010/main"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msink="http://schemas.microsoft.com/ink/2010/main" xmlns:cdr14="http://schemas.microsoft.com/office/drawing/2010/chartDrawing" xmlns:c15="http://schemas.microsoft.com/office/drawing/2012/chart" xmlns:cs="http://schemas.microsoft.com/office/drawing/2012/chartStyle" xmlns:ns38="http://www.w3.org/1998/Math/MathML" xmlns:ns39="http://www.w3.org/2003/InkML" xmlns:a13cmd="http://schemas.microsoft.com/office/drawing/2013/main/command" xmlns:cx="http://schemas.microsoft.com/office/drawing/2014/chartex" xmlns:c16="http://schemas.microsoft.com/office/drawing/2014/chart" xmlns:dgm1611="http://schemas.microsoft.com/office/drawing/2016/11/diagram" xmlns:c173="http://schemas.microsoft.com/office/drawing/2017/03/chart" xmlns:am3d="http://schemas.microsoft.com/office/drawing/2017/model3d" xmlns:an18="http://schemas.microsoft.com/office/drawing/2018/animation" xmlns:anam3d="http://schemas.microsoft.com/office/drawing/2018/animation/model3d" xmlns:iact="http://schemas.microsoft.com/office/powerpoint/2014/inkAction" xmlns:thm15="http://schemas.microsoft.com/office/thememl/2012/main" xmlns:wps="http://schemas.microsoft.com/office/word/2010/wordprocessingShape" xmlns:wpc="http://schemas.microsoft.com/office/word/2010/wordprocessingCanvas" xmlns:wpg="http://schemas.microsoft.com/office/word/2010/wordprocessingGroup"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xmlns:dgm14="http://schemas.microsoft.com/office/drawing/2010/diagram" xmlns:a15="http://schemas.microsoft.com/office/drawing/2012/main" xmlns:pic14="http://schemas.microsoft.com/office/drawing/2010/picture" xmlns:c16ac="http://schemas.microsoft.com/office/drawing/2014/chart/ac" xmlns:a16="http://schemas.microsoft.com/office/drawing/2014/main" xmlns:a1611="http://schemas.microsoft.com/office/drawing/2016/11/main" xmlns:dgm1612="http://schemas.microsoft.com/office/drawing/2016/12/diagram" xmlns:a16svg="http://schemas.microsoft.com/office/drawing/2016/SVG/main" xmlns:adec="http://schemas.microsoft.com/office/drawing/2017/decorative" xmlns:a18hc="http://schemas.microsoft.com/office/drawing/2018/hyperlinkcolor" xmlns:wp15="http://schemas.microsoft.com/office/word/2012/wordprocessingDrawing">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qFormat/>
    <w:rsid w:val="004A3277"/>
  </w:style>
  <w:style w:type="paragraph" w:styleId="Heading1">
    <w:name w:val="heading 1"/>
    <w:basedOn w:val="Normal"/>
    <w:next w:val="Normal"/>
    <w:link w:val="Heading1Char"/>
    <w:uiPriority w:val="9"/>
    <w:qFormat/>
    <w:rsid w:val="00841CD9"/>
    <w:pPr>
      <w:keepNext/>
      <w:keepLines/>
      <w:spacing w:before="480"/>
      <w:outlineLvl w:val="0"/>
    </w:pPr>
    <w:rPr>
      <w:rFonts w:asciiTheme="majorHAnsi" w:hAnsiTheme="majorHAnsi"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hAnsiTheme="majorHAnsi"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hAnsiTheme="majorHAnsi" w:eastAsiaTheme="majorEastAsia" w:cstheme="majorBidi"/>
      <w:b/>
      <w:bCs/>
      <w:color w:val="4F81BD"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hAnsiTheme="majorHAnsi" w:eastAsiaTheme="majorEastAsia" w:cstheme="majorBidi"/>
      <w:b/>
      <w:bCs/>
      <w:i/>
      <w:iCs/>
      <w:color w:val="4F81BD" w:themeColor="accent1"/>
    </w:rPr>
  </w:style>
  <w:style w:type="character" w:styleId="DefaultParagraphFont" w:default="true">
    <w:name w:val="Default Paragraph Font"/>
    <w:uiPriority w:val="1"/>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styleId="HeaderChar" w:customStyle="true">
    <w:name w:val="Header Char"/>
    <w:basedOn w:val="DefaultParagraphFont"/>
    <w:link w:val="Header"/>
    <w:uiPriority w:val="99"/>
    <w:rsid w:val="00841CD9"/>
  </w:style>
  <w:style w:type="character" w:styleId="Heading1Char" w:customStyle="true">
    <w:name w:val="Heading 1 Char"/>
    <w:basedOn w:val="DefaultParagraphFont"/>
    <w:link w:val="Heading1"/>
    <w:uiPriority w:val="9"/>
    <w:rsid w:val="00841CD9"/>
    <w:rPr>
      <w:rFonts w:asciiTheme="majorHAnsi" w:hAnsiTheme="majorHAnsi" w:eastAsiaTheme="majorEastAsia" w:cstheme="majorBidi"/>
      <w:b/>
      <w:bCs/>
      <w:color w:val="365F91" w:themeColor="accent1" w:themeShade="BF"/>
      <w:sz w:val="28"/>
      <w:szCs w:val="28"/>
    </w:rPr>
  </w:style>
  <w:style w:type="character" w:styleId="Heading2Char" w:customStyle="true">
    <w:name w:val="Heading 2 Char"/>
    <w:basedOn w:val="DefaultParagraphFont"/>
    <w:link w:val="Heading2"/>
    <w:uiPriority w:val="9"/>
    <w:rsid w:val="00841CD9"/>
    <w:rPr>
      <w:rFonts w:asciiTheme="majorHAnsi" w:hAnsiTheme="majorHAnsi" w:eastAsiaTheme="majorEastAsia" w:cstheme="majorBidi"/>
      <w:b/>
      <w:bCs/>
      <w:color w:val="4F81BD" w:themeColor="accent1"/>
      <w:sz w:val="26"/>
      <w:szCs w:val="26"/>
    </w:rPr>
  </w:style>
  <w:style w:type="character" w:styleId="Heading3Char" w:customStyle="true">
    <w:name w:val="Heading 3 Char"/>
    <w:basedOn w:val="DefaultParagraphFont"/>
    <w:link w:val="Heading3"/>
    <w:uiPriority w:val="9"/>
    <w:rsid w:val="00841CD9"/>
    <w:rPr>
      <w:rFonts w:asciiTheme="majorHAnsi" w:hAnsiTheme="majorHAnsi" w:eastAsiaTheme="majorEastAsia" w:cstheme="majorBidi"/>
      <w:b/>
      <w:bCs/>
      <w:color w:val="4F81BD" w:themeColor="accent1"/>
    </w:rPr>
  </w:style>
  <w:style w:type="character" w:styleId="Heading4Char" w:customStyle="true">
    <w:name w:val="Heading 4 Char"/>
    <w:basedOn w:val="DefaultParagraphFont"/>
    <w:link w:val="Heading4"/>
    <w:uiPriority w:val="9"/>
    <w:rsid w:val="00841CD9"/>
    <w:rPr>
      <w:rFonts w:asciiTheme="majorHAnsi" w:hAnsiTheme="majorHAnsi" w:eastAsiaTheme="majorEastAsia" w:cstheme="majorBidi"/>
      <w:b/>
      <w:bCs/>
      <w:i/>
      <w:iCs/>
      <w:color w:val="4F81BD"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hAnsiTheme="majorHAnsi" w:eastAsiaTheme="majorEastAsia" w:cstheme="majorBidi"/>
      <w:i/>
      <w:iCs/>
      <w:color w:val="4F81BD" w:themeColor="accent1"/>
      <w:spacing w:val="15"/>
      <w:sz w:val="24"/>
      <w:szCs w:val="24"/>
    </w:rPr>
  </w:style>
  <w:style w:type="character" w:styleId="SubtitleChar" w:customStyle="true">
    <w:name w:val="Subtitle Char"/>
    <w:basedOn w:val="DefaultParagraphFont"/>
    <w:link w:val="Subtitle"/>
    <w:uiPriority w:val="11"/>
    <w:rsid w:val="00841CD9"/>
    <w:rPr>
      <w:rFonts w:asciiTheme="majorHAnsi" w:hAnsiTheme="majorHAnsi" w:eastAsiaTheme="majorEastAsia" w:cstheme="majorBidi"/>
      <w:i/>
      <w:iCs/>
      <w:color w:val="4F81BD" w:themeColor="accent1"/>
      <w:spacing w:val="15"/>
      <w:sz w:val="24"/>
      <w:szCs w:val="24"/>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heme="majorHAnsi" w:hAnsiTheme="majorHAnsi" w:eastAsiaTheme="majorEastAsia" w:cstheme="majorBidi"/>
      <w:color w:val="17365D" w:themeColor="text2" w:themeShade="BF"/>
      <w:spacing w:val="5"/>
      <w:kern w:val="28"/>
      <w:sz w:val="52"/>
      <w:szCs w:val="52"/>
    </w:rPr>
  </w:style>
  <w:style w:type="character" w:styleId="TitleChar" w:customStyle="true">
    <w:name w:val="Title Char"/>
    <w:basedOn w:val="DefaultParagraphFont"/>
    <w:link w:val="Title"/>
    <w:uiPriority w:val="10"/>
    <w:rsid w:val="00841CD9"/>
    <w:rPr>
      <w:rFonts w:asciiTheme="majorHAnsi" w:hAnsiTheme="majorHAnsi" w:eastAsiaTheme="majorEastAsia" w:cstheme="majorBidi"/>
      <w:color w:val="17365D"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000FF" w:themeColor="hyperlink"/>
      <w:u w:val="single"/>
    </w:rPr>
  </w:style>
  <w:style w:type="table" w:styleId="TableGrid">
    <w:name w:val="Table Grid"/>
    <w:basedOn w:val="TableNormal"/>
    <w:uiPriority w:val="59"/>
    <w:pPr>
      <w:spacing w:after="0" w:line="240" w:lineRule="auto"/>
    </w:p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b/>
      <w:bCs/>
      <w:color w:val="4F81BD" w:themeColor="accent1"/>
      <w:sz w:val="18"/>
      <w:szCs w:val="18"/>
    </w:rPr>
  </w:style>
</w:styles>
</file>

<file path=word/_rels/document.xml.rels><?xml version="1.0" encoding="UTF-8" standalone="yes"?>
<Relationships xmlns="http://schemas.openxmlformats.org/package/2006/relationships">
    <Relationship Target="styles.xml" Type="http://schemas.openxmlformats.org/officeDocument/2006/relationships/styles" Id="rId1"/>
    <Relationship Target="settings.xml" Type="http://schemas.openxmlformats.org/officeDocument/2006/relationships/settings" Id="rId2"/>
    <Relationship Target="numbering.xml" Type="http://schemas.openxmlformats.org/officeDocument/2006/relationships/numbering" Id="rId3"/>
    <Relationship TargetMode="External" Target="https://www.sec.gov/Archives/edgar/data/1681459/000168145925000085/a2025-04x24xfinal8xkexxvcp.htm" Type="http://schemas.openxmlformats.org/officeDocument/2006/relationships/hyperlink" Id="rId4"/>
    <Relationship TargetMode="External" Target="a20252qexx6thamendmentto.htm" Type="http://schemas.openxmlformats.org/officeDocument/2006/relationships/hyperlink" Id="rId5"/>
    <Relationship TargetMode="External" Target="technipfmc2025630ex311.htm" Type="http://schemas.openxmlformats.org/officeDocument/2006/relationships/hyperlink" Id="rId6"/>
    <Relationship TargetMode="External" Target="technipfmc2025630ex312.htm" Type="http://schemas.openxmlformats.org/officeDocument/2006/relationships/hyperlink" Id="rId7"/>
    <Relationship TargetMode="External" Target="technipfmc2025630ex321.htm" Type="http://schemas.openxmlformats.org/officeDocument/2006/relationships/hyperlink" Id="rId8"/>
    <Relationship TargetMode="External" Target="technipfmc2025630ex322.htm" Type="http://schemas.openxmlformats.org/officeDocument/2006/relationships/hyperlink" Id="rId9"/>
    <Relationship Target="media/document_image_rId10.jpeg" Type="http://schemas.openxmlformats.org/officeDocument/2006/relationships/image" Id="rId10"/>
    <Relationship Target="media/document_image_rId11.jpeg" Type="http://schemas.openxmlformats.org/officeDocument/2006/relationships/image" Id="rId11"/>
    <Relationship Target="media/document_image_rId12.jpeg" Type="http://schemas.openxmlformats.org/officeDocument/2006/relationships/image" Id="rId12"/>
    <Relationship Target="media/document_image_rId13.jpeg" Type="http://schemas.openxmlformats.org/officeDocument/2006/relationships/image" Id="rId13"/>
    <Relationship Target="media/document_image_rId14.jpeg" Type="http://schemas.openxmlformats.org/officeDocument/2006/relationships/image" Id="rId14"/>
    <Relationship Target="media/document_image_rId15.jpeg" Type="http://schemas.openxmlformats.org/officeDocument/2006/relationships/image" Id="rId15"/>
    <Relationship Target="media/document_image_rId16.jpeg" Type="http://schemas.openxmlformats.org/officeDocument/2006/relationships/image" Id="rId16"/>
    <Relationship Target="media/document_image_rId17.jpeg" Type="http://schemas.openxmlformats.org/officeDocument/2006/relationships/image" Id="rId17"/>
    <Relationship Target="media/document_image_rId18.jpeg" Type="http://schemas.openxmlformats.org/officeDocument/2006/relationships/image" Id="rId18"/>
    <Relationship Target="media/document_image_rId19.jpeg" Type="http://schemas.openxmlformats.org/officeDocument/2006/relationships/image" Id="rId19"/>
    <Relationship Target="media/document_image_rId20.jpeg" Type="http://schemas.openxmlformats.org/officeDocument/2006/relationships/image" Id="rId20"/>
    <Relationship Target="media/document_image_rId21.jpeg" Type="http://schemas.openxmlformats.org/officeDocument/2006/relationships/image" Id="rId21"/>
    <Relationship Target="media/document_image_rId22.jpeg" Type="http://schemas.openxmlformats.org/officeDocument/2006/relationships/image" Id="rId22"/>
    <Relationship Target="media/document_image_rId23.jpeg" Type="http://schemas.openxmlformats.org/officeDocument/2006/relationships/image" Id="rId23"/>
    <Relationship Target="media/document_image_rId24.jpeg" Type="http://schemas.openxmlformats.org/officeDocument/2006/relationships/image" Id="rId24"/>
    <Relationship Target="media/document_image_rId25.jpeg" Type="http://schemas.openxmlformats.org/officeDocument/2006/relationships/image" Id="rId25"/>
    <Relationship Target="media/document_image_rId26.jpeg" Type="http://schemas.openxmlformats.org/officeDocument/2006/relationships/image" Id="rId26"/>
    <Relationship Target="media/document_image_rId27.jpeg" Type="http://schemas.openxmlformats.org/officeDocument/2006/relationships/image" Id="rId27"/>
    <Relationship Target="media/document_image_rId28.jpeg" Type="http://schemas.openxmlformats.org/officeDocument/2006/relationships/image" Id="rId28"/>
    <Relationship Target="media/document_image_rId29.jpeg" Type="http://schemas.openxmlformats.org/officeDocument/2006/relationships/image" Id="rId29"/>
    <Relationship Target="media/document_image_rId30.jpeg" Type="http://schemas.openxmlformats.org/officeDocument/2006/relationships/image" Id="rId30"/>
    <Relationship Target="media/document_image_rId31.jpeg" Type="http://schemas.openxmlformats.org/officeDocument/2006/relationships/image" Id="rId31"/>
    <Relationship Target="media/document_image_rId32.jpeg" Type="http://schemas.openxmlformats.org/officeDocument/2006/relationships/image" Id="rId32"/>
    <Relationship Target="media/document_image_rId33.jpeg" Type="http://schemas.openxmlformats.org/officeDocument/2006/relationships/image" Id="rId33"/>
    <Relationship Target="media/document_image_rId34.jpeg" Type="http://schemas.openxmlformats.org/officeDocument/2006/relationships/image" Id="rId34"/>
    <Relationship Target="media/document_image_rId35.jpeg" Type="http://schemas.openxmlformats.org/officeDocument/2006/relationships/image" Id="rId35"/>
    <Relationship Target="media/document_image_rId36.jpeg" Type="http://schemas.openxmlformats.org/officeDocument/2006/relationships/image" Id="rId36"/>
    <Relationship Target="media/document_image_rId37.jpeg" Type="http://schemas.openxmlformats.org/officeDocument/2006/relationships/image" Id="rId37"/>
    <Relationship Target="media/document_image_rId38.jpeg" Type="http://schemas.openxmlformats.org/officeDocument/2006/relationships/image" Id="rId38"/>
    <Relationship Target="media/document_image_rId39.jpeg" Type="http://schemas.openxmlformats.org/officeDocument/2006/relationships/image" Id="rId39"/>
    <Relationship Target="media/document_image_rId40.jpeg" Type="http://schemas.openxmlformats.org/officeDocument/2006/relationships/image" Id="rId40"/>
    <Relationship Target="media/document_image_rId41.jpeg" Type="http://schemas.openxmlformats.org/officeDocument/2006/relationships/image" Id="rId41"/>
    <Relationship Target="media/document_image_rId42.jpeg" Type="http://schemas.openxmlformats.org/officeDocument/2006/relationships/image" Id="rId42"/>
    <Relationship Target="media/document_image_rId43.jpeg" Type="http://schemas.openxmlformats.org/officeDocument/2006/relationships/image" Id="rId43"/>
    <Relationship Target="media/document_image_rId44.jpeg" Type="http://schemas.openxmlformats.org/officeDocument/2006/relationships/image" Id="rId44"/>
    <Relationship Target="media/document_image_rId45.jpeg" Type="http://schemas.openxmlformats.org/officeDocument/2006/relationships/image" Id="rId45"/>
    <Relationship Target="media/document_image_rId46.jpeg" Type="http://schemas.openxmlformats.org/officeDocument/2006/relationships/image" Id="rId46"/>
    <Relationship Target="media/document_image_rId47.jpeg" Type="http://schemas.openxmlformats.org/officeDocument/2006/relationships/image" Id="rId47"/>
    <Relationship Target="media/document_image_rId48.jpeg" Type="http://schemas.openxmlformats.org/officeDocument/2006/relationships/image" Id="rId48"/>
    <Relationship Target="media/document_image_rId49.jpeg" Type="http://schemas.openxmlformats.org/officeDocument/2006/relationships/image" Id="rId49"/>
    <Relationship Target="media/document_image_rId50.jpeg" Type="http://schemas.openxmlformats.org/officeDocument/2006/relationships/image" Id="rId50"/>
    <Relationship Target="media/document_image_rId51.jpeg" Type="http://schemas.openxmlformats.org/officeDocument/2006/relationships/image" Id="rId51"/>
    <Relationship Target="media/document_image_rId52.jpeg" Type="http://schemas.openxmlformats.org/officeDocument/2006/relationships/image" Id="rId52"/>
    <Relationship Target="media/document_image_rId53.jpeg" Type="http://schemas.openxmlformats.org/officeDocument/2006/relationships/image" Id="rId53"/>
    <Relationship Target="media/document_image_rId54.jpeg" Type="http://schemas.openxmlformats.org/officeDocument/2006/relationships/image" Id="rId54"/>
    <Relationship Target="media/document_image_rId55.jpeg" Type="http://schemas.openxmlformats.org/officeDocument/2006/relationships/image" Id="rId55"/>
    <Relationship Target="media/document_image_rId56.jpeg" Type="http://schemas.openxmlformats.org/officeDocument/2006/relationships/image" Id="rId56"/>
    <Relationship Target="media/document_image_rId57.jpeg" Type="http://schemas.openxmlformats.org/officeDocument/2006/relationships/image" Id="rId57"/>
    <Relationship Target="media/document_image_rId58.jpeg" Type="http://schemas.openxmlformats.org/officeDocument/2006/relationships/image" Id="rId58"/>
    <Relationship Target="media/document_image_rId59.jpeg" Type="http://schemas.openxmlformats.org/officeDocument/2006/relationships/image" Id="rId59"/>
    <Relationship Target="media/document_image_rId60.jpeg" Type="http://schemas.openxmlformats.org/officeDocument/2006/relationships/image" Id="rId60"/>
    <Relationship Target="media/document_image_rId61.jpeg" Type="http://schemas.openxmlformats.org/officeDocument/2006/relationships/image" Id="rId61"/>
    <Relationship Target="media/document_image_rId62.jpeg" Type="http://schemas.openxmlformats.org/officeDocument/2006/relationships/image" Id="rId62"/>
    <Relationship Target="media/document_image_rId63.jpeg" Type="http://schemas.openxmlformats.org/officeDocument/2006/relationships/image" Id="rId63"/>
    <Relationship Target="media/document_image_rId64.jpeg" Type="http://schemas.openxmlformats.org/officeDocument/2006/relationships/image" Id="rId64"/>
    <Relationship Target="media/document_image_rId65.jpeg" Type="http://schemas.openxmlformats.org/officeDocument/2006/relationships/image" Id="rId65"/>
    <Relationship Target="media/document_image_rId66.jpeg" Type="http://schemas.openxmlformats.org/officeDocument/2006/relationships/image" Id="rId66"/>
    <Relationship Target="media/document_image_rId67.jpeg" Type="http://schemas.openxmlformats.org/officeDocument/2006/relationships/image" Id="rId67"/>
    <Relationship Target="media/document_image_rId68.jpeg" Type="http://schemas.openxmlformats.org/officeDocument/2006/relationships/image" Id="rId68"/>
    <Relationship Target="media/document_image_rId69.jpeg" Type="http://schemas.openxmlformats.org/officeDocument/2006/relationships/image" Id="rId69"/>
    <Relationship Target="media/document_image_rId70.jpeg" Type="http://schemas.openxmlformats.org/officeDocument/2006/relationships/image" Id="rId70"/>
    <Relationship Target="media/document_image_rId71.jpeg" Type="http://schemas.openxmlformats.org/officeDocument/2006/relationships/image" Id="rId71"/>
    <Relationship Target="media/document_image_rId72.jpeg" Type="http://schemas.openxmlformats.org/officeDocument/2006/relationships/image" Id="rId72"/>
    <Relationship Target="media/document_image_rId73.jpeg" Type="http://schemas.openxmlformats.org/officeDocument/2006/relationships/image" Id="rId73"/>
    <Relationship Target="media/document_image_rId74.jpeg" Type="http://schemas.openxmlformats.org/officeDocument/2006/relationships/image" Id="rId74"/>
    <Relationship Target="media/document_image_rId75.jpeg" Type="http://schemas.openxmlformats.org/officeDocument/2006/relationships/image" Id="rId75"/>
    <Relationship Target="media/document_image_rId76.jpeg" Type="http://schemas.openxmlformats.org/officeDocument/2006/relationships/image" Id="rId76"/>
    <Relationship Target="media/document_image_rId77.jpeg" Type="http://schemas.openxmlformats.org/officeDocument/2006/relationships/image" Id="rId77"/>
    <Relationship Target="media/document_image_rId78.jpeg" Type="http://schemas.openxmlformats.org/officeDocument/2006/relationships/image" Id="rId78"/>
    <Relationship Target="media/document_image_rId79.jpeg" Type="http://schemas.openxmlformats.org/officeDocument/2006/relationships/image" Id="rId79"/>
    <Relationship Target="media/document_image_rId80.jpeg" Type="http://schemas.openxmlformats.org/officeDocument/2006/relationships/image" Id="rId80"/>
    <Relationship Target="media/document_image_rId81.jpeg" Type="http://schemas.openxmlformats.org/officeDocument/2006/relationships/image" Id="rId81"/>
    <Relationship Target="media/document_image_rId82.jpeg" Type="http://schemas.openxmlformats.org/officeDocument/2006/relationships/image" Id="rId82"/>
    <Relationship Target="media/document_image_rId83.jpeg" Type="http://schemas.openxmlformats.org/officeDocument/2006/relationships/image" Id="rId83"/>
    <Relationship Target="media/document_image_rId84.jpeg" Type="http://schemas.openxmlformats.org/officeDocument/2006/relationships/image" Id="rId84"/>
    <Relationship Target="media/document_image_rId85.jpeg" Type="http://schemas.openxmlformats.org/officeDocument/2006/relationships/image" Id="rId85"/>
    <Relationship Target="media/document_image_rId86.jpeg" Type="http://schemas.openxmlformats.org/officeDocument/2006/relationships/image" Id="rId86"/>
    <Relationship Target="media/document_image_rId87.jpeg" Type="http://schemas.openxmlformats.org/officeDocument/2006/relationships/image" Id="rId87"/>
    <Relationship Target="media/document_image_rId88.jpeg" Type="http://schemas.openxmlformats.org/officeDocument/2006/relationships/image" Id="rId88"/>
    <Relationship Target="media/document_image_rId89.jpeg" Type="http://schemas.openxmlformats.org/officeDocument/2006/relationships/image" Id="rId89"/>
    <Relationship Target="media/document_image_rId90.jpeg" Type="http://schemas.openxmlformats.org/officeDocument/2006/relationships/image" Id="rId90"/>
    <Relationship Target="media/document_image_rId91.jpeg" Type="http://schemas.openxmlformats.org/officeDocument/2006/relationships/image" Id="rId91"/>
    <Relationship Target="media/document_image_rId92.jpeg" Type="http://schemas.openxmlformats.org/officeDocument/2006/relationships/image" Id="rId92"/>
    <Relationship Target="media/document_image_rId93.jpeg" Type="http://schemas.openxmlformats.org/officeDocument/2006/relationships/image" Id="rId93"/>
    <Relationship Target="media/document_image_rId94.jpeg" Type="http://schemas.openxmlformats.org/officeDocument/2006/relationships/image" Id="rId94"/>
    <Relationship Target="media/document_image_rId95.jpeg" Type="http://schemas.openxmlformats.org/officeDocument/2006/relationships/image" Id="rId95"/>
    <Relationship Target="media/document_image_rId96.jpeg" Type="http://schemas.openxmlformats.org/officeDocument/2006/relationships/image" Id="rId96"/>
    <Relationship Target="media/document_image_rId97.jpeg" Type="http://schemas.openxmlformats.org/officeDocument/2006/relationships/image" Id="rId97"/>
    <Relationship Target="media/document_image_rId98.jpeg" Type="http://schemas.openxmlformats.org/officeDocument/2006/relationships/image" Id="rId98"/>
    <Relationship Target="media/document_image_rId99.jpeg" Type="http://schemas.openxmlformats.org/officeDocument/2006/relationships/image" Id="rId99"/>
    <Relationship Target="media/document_image_rId100.jpeg" Type="http://schemas.openxmlformats.org/officeDocument/2006/relationships/image" Id="rId100"/>
    <Relationship Target="media/document_image_rId101.jpeg" Type="http://schemas.openxmlformats.org/officeDocument/2006/relationships/image" Id="rId101"/>
    <Relationship Target="media/document_image_rId102.jpeg" Type="http://schemas.openxmlformats.org/officeDocument/2006/relationships/image" Id="rId102"/>
    <Relationship Target="media/document_image_rId103.jpeg" Type="http://schemas.openxmlformats.org/officeDocument/2006/relationships/image" Id="rId103"/>
    <Relationship Target="media/document_image_rId104.jpeg" Type="http://schemas.openxmlformats.org/officeDocument/2006/relationships/image" Id="rId104"/>
    <Relationship Target="media/document_image_rId105.jpeg" Type="http://schemas.openxmlformats.org/officeDocument/2006/relationships/image" Id="rId105"/>
    <Relationship Target="media/document_image_rId106.jpeg" Type="http://schemas.openxmlformats.org/officeDocument/2006/relationships/image" Id="rId106"/>
    <Relationship Target="media/document_image_rId107.jpeg" Type="http://schemas.openxmlformats.org/officeDocument/2006/relationships/image" Id="rId107"/>
    <Relationship Target="media/document_image_rId108.jpeg" Type="http://schemas.openxmlformats.org/officeDocument/2006/relationships/image" Id="rId108"/>
    <Relationship Target="media/document_image_rId109.jpeg" Type="http://schemas.openxmlformats.org/officeDocument/2006/relationships/image" Id="rId109"/>
    <Relationship Target="media/document_image_rId110.jpeg" Type="http://schemas.openxmlformats.org/officeDocument/2006/relationships/image" Id="rId110"/>
    <Relationship Target="media/document_image_rId111.jpeg" Type="http://schemas.openxmlformats.org/officeDocument/2006/relationships/image" Id="rId111"/>
    <Relationship Target="media/document_image_rId112.jpeg" Type="http://schemas.openxmlformats.org/officeDocument/2006/relationships/image" Id="rId112"/>
    <Relationship Target="media/document_image_rId113.jpeg" Type="http://schemas.openxmlformats.org/officeDocument/2006/relationships/image" Id="rId113"/>
    <Relationship Target="media/document_image_rId114.jpeg" Type="http://schemas.openxmlformats.org/officeDocument/2006/relationships/image" Id="rId114"/>
    <Relationship Target="media/document_image_rId115.jpeg" Type="http://schemas.openxmlformats.org/officeDocument/2006/relationships/image" Id="rId115"/>
    <Relationship Target="media/document_image_rId116.jpeg" Type="http://schemas.openxmlformats.org/officeDocument/2006/relationships/image" Id="rId116"/>
    <Relationship Target="media/document_image_rId117.jpeg" Type="http://schemas.openxmlformats.org/officeDocument/2006/relationships/image" Id="rId117"/>
    <Relationship Target="media/document_image_rId118.jpeg" Type="http://schemas.openxmlformats.org/officeDocument/2006/relationships/image" Id="rId118"/>
    <Relationship Target="media/document_image_rId119.jpeg" Type="http://schemas.openxmlformats.org/officeDocument/2006/relationships/image" Id="rId119"/>
    <Relationship Target="media/document_image_rId120.jpeg" Type="http://schemas.openxmlformats.org/officeDocument/2006/relationships/image" Id="rId120"/>
    <Relationship Target="media/document_image_rId121.jpeg" Type="http://schemas.openxmlformats.org/officeDocument/2006/relationships/image" Id="rId121"/>
    <Relationship Target="media/document_image_rId122.jpeg" Type="http://schemas.openxmlformats.org/officeDocument/2006/relationships/image" Id="rId122"/>
    <Relationship Target="media/document_image_rId123.jpeg" Type="http://schemas.openxmlformats.org/officeDocument/2006/relationships/image" Id="rId123"/>
    <Relationship Target="media/document_image_rId124.jpeg" Type="http://schemas.openxmlformats.org/officeDocument/2006/relationships/image" Id="rId124"/>
    <Relationship Target="media/document_image_rId125.jpeg" Type="http://schemas.openxmlformats.org/officeDocument/2006/relationships/image" Id="rId125"/>
    <Relationship Target="media/document_image_rId126.jpeg" Type="http://schemas.openxmlformats.org/officeDocument/2006/relationships/image" Id="rId126"/>
    <Relationship Target="media/document_image_rId127.jpeg" Type="http://schemas.openxmlformats.org/officeDocument/2006/relationships/image" Id="rId127"/>
    <Relationship Target="media/document_image_rId128.jpeg" Type="http://schemas.openxmlformats.org/officeDocument/2006/relationships/image" Id="rId128"/>
    <Relationship Target="media/document_image_rId129.jpeg" Type="http://schemas.openxmlformats.org/officeDocument/2006/relationships/image" Id="rId129"/>
    <Relationship Target="media/document_image_rId130.jpeg" Type="http://schemas.openxmlformats.org/officeDocument/2006/relationships/image" Id="rId130"/>
    <Relationship Target="media/document_image_rId131.jpeg" Type="http://schemas.openxmlformats.org/officeDocument/2006/relationships/image" Id="rId131"/>
    <Relationship Target="media/document_image_rId132.jpeg" Type="http://schemas.openxmlformats.org/officeDocument/2006/relationships/image" Id="rId132"/>
    <Relationship Target="media/document_image_rId133.jpeg" Type="http://schemas.openxmlformats.org/officeDocument/2006/relationships/image" Id="rId133"/>
    <Relationship Target="media/document_image_rId134.jpeg" Type="http://schemas.openxmlformats.org/officeDocument/2006/relationships/image" Id="rId134"/>
    <Relationship Target="media/document_image_rId135.jpeg" Type="http://schemas.openxmlformats.org/officeDocument/2006/relationships/image" Id="rId135"/>
    <Relationship Target="media/document_image_rId136.jpeg" Type="http://schemas.openxmlformats.org/officeDocument/2006/relationships/image" Id="rId136"/>
    <Relationship Target="media/document_image_rId137.jpeg" Type="http://schemas.openxmlformats.org/officeDocument/2006/relationships/image" Id="rId137"/>
    <Relationship Target="media/document_image_rId138.jpeg" Type="http://schemas.openxmlformats.org/officeDocument/2006/relationships/image" Id="rId138"/>
    <Relationship Target="media/document_image_rId139.jpeg" Type="http://schemas.openxmlformats.org/officeDocument/2006/relationships/image" Id="rId139"/>
    <Relationship Target="media/document_image_rId140.jpeg" Type="http://schemas.openxmlformats.org/officeDocument/2006/relationships/image" Id="rId140"/>
    <Relationship Target="media/document_image_rId141.jpeg" Type="http://schemas.openxmlformats.org/officeDocument/2006/relationships/image" Id="rId141"/>
    <Relationship Target="media/document_image_rId142.jpeg" Type="http://schemas.openxmlformats.org/officeDocument/2006/relationships/image" Id="rId142"/>
    <Relationship Target="media/document_image_rId143.jpeg" Type="http://schemas.openxmlformats.org/officeDocument/2006/relationships/image" Id="rId143"/>
    <Relationship Target="media/document_image_rId144.jpeg" Type="http://schemas.openxmlformats.org/officeDocument/2006/relationships/image" Id="rId144"/>
    <Relationship Target="media/document_image_rId145.jpeg" Type="http://schemas.openxmlformats.org/officeDocument/2006/relationships/image" Id="rId145"/>
    <Relationship Target="media/document_image_rId146.jpeg" Type="http://schemas.openxmlformats.org/officeDocument/2006/relationships/image" Id="rId146"/>
    <Relationship Target="media/document_image_rId147.jpeg" Type="http://schemas.openxmlformats.org/officeDocument/2006/relationships/image" Id="rId147"/>
    <Relationship Target="media/document_image_rId148.jpeg" Type="http://schemas.openxmlformats.org/officeDocument/2006/relationships/image" Id="rId148"/>
    <Relationship Target="media/document_image_rId149.jpeg" Type="http://schemas.openxmlformats.org/officeDocument/2006/relationships/image" Id="rId149"/>
    <Relationship Target="media/document_image_rId150.jpeg" Type="http://schemas.openxmlformats.org/officeDocument/2006/relationships/image" Id="rId150"/>
    <Relationship Target="media/document_image_rId151.jpeg" Type="http://schemas.openxmlformats.org/officeDocument/2006/relationships/image" Id="rId151"/>
    <Relationship Target="media/document_image_rId152.jpeg" Type="http://schemas.openxmlformats.org/officeDocument/2006/relationships/image" Id="rId152"/>
    <Relationship Target="media/document_image_rId153.jpeg" Type="http://schemas.openxmlformats.org/officeDocument/2006/relationships/image" Id="rId153"/>
    <Relationship Target="media/document_image_rId154.jpeg" Type="http://schemas.openxmlformats.org/officeDocument/2006/relationships/image" Id="rId154"/>
    <Relationship Target="media/document_image_rId155.jpeg" Type="http://schemas.openxmlformats.org/officeDocument/2006/relationships/image" Id="rId155"/>
    <Relationship Target="media/document_image_rId156.jpeg" Type="http://schemas.openxmlformats.org/officeDocument/2006/relationships/image" Id="rId156"/>
    <Relationship Target="media/document_image_rId157.jpeg" Type="http://schemas.openxmlformats.org/officeDocument/2006/relationships/image" Id="rId157"/>
    <Relationship Target="media/document_image_rId158.jpeg" Type="http://schemas.openxmlformats.org/officeDocument/2006/relationships/image" Id="rId158"/>
    <Relationship Target="media/document_image_rId159.jpeg" Type="http://schemas.openxmlformats.org/officeDocument/2006/relationships/image" Id="rId159"/>
    <Relationship Target="media/document_image_rId160.jpeg" Type="http://schemas.openxmlformats.org/officeDocument/2006/relationships/image" Id="rId160"/>
    <Relationship Target="media/document_image_rId161.jpeg" Type="http://schemas.openxmlformats.org/officeDocument/2006/relationships/image" Id="rId161"/>
    <Relationship Target="media/document_image_rId162.jpeg" Type="http://schemas.openxmlformats.org/officeDocument/2006/relationships/image" Id="rId162"/>
    <Relationship Target="media/document_image_rId163.jpeg" Type="http://schemas.openxmlformats.org/officeDocument/2006/relationships/image" Id="rId163"/>
    <Relationship Target="media/document_image_rId164.jpeg" Type="http://schemas.openxmlformats.org/officeDocument/2006/relationships/image" Id="rId164"/>
    <Relationship Target="media/document_image_rId165.jpeg" Type="http://schemas.openxmlformats.org/officeDocument/2006/relationships/image" Id="rId165"/>
    <Relationship Target="media/document_image_rId166.jpeg" Type="http://schemas.openxmlformats.org/officeDocument/2006/relationships/image" Id="rId166"/>
    <Relationship Target="media/document_image_rId167.jpeg" Type="http://schemas.openxmlformats.org/officeDocument/2006/relationships/image" Id="rId167"/>
    <Relationship Target="media/document_image_rId168.jpeg" Type="http://schemas.openxmlformats.org/officeDocument/2006/relationships/image" Id="rId168"/>
    <Relationship Target="media/document_image_rId169.jpeg" Type="http://schemas.openxmlformats.org/officeDocument/2006/relationships/image" Id="rId169"/>
    <Relationship Target="media/document_image_rId170.jpeg" Type="http://schemas.openxmlformats.org/officeDocument/2006/relationships/image" Id="rId170"/>
    <Relationship Target="media/document_image_rId171.jpeg" Type="http://schemas.openxmlformats.org/officeDocument/2006/relationships/image" Id="rId171"/>
    <Relationship Target="media/document_image_rId172.jpeg" Type="http://schemas.openxmlformats.org/officeDocument/2006/relationships/image" Id="rId172"/>
    <Relationship Target="media/document_image_rId173.jpeg" Type="http://schemas.openxmlformats.org/officeDocument/2006/relationships/image" Id="rId173"/>
    <Relationship Target="media/document_image_rId174.jpeg" Type="http://schemas.openxmlformats.org/officeDocument/2006/relationships/image" Id="rId174"/>
    <Relationship Target="media/document_image_rId175.jpeg" Type="http://schemas.openxmlformats.org/officeDocument/2006/relationships/image" Id="rId175"/>
    <Relationship Target="media/document_image_rId176.jpeg" Type="http://schemas.openxmlformats.org/officeDocument/2006/relationships/image" Id="rId176"/>
    <Relationship Target="media/document_image_rId177.jpeg" Type="http://schemas.openxmlformats.org/officeDocument/2006/relationships/image" Id="rId177"/>
    <Relationship Target="media/document_image_rId178.jpeg" Type="http://schemas.openxmlformats.org/officeDocument/2006/relationships/image" Id="rId178"/>
    <Relationship Target="media/document_image_rId179.jpeg" Type="http://schemas.openxmlformats.org/officeDocument/2006/relationships/image" Id="rId179"/>
    <Relationship Target="media/document_image_rId180.jpeg" Type="http://schemas.openxmlformats.org/officeDocument/2006/relationships/image" Id="rId180"/>
    <Relationship Target="media/document_image_rId181.jpeg" Type="http://schemas.openxmlformats.org/officeDocument/2006/relationships/image" Id="rId181"/>
    <Relationship Target="media/document_image_rId182.jpeg" Type="http://schemas.openxmlformats.org/officeDocument/2006/relationships/image" Id="rId182"/>
    <Relationship Target="media/document_image_rId183.jpeg" Type="http://schemas.openxmlformats.org/officeDocument/2006/relationships/image" Id="rId183"/>
    <Relationship Target="media/document_image_rId184.jpeg" Type="http://schemas.openxmlformats.org/officeDocument/2006/relationships/image" Id="rId184"/>
    <Relationship Target="media/document_image_rId185.jpeg" Type="http://schemas.openxmlformats.org/officeDocument/2006/relationships/image" Id="rId185"/>
    <Relationship Target="media/document_image_rId186.jpeg" Type="http://schemas.openxmlformats.org/officeDocument/2006/relationships/image" Id="rId186"/>
    <Relationship Target="media/document_image_rId187.jpeg" Type="http://schemas.openxmlformats.org/officeDocument/2006/relationships/image" Id="rId187"/>
    <Relationship Target="media/document_image_rId188.jpeg" Type="http://schemas.openxmlformats.org/officeDocument/2006/relationships/image" Id="rId188"/>
    <Relationship Target="media/document_image_rId189.jpeg" Type="http://schemas.openxmlformats.org/officeDocument/2006/relationships/image" Id="rId189"/>
    <Relationship Target="media/document_image_rId190.jpeg" Type="http://schemas.openxmlformats.org/officeDocument/2006/relationships/image" Id="rId190"/>
    <Relationship Target="media/document_image_rId191.jpeg" Type="http://schemas.openxmlformats.org/officeDocument/2006/relationships/image" Id="rId191"/>
    <Relationship Target="media/document_image_rId192.jpeg" Type="http://schemas.openxmlformats.org/officeDocument/2006/relationships/image" Id="rId192"/>
    <Relationship Target="media/document_image_rId193.jpeg" Type="http://schemas.openxmlformats.org/officeDocument/2006/relationships/image" Id="rId193"/>
    <Relationship Target="media/document_image_rId194.jpeg" Type="http://schemas.openxmlformats.org/officeDocument/2006/relationships/image" Id="rId194"/>
    <Relationship Target="media/document_image_rId195.jpeg" Type="http://schemas.openxmlformats.org/officeDocument/2006/relationships/image" Id="rId195"/>
    <Relationship Target="media/document_image_rId196.jpeg" Type="http://schemas.openxmlformats.org/officeDocument/2006/relationships/image" Id="rId196"/>
    <Relationship Target="media/document_image_rId197.jpeg" Type="http://schemas.openxmlformats.org/officeDocument/2006/relationships/image" Id="rId197"/>
    <Relationship Target="media/document_image_rId198.jpeg" Type="http://schemas.openxmlformats.org/officeDocument/2006/relationships/image" Id="rId198"/>
    <Relationship Target="media/document_image_rId199.jpeg" Type="http://schemas.openxmlformats.org/officeDocument/2006/relationships/image" Id="rId199"/>
    <Relationship Target="media/document_image_rId200.jpeg" Type="http://schemas.openxmlformats.org/officeDocument/2006/relationships/image" Id="rId200"/>
</Relationships>

</file>

<file path=docProps/app.xml><?xml version="1.0" encoding="utf-8"?>
<properties:Properties xmlns:properties="http://schemas.openxmlformats.org/officeDocument/2006/extended-properties" xmlns:vt="http://schemas.openxmlformats.org/officeDocument/2006/docPropsVTypes">
  <properties:Application>docx4j</properties:Application>
  <properties:AppVersion>2.7</properties:AppVersion>
</properties:Properties>
</file>

<file path=docProps/core.xml><?xml version="1.0" encoding="utf-8"?>
<cp:coreProperties xmlns:cp="http://schemas.openxmlformats.org/package/2006/metadata/core-properties" xmlns:dcterms="http://purl.org/dc/terms/" xmlns:dc="http://purl.org/dc/elements/1.1/">
  <dc:creator>docx4j</dc:creator>
  <cp:lastModifiedBy>docx4j</cp:lastModifiedBy>
</cp:coreProperties>
</file>