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243205</wp:posOffset>
            </wp:positionH>
            <wp:positionV relativeFrom="page">
              <wp:posOffset>620395</wp:posOffset>
            </wp:positionV>
            <wp:extent cx="70751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page">
              <wp:posOffset>243205</wp:posOffset>
            </wp:positionH>
            <wp:positionV relativeFrom="page">
              <wp:posOffset>534670</wp:posOffset>
            </wp:positionV>
            <wp:extent cx="7075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75170" cy="8890"/>
                    </a:xfrm>
                    <a:prstGeom prst="rect">
                      <a:avLst/>
                    </a:prstGeom>
                    <a:noFill/>
                  </pic:spPr>
                </pic:pic>
              </a:graphicData>
            </a:graphic>
          </wp:anchor>
        </w:drawing>
        <w:t>UNITED STATES</w:t>
      </w:r>
    </w:p>
    <w:p>
      <w:pPr>
        <w:jc w:val="center"/>
        <w:spacing w:after="0" w:line="205" w:lineRule="auto"/>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4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5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5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29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October 23, 2019</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Date of Report (Date of earliest event reported)</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TechnipFMC plc</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365" w:lineRule="exact"/>
        <w:rPr>
          <w:sz w:val="24"/>
          <w:szCs w:val="24"/>
          <w:color w:val="auto"/>
        </w:rPr>
      </w:pPr>
    </w:p>
    <w:tbl>
      <w:tblPr>
        <w:tblLayout w:type="fixed"/>
        <w:tblInd w:w="480" w:type="dxa"/>
        <w:tblCellMar>
          <w:top w:w="0" w:type="dxa"/>
          <w:left w:w="0" w:type="dxa"/>
          <w:bottom w:w="0" w:type="dxa"/>
          <w:right w:w="0" w:type="dxa"/>
        </w:tblCellMar>
      </w:tblPr>
      <w:tr>
        <w:trPr>
          <w:trHeight w:val="239"/>
        </w:trPr>
        <w:tc>
          <w:tcPr>
            <w:tcW w:w="2900" w:type="dxa"/>
            <w:vAlign w:val="bottom"/>
          </w:tcPr>
          <w:p>
            <w:pPr>
              <w:jc w:val="center"/>
              <w:ind w:right="96"/>
              <w:spacing w:after="0"/>
              <w:rPr>
                <w:sz w:val="20"/>
                <w:szCs w:val="20"/>
                <w:color w:val="auto"/>
              </w:rPr>
            </w:pPr>
            <w:r>
              <w:rPr>
                <w:rFonts w:ascii="Arial" w:cs="Arial" w:eastAsia="Arial" w:hAnsi="Arial"/>
                <w:sz w:val="18"/>
                <w:szCs w:val="18"/>
                <w:b w:val="1"/>
                <w:bCs w:val="1"/>
                <w:color w:val="auto"/>
              </w:rPr>
              <w:t>United Kingdom</w:t>
            </w:r>
          </w:p>
        </w:tc>
        <w:tc>
          <w:tcPr>
            <w:tcW w:w="4800" w:type="dxa"/>
            <w:vAlign w:val="bottom"/>
          </w:tcPr>
          <w:p>
            <w:pPr>
              <w:jc w:val="center"/>
              <w:ind w:right="20"/>
              <w:spacing w:after="0"/>
              <w:rPr>
                <w:sz w:val="20"/>
                <w:szCs w:val="20"/>
                <w:color w:val="auto"/>
              </w:rPr>
            </w:pPr>
            <w:r>
              <w:rPr>
                <w:rFonts w:ascii="Arial" w:cs="Arial" w:eastAsia="Arial" w:hAnsi="Arial"/>
                <w:sz w:val="18"/>
                <w:szCs w:val="18"/>
                <w:b w:val="1"/>
                <w:bCs w:val="1"/>
                <w:color w:val="auto"/>
                <w:w w:val="99"/>
              </w:rPr>
              <w:t>001-37983</w:t>
            </w:r>
          </w:p>
        </w:tc>
        <w:tc>
          <w:tcPr>
            <w:tcW w:w="2520" w:type="dxa"/>
            <w:vAlign w:val="bottom"/>
          </w:tcPr>
          <w:p>
            <w:pPr>
              <w:jc w:val="right"/>
              <w:ind w:right="539"/>
              <w:spacing w:after="0"/>
              <w:rPr>
                <w:sz w:val="20"/>
                <w:szCs w:val="20"/>
                <w:color w:val="auto"/>
              </w:rPr>
            </w:pPr>
            <w:r>
              <w:rPr>
                <w:rFonts w:ascii="Arial" w:cs="Arial" w:eastAsia="Arial" w:hAnsi="Arial"/>
                <w:sz w:val="18"/>
                <w:szCs w:val="18"/>
                <w:b w:val="1"/>
                <w:bCs w:val="1"/>
                <w:color w:val="auto"/>
              </w:rPr>
              <w:t>98-1283037</w:t>
            </w:r>
          </w:p>
        </w:tc>
      </w:tr>
      <w:tr>
        <w:trPr>
          <w:trHeight w:val="272"/>
        </w:trPr>
        <w:tc>
          <w:tcPr>
            <w:tcW w:w="2900" w:type="dxa"/>
            <w:vAlign w:val="bottom"/>
          </w:tcPr>
          <w:p>
            <w:pPr>
              <w:jc w:val="center"/>
              <w:ind w:right="96"/>
              <w:spacing w:after="0"/>
              <w:rPr>
                <w:sz w:val="20"/>
                <w:szCs w:val="20"/>
                <w:color w:val="auto"/>
              </w:rPr>
            </w:pPr>
            <w:r>
              <w:rPr>
                <w:rFonts w:ascii="Arial" w:cs="Arial" w:eastAsia="Arial" w:hAnsi="Arial"/>
                <w:sz w:val="14"/>
                <w:szCs w:val="14"/>
                <w:color w:val="auto"/>
              </w:rPr>
              <w:t>(State or other jurisdiction of incorporation)</w:t>
            </w:r>
          </w:p>
        </w:tc>
        <w:tc>
          <w:tcPr>
            <w:tcW w:w="4800" w:type="dxa"/>
            <w:vAlign w:val="bottom"/>
          </w:tcPr>
          <w:p>
            <w:pPr>
              <w:jc w:val="center"/>
              <w:ind w:right="20"/>
              <w:spacing w:after="0"/>
              <w:rPr>
                <w:sz w:val="20"/>
                <w:szCs w:val="20"/>
                <w:color w:val="auto"/>
              </w:rPr>
            </w:pPr>
            <w:r>
              <w:rPr>
                <w:rFonts w:ascii="Arial" w:cs="Arial" w:eastAsia="Arial" w:hAnsi="Arial"/>
                <w:sz w:val="14"/>
                <w:szCs w:val="14"/>
                <w:color w:val="auto"/>
              </w:rPr>
              <w:t>(Commission File Number)</w:t>
            </w:r>
          </w:p>
        </w:tc>
        <w:tc>
          <w:tcPr>
            <w:tcW w:w="2520" w:type="dxa"/>
            <w:vAlign w:val="bottom"/>
          </w:tcPr>
          <w:p>
            <w:pPr>
              <w:jc w:val="center"/>
              <w:ind w:left="219"/>
              <w:spacing w:after="0"/>
              <w:rPr>
                <w:sz w:val="20"/>
                <w:szCs w:val="20"/>
                <w:color w:val="auto"/>
              </w:rPr>
            </w:pPr>
            <w:r>
              <w:rPr>
                <w:rFonts w:ascii="Arial" w:cs="Arial" w:eastAsia="Arial" w:hAnsi="Arial"/>
                <w:sz w:val="14"/>
                <w:szCs w:val="14"/>
                <w:color w:val="auto"/>
              </w:rPr>
              <w:t>(I.R.S. Employer Identification No.)</w:t>
            </w:r>
          </w:p>
        </w:tc>
      </w:tr>
      <w:tr>
        <w:trPr>
          <w:trHeight w:val="620"/>
        </w:trPr>
        <w:tc>
          <w:tcPr>
            <w:tcW w:w="2900" w:type="dxa"/>
            <w:vAlign w:val="bottom"/>
          </w:tcPr>
          <w:p>
            <w:pPr>
              <w:jc w:val="center"/>
              <w:ind w:right="96"/>
              <w:spacing w:after="0"/>
              <w:rPr>
                <w:sz w:val="20"/>
                <w:szCs w:val="20"/>
                <w:color w:val="auto"/>
              </w:rPr>
            </w:pPr>
            <w:r>
              <w:rPr>
                <w:rFonts w:ascii="Arial" w:cs="Arial" w:eastAsia="Arial" w:hAnsi="Arial"/>
                <w:sz w:val="18"/>
                <w:szCs w:val="18"/>
                <w:b w:val="1"/>
                <w:bCs w:val="1"/>
                <w:color w:val="auto"/>
              </w:rPr>
              <w:t>One St. Paul’s Churchyard</w:t>
            </w:r>
          </w:p>
        </w:tc>
        <w:tc>
          <w:tcPr>
            <w:tcW w:w="480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270"/>
        </w:trPr>
        <w:tc>
          <w:tcPr>
            <w:tcW w:w="2900" w:type="dxa"/>
            <w:vAlign w:val="bottom"/>
          </w:tcPr>
          <w:p>
            <w:pPr>
              <w:jc w:val="center"/>
              <w:ind w:right="116"/>
              <w:spacing w:after="0"/>
              <w:rPr>
                <w:sz w:val="20"/>
                <w:szCs w:val="20"/>
                <w:color w:val="auto"/>
              </w:rPr>
            </w:pPr>
            <w:r>
              <w:rPr>
                <w:rFonts w:ascii="Arial" w:cs="Arial" w:eastAsia="Arial" w:hAnsi="Arial"/>
                <w:sz w:val="18"/>
                <w:szCs w:val="18"/>
                <w:b w:val="1"/>
                <w:bCs w:val="1"/>
                <w:color w:val="auto"/>
                <w:w w:val="99"/>
              </w:rPr>
              <w:t>London</w:t>
            </w:r>
          </w:p>
        </w:tc>
        <w:tc>
          <w:tcPr>
            <w:tcW w:w="4800" w:type="dxa"/>
            <w:vAlign w:val="bottom"/>
          </w:tcPr>
          <w:p>
            <w:pPr>
              <w:spacing w:after="0"/>
              <w:rPr>
                <w:sz w:val="23"/>
                <w:szCs w:val="23"/>
                <w:color w:val="auto"/>
              </w:rPr>
            </w:pPr>
          </w:p>
        </w:tc>
        <w:tc>
          <w:tcPr>
            <w:tcW w:w="2520" w:type="dxa"/>
            <w:vAlign w:val="bottom"/>
          </w:tcPr>
          <w:p>
            <w:pPr>
              <w:spacing w:after="0"/>
              <w:rPr>
                <w:sz w:val="23"/>
                <w:szCs w:val="23"/>
                <w:color w:val="auto"/>
              </w:rPr>
            </w:pPr>
          </w:p>
        </w:tc>
      </w:tr>
      <w:tr>
        <w:trPr>
          <w:trHeight w:val="270"/>
        </w:trPr>
        <w:tc>
          <w:tcPr>
            <w:tcW w:w="2900" w:type="dxa"/>
            <w:vAlign w:val="bottom"/>
          </w:tcPr>
          <w:p>
            <w:pPr>
              <w:jc w:val="center"/>
              <w:ind w:right="96"/>
              <w:spacing w:after="0"/>
              <w:rPr>
                <w:sz w:val="20"/>
                <w:szCs w:val="20"/>
                <w:color w:val="auto"/>
              </w:rPr>
            </w:pPr>
            <w:r>
              <w:rPr>
                <w:rFonts w:ascii="Arial" w:cs="Arial" w:eastAsia="Arial" w:hAnsi="Arial"/>
                <w:sz w:val="18"/>
                <w:szCs w:val="18"/>
                <w:b w:val="1"/>
                <w:bCs w:val="1"/>
                <w:color w:val="auto"/>
              </w:rPr>
              <w:t>United Kingdom</w:t>
            </w:r>
          </w:p>
        </w:tc>
        <w:tc>
          <w:tcPr>
            <w:tcW w:w="4800" w:type="dxa"/>
            <w:vAlign w:val="bottom"/>
          </w:tcPr>
          <w:p>
            <w:pPr>
              <w:spacing w:after="0"/>
              <w:rPr>
                <w:sz w:val="23"/>
                <w:szCs w:val="23"/>
                <w:color w:val="auto"/>
              </w:rPr>
            </w:pPr>
          </w:p>
        </w:tc>
        <w:tc>
          <w:tcPr>
            <w:tcW w:w="2520" w:type="dxa"/>
            <w:vAlign w:val="bottom"/>
          </w:tcPr>
          <w:p>
            <w:pPr>
              <w:jc w:val="center"/>
              <w:ind w:left="219"/>
              <w:spacing w:after="0"/>
              <w:rPr>
                <w:sz w:val="20"/>
                <w:szCs w:val="20"/>
                <w:color w:val="auto"/>
              </w:rPr>
            </w:pPr>
            <w:r>
              <w:rPr>
                <w:rFonts w:ascii="Arial" w:cs="Arial" w:eastAsia="Arial" w:hAnsi="Arial"/>
                <w:sz w:val="18"/>
                <w:szCs w:val="18"/>
                <w:b w:val="1"/>
                <w:bCs w:val="1"/>
                <w:color w:val="auto"/>
                <w:w w:val="99"/>
              </w:rPr>
              <w:t>EC4M 8AP</w:t>
            </w:r>
          </w:p>
        </w:tc>
      </w:tr>
      <w:tr>
        <w:trPr>
          <w:trHeight w:val="272"/>
        </w:trPr>
        <w:tc>
          <w:tcPr>
            <w:tcW w:w="2900" w:type="dxa"/>
            <w:vAlign w:val="bottom"/>
          </w:tcPr>
          <w:p>
            <w:pPr>
              <w:jc w:val="center"/>
              <w:ind w:right="116"/>
              <w:spacing w:after="0"/>
              <w:rPr>
                <w:sz w:val="20"/>
                <w:szCs w:val="20"/>
                <w:color w:val="auto"/>
              </w:rPr>
            </w:pPr>
            <w:r>
              <w:rPr>
                <w:rFonts w:ascii="Arial" w:cs="Arial" w:eastAsia="Arial" w:hAnsi="Arial"/>
                <w:sz w:val="14"/>
                <w:szCs w:val="14"/>
                <w:color w:val="auto"/>
              </w:rPr>
              <w:t>(Address of principal executive offices)</w:t>
            </w:r>
          </w:p>
        </w:tc>
        <w:tc>
          <w:tcPr>
            <w:tcW w:w="4800" w:type="dxa"/>
            <w:vAlign w:val="bottom"/>
          </w:tcPr>
          <w:p>
            <w:pPr>
              <w:spacing w:after="0"/>
              <w:rPr>
                <w:sz w:val="23"/>
                <w:szCs w:val="23"/>
                <w:color w:val="auto"/>
              </w:rPr>
            </w:pPr>
          </w:p>
        </w:tc>
        <w:tc>
          <w:tcPr>
            <w:tcW w:w="2520" w:type="dxa"/>
            <w:vAlign w:val="bottom"/>
          </w:tcPr>
          <w:p>
            <w:pPr>
              <w:jc w:val="center"/>
              <w:ind w:left="239"/>
              <w:spacing w:after="0"/>
              <w:rPr>
                <w:sz w:val="20"/>
                <w:szCs w:val="20"/>
                <w:color w:val="auto"/>
              </w:rPr>
            </w:pPr>
            <w:r>
              <w:rPr>
                <w:rFonts w:ascii="Arial" w:cs="Arial" w:eastAsia="Arial" w:hAnsi="Arial"/>
                <w:sz w:val="14"/>
                <w:szCs w:val="14"/>
                <w:color w:val="auto"/>
              </w:rPr>
              <w:t>(Zip Code)</w:t>
            </w:r>
          </w:p>
        </w:tc>
      </w:tr>
      <w:tr>
        <w:trPr>
          <w:trHeight w:val="350"/>
        </w:trPr>
        <w:tc>
          <w:tcPr>
            <w:tcW w:w="2900" w:type="dxa"/>
            <w:vAlign w:val="bottom"/>
          </w:tcPr>
          <w:p>
            <w:pPr>
              <w:spacing w:after="0"/>
              <w:rPr>
                <w:sz w:val="24"/>
                <w:szCs w:val="24"/>
                <w:color w:val="auto"/>
              </w:rPr>
            </w:pPr>
          </w:p>
        </w:tc>
        <w:tc>
          <w:tcPr>
            <w:tcW w:w="4800" w:type="dxa"/>
            <w:vAlign w:val="bottom"/>
          </w:tcPr>
          <w:p>
            <w:pPr>
              <w:jc w:val="right"/>
              <w:ind w:right="1640"/>
              <w:spacing w:after="0"/>
              <w:rPr>
                <w:sz w:val="20"/>
                <w:szCs w:val="20"/>
                <w:color w:val="auto"/>
              </w:rPr>
            </w:pPr>
            <w:r>
              <w:rPr>
                <w:rFonts w:ascii="Arial" w:cs="Arial" w:eastAsia="Arial" w:hAnsi="Arial"/>
                <w:sz w:val="18"/>
                <w:szCs w:val="18"/>
                <w:b w:val="1"/>
                <w:bCs w:val="1"/>
                <w:color w:val="auto"/>
              </w:rPr>
              <w:t>+44 203-429-3950</w:t>
            </w:r>
          </w:p>
        </w:tc>
        <w:tc>
          <w:tcPr>
            <w:tcW w:w="2520" w:type="dxa"/>
            <w:vAlign w:val="bottom"/>
          </w:tcPr>
          <w:p>
            <w:pPr>
              <w:spacing w:after="0"/>
              <w:rPr>
                <w:sz w:val="24"/>
                <w:szCs w:val="24"/>
                <w:color w:val="auto"/>
              </w:rPr>
            </w:pPr>
          </w:p>
        </w:tc>
      </w:tr>
      <w:tr>
        <w:trPr>
          <w:trHeight w:val="218"/>
        </w:trPr>
        <w:tc>
          <w:tcPr>
            <w:tcW w:w="2900" w:type="dxa"/>
            <w:vAlign w:val="bottom"/>
          </w:tcPr>
          <w:p>
            <w:pPr>
              <w:spacing w:after="0"/>
              <w:rPr>
                <w:sz w:val="18"/>
                <w:szCs w:val="18"/>
                <w:color w:val="auto"/>
              </w:rPr>
            </w:pPr>
          </w:p>
        </w:tc>
        <w:tc>
          <w:tcPr>
            <w:tcW w:w="4800" w:type="dxa"/>
            <w:vAlign w:val="bottom"/>
          </w:tcPr>
          <w:p>
            <w:pPr>
              <w:jc w:val="center"/>
              <w:ind w:right="60"/>
              <w:spacing w:after="0"/>
              <w:rPr>
                <w:sz w:val="20"/>
                <w:szCs w:val="20"/>
                <w:color w:val="auto"/>
              </w:rPr>
            </w:pPr>
            <w:r>
              <w:rPr>
                <w:rFonts w:ascii="Arial" w:cs="Arial" w:eastAsia="Arial" w:hAnsi="Arial"/>
                <w:sz w:val="14"/>
                <w:szCs w:val="14"/>
                <w:color w:val="auto"/>
              </w:rPr>
              <w:t>(Registrant's telephone number, including area code)</w:t>
            </w:r>
          </w:p>
        </w:tc>
        <w:tc>
          <w:tcPr>
            <w:tcW w:w="2520" w:type="dxa"/>
            <w:vAlign w:val="bottom"/>
          </w:tcPr>
          <w:p>
            <w:pPr>
              <w:spacing w:after="0"/>
              <w:rPr>
                <w:sz w:val="18"/>
                <w:szCs w:val="18"/>
                <w:color w:val="auto"/>
              </w:rPr>
            </w:pPr>
          </w:p>
        </w:tc>
      </w:tr>
      <w:tr>
        <w:trPr>
          <w:trHeight w:val="363"/>
        </w:trPr>
        <w:tc>
          <w:tcPr>
            <w:tcW w:w="2900" w:type="dxa"/>
            <w:vAlign w:val="bottom"/>
          </w:tcPr>
          <w:p>
            <w:pPr>
              <w:spacing w:after="0"/>
              <w:rPr>
                <w:sz w:val="24"/>
                <w:szCs w:val="24"/>
                <w:color w:val="auto"/>
              </w:rPr>
            </w:pPr>
          </w:p>
        </w:tc>
        <w:tc>
          <w:tcPr>
            <w:tcW w:w="4800" w:type="dxa"/>
            <w:vAlign w:val="bottom"/>
          </w:tcPr>
          <w:p>
            <w:pPr>
              <w:jc w:val="center"/>
              <w:ind w:right="60"/>
              <w:spacing w:after="0"/>
              <w:rPr>
                <w:sz w:val="20"/>
                <w:szCs w:val="20"/>
                <w:color w:val="auto"/>
              </w:rPr>
            </w:pPr>
            <w:r>
              <w:rPr>
                <w:rFonts w:ascii="Arial" w:cs="Arial" w:eastAsia="Arial" w:hAnsi="Arial"/>
                <w:sz w:val="18"/>
                <w:szCs w:val="18"/>
                <w:b w:val="1"/>
                <w:bCs w:val="1"/>
                <w:color w:val="auto"/>
                <w:w w:val="99"/>
              </w:rPr>
              <w:t>Not Applicable</w:t>
            </w:r>
          </w:p>
        </w:tc>
        <w:tc>
          <w:tcPr>
            <w:tcW w:w="2520" w:type="dxa"/>
            <w:vAlign w:val="bottom"/>
          </w:tcPr>
          <w:p>
            <w:pPr>
              <w:spacing w:after="0"/>
              <w:rPr>
                <w:sz w:val="24"/>
                <w:szCs w:val="24"/>
                <w:color w:val="auto"/>
              </w:rPr>
            </w:pPr>
          </w:p>
        </w:tc>
      </w:tr>
      <w:tr>
        <w:trPr>
          <w:trHeight w:val="153"/>
        </w:trPr>
        <w:tc>
          <w:tcPr>
            <w:tcW w:w="2900" w:type="dxa"/>
            <w:vAlign w:val="bottom"/>
          </w:tcPr>
          <w:p>
            <w:pPr>
              <w:spacing w:after="0"/>
              <w:rPr>
                <w:sz w:val="13"/>
                <w:szCs w:val="13"/>
                <w:color w:val="auto"/>
              </w:rPr>
            </w:pPr>
          </w:p>
        </w:tc>
        <w:tc>
          <w:tcPr>
            <w:tcW w:w="4800" w:type="dxa"/>
            <w:vAlign w:val="bottom"/>
          </w:tcPr>
          <w:p>
            <w:pPr>
              <w:jc w:val="center"/>
              <w:ind w:right="60"/>
              <w:spacing w:after="0" w:line="153" w:lineRule="exact"/>
              <w:rPr>
                <w:sz w:val="20"/>
                <w:szCs w:val="20"/>
                <w:color w:val="auto"/>
              </w:rPr>
            </w:pPr>
            <w:r>
              <w:rPr>
                <w:rFonts w:ascii="Arial" w:cs="Arial" w:eastAsia="Arial" w:hAnsi="Arial"/>
                <w:sz w:val="14"/>
                <w:szCs w:val="14"/>
                <w:color w:val="auto"/>
              </w:rPr>
              <w:t>(Former name or former address, if changed since last report)</w:t>
            </w:r>
          </w:p>
        </w:tc>
        <w:tc>
          <w:tcPr>
            <w:tcW w:w="2520" w:type="dxa"/>
            <w:vAlign w:val="bottom"/>
          </w:tcPr>
          <w:p>
            <w:pPr>
              <w:spacing w:after="0"/>
              <w:rPr>
                <w:sz w:val="13"/>
                <w:szCs w:val="13"/>
                <w:color w:val="auto"/>
              </w:rPr>
            </w:pPr>
          </w:p>
        </w:tc>
      </w:tr>
      <w:tr>
        <w:trPr>
          <w:trHeight w:val="172"/>
        </w:trPr>
        <w:tc>
          <w:tcPr>
            <w:tcW w:w="2900" w:type="dxa"/>
            <w:vAlign w:val="bottom"/>
          </w:tcPr>
          <w:p>
            <w:pPr>
              <w:spacing w:after="0"/>
              <w:rPr>
                <w:sz w:val="14"/>
                <w:szCs w:val="14"/>
                <w:color w:val="auto"/>
              </w:rPr>
            </w:pPr>
          </w:p>
        </w:tc>
        <w:tc>
          <w:tcPr>
            <w:tcW w:w="4800" w:type="dxa"/>
            <w:vAlign w:val="bottom"/>
          </w:tcPr>
          <w:p>
            <w:pPr>
              <w:jc w:val="right"/>
              <w:ind w:right="220"/>
              <w:spacing w:after="0"/>
              <w:rPr>
                <w:sz w:val="20"/>
                <w:szCs w:val="20"/>
                <w:color w:val="auto"/>
              </w:rPr>
            </w:pPr>
            <w:r>
              <w:rPr>
                <w:rFonts w:ascii="Arial" w:cs="Arial" w:eastAsia="Arial" w:hAnsi="Arial"/>
                <w:sz w:val="14"/>
                <w:szCs w:val="14"/>
                <w:color w:val="auto"/>
              </w:rPr>
              <w:t>______________________________________________________</w:t>
            </w:r>
          </w:p>
        </w:tc>
        <w:tc>
          <w:tcPr>
            <w:tcW w:w="2520" w:type="dxa"/>
            <w:vAlign w:val="bottom"/>
          </w:tcPr>
          <w:p>
            <w:pPr>
              <w:spacing w:after="0"/>
              <w:rPr>
                <w:sz w:val="14"/>
                <w:szCs w:val="14"/>
                <w:color w:val="auto"/>
              </w:rPr>
            </w:pPr>
          </w:p>
        </w:tc>
      </w:tr>
    </w:tbl>
    <w:p>
      <w:pPr>
        <w:spacing w:after="0" w:line="12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Securities registered pursuant to Section 12(b) of the Act:</w:t>
      </w:r>
    </w:p>
    <w:p>
      <w:pPr>
        <w:sectPr>
          <w:pgSz w:w="11900" w:h="16838" w:orient="portrait"/>
          <w:cols w:equalWidth="0" w:num="1">
            <w:col w:w="11420"/>
          </w:cols>
          <w:pgMar w:left="240" w:top="987" w:right="239" w:bottom="1440" w:gutter="0" w:footer="0" w:header="0"/>
        </w:sectPr>
      </w:pPr>
    </w:p>
    <w:p>
      <w:pPr>
        <w:spacing w:after="0" w:line="55" w:lineRule="exact"/>
        <w:rPr>
          <w:sz w:val="24"/>
          <w:szCs w:val="24"/>
          <w:color w:val="auto"/>
        </w:rPr>
      </w:pPr>
    </w:p>
    <w:p>
      <w:pPr>
        <w:ind w:left="1720"/>
        <w:spacing w:after="0"/>
        <w:rPr>
          <w:sz w:val="20"/>
          <w:szCs w:val="20"/>
          <w:color w:val="auto"/>
        </w:rPr>
      </w:pPr>
      <w:r>
        <w:rPr>
          <w:rFonts w:ascii="Arial" w:cs="Arial" w:eastAsia="Arial" w:hAnsi="Arial"/>
          <w:sz w:val="14"/>
          <w:szCs w:val="14"/>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35"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Trading Symbol</w:t>
      </w:r>
    </w:p>
    <w:p>
      <w:pPr>
        <w:spacing w:after="0" w:line="20" w:lineRule="exact"/>
        <w:rPr>
          <w:sz w:val="24"/>
          <w:szCs w:val="24"/>
          <w:color w:val="auto"/>
        </w:rPr>
      </w:pPr>
      <w:r>
        <w:rPr>
          <w:sz w:val="24"/>
          <w:szCs w:val="24"/>
          <w:color w:val="auto"/>
        </w:rPr>
        <w:br w:type="column"/>
      </w:r>
    </w:p>
    <w:p>
      <w:pPr>
        <w:spacing w:after="0" w:line="35"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Name of Each Exchange on Which Registered</w:t>
      </w:r>
    </w:p>
    <w:p>
      <w:pPr>
        <w:spacing w:after="0" w:line="73" w:lineRule="exact"/>
        <w:rPr>
          <w:sz w:val="24"/>
          <w:szCs w:val="24"/>
          <w:color w:val="auto"/>
        </w:rPr>
      </w:pPr>
    </w:p>
    <w:p>
      <w:pPr>
        <w:sectPr>
          <w:pgSz w:w="11900" w:h="16838" w:orient="portrait"/>
          <w:cols w:equalWidth="0" w:num="3">
            <w:col w:w="4520" w:space="720"/>
            <w:col w:w="1600" w:space="720"/>
            <w:col w:w="3860"/>
          </w:cols>
          <w:pgMar w:left="240" w:top="987" w:right="239" w:bottom="1440" w:gutter="0" w:footer="0" w:header="0"/>
          <w:type w:val="continuous"/>
        </w:sectPr>
      </w:pPr>
    </w:p>
    <w:p>
      <w:pPr>
        <w:ind w:left="980"/>
        <w:spacing w:after="0"/>
        <w:rPr>
          <w:sz w:val="20"/>
          <w:szCs w:val="20"/>
          <w:color w:val="auto"/>
        </w:rPr>
      </w:pPr>
      <w:r>
        <w:rPr>
          <w:rFonts w:ascii="Arial" w:cs="Arial" w:eastAsia="Arial" w:hAnsi="Arial"/>
          <w:sz w:val="14"/>
          <w:szCs w:val="14"/>
          <w:color w:val="auto"/>
        </w:rPr>
        <w:t>Ordinary shares, $1.00 par value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FTI</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New York Stock Exchange</w:t>
      </w:r>
    </w:p>
    <w:p>
      <w:pPr>
        <w:spacing w:after="0" w:line="37" w:lineRule="exact"/>
        <w:rPr>
          <w:sz w:val="24"/>
          <w:szCs w:val="24"/>
          <w:color w:val="auto"/>
        </w:rPr>
      </w:pPr>
    </w:p>
    <w:p>
      <w:pPr>
        <w:sectPr>
          <w:pgSz w:w="11900" w:h="16838" w:orient="portrait"/>
          <w:cols w:equalWidth="0" w:num="3">
            <w:col w:w="4940" w:space="720"/>
            <w:col w:w="1920" w:space="720"/>
            <w:col w:w="3120"/>
          </w:cols>
          <w:pgMar w:left="240" w:top="987" w:right="239" w:bottom="1440" w:gutter="0" w:footer="0" w:header="0"/>
          <w:type w:val="continuous"/>
        </w:sectPr>
      </w:pPr>
    </w:p>
    <w:p>
      <w:pPr>
        <w:jc w:val="center"/>
        <w:ind w:right="-19"/>
        <w:spacing w:after="0"/>
        <w:rPr>
          <w:sz w:val="20"/>
          <w:szCs w:val="20"/>
          <w:color w:val="auto"/>
        </w:rPr>
      </w:pPr>
      <w:r>
        <w:rPr>
          <w:rFonts w:ascii="Arial" w:cs="Arial" w:eastAsia="Arial" w:hAnsi="Arial"/>
          <w:sz w:val="14"/>
          <w:szCs w:val="14"/>
          <w:b w:val="1"/>
          <w:bCs w:val="1"/>
          <w:color w:val="auto"/>
        </w:rPr>
        <w:t xml:space="preserve">Securities registered pursuant to Section 12(g) of the Act: </w:t>
      </w:r>
      <w:r>
        <w:rPr>
          <w:rFonts w:ascii="Arial" w:cs="Arial" w:eastAsia="Arial" w:hAnsi="Arial"/>
          <w:sz w:val="14"/>
          <w:szCs w:val="14"/>
          <w:color w:val="auto"/>
        </w:rPr>
        <w:t>None.</w:t>
      </w:r>
    </w:p>
    <w:p>
      <w:pPr>
        <w:spacing w:after="0" w:line="259" w:lineRule="exact"/>
        <w:rPr>
          <w:sz w:val="24"/>
          <w:szCs w:val="24"/>
          <w:color w:val="auto"/>
        </w:rPr>
      </w:pPr>
    </w:p>
    <w:p>
      <w:pPr>
        <w:ind w:right="460"/>
        <w:spacing w:after="0" w:line="260"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w:t>
      </w:r>
    </w:p>
    <w:p>
      <w:pPr>
        <w:spacing w:after="0" w:line="113" w:lineRule="exact"/>
        <w:rPr>
          <w:sz w:val="24"/>
          <w:szCs w:val="24"/>
          <w:color w:val="auto"/>
        </w:rPr>
      </w:pPr>
    </w:p>
    <w:p>
      <w:pPr>
        <w:ind w:left="98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Written communications pursuant to Rule 425 under the Securities Act (17 CFR 230.425)</w:t>
      </w:r>
    </w:p>
    <w:p>
      <w:pPr>
        <w:spacing w:after="0" w:line="167" w:lineRule="exact"/>
        <w:rPr>
          <w:sz w:val="24"/>
          <w:szCs w:val="24"/>
          <w:color w:val="auto"/>
        </w:rPr>
      </w:pPr>
    </w:p>
    <w:p>
      <w:pPr>
        <w:ind w:left="98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Soliciting material pursuant to Rule 14a-12 under the Exchange Act (17 CFR 240.14a-12)</w:t>
      </w:r>
    </w:p>
    <w:p>
      <w:pPr>
        <w:spacing w:after="0" w:line="181" w:lineRule="exact"/>
        <w:rPr>
          <w:sz w:val="24"/>
          <w:szCs w:val="24"/>
          <w:color w:val="auto"/>
        </w:rPr>
      </w:pPr>
    </w:p>
    <w:p>
      <w:pPr>
        <w:ind w:left="98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Pre-commencement communications pursuant to Rule 14d-2(b) under the Exchange Act (17 CFR 240.14d-2(b))</w:t>
      </w:r>
    </w:p>
    <w:p>
      <w:pPr>
        <w:spacing w:after="0" w:line="167" w:lineRule="exact"/>
        <w:rPr>
          <w:sz w:val="24"/>
          <w:szCs w:val="24"/>
          <w:color w:val="auto"/>
        </w:rPr>
      </w:pPr>
    </w:p>
    <w:p>
      <w:pPr>
        <w:ind w:left="98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Pre-commencement communications pursuant to Rule 13e-4(c) under the Exchange Act (17 CFR 240.13e-4(c))</w:t>
      </w:r>
    </w:p>
    <w:p>
      <w:pPr>
        <w:spacing w:after="0" w:line="303" w:lineRule="exact"/>
        <w:rPr>
          <w:sz w:val="24"/>
          <w:szCs w:val="24"/>
          <w:color w:val="auto"/>
        </w:rPr>
      </w:pPr>
    </w:p>
    <w:p>
      <w:pPr>
        <w:spacing w:after="0" w:line="260"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00"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9" w:lineRule="exact"/>
        <w:rPr>
          <w:sz w:val="24"/>
          <w:szCs w:val="24"/>
          <w:color w:val="auto"/>
        </w:rPr>
      </w:pPr>
    </w:p>
    <w:p>
      <w:pPr>
        <w:ind w:right="20"/>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207010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121285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87" w:right="239" w:bottom="1440" w:gutter="0" w:footer="0" w:header="0"/>
          <w:type w:val="continuous"/>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7"/>
          <w:szCs w:val="17"/>
          <w:b w:val="1"/>
          <w:bCs w:val="1"/>
          <w:color w:val="auto"/>
        </w:rPr>
        <w:t>Results of Operations and Financial Condition</w:t>
      </w:r>
    </w:p>
    <w:p>
      <w:pPr>
        <w:spacing w:after="0" w:line="24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On October 23, 2019, TechnipFMC plc ("TechnipFMC") issued a news release announcing its financial results for the fiscal quarter ended September 30, 2019. A copy of the news release is furnished as Exhibit 99.1 to this report and is incorporated herein by reference.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30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5280" w:type="dxa"/>
            <w:vAlign w:val="bottom"/>
            <w:gridSpan w:val="2"/>
          </w:tcPr>
          <w:p>
            <w:pPr>
              <w:spacing w:after="0"/>
              <w:rPr>
                <w:sz w:val="20"/>
                <w:szCs w:val="20"/>
                <w:color w:val="auto"/>
              </w:rPr>
            </w:pPr>
            <w:r>
              <w:rPr>
                <w:rFonts w:ascii="Arial" w:cs="Arial" w:eastAsia="Arial" w:hAnsi="Arial"/>
                <w:sz w:val="18"/>
                <w:szCs w:val="18"/>
                <w:b w:val="1"/>
                <w:bCs w:val="1"/>
                <w:color w:val="auto"/>
              </w:rPr>
              <w:t>Financial Statements and Exhibits</w:t>
            </w:r>
          </w:p>
        </w:tc>
      </w:tr>
      <w:tr>
        <w:trPr>
          <w:trHeight w:val="432"/>
        </w:trPr>
        <w:tc>
          <w:tcPr>
            <w:tcW w:w="1300" w:type="dxa"/>
            <w:vAlign w:val="bottom"/>
            <w:gridSpan w:val="2"/>
          </w:tcPr>
          <w:p>
            <w:pPr>
              <w:spacing w:after="0"/>
              <w:rPr>
                <w:sz w:val="20"/>
                <w:szCs w:val="20"/>
                <w:color w:val="auto"/>
              </w:rPr>
            </w:pPr>
            <w:r>
              <w:rPr>
                <w:rFonts w:ascii="Arial" w:cs="Arial" w:eastAsia="Arial" w:hAnsi="Arial"/>
                <w:sz w:val="18"/>
                <w:szCs w:val="18"/>
                <w:color w:val="auto"/>
              </w:rPr>
              <w:t>(d) Exhibits</w:t>
            </w:r>
          </w:p>
        </w:tc>
        <w:tc>
          <w:tcPr>
            <w:tcW w:w="900" w:type="dxa"/>
            <w:vAlign w:val="bottom"/>
          </w:tcPr>
          <w:p>
            <w:pPr>
              <w:spacing w:after="0"/>
              <w:rPr>
                <w:sz w:val="24"/>
                <w:szCs w:val="24"/>
                <w:color w:val="auto"/>
              </w:rPr>
            </w:pPr>
          </w:p>
        </w:tc>
        <w:tc>
          <w:tcPr>
            <w:tcW w:w="4380" w:type="dxa"/>
            <w:vAlign w:val="bottom"/>
          </w:tcPr>
          <w:p>
            <w:pPr>
              <w:spacing w:after="0"/>
              <w:rPr>
                <w:sz w:val="24"/>
                <w:szCs w:val="24"/>
                <w:color w:val="auto"/>
              </w:rPr>
            </w:pPr>
          </w:p>
        </w:tc>
      </w:tr>
      <w:tr>
        <w:trPr>
          <w:trHeight w:val="392"/>
        </w:trPr>
        <w:tc>
          <w:tcPr>
            <w:tcW w:w="880" w:type="dxa"/>
            <w:vAlign w:val="bottom"/>
          </w:tcPr>
          <w:p>
            <w:pPr>
              <w:spacing w:after="0"/>
              <w:rPr>
                <w:sz w:val="20"/>
                <w:szCs w:val="20"/>
                <w:color w:val="auto"/>
              </w:rPr>
            </w:pPr>
            <w:r>
              <w:rPr>
                <w:rFonts w:ascii="Arial" w:cs="Arial" w:eastAsia="Arial" w:hAnsi="Arial"/>
                <w:sz w:val="18"/>
                <w:szCs w:val="18"/>
                <w:color w:val="auto"/>
                <w:w w:val="98"/>
              </w:rPr>
              <w:t>Exhibit No.</w:t>
            </w:r>
          </w:p>
        </w:tc>
        <w:tc>
          <w:tcPr>
            <w:tcW w:w="420" w:type="dxa"/>
            <w:vAlign w:val="bottom"/>
          </w:tcPr>
          <w:p>
            <w:pPr>
              <w:spacing w:after="0"/>
              <w:rPr>
                <w:sz w:val="24"/>
                <w:szCs w:val="24"/>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Description</w:t>
            </w:r>
          </w:p>
        </w:tc>
      </w:tr>
      <w:tr>
        <w:trPr>
          <w:trHeight w:val="20"/>
        </w:trPr>
        <w:tc>
          <w:tcPr>
            <w:tcW w:w="8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r>
      <w:tr>
        <w:trPr>
          <w:trHeight w:val="453"/>
        </w:trPr>
        <w:tc>
          <w:tcPr>
            <w:tcW w:w="880" w:type="dxa"/>
            <w:vAlign w:val="bottom"/>
          </w:tcPr>
          <w:p>
            <w:pPr>
              <w:spacing w:after="0"/>
              <w:rPr>
                <w:sz w:val="20"/>
                <w:szCs w:val="20"/>
                <w:color w:val="auto"/>
              </w:rPr>
            </w:pPr>
            <w:r>
              <w:rPr>
                <w:rFonts w:ascii="Arial" w:cs="Arial" w:eastAsia="Arial" w:hAnsi="Arial"/>
                <w:sz w:val="18"/>
                <w:szCs w:val="18"/>
                <w:color w:val="auto"/>
              </w:rPr>
              <w:t>99.1</w:t>
            </w:r>
          </w:p>
        </w:tc>
        <w:tc>
          <w:tcPr>
            <w:tcW w:w="420" w:type="dxa"/>
            <w:vAlign w:val="bottom"/>
          </w:tcPr>
          <w:p>
            <w:pPr>
              <w:spacing w:after="0"/>
              <w:rPr>
                <w:sz w:val="24"/>
                <w:szCs w:val="24"/>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News Release issued by TechnipFMC dated October 23, 2019</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104</w:t>
            </w:r>
          </w:p>
        </w:tc>
        <w:tc>
          <w:tcPr>
            <w:tcW w:w="420" w:type="dxa"/>
            <w:vAlign w:val="bottom"/>
          </w:tcPr>
          <w:p>
            <w:pPr>
              <w:spacing w:after="0"/>
              <w:rPr>
                <w:sz w:val="24"/>
                <w:szCs w:val="24"/>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w w:val="99"/>
              </w:rPr>
              <w:t>Inline XBRL for the cover page of this Current Report on Form 8-K</w:t>
            </w:r>
          </w:p>
        </w:tc>
      </w:tr>
    </w:tbl>
    <w:p>
      <w:pPr>
        <w:sectPr>
          <w:pgSz w:w="11900" w:h="16838" w:orient="portrait"/>
          <w:cols w:equalWidth="0" w:num="1">
            <w:col w:w="11420"/>
          </w:cols>
          <w:pgMar w:left="240" w:top="576"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540" w:type="dxa"/>
            <w:vAlign w:val="bottom"/>
            <w:gridSpan w:val="2"/>
          </w:tcPr>
          <w:p>
            <w:pPr>
              <w:ind w:left="3180"/>
              <w:spacing w:after="0"/>
              <w:rPr>
                <w:sz w:val="20"/>
                <w:szCs w:val="20"/>
                <w:color w:val="auto"/>
              </w:rPr>
            </w:pPr>
            <w:r>
              <w:rPr>
                <w:rFonts w:ascii="Arial" w:cs="Arial" w:eastAsia="Arial" w:hAnsi="Arial"/>
                <w:sz w:val="18"/>
                <w:szCs w:val="18"/>
                <w:b w:val="1"/>
                <w:bCs w:val="1"/>
                <w:color w:val="auto"/>
              </w:rPr>
              <w:t>EXHIBIT INDEX</w:t>
            </w:r>
          </w:p>
        </w:tc>
      </w:tr>
      <w:tr>
        <w:trPr>
          <w:trHeight w:val="615"/>
        </w:trPr>
        <w:tc>
          <w:tcPr>
            <w:tcW w:w="1840" w:type="dxa"/>
            <w:vAlign w:val="bottom"/>
            <w:gridSpan w:val="2"/>
          </w:tcPr>
          <w:p>
            <w:pPr>
              <w:ind w:left="40"/>
              <w:spacing w:after="0"/>
              <w:rPr>
                <w:sz w:val="20"/>
                <w:szCs w:val="20"/>
                <w:color w:val="auto"/>
              </w:rPr>
            </w:pPr>
            <w:r>
              <w:rPr>
                <w:rFonts w:ascii="Arial" w:cs="Arial" w:eastAsia="Arial" w:hAnsi="Arial"/>
                <w:sz w:val="18"/>
                <w:szCs w:val="18"/>
                <w:b w:val="1"/>
                <w:bCs w:val="1"/>
                <w:color w:val="auto"/>
              </w:rPr>
              <w:t>Exhibit Number</w:t>
            </w:r>
          </w:p>
        </w:tc>
        <w:tc>
          <w:tcPr>
            <w:tcW w:w="40" w:type="dxa"/>
            <w:vAlign w:val="bottom"/>
          </w:tcPr>
          <w:p>
            <w:pPr>
              <w:spacing w:after="0"/>
              <w:rPr>
                <w:sz w:val="24"/>
                <w:szCs w:val="24"/>
                <w:color w:val="auto"/>
              </w:rPr>
            </w:pPr>
          </w:p>
        </w:tc>
        <w:tc>
          <w:tcPr>
            <w:tcW w:w="9540" w:type="dxa"/>
            <w:vAlign w:val="bottom"/>
            <w:gridSpan w:val="2"/>
          </w:tcPr>
          <w:p>
            <w:pPr>
              <w:spacing w:after="0"/>
              <w:rPr>
                <w:sz w:val="20"/>
                <w:szCs w:val="20"/>
                <w:color w:val="auto"/>
              </w:rPr>
            </w:pPr>
            <w:r>
              <w:rPr>
                <w:rFonts w:ascii="Arial" w:cs="Arial" w:eastAsia="Arial" w:hAnsi="Arial"/>
                <w:sz w:val="18"/>
                <w:szCs w:val="18"/>
                <w:b w:val="1"/>
                <w:bCs w:val="1"/>
                <w:color w:val="auto"/>
              </w:rPr>
              <w:t>Exhibit Description</w:t>
            </w:r>
          </w:p>
        </w:tc>
      </w:tr>
      <w:tr>
        <w:trPr>
          <w:trHeight w:val="203"/>
        </w:trPr>
        <w:tc>
          <w:tcPr>
            <w:tcW w:w="1720" w:type="dxa"/>
            <w:vAlign w:val="bottom"/>
            <w:tcBorders>
              <w:top w:val="single" w:sz="8" w:color="auto"/>
            </w:tcBorders>
          </w:tcPr>
          <w:p>
            <w:pPr>
              <w:ind w:left="40"/>
              <w:spacing w:after="0" w:line="202" w:lineRule="exact"/>
              <w:rPr>
                <w:sz w:val="20"/>
                <w:szCs w:val="20"/>
                <w:color w:val="auto"/>
              </w:rPr>
            </w:pPr>
            <w:r>
              <w:rPr>
                <w:rFonts w:ascii="Arial" w:cs="Arial" w:eastAsia="Arial" w:hAnsi="Arial"/>
                <w:sz w:val="18"/>
                <w:szCs w:val="18"/>
                <w:color w:val="auto"/>
              </w:rPr>
              <w:t>99.1</w:t>
            </w:r>
          </w:p>
        </w:tc>
        <w:tc>
          <w:tcPr>
            <w:tcW w:w="12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9540" w:type="dxa"/>
            <w:vAlign w:val="bottom"/>
            <w:tcBorders>
              <w:top w:val="single" w:sz="8" w:color="auto"/>
            </w:tcBorders>
            <w:gridSpan w:val="2"/>
          </w:tcPr>
          <w:p>
            <w:pPr>
              <w:spacing w:after="0" w:line="202" w:lineRule="exact"/>
              <w:rPr>
                <w:rFonts w:ascii="Arial" w:cs="Arial" w:eastAsia="Arial" w:hAnsi="Arial"/>
                <w:sz w:val="18"/>
                <w:szCs w:val="18"/>
                <w:color w:val="0000FF"/>
              </w:rPr>
            </w:pPr>
            <w:hyperlink w:anchor="page5">
              <w:r>
                <w:rPr>
                  <w:rFonts w:ascii="Arial" w:cs="Arial" w:eastAsia="Arial" w:hAnsi="Arial"/>
                  <w:sz w:val="18"/>
                  <w:szCs w:val="18"/>
                  <w:color w:val="0000FF"/>
                </w:rPr>
                <w:t>News Release issued by TechnipFMC plc dated October 23, 2019</w:t>
              </w:r>
            </w:hyperlink>
          </w:p>
        </w:tc>
      </w:tr>
      <w:tr>
        <w:trPr>
          <w:trHeight w:val="20"/>
        </w:trPr>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40" w:type="dxa"/>
            <w:vAlign w:val="bottom"/>
            <w:shd w:val="clear" w:color="auto" w:fill="0000FF"/>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r>
      <w:tr>
        <w:trPr>
          <w:trHeight w:val="277"/>
        </w:trPr>
        <w:tc>
          <w:tcPr>
            <w:tcW w:w="1720" w:type="dxa"/>
            <w:vAlign w:val="bottom"/>
          </w:tcPr>
          <w:p>
            <w:pPr>
              <w:ind w:left="4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540" w:type="dxa"/>
            <w:vAlign w:val="bottom"/>
            <w:gridSpan w:val="2"/>
          </w:tcPr>
          <w:p>
            <w:pPr>
              <w:spacing w:after="0"/>
              <w:rPr>
                <w:sz w:val="20"/>
                <w:szCs w:val="20"/>
                <w:color w:val="auto"/>
              </w:rPr>
            </w:pPr>
            <w:r>
              <w:rPr>
                <w:rFonts w:ascii="Arial" w:cs="Arial" w:eastAsia="Arial" w:hAnsi="Arial"/>
                <w:sz w:val="18"/>
                <w:szCs w:val="18"/>
                <w:color w:val="auto"/>
              </w:rPr>
              <w:t>Inline XBRL for the cover page of this Current Report on Form 8-K</w:t>
            </w:r>
          </w:p>
        </w:tc>
      </w:tr>
    </w:tbl>
    <w:p>
      <w:pPr>
        <w:sectPr>
          <w:pgSz w:w="11900" w:h="16838" w:orient="portrait"/>
          <w:cols w:equalWidth="0" w:num="1">
            <w:col w:w="11420"/>
          </w:cols>
          <w:pgMar w:left="240" w:top="576" w:right="2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4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66"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TechnipFMC plc</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3300"/>
        <w:spacing w:after="0"/>
        <w:rPr>
          <w:sz w:val="20"/>
          <w:szCs w:val="20"/>
          <w:color w:val="auto"/>
        </w:rPr>
      </w:pPr>
      <w:r>
        <w:rPr>
          <w:rFonts w:ascii="Arial" w:cs="Arial" w:eastAsia="Arial" w:hAnsi="Arial"/>
          <w:sz w:val="18"/>
          <w:szCs w:val="18"/>
          <w:color w:val="auto"/>
        </w:rPr>
        <w:t>By: /s/ Maryann T. Mannen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2080260</wp:posOffset>
            </wp:positionH>
            <wp:positionV relativeFrom="paragraph">
              <wp:posOffset>14605</wp:posOffset>
            </wp:positionV>
            <wp:extent cx="33534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53435" cy="8890"/>
                    </a:xfrm>
                    <a:prstGeom prst="rect">
                      <a:avLst/>
                    </a:prstGeom>
                    <a:noFill/>
                  </pic:spPr>
                </pic:pic>
              </a:graphicData>
            </a:graphic>
          </wp:anchor>
        </w:drawing>
      </w:r>
    </w:p>
    <w:p>
      <w:pPr>
        <w:spacing w:after="0" w:line="43" w:lineRule="exact"/>
        <w:rPr>
          <w:sz w:val="20"/>
          <w:szCs w:val="20"/>
          <w:color w:val="auto"/>
        </w:rPr>
      </w:pPr>
    </w:p>
    <w:p>
      <w:pPr>
        <w:ind w:left="40"/>
        <w:spacing w:after="0"/>
        <w:tabs>
          <w:tab w:leader="none" w:pos="184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October 23, 2019 Name: Maryann T. Mannen</w:t>
      </w:r>
    </w:p>
    <w:p>
      <w:pPr>
        <w:spacing w:after="0" w:line="63"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Title: Executive Vice President and Chief Financial Officer</w:t>
      </w:r>
    </w:p>
    <w:p>
      <w:pPr>
        <w:sectPr>
          <w:pgSz w:w="11900" w:h="16838" w:orient="portrait"/>
          <w:cols w:equalWidth="0" w:num="1">
            <w:col w:w="11400"/>
          </w:cols>
          <w:pgMar w:left="240" w:top="576" w:right="259" w:bottom="1440" w:gutter="0" w:footer="0" w:header="0"/>
        </w:sectPr>
      </w:pPr>
    </w:p>
    <w:bookmarkStart w:id="4" w:name="page5"/>
    <w:bookmarkEnd w:id="4"/>
    <w:p>
      <w:pPr>
        <w:spacing w:after="0"/>
        <w:rPr>
          <w:sz w:val="20"/>
          <w:szCs w:val="20"/>
          <w:color w:val="auto"/>
        </w:rPr>
      </w:pPr>
      <w:r>
        <w:rPr>
          <w:rFonts w:ascii="Arial" w:cs="Arial" w:eastAsia="Arial" w:hAnsi="Arial"/>
          <w:sz w:val="29"/>
          <w:szCs w:val="29"/>
          <w:color w:val="A6A6A6"/>
        </w:rPr>
        <w:drawing>
          <wp:anchor simplePos="0" relativeHeight="251657728" behindDoc="1" locked="0" layoutInCell="0" allowOverlap="1">
            <wp:simplePos x="0" y="0"/>
            <wp:positionH relativeFrom="page">
              <wp:posOffset>157480</wp:posOffset>
            </wp:positionH>
            <wp:positionV relativeFrom="page">
              <wp:posOffset>88900</wp:posOffset>
            </wp:positionV>
            <wp:extent cx="2778760" cy="5314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778760" cy="531495"/>
                    </a:xfrm>
                    <a:prstGeom prst="rect">
                      <a:avLst/>
                    </a:prstGeom>
                    <a:noFill/>
                  </pic:spPr>
                </pic:pic>
              </a:graphicData>
            </a:graphic>
          </wp:anchor>
        </w:drawing>
        <w:t>Press Release</w:t>
      </w:r>
    </w:p>
    <w:p>
      <w:pPr>
        <w:spacing w:after="0" w:line="328" w:lineRule="exact"/>
        <w:rPr>
          <w:sz w:val="20"/>
          <w:szCs w:val="20"/>
          <w:color w:val="auto"/>
        </w:rPr>
      </w:pPr>
    </w:p>
    <w:p>
      <w:pPr>
        <w:spacing w:after="0"/>
        <w:rPr>
          <w:sz w:val="20"/>
          <w:szCs w:val="20"/>
          <w:color w:val="auto"/>
        </w:rPr>
      </w:pPr>
      <w:r>
        <w:rPr>
          <w:rFonts w:ascii="Arial" w:cs="Arial" w:eastAsia="Arial" w:hAnsi="Arial"/>
          <w:sz w:val="29"/>
          <w:szCs w:val="29"/>
          <w:color w:val="auto"/>
        </w:rPr>
        <w:t>TechnipFMC Announces Third Quarter 2019 Results</w:t>
      </w:r>
    </w:p>
    <w:p>
      <w:pPr>
        <w:spacing w:after="0" w:line="386" w:lineRule="exact"/>
        <w:rPr>
          <w:sz w:val="20"/>
          <w:szCs w:val="20"/>
          <w:color w:val="auto"/>
        </w:rPr>
      </w:pPr>
    </w:p>
    <w:p>
      <w:pPr>
        <w:ind w:left="400" w:hanging="257"/>
        <w:spacing w:after="0"/>
        <w:tabs>
          <w:tab w:leader="none" w:pos="400" w:val="left"/>
        </w:tabs>
        <w:numPr>
          <w:ilvl w:val="0"/>
          <w:numId w:val="1"/>
        </w:numPr>
        <w:rPr>
          <w:rFonts w:ascii="Arial" w:cs="Arial" w:eastAsia="Arial" w:hAnsi="Arial"/>
          <w:sz w:val="20"/>
          <w:szCs w:val="20"/>
          <w:b w:val="1"/>
          <w:bCs w:val="1"/>
          <w:color w:val="auto"/>
        </w:rPr>
      </w:pPr>
      <w:r>
        <w:rPr>
          <w:rFonts w:ascii="Arial" w:cs="Arial" w:eastAsia="Arial" w:hAnsi="Arial"/>
          <w:sz w:val="20"/>
          <w:szCs w:val="20"/>
          <w:b w:val="1"/>
          <w:bCs w:val="1"/>
          <w:color w:val="auto"/>
        </w:rPr>
        <w:t>Separation into two pure-play market leaders on track for first half 2020</w:t>
      </w:r>
    </w:p>
    <w:p>
      <w:pPr>
        <w:spacing w:after="0" w:line="23" w:lineRule="exact"/>
        <w:rPr>
          <w:rFonts w:ascii="Arial" w:cs="Arial" w:eastAsia="Arial" w:hAnsi="Arial"/>
          <w:sz w:val="20"/>
          <w:szCs w:val="20"/>
          <w:b w:val="1"/>
          <w:bCs w:val="1"/>
          <w:color w:val="auto"/>
        </w:rPr>
      </w:pPr>
    </w:p>
    <w:p>
      <w:pPr>
        <w:ind w:left="400" w:hanging="257"/>
        <w:spacing w:after="0" w:line="191" w:lineRule="auto"/>
        <w:tabs>
          <w:tab w:leader="none" w:pos="400" w:val="left"/>
        </w:tabs>
        <w:numPr>
          <w:ilvl w:val="0"/>
          <w:numId w:val="1"/>
        </w:numPr>
        <w:rPr>
          <w:rFonts w:ascii="Arial" w:cs="Arial" w:eastAsia="Arial" w:hAnsi="Arial"/>
          <w:sz w:val="20"/>
          <w:szCs w:val="20"/>
          <w:b w:val="1"/>
          <w:bCs w:val="1"/>
          <w:color w:val="auto"/>
        </w:rPr>
      </w:pPr>
      <w:r>
        <w:rPr>
          <w:rFonts w:ascii="Arial" w:cs="Arial" w:eastAsia="Arial" w:hAnsi="Arial"/>
          <w:sz w:val="20"/>
          <w:szCs w:val="20"/>
          <w:b w:val="1"/>
          <w:bCs w:val="1"/>
          <w:color w:val="auto"/>
        </w:rPr>
        <w:t>Subsea order momentum continues, four iEPCI™</w:t>
      </w:r>
      <w:r>
        <w:rPr>
          <w:rFonts w:ascii="Arial" w:cs="Arial" w:eastAsia="Arial" w:hAnsi="Arial"/>
          <w:sz w:val="25"/>
          <w:szCs w:val="25"/>
          <w:b w:val="1"/>
          <w:bCs w:val="1"/>
          <w:color w:val="auto"/>
          <w:vertAlign w:val="superscript"/>
        </w:rPr>
        <w:t>1</w:t>
      </w:r>
      <w:r>
        <w:rPr>
          <w:rFonts w:ascii="Arial" w:cs="Arial" w:eastAsia="Arial" w:hAnsi="Arial"/>
          <w:sz w:val="20"/>
          <w:szCs w:val="20"/>
          <w:b w:val="1"/>
          <w:bCs w:val="1"/>
          <w:color w:val="auto"/>
        </w:rPr>
        <w:t xml:space="preserve"> project awards since July</w:t>
      </w:r>
    </w:p>
    <w:p>
      <w:pPr>
        <w:ind w:left="400" w:hanging="257"/>
        <w:spacing w:after="0"/>
        <w:tabs>
          <w:tab w:leader="none" w:pos="400" w:val="left"/>
        </w:tabs>
        <w:numPr>
          <w:ilvl w:val="0"/>
          <w:numId w:val="1"/>
        </w:numPr>
        <w:rPr>
          <w:rFonts w:ascii="Arial" w:cs="Arial" w:eastAsia="Arial" w:hAnsi="Arial"/>
          <w:sz w:val="20"/>
          <w:szCs w:val="20"/>
          <w:b w:val="1"/>
          <w:bCs w:val="1"/>
          <w:color w:val="auto"/>
        </w:rPr>
      </w:pPr>
      <w:r>
        <w:rPr>
          <w:rFonts w:ascii="Arial" w:cs="Arial" w:eastAsia="Arial" w:hAnsi="Arial"/>
          <w:sz w:val="20"/>
          <w:szCs w:val="20"/>
          <w:b w:val="1"/>
          <w:bCs w:val="1"/>
          <w:color w:val="auto"/>
        </w:rPr>
        <w:t>Updated 2019 financial guidance reflects weaker North American outlook in Surface Technologies</w:t>
      </w:r>
    </w:p>
    <w:p>
      <w:pPr>
        <w:spacing w:after="0" w:line="200" w:lineRule="exact"/>
        <w:rPr>
          <w:sz w:val="20"/>
          <w:szCs w:val="20"/>
          <w:color w:val="auto"/>
        </w:rPr>
      </w:pPr>
    </w:p>
    <w:p>
      <w:pPr>
        <w:spacing w:after="0" w:line="329" w:lineRule="exact"/>
        <w:rPr>
          <w:sz w:val="20"/>
          <w:szCs w:val="20"/>
          <w:color w:val="auto"/>
        </w:rPr>
      </w:pPr>
    </w:p>
    <w:p>
      <w:pPr>
        <w:jc w:val="both"/>
        <w:spacing w:after="0" w:line="272" w:lineRule="auto"/>
        <w:rPr>
          <w:sz w:val="20"/>
          <w:szCs w:val="20"/>
          <w:color w:val="auto"/>
        </w:rPr>
      </w:pPr>
      <w:r>
        <w:rPr>
          <w:rFonts w:ascii="Arial" w:cs="Arial" w:eastAsia="Arial" w:hAnsi="Arial"/>
          <w:sz w:val="20"/>
          <w:szCs w:val="20"/>
          <w:b w:val="1"/>
          <w:bCs w:val="1"/>
          <w:color w:val="auto"/>
        </w:rPr>
        <w:t xml:space="preserve">LONDON, PARIS, HOUSTON, October 23, 2019 - </w:t>
      </w:r>
      <w:r>
        <w:rPr>
          <w:rFonts w:ascii="Arial" w:cs="Arial" w:eastAsia="Arial" w:hAnsi="Arial"/>
          <w:sz w:val="20"/>
          <w:szCs w:val="20"/>
          <w:color w:val="auto"/>
        </w:rPr>
        <w:t>TechnipFMC plc (NYSE: FTI) (Paris: FTI) today reported third quarter 2019</w:t>
      </w:r>
      <w:r>
        <w:rPr>
          <w:rFonts w:ascii="Arial" w:cs="Arial" w:eastAsia="Arial" w:hAnsi="Arial"/>
          <w:sz w:val="20"/>
          <w:szCs w:val="20"/>
          <w:b w:val="1"/>
          <w:bCs w:val="1"/>
          <w:color w:val="auto"/>
        </w:rPr>
        <w:t xml:space="preserve"> </w:t>
      </w:r>
      <w:r>
        <w:rPr>
          <w:rFonts w:ascii="Arial" w:cs="Arial" w:eastAsia="Arial" w:hAnsi="Arial"/>
          <w:sz w:val="20"/>
          <w:szCs w:val="20"/>
          <w:color w:val="auto"/>
        </w:rPr>
        <w:t>results.</w:t>
      </w:r>
    </w:p>
    <w:p>
      <w:pPr>
        <w:spacing w:after="0" w:line="137"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Total Company revenue was $3,335.1 million. Net income was $ 21.8 million, or $ 0.05 per diluted share. These results included after-tax charges and credits totaling $32.6 million of expense, or $0.07 per diluted share. Adjusted net income was $54.4 million, or $0.12 per diluted share.</w:t>
      </w:r>
    </w:p>
    <w:p>
      <w:pPr>
        <w:spacing w:after="0" w:line="166" w:lineRule="exact"/>
        <w:rPr>
          <w:sz w:val="20"/>
          <w:szCs w:val="20"/>
          <w:color w:val="auto"/>
        </w:rPr>
      </w:pPr>
    </w:p>
    <w:p>
      <w:pPr>
        <w:jc w:val="both"/>
        <w:ind w:right="20"/>
        <w:spacing w:after="0" w:line="247" w:lineRule="auto"/>
        <w:rPr>
          <w:sz w:val="20"/>
          <w:szCs w:val="20"/>
          <w:color w:val="auto"/>
        </w:rPr>
      </w:pPr>
      <w:r>
        <w:rPr>
          <w:rFonts w:ascii="Arial" w:cs="Arial" w:eastAsia="Arial" w:hAnsi="Arial"/>
          <w:sz w:val="20"/>
          <w:szCs w:val="20"/>
          <w:color w:val="auto"/>
        </w:rPr>
        <w:t>Adjusted EBITDA, which excludes pre-tax charges and credits, was $379.2 million; adjusted EBITDA margin was 11.4 percent (Exhibit 9).</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color w:val="auto"/>
        </w:rPr>
        <w:t>Other significant pre-tax items impacting the quarter, for which we do not provide guidance, included the following:</w:t>
      </w:r>
    </w:p>
    <w:p>
      <w:pPr>
        <w:spacing w:after="0" w:line="108" w:lineRule="exact"/>
        <w:rPr>
          <w:sz w:val="20"/>
          <w:szCs w:val="20"/>
          <w:color w:val="auto"/>
        </w:rPr>
      </w:pPr>
    </w:p>
    <w:p>
      <w:pPr>
        <w:ind w:left="660" w:hanging="328"/>
        <w:spacing w:after="0" w:line="239" w:lineRule="auto"/>
        <w:tabs>
          <w:tab w:leader="none" w:pos="660" w:val="left"/>
        </w:tabs>
        <w:numPr>
          <w:ilvl w:val="0"/>
          <w:numId w:val="2"/>
        </w:numPr>
        <w:rPr>
          <w:rFonts w:ascii="Arial" w:cs="Arial" w:eastAsia="Arial" w:hAnsi="Arial"/>
          <w:sz w:val="20"/>
          <w:szCs w:val="20"/>
          <w:color w:val="auto"/>
        </w:rPr>
      </w:pPr>
      <w:r>
        <w:rPr>
          <w:rFonts w:ascii="Arial" w:cs="Arial" w:eastAsia="Arial" w:hAnsi="Arial"/>
          <w:sz w:val="20"/>
          <w:szCs w:val="20"/>
          <w:color w:val="auto"/>
        </w:rPr>
        <w:t>$53.2 million of foreign exchange losses included in corporate expense, or $0.09 per diluted share on an after-tax basis; and</w:t>
      </w:r>
    </w:p>
    <w:p>
      <w:pPr>
        <w:spacing w:after="0" w:line="1" w:lineRule="exact"/>
        <w:rPr>
          <w:rFonts w:ascii="Arial" w:cs="Arial" w:eastAsia="Arial" w:hAnsi="Arial"/>
          <w:sz w:val="20"/>
          <w:szCs w:val="20"/>
          <w:color w:val="auto"/>
        </w:rPr>
      </w:pPr>
    </w:p>
    <w:p>
      <w:pPr>
        <w:ind w:left="660" w:hanging="328"/>
        <w:spacing w:after="0" w:line="247" w:lineRule="auto"/>
        <w:tabs>
          <w:tab w:leader="none" w:pos="660" w:val="left"/>
        </w:tabs>
        <w:numPr>
          <w:ilvl w:val="0"/>
          <w:numId w:val="2"/>
        </w:numPr>
        <w:rPr>
          <w:rFonts w:ascii="Arial" w:cs="Arial" w:eastAsia="Arial" w:hAnsi="Arial"/>
          <w:sz w:val="20"/>
          <w:szCs w:val="20"/>
          <w:color w:val="auto"/>
        </w:rPr>
      </w:pPr>
      <w:r>
        <w:rPr>
          <w:rFonts w:ascii="Arial" w:cs="Arial" w:eastAsia="Arial" w:hAnsi="Arial"/>
          <w:sz w:val="20"/>
          <w:szCs w:val="20"/>
          <w:color w:val="auto"/>
        </w:rPr>
        <w:t>$99.1 million of increased liability payable to joint venture partners included in interest expense, or $0.22 per diluted share on an after-tax basis.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Summary Financial Statements - Third Quarter 2019</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Reconciliation of U.S. GAAP to non-GAAP financial measures are below and in financial schedules.</w:t>
      </w:r>
    </w:p>
    <w:p>
      <w:pPr>
        <w:spacing w:after="0" w:line="125" w:lineRule="exact"/>
        <w:rPr>
          <w:sz w:val="20"/>
          <w:szCs w:val="20"/>
          <w:color w:val="auto"/>
        </w:rPr>
      </w:pPr>
    </w:p>
    <w:tbl>
      <w:tblPr>
        <w:tblLayout w:type="fixed"/>
        <w:tblInd w:w="450" w:type="dxa"/>
        <w:tblCellMar>
          <w:top w:w="0" w:type="dxa"/>
          <w:left w:w="0" w:type="dxa"/>
          <w:bottom w:w="0" w:type="dxa"/>
          <w:right w:w="0" w:type="dxa"/>
        </w:tblCellMar>
      </w:tblPr>
      <w:tr>
        <w:trPr>
          <w:trHeight w:val="189"/>
        </w:trPr>
        <w:tc>
          <w:tcPr>
            <w:tcW w:w="5060" w:type="dxa"/>
            <w:vAlign w:val="bottom"/>
            <w:tcBorders>
              <w:top w:val="single" w:sz="8" w:color="B8CCE4"/>
              <w:left w:val="single" w:sz="8" w:color="B8CCE4"/>
              <w:right w:val="single" w:sz="8" w:color="B8CCE4"/>
            </w:tcBorders>
          </w:tcPr>
          <w:p>
            <w:pPr>
              <w:ind w:left="40"/>
              <w:spacing w:after="0"/>
              <w:rPr>
                <w:sz w:val="20"/>
                <w:szCs w:val="20"/>
                <w:color w:val="auto"/>
              </w:rPr>
            </w:pPr>
            <w:r>
              <w:rPr>
                <w:rFonts w:ascii="Arial" w:cs="Arial" w:eastAsia="Arial" w:hAnsi="Arial"/>
                <w:sz w:val="14"/>
                <w:szCs w:val="14"/>
                <w:b w:val="1"/>
                <w:bCs w:val="1"/>
                <w:color w:val="auto"/>
              </w:rPr>
              <w:t>Three Months Ended</w:t>
            </w:r>
          </w:p>
        </w:tc>
        <w:tc>
          <w:tcPr>
            <w:tcW w:w="1960" w:type="dxa"/>
            <w:vAlign w:val="bottom"/>
            <w:tcBorders>
              <w:top w:val="single" w:sz="8" w:color="B8CCE4"/>
              <w:right w:val="single" w:sz="8" w:color="B8CCE4"/>
            </w:tcBorders>
          </w:tcPr>
          <w:p>
            <w:pPr>
              <w:jc w:val="right"/>
              <w:ind w:right="406"/>
              <w:spacing w:after="0"/>
              <w:rPr>
                <w:sz w:val="20"/>
                <w:szCs w:val="20"/>
                <w:color w:val="auto"/>
              </w:rPr>
            </w:pPr>
            <w:r>
              <w:rPr>
                <w:rFonts w:ascii="Arial" w:cs="Arial" w:eastAsia="Arial" w:hAnsi="Arial"/>
                <w:sz w:val="14"/>
                <w:szCs w:val="14"/>
                <w:b w:val="1"/>
                <w:bCs w:val="1"/>
                <w:color w:val="auto"/>
              </w:rPr>
              <w:t>September 30,</w:t>
            </w:r>
          </w:p>
        </w:tc>
        <w:tc>
          <w:tcPr>
            <w:tcW w:w="2000" w:type="dxa"/>
            <w:vAlign w:val="bottom"/>
            <w:tcBorders>
              <w:top w:val="single" w:sz="8" w:color="B8CCE4"/>
              <w:right w:val="single" w:sz="8" w:color="B8CCE4"/>
            </w:tcBorders>
          </w:tcPr>
          <w:p>
            <w:pPr>
              <w:jc w:val="right"/>
              <w:ind w:right="426"/>
              <w:spacing w:after="0"/>
              <w:rPr>
                <w:sz w:val="20"/>
                <w:szCs w:val="20"/>
                <w:color w:val="auto"/>
              </w:rPr>
            </w:pPr>
            <w:r>
              <w:rPr>
                <w:rFonts w:ascii="Arial" w:cs="Arial" w:eastAsia="Arial" w:hAnsi="Arial"/>
                <w:sz w:val="14"/>
                <w:szCs w:val="14"/>
                <w:b w:val="1"/>
                <w:bCs w:val="1"/>
                <w:color w:val="auto"/>
              </w:rPr>
              <w:t>September 30,</w:t>
            </w:r>
          </w:p>
        </w:tc>
        <w:tc>
          <w:tcPr>
            <w:tcW w:w="1560" w:type="dxa"/>
            <w:vAlign w:val="bottom"/>
            <w:tcBorders>
              <w:top w:val="single" w:sz="8" w:color="B8CCE4"/>
              <w:right w:val="single" w:sz="8" w:color="B8CCE4"/>
            </w:tcBorders>
          </w:tcPr>
          <w:p>
            <w:pPr>
              <w:spacing w:after="0"/>
              <w:rPr>
                <w:sz w:val="16"/>
                <w:szCs w:val="16"/>
                <w:color w:val="auto"/>
              </w:rPr>
            </w:pPr>
          </w:p>
        </w:tc>
      </w:tr>
      <w:tr>
        <w:trPr>
          <w:trHeight w:val="196"/>
        </w:trPr>
        <w:tc>
          <w:tcPr>
            <w:tcW w:w="506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14"/>
                <w:szCs w:val="14"/>
                <w:b w:val="1"/>
                <w:bCs w:val="1"/>
                <w:color w:val="auto"/>
              </w:rPr>
              <w:t>(In millions, except per share amounts)</w:t>
            </w:r>
          </w:p>
        </w:tc>
        <w:tc>
          <w:tcPr>
            <w:tcW w:w="1960" w:type="dxa"/>
            <w:vAlign w:val="bottom"/>
            <w:tcBorders>
              <w:bottom w:val="single" w:sz="8" w:color="B8CCE4"/>
              <w:right w:val="single" w:sz="8" w:color="B8CCE4"/>
            </w:tcBorders>
          </w:tcPr>
          <w:p>
            <w:pPr>
              <w:jc w:val="right"/>
              <w:ind w:right="746"/>
              <w:spacing w:after="0"/>
              <w:rPr>
                <w:sz w:val="20"/>
                <w:szCs w:val="20"/>
                <w:color w:val="auto"/>
              </w:rPr>
            </w:pPr>
            <w:r>
              <w:rPr>
                <w:rFonts w:ascii="Arial" w:cs="Arial" w:eastAsia="Arial" w:hAnsi="Arial"/>
                <w:sz w:val="14"/>
                <w:szCs w:val="14"/>
                <w:b w:val="1"/>
                <w:bCs w:val="1"/>
                <w:color w:val="auto"/>
              </w:rPr>
              <w:t>2019</w:t>
            </w:r>
          </w:p>
        </w:tc>
        <w:tc>
          <w:tcPr>
            <w:tcW w:w="2000" w:type="dxa"/>
            <w:vAlign w:val="bottom"/>
            <w:tcBorders>
              <w:bottom w:val="single" w:sz="8" w:color="B8CCE4"/>
              <w:right w:val="single" w:sz="8" w:color="B8CCE4"/>
            </w:tcBorders>
          </w:tcPr>
          <w:p>
            <w:pPr>
              <w:jc w:val="right"/>
              <w:ind w:right="766"/>
              <w:spacing w:after="0"/>
              <w:rPr>
                <w:sz w:val="20"/>
                <w:szCs w:val="20"/>
                <w:color w:val="auto"/>
              </w:rPr>
            </w:pPr>
            <w:r>
              <w:rPr>
                <w:rFonts w:ascii="Arial" w:cs="Arial" w:eastAsia="Arial" w:hAnsi="Arial"/>
                <w:sz w:val="14"/>
                <w:szCs w:val="14"/>
                <w:b w:val="1"/>
                <w:bCs w:val="1"/>
                <w:color w:val="auto"/>
              </w:rPr>
              <w:t>2018</w:t>
            </w:r>
          </w:p>
        </w:tc>
        <w:tc>
          <w:tcPr>
            <w:tcW w:w="156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14"/>
                <w:szCs w:val="14"/>
                <w:b w:val="1"/>
                <w:bCs w:val="1"/>
                <w:color w:val="auto"/>
              </w:rPr>
              <w:t>Change</w:t>
            </w:r>
          </w:p>
        </w:tc>
      </w:tr>
      <w:tr>
        <w:trPr>
          <w:trHeight w:val="265"/>
        </w:trPr>
        <w:tc>
          <w:tcPr>
            <w:tcW w:w="506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Revenue</w:t>
            </w:r>
          </w:p>
        </w:tc>
        <w:tc>
          <w:tcPr>
            <w:tcW w:w="196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$3,335.1</w:t>
            </w:r>
          </w:p>
        </w:tc>
        <w:tc>
          <w:tcPr>
            <w:tcW w:w="20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$3,143.8</w:t>
            </w:r>
          </w:p>
        </w:tc>
        <w:tc>
          <w:tcPr>
            <w:tcW w:w="156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6"/>
              </w:rPr>
              <w:t>6.1%</w:t>
            </w:r>
          </w:p>
        </w:tc>
      </w:tr>
      <w:tr>
        <w:trPr>
          <w:trHeight w:val="264"/>
        </w:trPr>
        <w:tc>
          <w:tcPr>
            <w:tcW w:w="506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Net income</w:t>
            </w:r>
          </w:p>
        </w:tc>
        <w:tc>
          <w:tcPr>
            <w:tcW w:w="196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$21.8</w:t>
            </w:r>
          </w:p>
        </w:tc>
        <w:tc>
          <w:tcPr>
            <w:tcW w:w="20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$136.9</w:t>
            </w:r>
          </w:p>
        </w:tc>
        <w:tc>
          <w:tcPr>
            <w:tcW w:w="156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7"/>
              </w:rPr>
              <w:t>(84.1%)</w:t>
            </w:r>
          </w:p>
        </w:tc>
      </w:tr>
      <w:tr>
        <w:trPr>
          <w:trHeight w:val="264"/>
        </w:trPr>
        <w:tc>
          <w:tcPr>
            <w:tcW w:w="506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Diluted earnings per share</w:t>
            </w:r>
          </w:p>
        </w:tc>
        <w:tc>
          <w:tcPr>
            <w:tcW w:w="196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$0.05</w:t>
            </w:r>
          </w:p>
        </w:tc>
        <w:tc>
          <w:tcPr>
            <w:tcW w:w="20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$0.30</w:t>
            </w:r>
          </w:p>
        </w:tc>
        <w:tc>
          <w:tcPr>
            <w:tcW w:w="156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7"/>
              </w:rPr>
              <w:t>(83.3%)</w:t>
            </w:r>
          </w:p>
        </w:tc>
      </w:tr>
      <w:tr>
        <w:trPr>
          <w:trHeight w:val="336"/>
        </w:trPr>
        <w:tc>
          <w:tcPr>
            <w:tcW w:w="5060" w:type="dxa"/>
            <w:vAlign w:val="bottom"/>
            <w:tcBorders>
              <w:left w:val="single" w:sz="8" w:color="B8CCE4"/>
              <w:bottom w:val="single" w:sz="8" w:color="B8CCE4"/>
            </w:tcBorders>
          </w:tcPr>
          <w:p>
            <w:pPr>
              <w:spacing w:after="0"/>
              <w:rPr>
                <w:sz w:val="24"/>
                <w:szCs w:val="24"/>
                <w:color w:val="auto"/>
              </w:rPr>
            </w:pPr>
          </w:p>
        </w:tc>
        <w:tc>
          <w:tcPr>
            <w:tcW w:w="1960" w:type="dxa"/>
            <w:vAlign w:val="bottom"/>
            <w:tcBorders>
              <w:bottom w:val="single" w:sz="8" w:color="B8CCE4"/>
            </w:tcBorders>
          </w:tcPr>
          <w:p>
            <w:pPr>
              <w:spacing w:after="0"/>
              <w:rPr>
                <w:sz w:val="24"/>
                <w:szCs w:val="24"/>
                <w:color w:val="auto"/>
              </w:rPr>
            </w:pPr>
          </w:p>
        </w:tc>
        <w:tc>
          <w:tcPr>
            <w:tcW w:w="2000" w:type="dxa"/>
            <w:vAlign w:val="bottom"/>
            <w:tcBorders>
              <w:bottom w:val="single" w:sz="8" w:color="B8CCE4"/>
            </w:tcBorders>
          </w:tcPr>
          <w:p>
            <w:pPr>
              <w:spacing w:after="0"/>
              <w:rPr>
                <w:sz w:val="24"/>
                <w:szCs w:val="24"/>
                <w:color w:val="auto"/>
              </w:rPr>
            </w:pPr>
          </w:p>
        </w:tc>
        <w:tc>
          <w:tcPr>
            <w:tcW w:w="1560" w:type="dxa"/>
            <w:vAlign w:val="bottom"/>
            <w:tcBorders>
              <w:bottom w:val="single" w:sz="8" w:color="B8CCE4"/>
              <w:right w:val="single" w:sz="8" w:color="B8CCE4"/>
            </w:tcBorders>
          </w:tcPr>
          <w:p>
            <w:pPr>
              <w:spacing w:after="0"/>
              <w:rPr>
                <w:sz w:val="24"/>
                <w:szCs w:val="24"/>
                <w:color w:val="auto"/>
              </w:rPr>
            </w:pPr>
          </w:p>
        </w:tc>
      </w:tr>
      <w:tr>
        <w:trPr>
          <w:trHeight w:val="259"/>
        </w:trPr>
        <w:tc>
          <w:tcPr>
            <w:tcW w:w="506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Adjusted EBITDA</w:t>
            </w:r>
          </w:p>
        </w:tc>
        <w:tc>
          <w:tcPr>
            <w:tcW w:w="196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$379.2</w:t>
            </w:r>
          </w:p>
        </w:tc>
        <w:tc>
          <w:tcPr>
            <w:tcW w:w="20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$430.5</w:t>
            </w:r>
          </w:p>
        </w:tc>
        <w:tc>
          <w:tcPr>
            <w:tcW w:w="156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7"/>
              </w:rPr>
              <w:t>(11.9%)</w:t>
            </w:r>
          </w:p>
        </w:tc>
      </w:tr>
      <w:tr>
        <w:trPr>
          <w:trHeight w:val="264"/>
        </w:trPr>
        <w:tc>
          <w:tcPr>
            <w:tcW w:w="506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Adjusted EBITDA margin</w:t>
            </w:r>
          </w:p>
        </w:tc>
        <w:tc>
          <w:tcPr>
            <w:tcW w:w="196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11.4%</w:t>
            </w:r>
          </w:p>
        </w:tc>
        <w:tc>
          <w:tcPr>
            <w:tcW w:w="20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13.7%</w:t>
            </w:r>
          </w:p>
        </w:tc>
        <w:tc>
          <w:tcPr>
            <w:tcW w:w="156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9"/>
              </w:rPr>
              <w:t>(230 bps)</w:t>
            </w:r>
          </w:p>
        </w:tc>
      </w:tr>
      <w:tr>
        <w:trPr>
          <w:trHeight w:val="264"/>
        </w:trPr>
        <w:tc>
          <w:tcPr>
            <w:tcW w:w="506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Adjusted net income</w:t>
            </w:r>
          </w:p>
        </w:tc>
        <w:tc>
          <w:tcPr>
            <w:tcW w:w="196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$54.4</w:t>
            </w:r>
          </w:p>
        </w:tc>
        <w:tc>
          <w:tcPr>
            <w:tcW w:w="20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$139.8</w:t>
            </w:r>
          </w:p>
        </w:tc>
        <w:tc>
          <w:tcPr>
            <w:tcW w:w="156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7"/>
              </w:rPr>
              <w:t>(61.1%)</w:t>
            </w:r>
          </w:p>
        </w:tc>
      </w:tr>
      <w:tr>
        <w:trPr>
          <w:trHeight w:val="264"/>
        </w:trPr>
        <w:tc>
          <w:tcPr>
            <w:tcW w:w="506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Adjusted diluted earnings per share</w:t>
            </w:r>
          </w:p>
        </w:tc>
        <w:tc>
          <w:tcPr>
            <w:tcW w:w="196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$0.12</w:t>
            </w:r>
          </w:p>
        </w:tc>
        <w:tc>
          <w:tcPr>
            <w:tcW w:w="20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$0.31</w:t>
            </w:r>
          </w:p>
        </w:tc>
        <w:tc>
          <w:tcPr>
            <w:tcW w:w="156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7"/>
              </w:rPr>
              <w:t>(61.3%)</w:t>
            </w:r>
          </w:p>
        </w:tc>
      </w:tr>
      <w:tr>
        <w:trPr>
          <w:trHeight w:val="336"/>
        </w:trPr>
        <w:tc>
          <w:tcPr>
            <w:tcW w:w="5060" w:type="dxa"/>
            <w:vAlign w:val="bottom"/>
            <w:tcBorders>
              <w:left w:val="single" w:sz="8" w:color="B8CCE4"/>
              <w:bottom w:val="single" w:sz="8" w:color="B8CCE4"/>
            </w:tcBorders>
          </w:tcPr>
          <w:p>
            <w:pPr>
              <w:spacing w:after="0"/>
              <w:rPr>
                <w:sz w:val="24"/>
                <w:szCs w:val="24"/>
                <w:color w:val="auto"/>
              </w:rPr>
            </w:pPr>
          </w:p>
        </w:tc>
        <w:tc>
          <w:tcPr>
            <w:tcW w:w="1960" w:type="dxa"/>
            <w:vAlign w:val="bottom"/>
            <w:tcBorders>
              <w:bottom w:val="single" w:sz="8" w:color="B8CCE4"/>
            </w:tcBorders>
          </w:tcPr>
          <w:p>
            <w:pPr>
              <w:spacing w:after="0"/>
              <w:rPr>
                <w:sz w:val="24"/>
                <w:szCs w:val="24"/>
                <w:color w:val="auto"/>
              </w:rPr>
            </w:pPr>
          </w:p>
        </w:tc>
        <w:tc>
          <w:tcPr>
            <w:tcW w:w="2000" w:type="dxa"/>
            <w:vAlign w:val="bottom"/>
            <w:tcBorders>
              <w:bottom w:val="single" w:sz="8" w:color="B8CCE4"/>
            </w:tcBorders>
          </w:tcPr>
          <w:p>
            <w:pPr>
              <w:spacing w:after="0"/>
              <w:rPr>
                <w:sz w:val="24"/>
                <w:szCs w:val="24"/>
                <w:color w:val="auto"/>
              </w:rPr>
            </w:pPr>
          </w:p>
        </w:tc>
        <w:tc>
          <w:tcPr>
            <w:tcW w:w="1560" w:type="dxa"/>
            <w:vAlign w:val="bottom"/>
            <w:tcBorders>
              <w:bottom w:val="single" w:sz="8" w:color="B8CCE4"/>
              <w:right w:val="single" w:sz="8" w:color="B8CCE4"/>
            </w:tcBorders>
          </w:tcPr>
          <w:p>
            <w:pPr>
              <w:spacing w:after="0"/>
              <w:rPr>
                <w:sz w:val="24"/>
                <w:szCs w:val="24"/>
                <w:color w:val="auto"/>
              </w:rPr>
            </w:pPr>
          </w:p>
        </w:tc>
      </w:tr>
      <w:tr>
        <w:trPr>
          <w:trHeight w:val="259"/>
        </w:trPr>
        <w:tc>
          <w:tcPr>
            <w:tcW w:w="506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Inbound orders</w:t>
            </w:r>
          </w:p>
        </w:tc>
        <w:tc>
          <w:tcPr>
            <w:tcW w:w="196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$2,610.6</w:t>
            </w:r>
          </w:p>
        </w:tc>
        <w:tc>
          <w:tcPr>
            <w:tcW w:w="20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$3,647.2</w:t>
            </w:r>
          </w:p>
        </w:tc>
        <w:tc>
          <w:tcPr>
            <w:tcW w:w="156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7"/>
              </w:rPr>
              <w:t>(28.4%)</w:t>
            </w:r>
          </w:p>
        </w:tc>
      </w:tr>
      <w:tr>
        <w:trPr>
          <w:trHeight w:val="264"/>
        </w:trPr>
        <w:tc>
          <w:tcPr>
            <w:tcW w:w="506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Backlog</w:t>
            </w:r>
          </w:p>
        </w:tc>
        <w:tc>
          <w:tcPr>
            <w:tcW w:w="196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$24,115.3</w:t>
            </w:r>
          </w:p>
        </w:tc>
        <w:tc>
          <w:tcPr>
            <w:tcW w:w="20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$15,178.0</w:t>
            </w:r>
          </w:p>
        </w:tc>
        <w:tc>
          <w:tcPr>
            <w:tcW w:w="156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8"/>
              </w:rPr>
              <w:t>58.9%</w:t>
            </w:r>
          </w:p>
        </w:tc>
      </w:tr>
    </w:tbl>
    <w:p>
      <w:pPr>
        <w:spacing w:after="0" w:line="108" w:lineRule="exact"/>
        <w:rPr>
          <w:sz w:val="20"/>
          <w:szCs w:val="20"/>
          <w:color w:val="auto"/>
        </w:rPr>
      </w:pPr>
    </w:p>
    <w:p>
      <w:pPr>
        <w:spacing w:after="0"/>
        <w:rPr>
          <w:sz w:val="20"/>
          <w:szCs w:val="20"/>
          <w:color w:val="auto"/>
        </w:rPr>
      </w:pPr>
      <w:r>
        <w:rPr>
          <w:rFonts w:ascii="Arial" w:cs="Arial" w:eastAsia="Arial" w:hAnsi="Arial"/>
          <w:sz w:val="17"/>
          <w:szCs w:val="17"/>
          <w:color w:val="auto"/>
          <w:vertAlign w:val="superscript"/>
        </w:rPr>
        <w:t>1</w:t>
      </w:r>
      <w:r>
        <w:rPr>
          <w:rFonts w:ascii="Arial" w:cs="Arial" w:eastAsia="Arial" w:hAnsi="Arial"/>
          <w:sz w:val="14"/>
          <w:szCs w:val="14"/>
          <w:color w:val="auto"/>
        </w:rPr>
        <w:t>iEPCI™ refers to TechnipFMC’s integrated engineering, procurement, construction and installation contracts.</w:t>
      </w:r>
    </w:p>
    <w:p>
      <w:pPr>
        <w:spacing w:after="0" w:line="200" w:lineRule="exact"/>
        <w:rPr>
          <w:sz w:val="20"/>
          <w:szCs w:val="20"/>
          <w:color w:val="auto"/>
        </w:rPr>
      </w:pPr>
    </w:p>
    <w:p>
      <w:pPr>
        <w:spacing w:after="0" w:line="388" w:lineRule="exact"/>
        <w:rPr>
          <w:sz w:val="20"/>
          <w:szCs w:val="20"/>
          <w:color w:val="auto"/>
        </w:rPr>
      </w:pPr>
    </w:p>
    <w:p>
      <w:pPr>
        <w:ind w:left="5180"/>
        <w:spacing w:after="0"/>
        <w:tabs>
          <w:tab w:leader="none" w:pos="10500" w:val="left"/>
        </w:tabs>
        <w:rPr>
          <w:rFonts w:ascii="Arial" w:cs="Arial" w:eastAsia="Arial" w:hAnsi="Arial"/>
          <w:sz w:val="14"/>
          <w:szCs w:val="14"/>
          <w:b w:val="1"/>
          <w:bCs w:val="1"/>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 xml:space="preserve">Page 1 of </w:t>
      </w:r>
      <w:hyperlink w:anchor="page29">
        <w:r>
          <w:rPr>
            <w:rFonts w:ascii="Arial" w:cs="Arial" w:eastAsia="Arial" w:hAnsi="Arial"/>
            <w:sz w:val="14"/>
            <w:szCs w:val="14"/>
            <w:b w:val="1"/>
            <w:bCs w:val="1"/>
            <w:color w:val="auto"/>
          </w:rPr>
          <w:t>24</w:t>
        </w:r>
      </w:hyperlink>
    </w:p>
    <w:p>
      <w:pPr>
        <w:sectPr>
          <w:pgSz w:w="11900" w:h="16838" w:orient="portrait"/>
          <w:cols w:equalWidth="0" w:num="1">
            <w:col w:w="11420"/>
          </w:cols>
          <w:pgMar w:left="240" w:top="1216" w:right="239" w:bottom="1440" w:gutter="0" w:footer="0" w:header="0"/>
        </w:sectPr>
      </w:pPr>
    </w:p>
    <w:bookmarkStart w:id="5" w:name="page6"/>
    <w:bookmarkEnd w:id="5"/>
    <w:p>
      <w:pPr>
        <w:jc w:val="both"/>
        <w:spacing w:after="0" w:line="241"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2778760" cy="5314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2778760" cy="531495"/>
                    </a:xfrm>
                    <a:prstGeom prst="rect">
                      <a:avLst/>
                    </a:prstGeom>
                    <a:noFill/>
                  </pic:spPr>
                </pic:pic>
              </a:graphicData>
            </a:graphic>
          </wp:anchor>
        </w:drawing>
        <w:t>Doug Pferdehirt, Chairman and CEO of TechnipFMC, stated, “In the third quarter, we announced a transformational move to create two diversified, pure-play market leaders. The separation will enable both companies to benefit from dedicated focus of management, resources and capital while highlighting the unique value proposition and differentiated investment appeal of each company. We believe strongly that providing independence for these two world-class, high-performing businesses will unlock further opportunities and create value for all stakeholders.”</w:t>
      </w:r>
    </w:p>
    <w:p>
      <w:pPr>
        <w:spacing w:after="0" w:line="128"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Pferdehirt continued, “Subsea orders of $1.5 billion reflect continued strength in integrated project awards, increased services activity and the adoption of new technologies. We announced several new iEPCI™ projects, including the Pyxis project, the first call-off of our recently executed iEPCI™ frame agreement with Woodside. Subsea services activity continued to benefit from the industry’s largest installed base, and we remain on track for double-digit growth for the full year. In the quarter, we also received the industry’s first award of a 20K high-pressure, high-temperature system for LLOG’s Shenandoah project in the Gulf of Mexico.”</w:t>
      </w:r>
    </w:p>
    <w:p>
      <w:pPr>
        <w:spacing w:after="0" w:line="113"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“Our strong Subsea order growth continues to be driven by our integrated commercial model. Inbound for the first nine months of the year was $6.8 billion, reflecting a book-to-bill of 1.7. We continue to believe that our order growth for the full year will exceed 50 percent – the highest annual growth rate in a decade. Our anticipated growth is more than double the expectation for the total subsea market.”</w:t>
      </w:r>
    </w:p>
    <w:p>
      <w:pPr>
        <w:spacing w:after="0" w:line="126"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“Operating performance in our other segments reflected diverging trends. Surface Technologies’ operating margin weakened sequentially due to reduced activity and more competitive pricing in North America, offset in part by continued strength in international markets. Onshore/Offshore again posted robust operating results, benefiting from continued strength in execution on major projects.”</w:t>
      </w:r>
    </w:p>
    <w:p>
      <w:pPr>
        <w:spacing w:after="0" w:line="126"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Pferdehirt added, “Five LNG projects over the past five months have either been sanctioned or moved closer to final investment decision in 2020, including the Arctic LNG 2 and Rovuma LNG projects that were awarded to TechnipFMC and our partners. Rovuma builds upon our first mover advantage and early investment in Mozambique, where we are already executing the floating LNG scope on the Coral project. The award also serves as further confirmation of our leadership in LNG and our strong capabilities in the delivery of remote projects.”</w:t>
      </w:r>
    </w:p>
    <w:p>
      <w:pPr>
        <w:spacing w:after="0" w:line="128"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Pferdehirt concluded, “I want to recognize the dedication, commitment and demonstrated results of the women and men of TechnipFMC that have enabled us to take this next step to further reshape the industry. Thanks to their continued effort, we are making solid progress towards completing our planned separation in the first half of 2020.”</w:t>
      </w:r>
    </w:p>
    <w:p>
      <w:pPr>
        <w:spacing w:after="0" w:line="200" w:lineRule="exact"/>
        <w:rPr>
          <w:sz w:val="20"/>
          <w:szCs w:val="20"/>
          <w:color w:val="auto"/>
        </w:rPr>
      </w:pPr>
    </w:p>
    <w:p>
      <w:pPr>
        <w:spacing w:after="0" w:line="375" w:lineRule="exact"/>
        <w:rPr>
          <w:sz w:val="20"/>
          <w:szCs w:val="20"/>
          <w:color w:val="auto"/>
        </w:rPr>
      </w:pPr>
    </w:p>
    <w:p>
      <w:pPr>
        <w:ind w:left="5180"/>
        <w:spacing w:after="0"/>
        <w:tabs>
          <w:tab w:leader="none" w:pos="10500" w:val="left"/>
        </w:tabs>
        <w:rPr>
          <w:rFonts w:ascii="Arial" w:cs="Arial" w:eastAsia="Arial" w:hAnsi="Arial"/>
          <w:sz w:val="14"/>
          <w:szCs w:val="14"/>
          <w:b w:val="1"/>
          <w:bCs w:val="1"/>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 xml:space="preserve">Page 2 of </w:t>
      </w:r>
      <w:hyperlink w:anchor="page29">
        <w:r>
          <w:rPr>
            <w:rFonts w:ascii="Arial" w:cs="Arial" w:eastAsia="Arial" w:hAnsi="Arial"/>
            <w:sz w:val="14"/>
            <w:szCs w:val="14"/>
            <w:b w:val="1"/>
            <w:bCs w:val="1"/>
            <w:color w:val="auto"/>
          </w:rPr>
          <w:t>24</w:t>
        </w:r>
      </w:hyperlink>
    </w:p>
    <w:p>
      <w:pPr>
        <w:sectPr>
          <w:pgSz w:w="11900" w:h="16838" w:orient="portrait"/>
          <w:cols w:equalWidth="0" w:num="1">
            <w:col w:w="11420"/>
          </w:cols>
          <w:pgMar w:left="240" w:top="1216" w:right="239" w:bottom="1440" w:gutter="0" w:footer="0" w:header="0"/>
        </w:sectPr>
      </w:pPr>
    </w:p>
    <w:bookmarkStart w:id="6" w:name="page7"/>
    <w:bookmarkEnd w:id="6"/>
    <w:p>
      <w:pP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2778760" cy="5314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2778760" cy="531495"/>
                    </a:xfrm>
                    <a:prstGeom prst="rect">
                      <a:avLst/>
                    </a:prstGeom>
                    <a:noFill/>
                  </pic:spPr>
                </pic:pic>
              </a:graphicData>
            </a:graphic>
          </wp:anchor>
        </w:drawing>
        <w:t>Operational and Financial Highlights - Third Quarter 2019</w:t>
      </w:r>
    </w:p>
    <w:p>
      <w:pPr>
        <w:spacing w:after="0" w:line="200" w:lineRule="exact"/>
        <w:rPr>
          <w:sz w:val="20"/>
          <w:szCs w:val="20"/>
          <w:color w:val="auto"/>
        </w:rPr>
      </w:pPr>
    </w:p>
    <w:p>
      <w:pPr>
        <w:spacing w:after="0" w:line="353"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Subsea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Financial Highlights</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Reconciliation of U.S. GAAP to non-GAAP financial measures are below and in financial schedules.</w:t>
      </w:r>
    </w:p>
    <w:p>
      <w:pPr>
        <w:spacing w:after="0" w:line="125"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6400" w:type="dxa"/>
            <w:vAlign w:val="bottom"/>
            <w:tcBorders>
              <w:top w:val="single" w:sz="8" w:color="B8CCE4"/>
              <w:left w:val="single" w:sz="8" w:color="B8CCE4"/>
              <w:right w:val="single" w:sz="8" w:color="B8CCE4"/>
            </w:tcBorders>
          </w:tcPr>
          <w:p>
            <w:pPr>
              <w:ind w:left="40"/>
              <w:spacing w:after="0"/>
              <w:rPr>
                <w:sz w:val="20"/>
                <w:szCs w:val="20"/>
                <w:color w:val="auto"/>
              </w:rPr>
            </w:pPr>
            <w:r>
              <w:rPr>
                <w:rFonts w:ascii="Arial" w:cs="Arial" w:eastAsia="Arial" w:hAnsi="Arial"/>
                <w:sz w:val="14"/>
                <w:szCs w:val="14"/>
                <w:b w:val="1"/>
                <w:bCs w:val="1"/>
                <w:color w:val="auto"/>
              </w:rPr>
              <w:t>Three Months Ended</w:t>
            </w:r>
          </w:p>
        </w:tc>
        <w:tc>
          <w:tcPr>
            <w:tcW w:w="1680" w:type="dxa"/>
            <w:vAlign w:val="bottom"/>
            <w:tcBorders>
              <w:top w:val="single" w:sz="8" w:color="B8CCE4"/>
              <w:right w:val="single" w:sz="8" w:color="B8CCE4"/>
            </w:tcBorders>
          </w:tcPr>
          <w:p>
            <w:pPr>
              <w:jc w:val="right"/>
              <w:ind w:right="268"/>
              <w:spacing w:after="0"/>
              <w:rPr>
                <w:sz w:val="20"/>
                <w:szCs w:val="20"/>
                <w:color w:val="auto"/>
              </w:rPr>
            </w:pPr>
            <w:r>
              <w:rPr>
                <w:rFonts w:ascii="Arial" w:cs="Arial" w:eastAsia="Arial" w:hAnsi="Arial"/>
                <w:sz w:val="14"/>
                <w:szCs w:val="14"/>
                <w:b w:val="1"/>
                <w:bCs w:val="1"/>
                <w:color w:val="auto"/>
              </w:rPr>
              <w:t>September 30,</w:t>
            </w:r>
          </w:p>
        </w:tc>
        <w:tc>
          <w:tcPr>
            <w:tcW w:w="1900" w:type="dxa"/>
            <w:vAlign w:val="bottom"/>
            <w:tcBorders>
              <w:top w:val="single" w:sz="8" w:color="B8CCE4"/>
              <w:right w:val="single" w:sz="8" w:color="B8CCE4"/>
            </w:tcBorders>
          </w:tcPr>
          <w:p>
            <w:pPr>
              <w:jc w:val="right"/>
              <w:ind w:right="388"/>
              <w:spacing w:after="0"/>
              <w:rPr>
                <w:sz w:val="20"/>
                <w:szCs w:val="20"/>
                <w:color w:val="auto"/>
              </w:rPr>
            </w:pPr>
            <w:r>
              <w:rPr>
                <w:rFonts w:ascii="Arial" w:cs="Arial" w:eastAsia="Arial" w:hAnsi="Arial"/>
                <w:sz w:val="14"/>
                <w:szCs w:val="14"/>
                <w:b w:val="1"/>
                <w:bCs w:val="1"/>
                <w:color w:val="auto"/>
              </w:rPr>
              <w:t>September 30,</w:t>
            </w:r>
          </w:p>
        </w:tc>
        <w:tc>
          <w:tcPr>
            <w:tcW w:w="1460" w:type="dxa"/>
            <w:vAlign w:val="bottom"/>
            <w:tcBorders>
              <w:top w:val="single" w:sz="8" w:color="B8CCE4"/>
              <w:right w:val="single" w:sz="8" w:color="B8CCE4"/>
            </w:tcBorders>
          </w:tcPr>
          <w:p>
            <w:pPr>
              <w:spacing w:after="0"/>
              <w:rPr>
                <w:sz w:val="16"/>
                <w:szCs w:val="16"/>
                <w:color w:val="auto"/>
              </w:rPr>
            </w:pPr>
          </w:p>
        </w:tc>
      </w:tr>
      <w:tr>
        <w:trPr>
          <w:trHeight w:val="196"/>
        </w:trPr>
        <w:tc>
          <w:tcPr>
            <w:tcW w:w="640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1680" w:type="dxa"/>
            <w:vAlign w:val="bottom"/>
            <w:tcBorders>
              <w:bottom w:val="single" w:sz="8" w:color="B8CCE4"/>
              <w:right w:val="single" w:sz="8" w:color="B8CCE4"/>
            </w:tcBorders>
          </w:tcPr>
          <w:p>
            <w:pPr>
              <w:jc w:val="right"/>
              <w:ind w:right="608"/>
              <w:spacing w:after="0"/>
              <w:rPr>
                <w:sz w:val="20"/>
                <w:szCs w:val="20"/>
                <w:color w:val="auto"/>
              </w:rPr>
            </w:pPr>
            <w:r>
              <w:rPr>
                <w:rFonts w:ascii="Arial" w:cs="Arial" w:eastAsia="Arial" w:hAnsi="Arial"/>
                <w:sz w:val="14"/>
                <w:szCs w:val="14"/>
                <w:b w:val="1"/>
                <w:bCs w:val="1"/>
                <w:color w:val="auto"/>
              </w:rPr>
              <w:t>2019</w:t>
            </w:r>
          </w:p>
        </w:tc>
        <w:tc>
          <w:tcPr>
            <w:tcW w:w="1900" w:type="dxa"/>
            <w:vAlign w:val="bottom"/>
            <w:tcBorders>
              <w:bottom w:val="single" w:sz="8" w:color="B8CCE4"/>
              <w:right w:val="single" w:sz="8" w:color="B8CCE4"/>
            </w:tcBorders>
          </w:tcPr>
          <w:p>
            <w:pPr>
              <w:jc w:val="right"/>
              <w:ind w:right="708"/>
              <w:spacing w:after="0"/>
              <w:rPr>
                <w:sz w:val="20"/>
                <w:szCs w:val="20"/>
                <w:color w:val="auto"/>
              </w:rPr>
            </w:pPr>
            <w:r>
              <w:rPr>
                <w:rFonts w:ascii="Arial" w:cs="Arial" w:eastAsia="Arial" w:hAnsi="Arial"/>
                <w:sz w:val="14"/>
                <w:szCs w:val="14"/>
                <w:b w:val="1"/>
                <w:bCs w:val="1"/>
                <w:color w:val="auto"/>
              </w:rPr>
              <w:t>2018</w:t>
            </w:r>
          </w:p>
        </w:tc>
        <w:tc>
          <w:tcPr>
            <w:tcW w:w="146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14"/>
                <w:szCs w:val="14"/>
                <w:b w:val="1"/>
                <w:bCs w:val="1"/>
                <w:color w:val="auto"/>
              </w:rPr>
              <w:t>Change</w:t>
            </w:r>
          </w:p>
        </w:tc>
      </w:tr>
      <w:tr>
        <w:trPr>
          <w:trHeight w:val="265"/>
        </w:trPr>
        <w:tc>
          <w:tcPr>
            <w:tcW w:w="640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Revenue</w:t>
            </w:r>
          </w:p>
        </w:tc>
        <w:tc>
          <w:tcPr>
            <w:tcW w:w="168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$1,342.2</w:t>
            </w:r>
          </w:p>
        </w:tc>
        <w:tc>
          <w:tcPr>
            <w:tcW w:w="19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$1,209.1</w:t>
            </w:r>
          </w:p>
        </w:tc>
        <w:tc>
          <w:tcPr>
            <w:tcW w:w="146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8"/>
              </w:rPr>
              <w:t>11.0%</w:t>
            </w:r>
          </w:p>
        </w:tc>
      </w:tr>
      <w:tr>
        <w:trPr>
          <w:trHeight w:val="264"/>
        </w:trPr>
        <w:tc>
          <w:tcPr>
            <w:tcW w:w="640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Operating profit</w:t>
            </w:r>
          </w:p>
        </w:tc>
        <w:tc>
          <w:tcPr>
            <w:tcW w:w="168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$45.5</w:t>
            </w:r>
          </w:p>
        </w:tc>
        <w:tc>
          <w:tcPr>
            <w:tcW w:w="19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$79.7</w:t>
            </w:r>
          </w:p>
        </w:tc>
        <w:tc>
          <w:tcPr>
            <w:tcW w:w="146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7"/>
              </w:rPr>
              <w:t>(42.9%)</w:t>
            </w:r>
          </w:p>
        </w:tc>
      </w:tr>
      <w:tr>
        <w:trPr>
          <w:trHeight w:val="264"/>
        </w:trPr>
        <w:tc>
          <w:tcPr>
            <w:tcW w:w="640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Adjusted EBITDA</w:t>
            </w:r>
          </w:p>
        </w:tc>
        <w:tc>
          <w:tcPr>
            <w:tcW w:w="168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$139.1</w:t>
            </w:r>
          </w:p>
        </w:tc>
        <w:tc>
          <w:tcPr>
            <w:tcW w:w="19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$188.5</w:t>
            </w:r>
          </w:p>
        </w:tc>
        <w:tc>
          <w:tcPr>
            <w:tcW w:w="146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7"/>
              </w:rPr>
              <w:t>(26.2%)</w:t>
            </w:r>
          </w:p>
        </w:tc>
      </w:tr>
      <w:tr>
        <w:trPr>
          <w:trHeight w:val="264"/>
        </w:trPr>
        <w:tc>
          <w:tcPr>
            <w:tcW w:w="640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Adjusted EBITDA margin</w:t>
            </w:r>
          </w:p>
        </w:tc>
        <w:tc>
          <w:tcPr>
            <w:tcW w:w="168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10.4%</w:t>
            </w:r>
          </w:p>
        </w:tc>
        <w:tc>
          <w:tcPr>
            <w:tcW w:w="19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15.6%</w:t>
            </w:r>
          </w:p>
        </w:tc>
        <w:tc>
          <w:tcPr>
            <w:tcW w:w="146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9"/>
              </w:rPr>
              <w:t>(520 bps)</w:t>
            </w:r>
          </w:p>
        </w:tc>
      </w:tr>
      <w:tr>
        <w:trPr>
          <w:trHeight w:val="322"/>
        </w:trPr>
        <w:tc>
          <w:tcPr>
            <w:tcW w:w="6400" w:type="dxa"/>
            <w:vAlign w:val="bottom"/>
            <w:tcBorders>
              <w:left w:val="single" w:sz="8" w:color="B8CCE4"/>
              <w:bottom w:val="single" w:sz="8" w:color="B8CCE4"/>
            </w:tcBorders>
          </w:tcPr>
          <w:p>
            <w:pPr>
              <w:spacing w:after="0"/>
              <w:rPr>
                <w:sz w:val="24"/>
                <w:szCs w:val="24"/>
                <w:color w:val="auto"/>
              </w:rPr>
            </w:pPr>
          </w:p>
        </w:tc>
        <w:tc>
          <w:tcPr>
            <w:tcW w:w="1680" w:type="dxa"/>
            <w:vAlign w:val="bottom"/>
            <w:tcBorders>
              <w:bottom w:val="single" w:sz="8" w:color="B8CCE4"/>
            </w:tcBorders>
          </w:tcPr>
          <w:p>
            <w:pPr>
              <w:spacing w:after="0"/>
              <w:rPr>
                <w:sz w:val="24"/>
                <w:szCs w:val="24"/>
                <w:color w:val="auto"/>
              </w:rPr>
            </w:pPr>
          </w:p>
        </w:tc>
        <w:tc>
          <w:tcPr>
            <w:tcW w:w="1900" w:type="dxa"/>
            <w:vAlign w:val="bottom"/>
            <w:tcBorders>
              <w:bottom w:val="single" w:sz="8" w:color="B8CCE4"/>
            </w:tcBorders>
          </w:tcPr>
          <w:p>
            <w:pPr>
              <w:spacing w:after="0"/>
              <w:rPr>
                <w:sz w:val="24"/>
                <w:szCs w:val="24"/>
                <w:color w:val="auto"/>
              </w:rPr>
            </w:pPr>
          </w:p>
        </w:tc>
        <w:tc>
          <w:tcPr>
            <w:tcW w:w="1460" w:type="dxa"/>
            <w:vAlign w:val="bottom"/>
            <w:tcBorders>
              <w:bottom w:val="single" w:sz="8" w:color="B8CCE4"/>
              <w:right w:val="single" w:sz="8" w:color="B8CCE4"/>
            </w:tcBorders>
          </w:tcPr>
          <w:p>
            <w:pPr>
              <w:spacing w:after="0"/>
              <w:rPr>
                <w:sz w:val="24"/>
                <w:szCs w:val="24"/>
                <w:color w:val="auto"/>
              </w:rPr>
            </w:pPr>
          </w:p>
        </w:tc>
      </w:tr>
      <w:tr>
        <w:trPr>
          <w:trHeight w:val="259"/>
        </w:trPr>
        <w:tc>
          <w:tcPr>
            <w:tcW w:w="640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Inbound orders</w:t>
            </w:r>
          </w:p>
        </w:tc>
        <w:tc>
          <w:tcPr>
            <w:tcW w:w="168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$1,509.9</w:t>
            </w:r>
          </w:p>
        </w:tc>
        <w:tc>
          <w:tcPr>
            <w:tcW w:w="19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$1,553.9</w:t>
            </w:r>
          </w:p>
        </w:tc>
        <w:tc>
          <w:tcPr>
            <w:tcW w:w="146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8"/>
              </w:rPr>
              <w:t>(2.8%)</w:t>
            </w:r>
          </w:p>
        </w:tc>
      </w:tr>
      <w:tr>
        <w:trPr>
          <w:trHeight w:val="264"/>
        </w:trPr>
        <w:tc>
          <w:tcPr>
            <w:tcW w:w="640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Backlog</w:t>
            </w:r>
          </w:p>
        </w:tc>
        <w:tc>
          <w:tcPr>
            <w:tcW w:w="168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$8,655.8</w:t>
            </w:r>
          </w:p>
        </w:tc>
        <w:tc>
          <w:tcPr>
            <w:tcW w:w="19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$6,343.4</w:t>
            </w:r>
          </w:p>
        </w:tc>
        <w:tc>
          <w:tcPr>
            <w:tcW w:w="146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8"/>
              </w:rPr>
              <w:t>36.5%</w:t>
            </w:r>
          </w:p>
        </w:tc>
      </w:tr>
    </w:tbl>
    <w:p>
      <w:pPr>
        <w:spacing w:after="0" w:line="388" w:lineRule="exact"/>
        <w:rPr>
          <w:sz w:val="20"/>
          <w:szCs w:val="20"/>
          <w:color w:val="auto"/>
        </w:rPr>
      </w:pPr>
    </w:p>
    <w:p>
      <w:pPr>
        <w:jc w:val="both"/>
        <w:ind w:right="20"/>
        <w:spacing w:after="0" w:line="242" w:lineRule="auto"/>
        <w:rPr>
          <w:sz w:val="20"/>
          <w:szCs w:val="20"/>
          <w:color w:val="auto"/>
        </w:rPr>
      </w:pPr>
      <w:r>
        <w:rPr>
          <w:rFonts w:ascii="Arial" w:cs="Arial" w:eastAsia="Arial" w:hAnsi="Arial"/>
          <w:sz w:val="20"/>
          <w:szCs w:val="20"/>
          <w:color w:val="auto"/>
        </w:rPr>
        <w:t>Subsea reported third quarter revenue of $1,342.2 million, up 11 percent from the prior year. Revenue increased due to higher project-related activity and growth in services. Revenue growth in the quarter was negatively impacted by the timing of key project milestones, shifting recognition of some anticipated revenue to future periods. The increase in services revenue was driven by higher installation, well intervention and asset refurbishment activities.</w:t>
      </w:r>
    </w:p>
    <w:p>
      <w:pPr>
        <w:spacing w:after="0" w:line="166" w:lineRule="exact"/>
        <w:rPr>
          <w:sz w:val="20"/>
          <w:szCs w:val="20"/>
          <w:color w:val="auto"/>
        </w:rPr>
      </w:pPr>
    </w:p>
    <w:p>
      <w:pPr>
        <w:jc w:val="both"/>
        <w:ind w:right="20"/>
        <w:spacing w:after="0" w:line="242" w:lineRule="auto"/>
        <w:rPr>
          <w:sz w:val="20"/>
          <w:szCs w:val="20"/>
          <w:color w:val="auto"/>
        </w:rPr>
      </w:pPr>
      <w:r>
        <w:rPr>
          <w:rFonts w:ascii="Arial" w:cs="Arial" w:eastAsia="Arial" w:hAnsi="Arial"/>
          <w:sz w:val="20"/>
          <w:szCs w:val="20"/>
          <w:color w:val="auto"/>
        </w:rPr>
        <w:t>Subsea reported operating profit of $45.5 million; adjusted EBITDA was $139.1 million. Operating profit decreased from the prior year due to the impact of more competitively priced backlog and a higher proportion of projects in early phases. These same factors drove the year-over-year decrease in adjusted EBITDA; adjusted EBITDA margin decreased 520 basis points to 10.4 percent.</w:t>
      </w:r>
    </w:p>
    <w:p>
      <w:pPr>
        <w:spacing w:after="0" w:line="166" w:lineRule="exact"/>
        <w:rPr>
          <w:sz w:val="20"/>
          <w:szCs w:val="20"/>
          <w:color w:val="auto"/>
        </w:rPr>
      </w:pPr>
    </w:p>
    <w:p>
      <w:pPr>
        <w:jc w:val="both"/>
        <w:ind w:right="20"/>
        <w:spacing w:after="0" w:line="247" w:lineRule="auto"/>
        <w:rPr>
          <w:sz w:val="20"/>
          <w:szCs w:val="20"/>
          <w:color w:val="auto"/>
        </w:rPr>
      </w:pPr>
      <w:r>
        <w:rPr>
          <w:rFonts w:ascii="Arial" w:cs="Arial" w:eastAsia="Arial" w:hAnsi="Arial"/>
          <w:sz w:val="20"/>
          <w:szCs w:val="20"/>
          <w:color w:val="auto"/>
        </w:rPr>
        <w:t>Vessel utilization rate for the third quarter was 70 percent, up from 69 percent in the second quarter and 69 percent in the prior-year quarter.</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20"/>
          <w:szCs w:val="20"/>
          <w:color w:val="auto"/>
        </w:rPr>
        <w:t>Third Quarter Subsea Highlights</w:t>
      </w:r>
    </w:p>
    <w:p>
      <w:pPr>
        <w:spacing w:after="0" w:line="205" w:lineRule="exact"/>
        <w:rPr>
          <w:sz w:val="20"/>
          <w:szCs w:val="20"/>
          <w:color w:val="auto"/>
        </w:rPr>
      </w:pPr>
    </w:p>
    <w:p>
      <w:pPr>
        <w:ind w:left="660" w:right="6640" w:hanging="328"/>
        <w:spacing w:after="0" w:line="299" w:lineRule="auto"/>
        <w:tabs>
          <w:tab w:leader="none" w:pos="66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Equinor Peregrino Project </w:t>
      </w:r>
      <w:r>
        <w:rPr>
          <w:rFonts w:ascii="Arial" w:cs="Arial" w:eastAsia="Arial" w:hAnsi="Arial"/>
          <w:sz w:val="17"/>
          <w:szCs w:val="17"/>
          <w:b w:val="1"/>
          <w:bCs w:val="1"/>
          <w:color w:val="auto"/>
        </w:rPr>
        <w:t>(Brazil)</w:t>
      </w:r>
      <w:r>
        <w:rPr>
          <w:rFonts w:ascii="Arial" w:cs="Arial" w:eastAsia="Arial" w:hAnsi="Arial"/>
          <w:sz w:val="19"/>
          <w:szCs w:val="19"/>
          <w:b w:val="1"/>
          <w:bCs w:val="1"/>
          <w:color w:val="auto"/>
        </w:rPr>
        <w:t xml:space="preserve"> </w:t>
      </w:r>
      <w:r>
        <w:rPr>
          <w:rFonts w:ascii="Arial" w:cs="Arial" w:eastAsia="Arial" w:hAnsi="Arial"/>
          <w:sz w:val="19"/>
          <w:szCs w:val="19"/>
          <w:color w:val="auto"/>
        </w:rPr>
        <w:t>Successful completion of Deep Blue campaign.</w:t>
      </w:r>
    </w:p>
    <w:p>
      <w:pPr>
        <w:spacing w:after="0" w:line="130" w:lineRule="exact"/>
        <w:rPr>
          <w:rFonts w:ascii="Arial" w:cs="Arial" w:eastAsia="Arial" w:hAnsi="Arial"/>
          <w:sz w:val="19"/>
          <w:szCs w:val="19"/>
          <w:b w:val="1"/>
          <w:bCs w:val="1"/>
          <w:color w:val="auto"/>
        </w:rPr>
      </w:pPr>
    </w:p>
    <w:p>
      <w:pPr>
        <w:ind w:left="660" w:hanging="328"/>
        <w:spacing w:after="0"/>
        <w:tabs>
          <w:tab w:leader="none" w:pos="660" w:val="left"/>
        </w:tabs>
        <w:numPr>
          <w:ilvl w:val="0"/>
          <w:numId w:val="3"/>
        </w:numPr>
        <w:rPr>
          <w:rFonts w:ascii="Arial" w:cs="Arial" w:eastAsia="Arial" w:hAnsi="Arial"/>
          <w:sz w:val="20"/>
          <w:szCs w:val="20"/>
          <w:color w:val="auto"/>
        </w:rPr>
      </w:pPr>
      <w:r>
        <w:rPr>
          <w:rFonts w:ascii="Arial" w:cs="Arial" w:eastAsia="Arial" w:hAnsi="Arial"/>
          <w:sz w:val="20"/>
          <w:szCs w:val="20"/>
          <w:b w:val="1"/>
          <w:bCs w:val="1"/>
          <w:color w:val="auto"/>
        </w:rPr>
        <w:t xml:space="preserve">Shell BC-10 </w:t>
      </w:r>
      <w:r>
        <w:rPr>
          <w:rFonts w:ascii="Arial" w:cs="Arial" w:eastAsia="Arial" w:hAnsi="Arial"/>
          <w:sz w:val="18"/>
          <w:szCs w:val="18"/>
          <w:b w:val="1"/>
          <w:bCs w:val="1"/>
          <w:color w:val="auto"/>
        </w:rPr>
        <w:t>(Brazil)</w:t>
      </w:r>
    </w:p>
    <w:p>
      <w:pPr>
        <w:spacing w:after="0" w:line="23"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color w:val="auto"/>
        </w:rPr>
        <w:t>Successful installation of Subsea 2.0™ compact manifold.</w:t>
      </w:r>
    </w:p>
    <w:p>
      <w:pPr>
        <w:spacing w:after="0" w:line="191" w:lineRule="exact"/>
        <w:rPr>
          <w:rFonts w:ascii="Arial" w:cs="Arial" w:eastAsia="Arial" w:hAnsi="Arial"/>
          <w:sz w:val="20"/>
          <w:szCs w:val="20"/>
          <w:color w:val="auto"/>
        </w:rPr>
      </w:pPr>
    </w:p>
    <w:p>
      <w:pPr>
        <w:ind w:left="660" w:hanging="328"/>
        <w:spacing w:after="0"/>
        <w:tabs>
          <w:tab w:leader="none" w:pos="660" w:val="left"/>
        </w:tabs>
        <w:numPr>
          <w:ilvl w:val="0"/>
          <w:numId w:val="3"/>
        </w:numPr>
        <w:rPr>
          <w:rFonts w:ascii="Arial" w:cs="Arial" w:eastAsia="Arial" w:hAnsi="Arial"/>
          <w:sz w:val="20"/>
          <w:szCs w:val="20"/>
          <w:color w:val="auto"/>
        </w:rPr>
      </w:pPr>
      <w:r>
        <w:rPr>
          <w:rFonts w:ascii="Arial" w:cs="Arial" w:eastAsia="Arial" w:hAnsi="Arial"/>
          <w:sz w:val="20"/>
          <w:szCs w:val="20"/>
          <w:b w:val="1"/>
          <w:bCs w:val="1"/>
          <w:color w:val="auto"/>
        </w:rPr>
        <w:t xml:space="preserve">Enquest Scolty </w:t>
      </w:r>
      <w:r>
        <w:rPr>
          <w:rFonts w:ascii="Arial" w:cs="Arial" w:eastAsia="Arial" w:hAnsi="Arial"/>
          <w:sz w:val="18"/>
          <w:szCs w:val="18"/>
          <w:b w:val="1"/>
          <w:bCs w:val="1"/>
          <w:color w:val="auto"/>
        </w:rPr>
        <w:t>(United Kingdom)</w:t>
      </w:r>
    </w:p>
    <w:p>
      <w:pPr>
        <w:spacing w:after="0" w:line="23"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color w:val="auto"/>
        </w:rPr>
        <w:t>Offshore campaign completed ahead of schedule; builds upon previous track record for project delivery with Enquest.</w:t>
      </w:r>
    </w:p>
    <w:p>
      <w:pPr>
        <w:spacing w:after="0" w:line="200" w:lineRule="exact"/>
        <w:rPr>
          <w:sz w:val="20"/>
          <w:szCs w:val="20"/>
          <w:color w:val="auto"/>
        </w:rPr>
      </w:pPr>
    </w:p>
    <w:p>
      <w:pPr>
        <w:spacing w:after="0" w:line="249" w:lineRule="exact"/>
        <w:rPr>
          <w:sz w:val="20"/>
          <w:szCs w:val="20"/>
          <w:color w:val="auto"/>
        </w:rPr>
      </w:pPr>
    </w:p>
    <w:p>
      <w:pPr>
        <w:ind w:left="5180"/>
        <w:spacing w:after="0"/>
        <w:tabs>
          <w:tab w:leader="none" w:pos="10500" w:val="left"/>
        </w:tabs>
        <w:rPr>
          <w:rFonts w:ascii="Arial" w:cs="Arial" w:eastAsia="Arial" w:hAnsi="Arial"/>
          <w:sz w:val="14"/>
          <w:szCs w:val="14"/>
          <w:b w:val="1"/>
          <w:bCs w:val="1"/>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 xml:space="preserve">Page 3 of </w:t>
      </w:r>
      <w:hyperlink w:anchor="page29">
        <w:r>
          <w:rPr>
            <w:rFonts w:ascii="Arial" w:cs="Arial" w:eastAsia="Arial" w:hAnsi="Arial"/>
            <w:sz w:val="14"/>
            <w:szCs w:val="14"/>
            <w:b w:val="1"/>
            <w:bCs w:val="1"/>
            <w:color w:val="auto"/>
          </w:rPr>
          <w:t>24</w:t>
        </w:r>
      </w:hyperlink>
    </w:p>
    <w:p>
      <w:pPr>
        <w:sectPr>
          <w:pgSz w:w="11900" w:h="16838" w:orient="portrait"/>
          <w:cols w:equalWidth="0" w:num="1">
            <w:col w:w="11440"/>
          </w:cols>
          <w:pgMar w:left="240" w:top="1192" w:right="219" w:bottom="1440" w:gutter="0" w:footer="0" w:header="0"/>
        </w:sectPr>
      </w:pPr>
    </w:p>
    <w:bookmarkStart w:id="7" w:name="page8"/>
    <w:bookmarkEnd w:id="7"/>
    <w:p>
      <w:pPr>
        <w:ind w:left="660" w:hanging="328"/>
        <w:spacing w:after="0"/>
        <w:tabs>
          <w:tab w:leader="none" w:pos="660" w:val="left"/>
        </w:tabs>
        <w:numPr>
          <w:ilvl w:val="0"/>
          <w:numId w:val="4"/>
        </w:numPr>
        <w:rPr>
          <w:rFonts w:ascii="Arial" w:cs="Arial" w:eastAsia="Arial" w:hAnsi="Arial"/>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2778760" cy="5314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2778760" cy="531495"/>
                    </a:xfrm>
                    <a:prstGeom prst="rect">
                      <a:avLst/>
                    </a:prstGeom>
                    <a:noFill/>
                  </pic:spPr>
                </pic:pic>
              </a:graphicData>
            </a:graphic>
          </wp:anchor>
        </w:drawing>
        <w:t xml:space="preserve">Wintershall DEA Dvalin </w:t>
      </w:r>
      <w:r>
        <w:rPr>
          <w:rFonts w:ascii="Arial" w:cs="Arial" w:eastAsia="Arial" w:hAnsi="Arial"/>
          <w:sz w:val="18"/>
          <w:szCs w:val="18"/>
          <w:b w:val="1"/>
          <w:bCs w:val="1"/>
          <w:color w:val="auto"/>
        </w:rPr>
        <w:t>(Norway)</w:t>
      </w:r>
    </w:p>
    <w:p>
      <w:pPr>
        <w:spacing w:after="0" w:line="23"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color w:val="auto"/>
        </w:rPr>
        <w:t>Offshore installation completed</w:t>
      </w:r>
      <w:r>
        <w:rPr>
          <w:rFonts w:ascii="Arial" w:cs="Arial" w:eastAsia="Arial" w:hAnsi="Arial"/>
          <w:sz w:val="18"/>
          <w:szCs w:val="18"/>
          <w:color w:val="auto"/>
        </w:rPr>
        <w:t>;</w:t>
      </w:r>
      <w:r>
        <w:rPr>
          <w:rFonts w:ascii="Arial" w:cs="Arial" w:eastAsia="Arial" w:hAnsi="Arial"/>
          <w:sz w:val="20"/>
          <w:szCs w:val="20"/>
          <w:color w:val="auto"/>
        </w:rPr>
        <w:t xml:space="preserve"> subsea field to be tied back to the Heidrun platform.</w:t>
      </w:r>
    </w:p>
    <w:p>
      <w:pPr>
        <w:spacing w:after="0" w:line="200" w:lineRule="exact"/>
        <w:rPr>
          <w:sz w:val="20"/>
          <w:szCs w:val="20"/>
          <w:color w:val="auto"/>
        </w:rPr>
      </w:pPr>
    </w:p>
    <w:p>
      <w:pPr>
        <w:spacing w:after="0" w:line="259" w:lineRule="exact"/>
        <w:rPr>
          <w:sz w:val="20"/>
          <w:szCs w:val="20"/>
          <w:color w:val="auto"/>
        </w:rPr>
      </w:pPr>
    </w:p>
    <w:p>
      <w:pPr>
        <w:spacing w:after="0" w:line="247" w:lineRule="auto"/>
        <w:rPr>
          <w:sz w:val="20"/>
          <w:szCs w:val="20"/>
          <w:color w:val="auto"/>
        </w:rPr>
      </w:pPr>
      <w:r>
        <w:rPr>
          <w:rFonts w:ascii="Arial" w:cs="Arial" w:eastAsia="Arial" w:hAnsi="Arial"/>
          <w:sz w:val="20"/>
          <w:szCs w:val="20"/>
          <w:color w:val="auto"/>
        </w:rPr>
        <w:t>Subsea inbound orders for the quarter were $1,509.9 million, resulting in a book-to-bill of 1.1. The following awards were announced subsequent to our second quarter earnings release:</w:t>
      </w:r>
    </w:p>
    <w:p>
      <w:pPr>
        <w:spacing w:after="0" w:line="191" w:lineRule="exact"/>
        <w:rPr>
          <w:sz w:val="20"/>
          <w:szCs w:val="20"/>
          <w:color w:val="auto"/>
        </w:rPr>
      </w:pPr>
    </w:p>
    <w:p>
      <w:pPr>
        <w:ind w:left="660" w:hanging="328"/>
        <w:spacing w:after="0"/>
        <w:tabs>
          <w:tab w:leader="none" w:pos="660" w:val="left"/>
        </w:tabs>
        <w:numPr>
          <w:ilvl w:val="0"/>
          <w:numId w:val="5"/>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Neptune Energy Seagull iEPCI™ Project </w:t>
      </w:r>
      <w:r>
        <w:rPr>
          <w:rFonts w:ascii="Arial" w:cs="Arial" w:eastAsia="Arial" w:hAnsi="Arial"/>
          <w:sz w:val="18"/>
          <w:szCs w:val="18"/>
          <w:b w:val="1"/>
          <w:bCs w:val="1"/>
          <w:color w:val="auto"/>
        </w:rPr>
        <w:t>(North Sea)</w:t>
      </w:r>
    </w:p>
    <w:p>
      <w:pPr>
        <w:spacing w:after="0" w:line="23" w:lineRule="exact"/>
        <w:rPr>
          <w:rFonts w:ascii="Arial" w:cs="Arial" w:eastAsia="Arial" w:hAnsi="Arial"/>
          <w:sz w:val="20"/>
          <w:szCs w:val="20"/>
          <w:b w:val="1"/>
          <w:bCs w:val="1"/>
          <w:color w:val="auto"/>
        </w:rPr>
      </w:pPr>
    </w:p>
    <w:p>
      <w:pPr>
        <w:jc w:val="both"/>
        <w:ind w:left="660"/>
        <w:spacing w:after="0"/>
        <w:rPr>
          <w:rFonts w:ascii="Arial" w:cs="Arial" w:eastAsia="Arial" w:hAnsi="Arial"/>
          <w:sz w:val="20"/>
          <w:szCs w:val="20"/>
          <w:b w:val="1"/>
          <w:bCs w:val="1"/>
          <w:color w:val="auto"/>
        </w:rPr>
      </w:pPr>
      <w:r>
        <w:rPr>
          <w:rFonts w:ascii="Arial" w:cs="Arial" w:eastAsia="Arial" w:hAnsi="Arial"/>
          <w:sz w:val="20"/>
          <w:szCs w:val="20"/>
          <w:color w:val="auto"/>
        </w:rPr>
        <w:t>Significant* iEPCI™ contract from Neptune Energy for the Seagull project. The contract covers the manufacturing, delivery and installation of subsea equipment including production and water wash pipelines, umbilicals, subsea structures and control systems.</w:t>
      </w:r>
    </w:p>
    <w:p>
      <w:pPr>
        <w:spacing w:after="0" w:line="1" w:lineRule="exact"/>
        <w:rPr>
          <w:rFonts w:ascii="Arial" w:cs="Arial" w:eastAsia="Arial" w:hAnsi="Arial"/>
          <w:sz w:val="20"/>
          <w:szCs w:val="20"/>
          <w:b w:val="1"/>
          <w:bCs w:val="1"/>
          <w:color w:val="auto"/>
        </w:rPr>
      </w:pPr>
    </w:p>
    <w:p>
      <w:pPr>
        <w:ind w:left="660"/>
        <w:spacing w:after="0"/>
        <w:rPr>
          <w:rFonts w:ascii="Arial" w:cs="Arial" w:eastAsia="Arial" w:hAnsi="Arial"/>
          <w:sz w:val="20"/>
          <w:szCs w:val="20"/>
          <w:b w:val="1"/>
          <w:bCs w:val="1"/>
          <w:color w:val="auto"/>
        </w:rPr>
      </w:pPr>
      <w:r>
        <w:rPr>
          <w:rFonts w:ascii="Arial" w:cs="Arial" w:eastAsia="Arial" w:hAnsi="Arial"/>
          <w:sz w:val="18"/>
          <w:szCs w:val="18"/>
          <w:i w:val="1"/>
          <w:iCs w:val="1"/>
          <w:color w:val="auto"/>
        </w:rPr>
        <w:t>* A “significant” award ranges between $75 million and $250 million.</w:t>
      </w:r>
    </w:p>
    <w:p>
      <w:pPr>
        <w:spacing w:after="0" w:line="198" w:lineRule="exact"/>
        <w:rPr>
          <w:rFonts w:ascii="Arial" w:cs="Arial" w:eastAsia="Arial" w:hAnsi="Arial"/>
          <w:sz w:val="20"/>
          <w:szCs w:val="20"/>
          <w:b w:val="1"/>
          <w:bCs w:val="1"/>
          <w:color w:val="auto"/>
        </w:rPr>
      </w:pPr>
    </w:p>
    <w:p>
      <w:pPr>
        <w:ind w:left="660" w:hanging="328"/>
        <w:spacing w:after="0"/>
        <w:tabs>
          <w:tab w:leader="none" w:pos="660" w:val="left"/>
        </w:tabs>
        <w:numPr>
          <w:ilvl w:val="0"/>
          <w:numId w:val="5"/>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Shell PowerNap iEPCI™ Project </w:t>
      </w:r>
      <w:r>
        <w:rPr>
          <w:rFonts w:ascii="Arial" w:cs="Arial" w:eastAsia="Arial" w:hAnsi="Arial"/>
          <w:sz w:val="18"/>
          <w:szCs w:val="18"/>
          <w:b w:val="1"/>
          <w:bCs w:val="1"/>
          <w:color w:val="auto"/>
        </w:rPr>
        <w:t>(Gulf of Mexico)</w:t>
      </w:r>
    </w:p>
    <w:p>
      <w:pPr>
        <w:spacing w:after="0" w:line="23" w:lineRule="exact"/>
        <w:rPr>
          <w:rFonts w:ascii="Arial" w:cs="Arial" w:eastAsia="Arial" w:hAnsi="Arial"/>
          <w:sz w:val="20"/>
          <w:szCs w:val="20"/>
          <w:b w:val="1"/>
          <w:bCs w:val="1"/>
          <w:color w:val="auto"/>
        </w:rPr>
      </w:pPr>
    </w:p>
    <w:p>
      <w:pPr>
        <w:jc w:val="both"/>
        <w:ind w:left="660"/>
        <w:spacing w:after="0"/>
        <w:rPr>
          <w:rFonts w:ascii="Arial" w:cs="Arial" w:eastAsia="Arial" w:hAnsi="Arial"/>
          <w:sz w:val="20"/>
          <w:szCs w:val="20"/>
          <w:b w:val="1"/>
          <w:bCs w:val="1"/>
          <w:color w:val="auto"/>
        </w:rPr>
      </w:pPr>
      <w:r>
        <w:rPr>
          <w:rFonts w:ascii="Arial" w:cs="Arial" w:eastAsia="Arial" w:hAnsi="Arial"/>
          <w:sz w:val="20"/>
          <w:szCs w:val="20"/>
          <w:color w:val="auto"/>
        </w:rPr>
        <w:t>Significant* iEPCI™ contract from Shell for the PowerNap project. The contract covers the design, manufacturing and installation of subsea hardware, including subsea tree systems, subsea distribution controls, topside controls, flying leads and connectors for three wells, in addition to the supply of 20 miles of production umbilical and flowlines.</w:t>
      </w:r>
    </w:p>
    <w:p>
      <w:pPr>
        <w:spacing w:after="0" w:line="1" w:lineRule="exact"/>
        <w:rPr>
          <w:rFonts w:ascii="Arial" w:cs="Arial" w:eastAsia="Arial" w:hAnsi="Arial"/>
          <w:sz w:val="20"/>
          <w:szCs w:val="20"/>
          <w:b w:val="1"/>
          <w:bCs w:val="1"/>
          <w:color w:val="auto"/>
        </w:rPr>
      </w:pPr>
    </w:p>
    <w:p>
      <w:pPr>
        <w:ind w:left="660"/>
        <w:spacing w:after="0"/>
        <w:rPr>
          <w:rFonts w:ascii="Arial" w:cs="Arial" w:eastAsia="Arial" w:hAnsi="Arial"/>
          <w:sz w:val="20"/>
          <w:szCs w:val="20"/>
          <w:b w:val="1"/>
          <w:bCs w:val="1"/>
          <w:color w:val="auto"/>
        </w:rPr>
      </w:pPr>
      <w:r>
        <w:rPr>
          <w:rFonts w:ascii="Arial" w:cs="Arial" w:eastAsia="Arial" w:hAnsi="Arial"/>
          <w:sz w:val="18"/>
          <w:szCs w:val="18"/>
          <w:i w:val="1"/>
          <w:iCs w:val="1"/>
          <w:color w:val="auto"/>
        </w:rPr>
        <w:t>* A “significant” award ranges between $75 million and $250 million.</w:t>
      </w:r>
    </w:p>
    <w:p>
      <w:pPr>
        <w:spacing w:after="0" w:line="211" w:lineRule="exact"/>
        <w:rPr>
          <w:rFonts w:ascii="Arial" w:cs="Arial" w:eastAsia="Arial" w:hAnsi="Arial"/>
          <w:sz w:val="20"/>
          <w:szCs w:val="20"/>
          <w:b w:val="1"/>
          <w:bCs w:val="1"/>
          <w:color w:val="auto"/>
        </w:rPr>
      </w:pPr>
    </w:p>
    <w:p>
      <w:pPr>
        <w:ind w:left="660" w:hanging="328"/>
        <w:spacing w:after="0"/>
        <w:tabs>
          <w:tab w:leader="none" w:pos="660" w:val="left"/>
        </w:tabs>
        <w:numPr>
          <w:ilvl w:val="0"/>
          <w:numId w:val="5"/>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Woodside Pyxis iEPCI™ Project </w:t>
      </w:r>
      <w:r>
        <w:rPr>
          <w:rFonts w:ascii="Arial" w:cs="Arial" w:eastAsia="Arial" w:hAnsi="Arial"/>
          <w:sz w:val="18"/>
          <w:szCs w:val="18"/>
          <w:b w:val="1"/>
          <w:bCs w:val="1"/>
          <w:color w:val="auto"/>
        </w:rPr>
        <w:t>(Australia)</w:t>
      </w:r>
    </w:p>
    <w:p>
      <w:pPr>
        <w:spacing w:after="0" w:line="23" w:lineRule="exact"/>
        <w:rPr>
          <w:rFonts w:ascii="Arial" w:cs="Arial" w:eastAsia="Arial" w:hAnsi="Arial"/>
          <w:sz w:val="20"/>
          <w:szCs w:val="20"/>
          <w:b w:val="1"/>
          <w:bCs w:val="1"/>
          <w:color w:val="auto"/>
        </w:rPr>
      </w:pPr>
    </w:p>
    <w:p>
      <w:pPr>
        <w:jc w:val="both"/>
        <w:ind w:left="660"/>
        <w:spacing w:after="0"/>
        <w:rPr>
          <w:rFonts w:ascii="Arial" w:cs="Arial" w:eastAsia="Arial" w:hAnsi="Arial"/>
          <w:sz w:val="20"/>
          <w:szCs w:val="20"/>
          <w:b w:val="1"/>
          <w:bCs w:val="1"/>
          <w:color w:val="auto"/>
        </w:rPr>
      </w:pPr>
      <w:r>
        <w:rPr>
          <w:rFonts w:ascii="Arial" w:cs="Arial" w:eastAsia="Arial" w:hAnsi="Arial"/>
          <w:sz w:val="20"/>
          <w:szCs w:val="20"/>
          <w:color w:val="auto"/>
        </w:rPr>
        <w:t>Significant* iEPCI™ contract from Woodside for the development of the Pyxis and Xena fields. The contract covers the design, manufacturing, delivery and installation of subsea equipment including subsea production system, flexible flowlines and umbilicals.</w:t>
      </w:r>
    </w:p>
    <w:p>
      <w:pPr>
        <w:spacing w:after="0" w:line="1" w:lineRule="exact"/>
        <w:rPr>
          <w:rFonts w:ascii="Arial" w:cs="Arial" w:eastAsia="Arial" w:hAnsi="Arial"/>
          <w:sz w:val="20"/>
          <w:szCs w:val="20"/>
          <w:b w:val="1"/>
          <w:bCs w:val="1"/>
          <w:color w:val="auto"/>
        </w:rPr>
      </w:pPr>
    </w:p>
    <w:p>
      <w:pPr>
        <w:ind w:left="660"/>
        <w:spacing w:after="0"/>
        <w:rPr>
          <w:rFonts w:ascii="Arial" w:cs="Arial" w:eastAsia="Arial" w:hAnsi="Arial"/>
          <w:sz w:val="20"/>
          <w:szCs w:val="20"/>
          <w:b w:val="1"/>
          <w:bCs w:val="1"/>
          <w:color w:val="auto"/>
        </w:rPr>
      </w:pPr>
      <w:r>
        <w:rPr>
          <w:rFonts w:ascii="Arial" w:cs="Arial" w:eastAsia="Arial" w:hAnsi="Arial"/>
          <w:sz w:val="18"/>
          <w:szCs w:val="18"/>
          <w:i w:val="1"/>
          <w:iCs w:val="1"/>
          <w:color w:val="auto"/>
        </w:rPr>
        <w:t>* A “significant” award ranges between $75 million and $250 million.</w:t>
      </w:r>
    </w:p>
    <w:p>
      <w:pPr>
        <w:spacing w:after="0" w:line="198" w:lineRule="exact"/>
        <w:rPr>
          <w:rFonts w:ascii="Arial" w:cs="Arial" w:eastAsia="Arial" w:hAnsi="Arial"/>
          <w:sz w:val="20"/>
          <w:szCs w:val="20"/>
          <w:b w:val="1"/>
          <w:bCs w:val="1"/>
          <w:color w:val="auto"/>
        </w:rPr>
      </w:pPr>
    </w:p>
    <w:p>
      <w:pPr>
        <w:ind w:left="660" w:hanging="328"/>
        <w:spacing w:after="0"/>
        <w:tabs>
          <w:tab w:leader="none" w:pos="660" w:val="left"/>
        </w:tabs>
        <w:numPr>
          <w:ilvl w:val="0"/>
          <w:numId w:val="5"/>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Shell Perdido Phase 2 iEPCI™ Project </w:t>
      </w:r>
      <w:r>
        <w:rPr>
          <w:rFonts w:ascii="Arial" w:cs="Arial" w:eastAsia="Arial" w:hAnsi="Arial"/>
          <w:sz w:val="18"/>
          <w:szCs w:val="18"/>
          <w:b w:val="1"/>
          <w:bCs w:val="1"/>
          <w:color w:val="auto"/>
        </w:rPr>
        <w:t>(Gulf of Mexico)</w:t>
      </w:r>
    </w:p>
    <w:p>
      <w:pPr>
        <w:spacing w:after="0" w:line="23" w:lineRule="exact"/>
        <w:rPr>
          <w:rFonts w:ascii="Arial" w:cs="Arial" w:eastAsia="Arial" w:hAnsi="Arial"/>
          <w:sz w:val="20"/>
          <w:szCs w:val="20"/>
          <w:b w:val="1"/>
          <w:bCs w:val="1"/>
          <w:color w:val="auto"/>
        </w:rPr>
      </w:pPr>
    </w:p>
    <w:p>
      <w:pPr>
        <w:jc w:val="both"/>
        <w:ind w:left="660"/>
        <w:spacing w:after="0"/>
        <w:rPr>
          <w:rFonts w:ascii="Arial" w:cs="Arial" w:eastAsia="Arial" w:hAnsi="Arial"/>
          <w:sz w:val="20"/>
          <w:szCs w:val="20"/>
          <w:b w:val="1"/>
          <w:bCs w:val="1"/>
          <w:color w:val="auto"/>
        </w:rPr>
      </w:pPr>
      <w:r>
        <w:rPr>
          <w:rFonts w:ascii="Arial" w:cs="Arial" w:eastAsia="Arial" w:hAnsi="Arial"/>
          <w:sz w:val="20"/>
          <w:szCs w:val="20"/>
          <w:color w:val="auto"/>
        </w:rPr>
        <w:t>iEPCI™ contract from Shell for the Perdido Phase 2 project. The contract covers the delivery and installation of subsea equipment, including flexible flowlines, flexible jumpers, steel flying leads and electrical flying leads, and will utilize the Subsea 2.0™ In-Line Compact Manifold.</w:t>
      </w:r>
    </w:p>
    <w:p>
      <w:pPr>
        <w:spacing w:after="0" w:line="1" w:lineRule="exact"/>
        <w:rPr>
          <w:rFonts w:ascii="Arial" w:cs="Arial" w:eastAsia="Arial" w:hAnsi="Arial"/>
          <w:sz w:val="20"/>
          <w:szCs w:val="20"/>
          <w:b w:val="1"/>
          <w:bCs w:val="1"/>
          <w:color w:val="auto"/>
        </w:rPr>
      </w:pPr>
    </w:p>
    <w:p>
      <w:pPr>
        <w:ind w:left="660"/>
        <w:spacing w:after="0"/>
        <w:rPr>
          <w:rFonts w:ascii="Arial" w:cs="Arial" w:eastAsia="Arial" w:hAnsi="Arial"/>
          <w:sz w:val="20"/>
          <w:szCs w:val="20"/>
          <w:b w:val="1"/>
          <w:bCs w:val="1"/>
          <w:color w:val="auto"/>
        </w:rPr>
      </w:pPr>
      <w:r>
        <w:rPr>
          <w:rFonts w:ascii="Arial" w:cs="Arial" w:eastAsia="Arial" w:hAnsi="Arial"/>
          <w:sz w:val="18"/>
          <w:szCs w:val="18"/>
          <w:i w:val="1"/>
          <w:iCs w:val="1"/>
          <w:color w:val="auto"/>
        </w:rPr>
        <w:t>Note: this inbound order was included in the Company’s second quarter financial results.</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40" w:type="dxa"/>
            <w:vAlign w:val="bottom"/>
            <w:tcBorders>
              <w:top w:val="single" w:sz="8" w:color="B6DDE8"/>
              <w:right w:val="single" w:sz="8" w:color="B6DDE8"/>
            </w:tcBorders>
            <w:shd w:val="clear" w:color="auto" w:fill="B6DDE8"/>
          </w:tcPr>
          <w:p>
            <w:pPr>
              <w:spacing w:after="0"/>
              <w:rPr>
                <w:sz w:val="22"/>
                <w:szCs w:val="22"/>
                <w:color w:val="auto"/>
              </w:rPr>
            </w:pPr>
          </w:p>
        </w:tc>
        <w:tc>
          <w:tcPr>
            <w:tcW w:w="7260" w:type="dxa"/>
            <w:vAlign w:val="bottom"/>
            <w:tcBorders>
              <w:top w:val="single" w:sz="8" w:color="B6DDE8"/>
              <w:right w:val="single" w:sz="8" w:color="B6DDE8"/>
            </w:tcBorders>
          </w:tcPr>
          <w:p>
            <w:pPr>
              <w:spacing w:after="0"/>
              <w:rPr>
                <w:sz w:val="20"/>
                <w:szCs w:val="20"/>
                <w:color w:val="auto"/>
              </w:rPr>
            </w:pPr>
            <w:r>
              <w:rPr>
                <w:rFonts w:ascii="Arial" w:cs="Arial" w:eastAsia="Arial" w:hAnsi="Arial"/>
                <w:sz w:val="20"/>
                <w:szCs w:val="20"/>
                <w:b w:val="1"/>
                <w:bCs w:val="1"/>
                <w:color w:val="auto"/>
              </w:rPr>
              <w:t>Subsea</w:t>
            </w:r>
          </w:p>
        </w:tc>
        <w:tc>
          <w:tcPr>
            <w:tcW w:w="2040" w:type="dxa"/>
            <w:vAlign w:val="bottom"/>
            <w:tcBorders>
              <w:top w:val="single" w:sz="8" w:color="B6DDE8"/>
              <w:right w:val="single" w:sz="8" w:color="B6DDE8"/>
            </w:tcBorders>
            <w:vMerge w:val="restart"/>
          </w:tcPr>
          <w:p>
            <w:pPr>
              <w:jc w:val="right"/>
              <w:spacing w:after="0"/>
              <w:rPr>
                <w:sz w:val="20"/>
                <w:szCs w:val="20"/>
                <w:color w:val="auto"/>
              </w:rPr>
            </w:pPr>
            <w:r>
              <w:rPr>
                <w:rFonts w:ascii="Arial" w:cs="Arial" w:eastAsia="Arial" w:hAnsi="Arial"/>
                <w:sz w:val="20"/>
                <w:szCs w:val="20"/>
                <w:color w:val="auto"/>
                <w:w w:val="99"/>
              </w:rPr>
              <w:t>Consolidated backlog*</w:t>
            </w:r>
          </w:p>
        </w:tc>
        <w:tc>
          <w:tcPr>
            <w:tcW w:w="2040" w:type="dxa"/>
            <w:vAlign w:val="bottom"/>
            <w:tcBorders>
              <w:top w:val="single" w:sz="8" w:color="B6DDE8"/>
              <w:right w:val="single" w:sz="8" w:color="B6DDE8"/>
            </w:tcBorders>
            <w:vMerge w:val="restart"/>
          </w:tcPr>
          <w:p>
            <w:pPr>
              <w:jc w:val="right"/>
              <w:ind w:right="161"/>
              <w:spacing w:after="0"/>
              <w:rPr>
                <w:sz w:val="20"/>
                <w:szCs w:val="20"/>
                <w:color w:val="auto"/>
              </w:rPr>
            </w:pPr>
            <w:r>
              <w:rPr>
                <w:rFonts w:ascii="Arial" w:cs="Arial" w:eastAsia="Arial" w:hAnsi="Arial"/>
                <w:sz w:val="20"/>
                <w:szCs w:val="20"/>
                <w:color w:val="auto"/>
              </w:rPr>
              <w:t>Non-consolidated</w:t>
            </w:r>
          </w:p>
        </w:tc>
        <w:tc>
          <w:tcPr>
            <w:tcW w:w="0" w:type="dxa"/>
            <w:vAlign w:val="bottom"/>
          </w:tcPr>
          <w:p>
            <w:pPr>
              <w:spacing w:after="0"/>
              <w:rPr>
                <w:sz w:val="1"/>
                <w:szCs w:val="1"/>
                <w:color w:val="auto"/>
              </w:rPr>
            </w:pPr>
          </w:p>
        </w:tc>
      </w:tr>
      <w:tr>
        <w:trPr>
          <w:trHeight w:val="65"/>
        </w:trPr>
        <w:tc>
          <w:tcPr>
            <w:tcW w:w="40" w:type="dxa"/>
            <w:vAlign w:val="bottom"/>
            <w:tcBorders>
              <w:right w:val="single" w:sz="8" w:color="B6DDE8"/>
            </w:tcBorders>
            <w:shd w:val="clear" w:color="auto" w:fill="B6DDE8"/>
          </w:tcPr>
          <w:p>
            <w:pPr>
              <w:spacing w:after="0"/>
              <w:rPr>
                <w:sz w:val="5"/>
                <w:szCs w:val="5"/>
                <w:color w:val="auto"/>
              </w:rPr>
            </w:pPr>
          </w:p>
        </w:tc>
        <w:tc>
          <w:tcPr>
            <w:tcW w:w="7260" w:type="dxa"/>
            <w:vAlign w:val="bottom"/>
            <w:tcBorders>
              <w:right w:val="single" w:sz="8" w:color="B6DDE8"/>
            </w:tcBorders>
            <w:vMerge w:val="restart"/>
          </w:tcPr>
          <w:p>
            <w:pPr>
              <w:spacing w:after="0"/>
              <w:rPr>
                <w:sz w:val="20"/>
                <w:szCs w:val="20"/>
                <w:color w:val="auto"/>
              </w:rPr>
            </w:pPr>
            <w:r>
              <w:rPr>
                <w:rFonts w:ascii="Arial" w:cs="Arial" w:eastAsia="Arial" w:hAnsi="Arial"/>
                <w:sz w:val="18"/>
                <w:szCs w:val="18"/>
                <w:color w:val="auto"/>
              </w:rPr>
              <w:t>Estimated Backlog Scheduling as of September 30, 2019</w:t>
            </w:r>
          </w:p>
        </w:tc>
        <w:tc>
          <w:tcPr>
            <w:tcW w:w="2040" w:type="dxa"/>
            <w:vAlign w:val="bottom"/>
            <w:tcBorders>
              <w:right w:val="single" w:sz="8" w:color="B6DDE8"/>
            </w:tcBorders>
            <w:vMerge w:val="continue"/>
          </w:tcPr>
          <w:p>
            <w:pPr>
              <w:spacing w:after="0"/>
              <w:rPr>
                <w:sz w:val="5"/>
                <w:szCs w:val="5"/>
                <w:color w:val="auto"/>
              </w:rPr>
            </w:pPr>
          </w:p>
        </w:tc>
        <w:tc>
          <w:tcPr>
            <w:tcW w:w="2040" w:type="dxa"/>
            <w:vAlign w:val="bottom"/>
            <w:tcBorders>
              <w:right w:val="single" w:sz="8" w:color="B6DDE8"/>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0" w:type="dxa"/>
            <w:vAlign w:val="bottom"/>
            <w:tcBorders>
              <w:right w:val="single" w:sz="8" w:color="B6DDE8"/>
            </w:tcBorders>
            <w:shd w:val="clear" w:color="auto" w:fill="B6DDE8"/>
          </w:tcPr>
          <w:p>
            <w:pPr>
              <w:spacing w:after="0"/>
              <w:rPr>
                <w:sz w:val="12"/>
                <w:szCs w:val="12"/>
                <w:color w:val="auto"/>
              </w:rPr>
            </w:pPr>
          </w:p>
        </w:tc>
        <w:tc>
          <w:tcPr>
            <w:tcW w:w="7260" w:type="dxa"/>
            <w:vAlign w:val="bottom"/>
            <w:tcBorders>
              <w:right w:val="single" w:sz="8" w:color="B6DDE8"/>
            </w:tcBorders>
            <w:vMerge w:val="continue"/>
          </w:tcPr>
          <w:p>
            <w:pPr>
              <w:spacing w:after="0"/>
              <w:rPr>
                <w:sz w:val="12"/>
                <w:szCs w:val="12"/>
                <w:color w:val="auto"/>
              </w:rPr>
            </w:pPr>
          </w:p>
        </w:tc>
        <w:tc>
          <w:tcPr>
            <w:tcW w:w="2040" w:type="dxa"/>
            <w:vAlign w:val="bottom"/>
            <w:tcBorders>
              <w:right w:val="single" w:sz="8" w:color="B6DDE8"/>
            </w:tcBorders>
            <w:vMerge w:val="continue"/>
          </w:tcPr>
          <w:p>
            <w:pPr>
              <w:spacing w:after="0"/>
              <w:rPr>
                <w:sz w:val="12"/>
                <w:szCs w:val="12"/>
                <w:color w:val="auto"/>
              </w:rPr>
            </w:pPr>
          </w:p>
        </w:tc>
        <w:tc>
          <w:tcPr>
            <w:tcW w:w="2040" w:type="dxa"/>
            <w:vAlign w:val="bottom"/>
            <w:tcBorders>
              <w:right w:val="single" w:sz="8" w:color="B6DDE8"/>
            </w:tcBorders>
            <w:vMerge w:val="restart"/>
          </w:tcPr>
          <w:p>
            <w:pPr>
              <w:jc w:val="right"/>
              <w:ind w:right="501"/>
              <w:spacing w:after="0"/>
              <w:rPr>
                <w:sz w:val="20"/>
                <w:szCs w:val="20"/>
                <w:color w:val="auto"/>
              </w:rPr>
            </w:pPr>
            <w:r>
              <w:rPr>
                <w:rFonts w:ascii="Arial" w:cs="Arial" w:eastAsia="Arial" w:hAnsi="Arial"/>
                <w:sz w:val="20"/>
                <w:szCs w:val="20"/>
                <w:color w:val="auto"/>
              </w:rPr>
              <w:t>backlog**</w:t>
            </w:r>
          </w:p>
        </w:tc>
        <w:tc>
          <w:tcPr>
            <w:tcW w:w="0" w:type="dxa"/>
            <w:vAlign w:val="bottom"/>
          </w:tcPr>
          <w:p>
            <w:pPr>
              <w:spacing w:after="0"/>
              <w:rPr>
                <w:sz w:val="1"/>
                <w:szCs w:val="1"/>
                <w:color w:val="auto"/>
              </w:rPr>
            </w:pPr>
          </w:p>
        </w:tc>
      </w:tr>
      <w:tr>
        <w:trPr>
          <w:trHeight w:val="94"/>
        </w:trPr>
        <w:tc>
          <w:tcPr>
            <w:tcW w:w="40" w:type="dxa"/>
            <w:vAlign w:val="bottom"/>
            <w:tcBorders>
              <w:right w:val="single" w:sz="8" w:color="B6DDE8"/>
            </w:tcBorders>
            <w:shd w:val="clear" w:color="auto" w:fill="B6DDE8"/>
          </w:tcPr>
          <w:p>
            <w:pPr>
              <w:spacing w:after="0"/>
              <w:rPr>
                <w:sz w:val="8"/>
                <w:szCs w:val="8"/>
                <w:color w:val="auto"/>
              </w:rPr>
            </w:pPr>
          </w:p>
        </w:tc>
        <w:tc>
          <w:tcPr>
            <w:tcW w:w="7260" w:type="dxa"/>
            <w:vAlign w:val="bottom"/>
            <w:tcBorders>
              <w:right w:val="single" w:sz="8" w:color="B6DDE8"/>
            </w:tcBorders>
            <w:vMerge w:val="restart"/>
          </w:tcPr>
          <w:p>
            <w:pPr>
              <w:spacing w:after="0"/>
              <w:rPr>
                <w:sz w:val="20"/>
                <w:szCs w:val="20"/>
                <w:color w:val="auto"/>
              </w:rPr>
            </w:pPr>
            <w:r>
              <w:rPr>
                <w:rFonts w:ascii="Arial" w:cs="Arial" w:eastAsia="Arial" w:hAnsi="Arial"/>
                <w:sz w:val="14"/>
                <w:szCs w:val="14"/>
                <w:color w:val="auto"/>
              </w:rPr>
              <w:t>(In millions)</w:t>
            </w:r>
          </w:p>
        </w:tc>
        <w:tc>
          <w:tcPr>
            <w:tcW w:w="2040" w:type="dxa"/>
            <w:vAlign w:val="bottom"/>
            <w:tcBorders>
              <w:right w:val="single" w:sz="8" w:color="B6DDE8"/>
            </w:tcBorders>
          </w:tcPr>
          <w:p>
            <w:pPr>
              <w:spacing w:after="0"/>
              <w:rPr>
                <w:sz w:val="8"/>
                <w:szCs w:val="8"/>
                <w:color w:val="auto"/>
              </w:rPr>
            </w:pPr>
          </w:p>
        </w:tc>
        <w:tc>
          <w:tcPr>
            <w:tcW w:w="2040" w:type="dxa"/>
            <w:vAlign w:val="bottom"/>
            <w:tcBorders>
              <w:right w:val="single" w:sz="8" w:color="B6DDE8"/>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0" w:type="dxa"/>
            <w:vAlign w:val="bottom"/>
            <w:tcBorders>
              <w:bottom w:val="single" w:sz="8" w:color="B6DDE8"/>
              <w:right w:val="single" w:sz="8" w:color="B6DDE8"/>
            </w:tcBorders>
            <w:shd w:val="clear" w:color="auto" w:fill="B6DDE8"/>
          </w:tcPr>
          <w:p>
            <w:pPr>
              <w:spacing w:after="0"/>
              <w:rPr>
                <w:sz w:val="8"/>
                <w:szCs w:val="8"/>
                <w:color w:val="auto"/>
              </w:rPr>
            </w:pPr>
          </w:p>
        </w:tc>
        <w:tc>
          <w:tcPr>
            <w:tcW w:w="7260" w:type="dxa"/>
            <w:vAlign w:val="bottom"/>
            <w:tcBorders>
              <w:bottom w:val="single" w:sz="8" w:color="B8CCE4"/>
              <w:right w:val="single" w:sz="8" w:color="B6DDE8"/>
            </w:tcBorders>
            <w:vMerge w:val="continue"/>
          </w:tcPr>
          <w:p>
            <w:pPr>
              <w:spacing w:after="0"/>
              <w:rPr>
                <w:sz w:val="8"/>
                <w:szCs w:val="8"/>
                <w:color w:val="auto"/>
              </w:rPr>
            </w:pPr>
          </w:p>
        </w:tc>
        <w:tc>
          <w:tcPr>
            <w:tcW w:w="2040" w:type="dxa"/>
            <w:vAlign w:val="bottom"/>
            <w:tcBorders>
              <w:bottom w:val="single" w:sz="8" w:color="B8CCE4"/>
              <w:right w:val="single" w:sz="8" w:color="B6DDE8"/>
            </w:tcBorders>
          </w:tcPr>
          <w:p>
            <w:pPr>
              <w:spacing w:after="0"/>
              <w:rPr>
                <w:sz w:val="8"/>
                <w:szCs w:val="8"/>
                <w:color w:val="auto"/>
              </w:rPr>
            </w:pPr>
          </w:p>
        </w:tc>
        <w:tc>
          <w:tcPr>
            <w:tcW w:w="2040" w:type="dxa"/>
            <w:vAlign w:val="bottom"/>
            <w:tcBorders>
              <w:bottom w:val="single" w:sz="8" w:color="B8CCE4"/>
              <w:right w:val="single" w:sz="8" w:color="B6DDE8"/>
            </w:tcBorders>
          </w:tcPr>
          <w:p>
            <w:pPr>
              <w:spacing w:after="0"/>
              <w:rPr>
                <w:sz w:val="8"/>
                <w:szCs w:val="8"/>
                <w:color w:val="auto"/>
              </w:rPr>
            </w:pPr>
          </w:p>
        </w:tc>
        <w:tc>
          <w:tcPr>
            <w:tcW w:w="0" w:type="dxa"/>
            <w:vAlign w:val="bottom"/>
          </w:tcPr>
          <w:p>
            <w:pPr>
              <w:spacing w:after="0"/>
              <w:rPr>
                <w:sz w:val="1"/>
                <w:szCs w:val="1"/>
                <w:color w:val="auto"/>
              </w:rPr>
            </w:pPr>
          </w:p>
        </w:tc>
      </w:tr>
      <w:tr>
        <w:trPr>
          <w:trHeight w:val="266"/>
        </w:trPr>
        <w:tc>
          <w:tcPr>
            <w:tcW w:w="40" w:type="dxa"/>
            <w:vAlign w:val="bottom"/>
            <w:tcBorders>
              <w:bottom w:val="single" w:sz="8" w:color="B6DDE8"/>
              <w:right w:val="single" w:sz="8" w:color="B6DDE8"/>
            </w:tcBorders>
            <w:shd w:val="clear" w:color="auto" w:fill="B6DDE8"/>
          </w:tcPr>
          <w:p>
            <w:pPr>
              <w:spacing w:after="0"/>
              <w:rPr>
                <w:sz w:val="23"/>
                <w:szCs w:val="23"/>
                <w:color w:val="auto"/>
              </w:rPr>
            </w:pPr>
          </w:p>
        </w:tc>
        <w:tc>
          <w:tcPr>
            <w:tcW w:w="7260" w:type="dxa"/>
            <w:vAlign w:val="bottom"/>
            <w:tcBorders>
              <w:bottom w:val="single" w:sz="8" w:color="B6DDE8"/>
              <w:right w:val="single" w:sz="8" w:color="B6DDE8"/>
            </w:tcBorders>
          </w:tcPr>
          <w:p>
            <w:pPr>
              <w:spacing w:after="0"/>
              <w:rPr>
                <w:sz w:val="20"/>
                <w:szCs w:val="20"/>
                <w:color w:val="auto"/>
              </w:rPr>
            </w:pPr>
            <w:r>
              <w:rPr>
                <w:rFonts w:ascii="Arial" w:cs="Arial" w:eastAsia="Arial" w:hAnsi="Arial"/>
                <w:sz w:val="20"/>
                <w:szCs w:val="20"/>
                <w:b w:val="1"/>
                <w:bCs w:val="1"/>
                <w:color w:val="auto"/>
              </w:rPr>
              <w:t>2019 (3 months)</w:t>
            </w:r>
          </w:p>
        </w:tc>
        <w:tc>
          <w:tcPr>
            <w:tcW w:w="2040" w:type="dxa"/>
            <w:vAlign w:val="bottom"/>
            <w:tcBorders>
              <w:bottom w:val="single" w:sz="8" w:color="B6DDE8"/>
              <w:right w:val="single" w:sz="8" w:color="B6DDE8"/>
            </w:tcBorders>
          </w:tcPr>
          <w:p>
            <w:pPr>
              <w:jc w:val="right"/>
              <w:spacing w:after="0"/>
              <w:rPr>
                <w:sz w:val="20"/>
                <w:szCs w:val="20"/>
                <w:color w:val="auto"/>
              </w:rPr>
            </w:pPr>
            <w:r>
              <w:rPr>
                <w:rFonts w:ascii="Arial" w:cs="Arial" w:eastAsia="Arial" w:hAnsi="Arial"/>
                <w:sz w:val="20"/>
                <w:szCs w:val="20"/>
                <w:color w:val="auto"/>
              </w:rPr>
              <w:t>$1,425.6</w:t>
            </w:r>
          </w:p>
        </w:tc>
        <w:tc>
          <w:tcPr>
            <w:tcW w:w="2040" w:type="dxa"/>
            <w:vAlign w:val="bottom"/>
            <w:tcBorders>
              <w:bottom w:val="single" w:sz="8" w:color="B6DDE8"/>
              <w:right w:val="single" w:sz="8" w:color="B6DDE8"/>
            </w:tcBorders>
          </w:tcPr>
          <w:p>
            <w:pPr>
              <w:jc w:val="right"/>
              <w:spacing w:after="0"/>
              <w:rPr>
                <w:sz w:val="20"/>
                <w:szCs w:val="20"/>
                <w:color w:val="auto"/>
              </w:rPr>
            </w:pPr>
            <w:r>
              <w:rPr>
                <w:rFonts w:ascii="Arial" w:cs="Arial" w:eastAsia="Arial" w:hAnsi="Arial"/>
                <w:sz w:val="20"/>
                <w:szCs w:val="20"/>
                <w:color w:val="auto"/>
              </w:rPr>
              <w:t>$40.5</w:t>
            </w:r>
          </w:p>
        </w:tc>
        <w:tc>
          <w:tcPr>
            <w:tcW w:w="0" w:type="dxa"/>
            <w:vAlign w:val="bottom"/>
          </w:tcPr>
          <w:p>
            <w:pPr>
              <w:spacing w:after="0"/>
              <w:rPr>
                <w:sz w:val="1"/>
                <w:szCs w:val="1"/>
                <w:color w:val="auto"/>
              </w:rPr>
            </w:pPr>
          </w:p>
        </w:tc>
      </w:tr>
      <w:tr>
        <w:trPr>
          <w:trHeight w:val="264"/>
        </w:trPr>
        <w:tc>
          <w:tcPr>
            <w:tcW w:w="40" w:type="dxa"/>
            <w:vAlign w:val="bottom"/>
            <w:tcBorders>
              <w:bottom w:val="single" w:sz="8" w:color="B6DDE8"/>
              <w:right w:val="single" w:sz="8" w:color="B6DDE8"/>
            </w:tcBorders>
            <w:shd w:val="clear" w:color="auto" w:fill="B6DDE8"/>
          </w:tcPr>
          <w:p>
            <w:pPr>
              <w:spacing w:after="0"/>
              <w:rPr>
                <w:sz w:val="22"/>
                <w:szCs w:val="22"/>
                <w:color w:val="auto"/>
              </w:rPr>
            </w:pPr>
          </w:p>
        </w:tc>
        <w:tc>
          <w:tcPr>
            <w:tcW w:w="7260" w:type="dxa"/>
            <w:vAlign w:val="bottom"/>
            <w:tcBorders>
              <w:bottom w:val="single" w:sz="8" w:color="B6DDE8"/>
              <w:right w:val="single" w:sz="8" w:color="B6DDE8"/>
            </w:tcBorders>
          </w:tcPr>
          <w:p>
            <w:pPr>
              <w:spacing w:after="0"/>
              <w:rPr>
                <w:sz w:val="20"/>
                <w:szCs w:val="20"/>
                <w:color w:val="auto"/>
              </w:rPr>
            </w:pPr>
            <w:r>
              <w:rPr>
                <w:rFonts w:ascii="Arial" w:cs="Arial" w:eastAsia="Arial" w:hAnsi="Arial"/>
                <w:sz w:val="20"/>
                <w:szCs w:val="20"/>
                <w:b w:val="1"/>
                <w:bCs w:val="1"/>
                <w:color w:val="auto"/>
              </w:rPr>
              <w:t>2020</w:t>
            </w:r>
          </w:p>
        </w:tc>
        <w:tc>
          <w:tcPr>
            <w:tcW w:w="2040" w:type="dxa"/>
            <w:vAlign w:val="bottom"/>
            <w:tcBorders>
              <w:bottom w:val="single" w:sz="8" w:color="B6DDE8"/>
              <w:right w:val="single" w:sz="8" w:color="B6DDE8"/>
            </w:tcBorders>
          </w:tcPr>
          <w:p>
            <w:pPr>
              <w:jc w:val="right"/>
              <w:spacing w:after="0"/>
              <w:rPr>
                <w:sz w:val="20"/>
                <w:szCs w:val="20"/>
                <w:color w:val="auto"/>
              </w:rPr>
            </w:pPr>
            <w:r>
              <w:rPr>
                <w:rFonts w:ascii="Arial" w:cs="Arial" w:eastAsia="Arial" w:hAnsi="Arial"/>
                <w:sz w:val="20"/>
                <w:szCs w:val="20"/>
                <w:color w:val="auto"/>
              </w:rPr>
              <w:t>$4,251.0</w:t>
            </w:r>
          </w:p>
        </w:tc>
        <w:tc>
          <w:tcPr>
            <w:tcW w:w="2040" w:type="dxa"/>
            <w:vAlign w:val="bottom"/>
            <w:tcBorders>
              <w:bottom w:val="single" w:sz="8" w:color="B6DDE8"/>
              <w:right w:val="single" w:sz="8" w:color="B6DDE8"/>
            </w:tcBorders>
          </w:tcPr>
          <w:p>
            <w:pPr>
              <w:jc w:val="right"/>
              <w:spacing w:after="0"/>
              <w:rPr>
                <w:sz w:val="20"/>
                <w:szCs w:val="20"/>
                <w:color w:val="auto"/>
              </w:rPr>
            </w:pPr>
            <w:r>
              <w:rPr>
                <w:rFonts w:ascii="Arial" w:cs="Arial" w:eastAsia="Arial" w:hAnsi="Arial"/>
                <w:sz w:val="20"/>
                <w:szCs w:val="20"/>
                <w:color w:val="auto"/>
              </w:rPr>
              <w:t>$138.3</w:t>
            </w:r>
          </w:p>
        </w:tc>
        <w:tc>
          <w:tcPr>
            <w:tcW w:w="0" w:type="dxa"/>
            <w:vAlign w:val="bottom"/>
          </w:tcPr>
          <w:p>
            <w:pPr>
              <w:spacing w:after="0"/>
              <w:rPr>
                <w:sz w:val="1"/>
                <w:szCs w:val="1"/>
                <w:color w:val="auto"/>
              </w:rPr>
            </w:pPr>
          </w:p>
        </w:tc>
      </w:tr>
      <w:tr>
        <w:trPr>
          <w:trHeight w:val="264"/>
        </w:trPr>
        <w:tc>
          <w:tcPr>
            <w:tcW w:w="40" w:type="dxa"/>
            <w:vAlign w:val="bottom"/>
            <w:tcBorders>
              <w:bottom w:val="single" w:sz="8" w:color="B6DDE8"/>
              <w:right w:val="single" w:sz="8" w:color="B6DDE8"/>
            </w:tcBorders>
            <w:shd w:val="clear" w:color="auto" w:fill="B6DDE8"/>
          </w:tcPr>
          <w:p>
            <w:pPr>
              <w:spacing w:after="0"/>
              <w:rPr>
                <w:sz w:val="22"/>
                <w:szCs w:val="22"/>
                <w:color w:val="auto"/>
              </w:rPr>
            </w:pPr>
          </w:p>
        </w:tc>
        <w:tc>
          <w:tcPr>
            <w:tcW w:w="7260" w:type="dxa"/>
            <w:vAlign w:val="bottom"/>
            <w:tcBorders>
              <w:bottom w:val="single" w:sz="8" w:color="B6DDE8"/>
              <w:right w:val="single" w:sz="8" w:color="B6DDE8"/>
            </w:tcBorders>
          </w:tcPr>
          <w:p>
            <w:pPr>
              <w:spacing w:after="0"/>
              <w:rPr>
                <w:sz w:val="20"/>
                <w:szCs w:val="20"/>
                <w:color w:val="auto"/>
              </w:rPr>
            </w:pPr>
            <w:r>
              <w:rPr>
                <w:rFonts w:ascii="Arial" w:cs="Arial" w:eastAsia="Arial" w:hAnsi="Arial"/>
                <w:sz w:val="20"/>
                <w:szCs w:val="20"/>
                <w:b w:val="1"/>
                <w:bCs w:val="1"/>
                <w:color w:val="auto"/>
              </w:rPr>
              <w:t>2021 and beyond</w:t>
            </w:r>
          </w:p>
        </w:tc>
        <w:tc>
          <w:tcPr>
            <w:tcW w:w="2040" w:type="dxa"/>
            <w:vAlign w:val="bottom"/>
            <w:tcBorders>
              <w:bottom w:val="single" w:sz="8" w:color="B6DDE8"/>
              <w:right w:val="single" w:sz="8" w:color="B6DDE8"/>
            </w:tcBorders>
          </w:tcPr>
          <w:p>
            <w:pPr>
              <w:jc w:val="right"/>
              <w:spacing w:after="0"/>
              <w:rPr>
                <w:sz w:val="20"/>
                <w:szCs w:val="20"/>
                <w:color w:val="auto"/>
              </w:rPr>
            </w:pPr>
            <w:r>
              <w:rPr>
                <w:rFonts w:ascii="Arial" w:cs="Arial" w:eastAsia="Arial" w:hAnsi="Arial"/>
                <w:sz w:val="20"/>
                <w:szCs w:val="20"/>
                <w:color w:val="auto"/>
              </w:rPr>
              <w:t>$2,979.2</w:t>
            </w:r>
          </w:p>
        </w:tc>
        <w:tc>
          <w:tcPr>
            <w:tcW w:w="2040" w:type="dxa"/>
            <w:vAlign w:val="bottom"/>
            <w:tcBorders>
              <w:bottom w:val="single" w:sz="8" w:color="B6DDE8"/>
              <w:right w:val="single" w:sz="8" w:color="B6DDE8"/>
            </w:tcBorders>
          </w:tcPr>
          <w:p>
            <w:pPr>
              <w:jc w:val="right"/>
              <w:spacing w:after="0"/>
              <w:rPr>
                <w:sz w:val="20"/>
                <w:szCs w:val="20"/>
                <w:color w:val="auto"/>
              </w:rPr>
            </w:pPr>
            <w:r>
              <w:rPr>
                <w:rFonts w:ascii="Arial" w:cs="Arial" w:eastAsia="Arial" w:hAnsi="Arial"/>
                <w:sz w:val="20"/>
                <w:szCs w:val="20"/>
                <w:color w:val="auto"/>
              </w:rPr>
              <w:t>$663.3</w:t>
            </w:r>
          </w:p>
        </w:tc>
        <w:tc>
          <w:tcPr>
            <w:tcW w:w="0" w:type="dxa"/>
            <w:vAlign w:val="bottom"/>
          </w:tcPr>
          <w:p>
            <w:pPr>
              <w:spacing w:after="0"/>
              <w:rPr>
                <w:sz w:val="1"/>
                <w:szCs w:val="1"/>
                <w:color w:val="auto"/>
              </w:rPr>
            </w:pPr>
          </w:p>
        </w:tc>
      </w:tr>
      <w:tr>
        <w:trPr>
          <w:trHeight w:val="264"/>
        </w:trPr>
        <w:tc>
          <w:tcPr>
            <w:tcW w:w="40" w:type="dxa"/>
            <w:vAlign w:val="bottom"/>
            <w:tcBorders>
              <w:bottom w:val="single" w:sz="8" w:color="B6DDE8"/>
              <w:right w:val="single" w:sz="8" w:color="B6DDE8"/>
            </w:tcBorders>
            <w:shd w:val="clear" w:color="auto" w:fill="B6DDE8"/>
          </w:tcPr>
          <w:p>
            <w:pPr>
              <w:spacing w:after="0"/>
              <w:rPr>
                <w:sz w:val="22"/>
                <w:szCs w:val="22"/>
                <w:color w:val="auto"/>
              </w:rPr>
            </w:pPr>
          </w:p>
        </w:tc>
        <w:tc>
          <w:tcPr>
            <w:tcW w:w="7260" w:type="dxa"/>
            <w:vAlign w:val="bottom"/>
            <w:tcBorders>
              <w:bottom w:val="single" w:sz="8" w:color="B6DDE8"/>
              <w:right w:val="single" w:sz="8" w:color="B6DDE8"/>
            </w:tcBorders>
          </w:tcPr>
          <w:p>
            <w:pPr>
              <w:spacing w:after="0"/>
              <w:rPr>
                <w:sz w:val="20"/>
                <w:szCs w:val="20"/>
                <w:color w:val="auto"/>
              </w:rPr>
            </w:pPr>
            <w:r>
              <w:rPr>
                <w:rFonts w:ascii="Arial" w:cs="Arial" w:eastAsia="Arial" w:hAnsi="Arial"/>
                <w:sz w:val="20"/>
                <w:szCs w:val="20"/>
                <w:b w:val="1"/>
                <w:bCs w:val="1"/>
                <w:color w:val="auto"/>
              </w:rPr>
              <w:t>Total</w:t>
            </w:r>
          </w:p>
        </w:tc>
        <w:tc>
          <w:tcPr>
            <w:tcW w:w="2040" w:type="dxa"/>
            <w:vAlign w:val="bottom"/>
            <w:tcBorders>
              <w:bottom w:val="single" w:sz="8" w:color="B6DDE8"/>
              <w:right w:val="single" w:sz="8" w:color="B6DDE8"/>
            </w:tcBorders>
          </w:tcPr>
          <w:p>
            <w:pPr>
              <w:jc w:val="right"/>
              <w:spacing w:after="0"/>
              <w:rPr>
                <w:sz w:val="20"/>
                <w:szCs w:val="20"/>
                <w:color w:val="auto"/>
              </w:rPr>
            </w:pPr>
            <w:r>
              <w:rPr>
                <w:rFonts w:ascii="Arial" w:cs="Arial" w:eastAsia="Arial" w:hAnsi="Arial"/>
                <w:sz w:val="20"/>
                <w:szCs w:val="20"/>
                <w:b w:val="1"/>
                <w:bCs w:val="1"/>
                <w:color w:val="auto"/>
              </w:rPr>
              <w:t>$8,655.8</w:t>
            </w:r>
          </w:p>
        </w:tc>
        <w:tc>
          <w:tcPr>
            <w:tcW w:w="2040" w:type="dxa"/>
            <w:vAlign w:val="bottom"/>
            <w:tcBorders>
              <w:bottom w:val="single" w:sz="8" w:color="B6DDE8"/>
              <w:right w:val="single" w:sz="8" w:color="B6DDE8"/>
            </w:tcBorders>
          </w:tcPr>
          <w:p>
            <w:pPr>
              <w:jc w:val="right"/>
              <w:spacing w:after="0"/>
              <w:rPr>
                <w:sz w:val="20"/>
                <w:szCs w:val="20"/>
                <w:color w:val="auto"/>
              </w:rPr>
            </w:pPr>
            <w:r>
              <w:rPr>
                <w:rFonts w:ascii="Arial" w:cs="Arial" w:eastAsia="Arial" w:hAnsi="Arial"/>
                <w:sz w:val="20"/>
                <w:szCs w:val="20"/>
                <w:b w:val="1"/>
                <w:bCs w:val="1"/>
                <w:color w:val="auto"/>
              </w:rPr>
              <w:t>$842.1</w:t>
            </w:r>
          </w:p>
        </w:tc>
        <w:tc>
          <w:tcPr>
            <w:tcW w:w="0" w:type="dxa"/>
            <w:vAlign w:val="bottom"/>
          </w:tcPr>
          <w:p>
            <w:pPr>
              <w:spacing w:after="0"/>
              <w:rPr>
                <w:sz w:val="1"/>
                <w:szCs w:val="1"/>
                <w:color w:val="auto"/>
              </w:rPr>
            </w:pPr>
          </w:p>
        </w:tc>
      </w:tr>
    </w:tbl>
    <w:p>
      <w:pPr>
        <w:spacing w:after="0" w:line="8" w:lineRule="exact"/>
        <w:rPr>
          <w:sz w:val="20"/>
          <w:szCs w:val="20"/>
          <w:color w:val="auto"/>
        </w:rPr>
      </w:pPr>
    </w:p>
    <w:p>
      <w:pPr>
        <w:ind w:left="160" w:hanging="125"/>
        <w:spacing w:after="0"/>
        <w:tabs>
          <w:tab w:leader="none" w:pos="160"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i w:val="1"/>
          <w:iCs w:val="1"/>
          <w:color w:val="auto"/>
        </w:rPr>
        <w:t>Backlog does not capture all revenue potential for subsea services.</w:t>
      </w:r>
    </w:p>
    <w:p>
      <w:pPr>
        <w:spacing w:after="0" w:line="50" w:lineRule="exact"/>
        <w:rPr>
          <w:sz w:val="20"/>
          <w:szCs w:val="20"/>
          <w:color w:val="auto"/>
        </w:rPr>
      </w:pPr>
    </w:p>
    <w:p>
      <w:pPr>
        <w:ind w:left="40" w:right="460" w:hanging="5"/>
        <w:spacing w:after="0" w:line="267" w:lineRule="auto"/>
        <w:tabs>
          <w:tab w:leader="none" w:pos="230"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i w:val="1"/>
          <w:iCs w:val="1"/>
          <w:color w:val="auto"/>
        </w:rPr>
        <w:t>Non-consolidated backlog reflects the proportional share of backlog related to joint ventures that is not consolidated due to our minority ownership position.</w:t>
      </w:r>
    </w:p>
    <w:p>
      <w:pPr>
        <w:spacing w:after="0" w:line="200" w:lineRule="exact"/>
        <w:rPr>
          <w:sz w:val="20"/>
          <w:szCs w:val="20"/>
          <w:color w:val="auto"/>
        </w:rPr>
      </w:pPr>
    </w:p>
    <w:p>
      <w:pPr>
        <w:spacing w:after="0" w:line="236" w:lineRule="exact"/>
        <w:rPr>
          <w:sz w:val="20"/>
          <w:szCs w:val="20"/>
          <w:color w:val="auto"/>
        </w:rPr>
      </w:pPr>
    </w:p>
    <w:p>
      <w:pPr>
        <w:ind w:left="5180"/>
        <w:spacing w:after="0"/>
        <w:tabs>
          <w:tab w:leader="none" w:pos="10500" w:val="left"/>
        </w:tabs>
        <w:rPr>
          <w:rFonts w:ascii="Arial" w:cs="Arial" w:eastAsia="Arial" w:hAnsi="Arial"/>
          <w:sz w:val="14"/>
          <w:szCs w:val="14"/>
          <w:b w:val="1"/>
          <w:bCs w:val="1"/>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 xml:space="preserve">Page 4 of </w:t>
      </w:r>
      <w:hyperlink w:anchor="page29">
        <w:r>
          <w:rPr>
            <w:rFonts w:ascii="Arial" w:cs="Arial" w:eastAsia="Arial" w:hAnsi="Arial"/>
            <w:sz w:val="14"/>
            <w:szCs w:val="14"/>
            <w:b w:val="1"/>
            <w:bCs w:val="1"/>
            <w:color w:val="auto"/>
          </w:rPr>
          <w:t>24</w:t>
        </w:r>
      </w:hyperlink>
    </w:p>
    <w:p>
      <w:pPr>
        <w:sectPr>
          <w:pgSz w:w="11900" w:h="16838" w:orient="portrait"/>
          <w:cols w:equalWidth="0" w:num="1">
            <w:col w:w="11420"/>
          </w:cols>
          <w:pgMar w:left="240" w:top="1408" w:right="239" w:bottom="1440" w:gutter="0" w:footer="0" w:header="0"/>
        </w:sectPr>
      </w:pPr>
    </w:p>
    <w:bookmarkStart w:id="8" w:name="page9"/>
    <w:bookmarkEnd w:id="8"/>
    <w:p>
      <w:pPr>
        <w:ind w:left="40"/>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2778760" cy="5314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2778760" cy="531495"/>
                    </a:xfrm>
                    <a:prstGeom prst="rect">
                      <a:avLst/>
                    </a:prstGeom>
                    <a:noFill/>
                  </pic:spPr>
                </pic:pic>
              </a:graphicData>
            </a:graphic>
          </wp:anchor>
        </w:drawing>
        <w:t>Onshore/Offshore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Financial Highlights</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Reconciliation of U.S. GAAP to non-GAAP financial measures are below and in financial schedules.</w:t>
      </w:r>
    </w:p>
    <w:p>
      <w:pPr>
        <w:spacing w:after="0" w:line="125"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6160" w:type="dxa"/>
            <w:vAlign w:val="bottom"/>
            <w:tcBorders>
              <w:top w:val="single" w:sz="8" w:color="B8CCE4"/>
              <w:left w:val="single" w:sz="8" w:color="B8CCE4"/>
              <w:right w:val="single" w:sz="8" w:color="B8CCE4"/>
            </w:tcBorders>
          </w:tcPr>
          <w:p>
            <w:pPr>
              <w:ind w:left="40"/>
              <w:spacing w:after="0"/>
              <w:rPr>
                <w:sz w:val="20"/>
                <w:szCs w:val="20"/>
                <w:color w:val="auto"/>
              </w:rPr>
            </w:pPr>
            <w:r>
              <w:rPr>
                <w:rFonts w:ascii="Arial" w:cs="Arial" w:eastAsia="Arial" w:hAnsi="Arial"/>
                <w:sz w:val="14"/>
                <w:szCs w:val="14"/>
                <w:b w:val="1"/>
                <w:bCs w:val="1"/>
                <w:color w:val="auto"/>
              </w:rPr>
              <w:t>Three Months Ended</w:t>
            </w:r>
          </w:p>
        </w:tc>
        <w:tc>
          <w:tcPr>
            <w:tcW w:w="1900" w:type="dxa"/>
            <w:vAlign w:val="bottom"/>
            <w:tcBorders>
              <w:top w:val="single" w:sz="8" w:color="B8CCE4"/>
              <w:right w:val="single" w:sz="8" w:color="B8CCE4"/>
            </w:tcBorders>
          </w:tcPr>
          <w:p>
            <w:pPr>
              <w:jc w:val="right"/>
              <w:ind w:right="368"/>
              <w:spacing w:after="0"/>
              <w:rPr>
                <w:sz w:val="20"/>
                <w:szCs w:val="20"/>
                <w:color w:val="auto"/>
              </w:rPr>
            </w:pPr>
            <w:r>
              <w:rPr>
                <w:rFonts w:ascii="Arial" w:cs="Arial" w:eastAsia="Arial" w:hAnsi="Arial"/>
                <w:sz w:val="14"/>
                <w:szCs w:val="14"/>
                <w:b w:val="1"/>
                <w:bCs w:val="1"/>
                <w:color w:val="auto"/>
              </w:rPr>
              <w:t>September 30,</w:t>
            </w:r>
          </w:p>
        </w:tc>
        <w:tc>
          <w:tcPr>
            <w:tcW w:w="1800" w:type="dxa"/>
            <w:vAlign w:val="bottom"/>
            <w:tcBorders>
              <w:top w:val="single" w:sz="8" w:color="B8CCE4"/>
              <w:right w:val="single" w:sz="8" w:color="B8CCE4"/>
            </w:tcBorders>
          </w:tcPr>
          <w:p>
            <w:pPr>
              <w:jc w:val="right"/>
              <w:ind w:right="328"/>
              <w:spacing w:after="0"/>
              <w:rPr>
                <w:sz w:val="20"/>
                <w:szCs w:val="20"/>
                <w:color w:val="auto"/>
              </w:rPr>
            </w:pPr>
            <w:r>
              <w:rPr>
                <w:rFonts w:ascii="Arial" w:cs="Arial" w:eastAsia="Arial" w:hAnsi="Arial"/>
                <w:sz w:val="14"/>
                <w:szCs w:val="14"/>
                <w:b w:val="1"/>
                <w:bCs w:val="1"/>
                <w:color w:val="auto"/>
              </w:rPr>
              <w:t>September 30,</w:t>
            </w:r>
          </w:p>
        </w:tc>
        <w:tc>
          <w:tcPr>
            <w:tcW w:w="1580" w:type="dxa"/>
            <w:vAlign w:val="bottom"/>
            <w:tcBorders>
              <w:top w:val="single" w:sz="8" w:color="B8CCE4"/>
              <w:right w:val="single" w:sz="8" w:color="B8CCE4"/>
            </w:tcBorders>
          </w:tcPr>
          <w:p>
            <w:pPr>
              <w:spacing w:after="0"/>
              <w:rPr>
                <w:sz w:val="16"/>
                <w:szCs w:val="16"/>
                <w:color w:val="auto"/>
              </w:rPr>
            </w:pPr>
          </w:p>
        </w:tc>
      </w:tr>
      <w:tr>
        <w:trPr>
          <w:trHeight w:val="196"/>
        </w:trPr>
        <w:tc>
          <w:tcPr>
            <w:tcW w:w="616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1900" w:type="dxa"/>
            <w:vAlign w:val="bottom"/>
            <w:tcBorders>
              <w:bottom w:val="single" w:sz="8" w:color="B8CCE4"/>
              <w:right w:val="single" w:sz="8" w:color="B8CCE4"/>
            </w:tcBorders>
          </w:tcPr>
          <w:p>
            <w:pPr>
              <w:jc w:val="right"/>
              <w:ind w:right="708"/>
              <w:spacing w:after="0"/>
              <w:rPr>
                <w:sz w:val="20"/>
                <w:szCs w:val="20"/>
                <w:color w:val="auto"/>
              </w:rPr>
            </w:pPr>
            <w:r>
              <w:rPr>
                <w:rFonts w:ascii="Arial" w:cs="Arial" w:eastAsia="Arial" w:hAnsi="Arial"/>
                <w:sz w:val="14"/>
                <w:szCs w:val="14"/>
                <w:b w:val="1"/>
                <w:bCs w:val="1"/>
                <w:color w:val="auto"/>
              </w:rPr>
              <w:t>2019</w:t>
            </w:r>
          </w:p>
        </w:tc>
        <w:tc>
          <w:tcPr>
            <w:tcW w:w="1800" w:type="dxa"/>
            <w:vAlign w:val="bottom"/>
            <w:tcBorders>
              <w:bottom w:val="single" w:sz="8" w:color="B8CCE4"/>
              <w:right w:val="single" w:sz="8" w:color="B8CCE4"/>
            </w:tcBorders>
          </w:tcPr>
          <w:p>
            <w:pPr>
              <w:jc w:val="right"/>
              <w:ind w:right="668"/>
              <w:spacing w:after="0"/>
              <w:rPr>
                <w:sz w:val="20"/>
                <w:szCs w:val="20"/>
                <w:color w:val="auto"/>
              </w:rPr>
            </w:pPr>
            <w:r>
              <w:rPr>
                <w:rFonts w:ascii="Arial" w:cs="Arial" w:eastAsia="Arial" w:hAnsi="Arial"/>
                <w:sz w:val="14"/>
                <w:szCs w:val="14"/>
                <w:b w:val="1"/>
                <w:bCs w:val="1"/>
                <w:color w:val="auto"/>
              </w:rPr>
              <w:t>2018</w:t>
            </w:r>
          </w:p>
        </w:tc>
        <w:tc>
          <w:tcPr>
            <w:tcW w:w="158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14"/>
                <w:szCs w:val="14"/>
                <w:b w:val="1"/>
                <w:bCs w:val="1"/>
                <w:color w:val="auto"/>
              </w:rPr>
              <w:t>Change</w:t>
            </w:r>
          </w:p>
        </w:tc>
      </w:tr>
      <w:tr>
        <w:trPr>
          <w:trHeight w:val="265"/>
        </w:trPr>
        <w:tc>
          <w:tcPr>
            <w:tcW w:w="616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Revenue</w:t>
            </w:r>
          </w:p>
        </w:tc>
        <w:tc>
          <w:tcPr>
            <w:tcW w:w="19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$1,596.3</w:t>
            </w:r>
          </w:p>
        </w:tc>
        <w:tc>
          <w:tcPr>
            <w:tcW w:w="18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$1,532.5</w:t>
            </w:r>
          </w:p>
        </w:tc>
        <w:tc>
          <w:tcPr>
            <w:tcW w:w="158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6"/>
              </w:rPr>
              <w:t>4.2%</w:t>
            </w:r>
          </w:p>
        </w:tc>
      </w:tr>
      <w:tr>
        <w:trPr>
          <w:trHeight w:val="264"/>
        </w:trPr>
        <w:tc>
          <w:tcPr>
            <w:tcW w:w="616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Operating profit</w:t>
            </w:r>
          </w:p>
        </w:tc>
        <w:tc>
          <w:tcPr>
            <w:tcW w:w="19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$284.6</w:t>
            </w:r>
          </w:p>
        </w:tc>
        <w:tc>
          <w:tcPr>
            <w:tcW w:w="18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$243.4</w:t>
            </w:r>
          </w:p>
        </w:tc>
        <w:tc>
          <w:tcPr>
            <w:tcW w:w="158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8"/>
              </w:rPr>
              <w:t>16.9%</w:t>
            </w:r>
          </w:p>
        </w:tc>
      </w:tr>
      <w:tr>
        <w:trPr>
          <w:trHeight w:val="264"/>
        </w:trPr>
        <w:tc>
          <w:tcPr>
            <w:tcW w:w="616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Adjusted EBITDA</w:t>
            </w:r>
          </w:p>
        </w:tc>
        <w:tc>
          <w:tcPr>
            <w:tcW w:w="19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$304.2</w:t>
            </w:r>
          </w:p>
        </w:tc>
        <w:tc>
          <w:tcPr>
            <w:tcW w:w="18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$227.3</w:t>
            </w:r>
          </w:p>
        </w:tc>
        <w:tc>
          <w:tcPr>
            <w:tcW w:w="158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8"/>
              </w:rPr>
              <w:t>33.8%</w:t>
            </w:r>
          </w:p>
        </w:tc>
      </w:tr>
      <w:tr>
        <w:trPr>
          <w:trHeight w:val="264"/>
        </w:trPr>
        <w:tc>
          <w:tcPr>
            <w:tcW w:w="616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Adjusted EBITDA margin</w:t>
            </w:r>
          </w:p>
        </w:tc>
        <w:tc>
          <w:tcPr>
            <w:tcW w:w="19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19.1%</w:t>
            </w:r>
          </w:p>
        </w:tc>
        <w:tc>
          <w:tcPr>
            <w:tcW w:w="18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14.8%</w:t>
            </w:r>
          </w:p>
        </w:tc>
        <w:tc>
          <w:tcPr>
            <w:tcW w:w="158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8"/>
              </w:rPr>
              <w:t>430 bps</w:t>
            </w:r>
          </w:p>
        </w:tc>
      </w:tr>
      <w:tr>
        <w:trPr>
          <w:trHeight w:val="322"/>
        </w:trPr>
        <w:tc>
          <w:tcPr>
            <w:tcW w:w="6160" w:type="dxa"/>
            <w:vAlign w:val="bottom"/>
            <w:tcBorders>
              <w:left w:val="single" w:sz="8" w:color="B8CCE4"/>
              <w:bottom w:val="single" w:sz="8" w:color="B8CCE4"/>
            </w:tcBorders>
          </w:tcPr>
          <w:p>
            <w:pPr>
              <w:spacing w:after="0"/>
              <w:rPr>
                <w:sz w:val="24"/>
                <w:szCs w:val="24"/>
                <w:color w:val="auto"/>
              </w:rPr>
            </w:pPr>
          </w:p>
        </w:tc>
        <w:tc>
          <w:tcPr>
            <w:tcW w:w="1900" w:type="dxa"/>
            <w:vAlign w:val="bottom"/>
            <w:tcBorders>
              <w:bottom w:val="single" w:sz="8" w:color="B8CCE4"/>
            </w:tcBorders>
          </w:tcPr>
          <w:p>
            <w:pPr>
              <w:spacing w:after="0"/>
              <w:rPr>
                <w:sz w:val="24"/>
                <w:szCs w:val="24"/>
                <w:color w:val="auto"/>
              </w:rPr>
            </w:pPr>
          </w:p>
        </w:tc>
        <w:tc>
          <w:tcPr>
            <w:tcW w:w="1800" w:type="dxa"/>
            <w:vAlign w:val="bottom"/>
            <w:tcBorders>
              <w:bottom w:val="single" w:sz="8" w:color="B8CCE4"/>
            </w:tcBorders>
          </w:tcPr>
          <w:p>
            <w:pPr>
              <w:spacing w:after="0"/>
              <w:rPr>
                <w:sz w:val="24"/>
                <w:szCs w:val="24"/>
                <w:color w:val="auto"/>
              </w:rPr>
            </w:pPr>
          </w:p>
        </w:tc>
        <w:tc>
          <w:tcPr>
            <w:tcW w:w="1580" w:type="dxa"/>
            <w:vAlign w:val="bottom"/>
            <w:tcBorders>
              <w:bottom w:val="single" w:sz="8" w:color="B8CCE4"/>
              <w:right w:val="single" w:sz="8" w:color="B8CCE4"/>
            </w:tcBorders>
          </w:tcPr>
          <w:p>
            <w:pPr>
              <w:spacing w:after="0"/>
              <w:rPr>
                <w:sz w:val="24"/>
                <w:szCs w:val="24"/>
                <w:color w:val="auto"/>
              </w:rPr>
            </w:pPr>
          </w:p>
        </w:tc>
      </w:tr>
      <w:tr>
        <w:trPr>
          <w:trHeight w:val="259"/>
        </w:trPr>
        <w:tc>
          <w:tcPr>
            <w:tcW w:w="616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Inbound orders</w:t>
            </w:r>
          </w:p>
        </w:tc>
        <w:tc>
          <w:tcPr>
            <w:tcW w:w="19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$696.0</w:t>
            </w:r>
          </w:p>
        </w:tc>
        <w:tc>
          <w:tcPr>
            <w:tcW w:w="18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$1,666.1</w:t>
            </w:r>
          </w:p>
        </w:tc>
        <w:tc>
          <w:tcPr>
            <w:tcW w:w="158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7"/>
              </w:rPr>
              <w:t>(58.2%)</w:t>
            </w:r>
          </w:p>
        </w:tc>
      </w:tr>
      <w:tr>
        <w:trPr>
          <w:trHeight w:val="264"/>
        </w:trPr>
        <w:tc>
          <w:tcPr>
            <w:tcW w:w="616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Backlog</w:t>
            </w:r>
          </w:p>
        </w:tc>
        <w:tc>
          <w:tcPr>
            <w:tcW w:w="19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$15,030.8</w:t>
            </w:r>
          </w:p>
        </w:tc>
        <w:tc>
          <w:tcPr>
            <w:tcW w:w="18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$8,378.8</w:t>
            </w:r>
          </w:p>
        </w:tc>
        <w:tc>
          <w:tcPr>
            <w:tcW w:w="158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8"/>
              </w:rPr>
              <w:t>79.4%</w:t>
            </w:r>
          </w:p>
        </w:tc>
      </w:tr>
    </w:tbl>
    <w:p>
      <w:pPr>
        <w:spacing w:after="0" w:line="388" w:lineRule="exact"/>
        <w:rPr>
          <w:sz w:val="20"/>
          <w:szCs w:val="20"/>
          <w:color w:val="auto"/>
        </w:rPr>
      </w:pPr>
    </w:p>
    <w:p>
      <w:pPr>
        <w:jc w:val="both"/>
        <w:ind w:right="20"/>
        <w:spacing w:after="0" w:line="243" w:lineRule="auto"/>
        <w:rPr>
          <w:sz w:val="20"/>
          <w:szCs w:val="20"/>
          <w:color w:val="auto"/>
        </w:rPr>
      </w:pPr>
      <w:r>
        <w:rPr>
          <w:rFonts w:ascii="Arial" w:cs="Arial" w:eastAsia="Arial" w:hAnsi="Arial"/>
          <w:sz w:val="20"/>
          <w:szCs w:val="20"/>
          <w:color w:val="auto"/>
        </w:rPr>
        <w:t>Onshore/Offshore reported third quarter revenue of $1,596.3 million. Revenue increased 4.2 percent from the prior-year quarter, primarily driven by higher activity on recent awards in the downstream, petrochemical and offshore sectors as well as first contribution from Arctic LNG 2. The increase was partially offset by lower activity on Yamal LNG as the project nears completion.</w:t>
      </w:r>
    </w:p>
    <w:p>
      <w:pPr>
        <w:spacing w:after="0" w:line="166" w:lineRule="exact"/>
        <w:rPr>
          <w:sz w:val="20"/>
          <w:szCs w:val="20"/>
          <w:color w:val="auto"/>
        </w:rPr>
      </w:pPr>
    </w:p>
    <w:p>
      <w:pPr>
        <w:jc w:val="both"/>
        <w:ind w:right="40"/>
        <w:spacing w:after="0" w:line="242" w:lineRule="auto"/>
        <w:rPr>
          <w:sz w:val="20"/>
          <w:szCs w:val="20"/>
          <w:color w:val="auto"/>
        </w:rPr>
      </w:pPr>
      <w:r>
        <w:rPr>
          <w:rFonts w:ascii="Arial" w:cs="Arial" w:eastAsia="Arial" w:hAnsi="Arial"/>
          <w:sz w:val="20"/>
          <w:szCs w:val="20"/>
          <w:color w:val="auto"/>
        </w:rPr>
        <w:t>Onshore/Offshore reported operating profit of $284.6 million; adjusted EBITDA was $304.2 million. Operating profit increased 16.9 percent versus the prior-year quarter. Operating results in the period benefited primarily from continued strength in execution on Yamal LNG. These same factors drove the year-over-year increase in adjusted EBITDA; adjusted EBITDA margin increased 430 basis points from the prior-year results to 19.1 percent.</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20"/>
          <w:szCs w:val="20"/>
          <w:color w:val="auto"/>
        </w:rPr>
        <w:t>Third Quarter Onshore/Offshore Highlights</w:t>
      </w:r>
    </w:p>
    <w:p>
      <w:pPr>
        <w:spacing w:after="0" w:line="223" w:lineRule="exact"/>
        <w:rPr>
          <w:sz w:val="20"/>
          <w:szCs w:val="20"/>
          <w:color w:val="auto"/>
        </w:rPr>
      </w:pPr>
    </w:p>
    <w:p>
      <w:pPr>
        <w:ind w:left="660" w:hanging="328"/>
        <w:spacing w:after="0"/>
        <w:tabs>
          <w:tab w:leader="none" w:pos="660" w:val="left"/>
        </w:tabs>
        <w:numPr>
          <w:ilvl w:val="0"/>
          <w:numId w:val="8"/>
        </w:numPr>
        <w:rPr>
          <w:rFonts w:ascii="Arial" w:cs="Arial" w:eastAsia="Arial" w:hAnsi="Arial"/>
          <w:sz w:val="20"/>
          <w:szCs w:val="20"/>
          <w:b w:val="1"/>
          <w:bCs w:val="1"/>
          <w:color w:val="auto"/>
        </w:rPr>
      </w:pPr>
      <w:r>
        <w:rPr>
          <w:rFonts w:ascii="Arial" w:cs="Arial" w:eastAsia="Arial" w:hAnsi="Arial"/>
          <w:sz w:val="18"/>
          <w:szCs w:val="18"/>
          <w:b w:val="1"/>
          <w:bCs w:val="1"/>
          <w:color w:val="auto"/>
        </w:rPr>
        <w:t>ENI Coral FLNG (Mozambique)</w:t>
      </w:r>
    </w:p>
    <w:p>
      <w:pPr>
        <w:spacing w:after="0" w:line="5" w:lineRule="exact"/>
        <w:rPr>
          <w:rFonts w:ascii="Arial" w:cs="Arial" w:eastAsia="Arial" w:hAnsi="Arial"/>
          <w:sz w:val="20"/>
          <w:szCs w:val="20"/>
          <w:b w:val="1"/>
          <w:bCs w:val="1"/>
          <w:color w:val="auto"/>
        </w:rPr>
      </w:pPr>
    </w:p>
    <w:p>
      <w:pPr>
        <w:ind w:left="660"/>
        <w:spacing w:after="0"/>
        <w:rPr>
          <w:rFonts w:ascii="Arial" w:cs="Arial" w:eastAsia="Arial" w:hAnsi="Arial"/>
          <w:sz w:val="20"/>
          <w:szCs w:val="20"/>
          <w:b w:val="1"/>
          <w:bCs w:val="1"/>
          <w:color w:val="auto"/>
        </w:rPr>
      </w:pPr>
      <w:r>
        <w:rPr>
          <w:rFonts w:ascii="Arial" w:cs="Arial" w:eastAsia="Arial" w:hAnsi="Arial"/>
          <w:sz w:val="20"/>
          <w:szCs w:val="20"/>
          <w:color w:val="auto"/>
        </w:rPr>
        <w:t>More than 75 percent of the topsides have been delivered.</w:t>
      </w:r>
    </w:p>
    <w:p>
      <w:pPr>
        <w:spacing w:after="0" w:line="191" w:lineRule="exact"/>
        <w:rPr>
          <w:rFonts w:ascii="Arial" w:cs="Arial" w:eastAsia="Arial" w:hAnsi="Arial"/>
          <w:sz w:val="20"/>
          <w:szCs w:val="20"/>
          <w:b w:val="1"/>
          <w:bCs w:val="1"/>
          <w:color w:val="auto"/>
        </w:rPr>
      </w:pPr>
    </w:p>
    <w:p>
      <w:pPr>
        <w:ind w:left="660" w:hanging="328"/>
        <w:spacing w:after="0"/>
        <w:tabs>
          <w:tab w:leader="none" w:pos="660" w:val="left"/>
        </w:tabs>
        <w:numPr>
          <w:ilvl w:val="0"/>
          <w:numId w:val="8"/>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Energean Karish Gas FPSO </w:t>
      </w:r>
      <w:r>
        <w:rPr>
          <w:rFonts w:ascii="Arial" w:cs="Arial" w:eastAsia="Arial" w:hAnsi="Arial"/>
          <w:sz w:val="18"/>
          <w:szCs w:val="18"/>
          <w:b w:val="1"/>
          <w:bCs w:val="1"/>
          <w:color w:val="auto"/>
        </w:rPr>
        <w:t>(Israel)</w:t>
      </w:r>
    </w:p>
    <w:p>
      <w:pPr>
        <w:spacing w:after="0" w:line="23" w:lineRule="exact"/>
        <w:rPr>
          <w:rFonts w:ascii="Arial" w:cs="Arial" w:eastAsia="Arial" w:hAnsi="Arial"/>
          <w:sz w:val="20"/>
          <w:szCs w:val="20"/>
          <w:b w:val="1"/>
          <w:bCs w:val="1"/>
          <w:color w:val="auto"/>
        </w:rPr>
      </w:pPr>
    </w:p>
    <w:p>
      <w:pPr>
        <w:ind w:left="660"/>
        <w:spacing w:after="0"/>
        <w:rPr>
          <w:rFonts w:ascii="Arial" w:cs="Arial" w:eastAsia="Arial" w:hAnsi="Arial"/>
          <w:sz w:val="20"/>
          <w:szCs w:val="20"/>
          <w:b w:val="1"/>
          <w:bCs w:val="1"/>
          <w:color w:val="auto"/>
        </w:rPr>
      </w:pPr>
      <w:r>
        <w:rPr>
          <w:rFonts w:ascii="Arial" w:cs="Arial" w:eastAsia="Arial" w:hAnsi="Arial"/>
          <w:sz w:val="20"/>
          <w:szCs w:val="20"/>
          <w:color w:val="auto"/>
        </w:rPr>
        <w:t>Hull was successfully undocked in September, a critical milestone ahead of sail away to Singapore.</w:t>
      </w:r>
    </w:p>
    <w:p>
      <w:pPr>
        <w:spacing w:after="0" w:line="191" w:lineRule="exact"/>
        <w:rPr>
          <w:rFonts w:ascii="Arial" w:cs="Arial" w:eastAsia="Arial" w:hAnsi="Arial"/>
          <w:sz w:val="20"/>
          <w:szCs w:val="20"/>
          <w:b w:val="1"/>
          <w:bCs w:val="1"/>
          <w:color w:val="auto"/>
        </w:rPr>
      </w:pPr>
    </w:p>
    <w:p>
      <w:pPr>
        <w:ind w:left="660" w:hanging="328"/>
        <w:spacing w:after="0"/>
        <w:tabs>
          <w:tab w:leader="none" w:pos="660" w:val="left"/>
        </w:tabs>
        <w:numPr>
          <w:ilvl w:val="0"/>
          <w:numId w:val="8"/>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Neste Renewable Products Refinery Expansion </w:t>
      </w:r>
      <w:r>
        <w:rPr>
          <w:rFonts w:ascii="Arial" w:cs="Arial" w:eastAsia="Arial" w:hAnsi="Arial"/>
          <w:sz w:val="18"/>
          <w:szCs w:val="18"/>
          <w:b w:val="1"/>
          <w:bCs w:val="1"/>
          <w:color w:val="auto"/>
        </w:rPr>
        <w:t>(Singapore)</w:t>
      </w:r>
    </w:p>
    <w:p>
      <w:pPr>
        <w:spacing w:after="0" w:line="23" w:lineRule="exact"/>
        <w:rPr>
          <w:rFonts w:ascii="Arial" w:cs="Arial" w:eastAsia="Arial" w:hAnsi="Arial"/>
          <w:sz w:val="20"/>
          <w:szCs w:val="20"/>
          <w:b w:val="1"/>
          <w:bCs w:val="1"/>
          <w:color w:val="auto"/>
        </w:rPr>
      </w:pPr>
    </w:p>
    <w:p>
      <w:pPr>
        <w:ind w:left="660" w:right="20"/>
        <w:spacing w:after="0" w:line="247" w:lineRule="auto"/>
        <w:rPr>
          <w:rFonts w:ascii="Arial" w:cs="Arial" w:eastAsia="Arial" w:hAnsi="Arial"/>
          <w:sz w:val="20"/>
          <w:szCs w:val="20"/>
          <w:b w:val="1"/>
          <w:bCs w:val="1"/>
          <w:color w:val="auto"/>
        </w:rPr>
      </w:pPr>
      <w:r>
        <w:rPr>
          <w:rFonts w:ascii="Arial" w:cs="Arial" w:eastAsia="Arial" w:hAnsi="Arial"/>
          <w:sz w:val="20"/>
          <w:szCs w:val="20"/>
          <w:color w:val="auto"/>
        </w:rPr>
        <w:t>Foundation stone ceremony took place for refinery expansion as we support Neste’s renewable products (biofuels) growth strategy.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5180"/>
        <w:spacing w:after="0"/>
        <w:tabs>
          <w:tab w:leader="none" w:pos="10500" w:val="left"/>
        </w:tabs>
        <w:rPr>
          <w:rFonts w:ascii="Arial" w:cs="Arial" w:eastAsia="Arial" w:hAnsi="Arial"/>
          <w:sz w:val="14"/>
          <w:szCs w:val="14"/>
          <w:b w:val="1"/>
          <w:bCs w:val="1"/>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 xml:space="preserve">Page 5 of </w:t>
      </w:r>
      <w:hyperlink w:anchor="page29">
        <w:r>
          <w:rPr>
            <w:rFonts w:ascii="Arial" w:cs="Arial" w:eastAsia="Arial" w:hAnsi="Arial"/>
            <w:sz w:val="14"/>
            <w:szCs w:val="14"/>
            <w:b w:val="1"/>
            <w:bCs w:val="1"/>
            <w:color w:val="auto"/>
          </w:rPr>
          <w:t>24</w:t>
        </w:r>
      </w:hyperlink>
    </w:p>
    <w:p>
      <w:pPr>
        <w:sectPr>
          <w:pgSz w:w="11900" w:h="16838" w:orient="portrait"/>
          <w:cols w:equalWidth="0" w:num="1">
            <w:col w:w="11440"/>
          </w:cols>
          <w:pgMar w:left="240" w:top="1354" w:right="219" w:bottom="1440" w:gutter="0" w:footer="0" w:header="0"/>
        </w:sectPr>
      </w:pPr>
    </w:p>
    <w:bookmarkStart w:id="9" w:name="page10"/>
    <w:bookmarkEnd w:id="9"/>
    <w:p>
      <w:pPr>
        <w:spacing w:after="0" w:line="247"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2778760" cy="5314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2778760" cy="531495"/>
                    </a:xfrm>
                    <a:prstGeom prst="rect">
                      <a:avLst/>
                    </a:prstGeom>
                    <a:noFill/>
                  </pic:spPr>
                </pic:pic>
              </a:graphicData>
            </a:graphic>
          </wp:anchor>
        </w:drawing>
        <w:t>Onshore/Offshore inbound orders for the quarter were $696 million, resulting in a book-to-bill of 0.4. The inbound reflects the strength of our Process Technology business as we continue to enter into new strategic agreements:</w:t>
      </w:r>
    </w:p>
    <w:p>
      <w:pPr>
        <w:spacing w:after="0" w:line="191" w:lineRule="exact"/>
        <w:rPr>
          <w:sz w:val="20"/>
          <w:szCs w:val="20"/>
          <w:color w:val="auto"/>
        </w:rPr>
      </w:pPr>
    </w:p>
    <w:p>
      <w:pPr>
        <w:ind w:left="660" w:hanging="328"/>
        <w:spacing w:after="0"/>
        <w:tabs>
          <w:tab w:leader="none" w:pos="660" w:val="left"/>
        </w:tabs>
        <w:numPr>
          <w:ilvl w:val="0"/>
          <w:numId w:val="9"/>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EPICEROL® Technology License Agreement with Meghmani Finechem </w:t>
      </w:r>
      <w:r>
        <w:rPr>
          <w:rFonts w:ascii="Arial" w:cs="Arial" w:eastAsia="Arial" w:hAnsi="Arial"/>
          <w:sz w:val="18"/>
          <w:szCs w:val="18"/>
          <w:b w:val="1"/>
          <w:bCs w:val="1"/>
          <w:color w:val="auto"/>
        </w:rPr>
        <w:t>(India)</w:t>
      </w:r>
    </w:p>
    <w:p>
      <w:pPr>
        <w:spacing w:after="0" w:line="23" w:lineRule="exact"/>
        <w:rPr>
          <w:rFonts w:ascii="Arial" w:cs="Arial" w:eastAsia="Arial" w:hAnsi="Arial"/>
          <w:sz w:val="20"/>
          <w:szCs w:val="20"/>
          <w:b w:val="1"/>
          <w:bCs w:val="1"/>
          <w:color w:val="auto"/>
        </w:rPr>
      </w:pPr>
    </w:p>
    <w:p>
      <w:pPr>
        <w:jc w:val="both"/>
        <w:ind w:left="660"/>
        <w:spacing w:after="0" w:line="243" w:lineRule="auto"/>
        <w:rPr>
          <w:rFonts w:ascii="Arial" w:cs="Arial" w:eastAsia="Arial" w:hAnsi="Arial"/>
          <w:sz w:val="20"/>
          <w:szCs w:val="20"/>
          <w:b w:val="1"/>
          <w:bCs w:val="1"/>
          <w:color w:val="auto"/>
        </w:rPr>
      </w:pPr>
      <w:r>
        <w:rPr>
          <w:rFonts w:ascii="Arial" w:cs="Arial" w:eastAsia="Arial" w:hAnsi="Arial"/>
          <w:sz w:val="20"/>
          <w:szCs w:val="20"/>
          <w:color w:val="auto"/>
        </w:rPr>
        <w:t>The license agreement marks TechnipFMC’s first ‘green’ epichlorohydrin (ECH) technology license in India. EPICEROL</w:t>
      </w:r>
      <w:r>
        <w:rPr>
          <w:rFonts w:ascii="Arial" w:cs="Arial" w:eastAsia="Arial" w:hAnsi="Arial"/>
          <w:sz w:val="20"/>
          <w:szCs w:val="20"/>
          <w:b w:val="1"/>
          <w:bCs w:val="1"/>
          <w:color w:val="auto"/>
        </w:rPr>
        <w:t>®</w:t>
      </w:r>
      <w:r>
        <w:rPr>
          <w:rFonts w:ascii="Arial" w:cs="Arial" w:eastAsia="Arial" w:hAnsi="Arial"/>
          <w:sz w:val="20"/>
          <w:szCs w:val="20"/>
          <w:color w:val="auto"/>
        </w:rPr>
        <w:t xml:space="preserve"> offers a cost-effective process to produce ECH from glycerol, with a reduced carbon footprint compared to traditional propylene-based processes.</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The following award was announced subsequent to our second quarter earnings release:</w:t>
      </w:r>
    </w:p>
    <w:p>
      <w:pPr>
        <w:spacing w:after="0" w:line="205"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Mozambique Rovuma Venture S.p.A. Rovuma LNG Project </w:t>
      </w:r>
      <w:r>
        <w:rPr>
          <w:rFonts w:ascii="Arial" w:cs="Arial" w:eastAsia="Arial" w:hAnsi="Arial"/>
          <w:sz w:val="18"/>
          <w:szCs w:val="18"/>
          <w:b w:val="1"/>
          <w:bCs w:val="1"/>
          <w:color w:val="auto"/>
        </w:rPr>
        <w:t>(Mozambique)</w:t>
      </w:r>
    </w:p>
    <w:p>
      <w:pPr>
        <w:spacing w:after="0" w:line="23" w:lineRule="exact"/>
        <w:rPr>
          <w:rFonts w:ascii="Arial" w:cs="Arial" w:eastAsia="Arial" w:hAnsi="Arial"/>
          <w:sz w:val="20"/>
          <w:szCs w:val="20"/>
          <w:b w:val="1"/>
          <w:bCs w:val="1"/>
          <w:color w:val="auto"/>
        </w:rPr>
      </w:pPr>
    </w:p>
    <w:p>
      <w:pPr>
        <w:jc w:val="both"/>
        <w:ind w:left="660"/>
        <w:spacing w:after="0"/>
        <w:rPr>
          <w:rFonts w:ascii="Arial" w:cs="Arial" w:eastAsia="Arial" w:hAnsi="Arial"/>
          <w:sz w:val="20"/>
          <w:szCs w:val="20"/>
          <w:b w:val="1"/>
          <w:bCs w:val="1"/>
          <w:color w:val="auto"/>
        </w:rPr>
      </w:pPr>
      <w:r>
        <w:rPr>
          <w:rFonts w:ascii="Arial" w:cs="Arial" w:eastAsia="Arial" w:hAnsi="Arial"/>
          <w:sz w:val="20"/>
          <w:szCs w:val="20"/>
          <w:color w:val="auto"/>
        </w:rPr>
        <w:t>Engineering, Procurement and Construction (EPC) contract for the Rovuma LNG Project. TechnipFMC, in consortium with our partners JGC Corporation and Fluor Corporation, will construct two natural gas liquefaction trains, with a total LNG nameplate capacity of 15.2 million tons per annum, as well as associated onshore facilities.</w:t>
      </w:r>
    </w:p>
    <w:p>
      <w:pPr>
        <w:spacing w:after="0" w:line="1" w:lineRule="exact"/>
        <w:rPr>
          <w:rFonts w:ascii="Arial" w:cs="Arial" w:eastAsia="Arial" w:hAnsi="Arial"/>
          <w:sz w:val="20"/>
          <w:szCs w:val="20"/>
          <w:b w:val="1"/>
          <w:bCs w:val="1"/>
          <w:color w:val="auto"/>
        </w:rPr>
      </w:pPr>
    </w:p>
    <w:p>
      <w:pPr>
        <w:ind w:left="660"/>
        <w:spacing w:after="0"/>
        <w:rPr>
          <w:rFonts w:ascii="Arial" w:cs="Arial" w:eastAsia="Arial" w:hAnsi="Arial"/>
          <w:sz w:val="20"/>
          <w:szCs w:val="20"/>
          <w:b w:val="1"/>
          <w:bCs w:val="1"/>
          <w:color w:val="auto"/>
        </w:rPr>
      </w:pPr>
      <w:r>
        <w:rPr>
          <w:rFonts w:ascii="Arial" w:cs="Arial" w:eastAsia="Arial" w:hAnsi="Arial"/>
          <w:sz w:val="18"/>
          <w:szCs w:val="18"/>
          <w:i w:val="1"/>
          <w:iCs w:val="1"/>
          <w:color w:val="auto"/>
        </w:rPr>
        <w:t>Note: This award will be reflected in financial results once full notice to proceed has been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256"/>
        </w:trPr>
        <w:tc>
          <w:tcPr>
            <w:tcW w:w="40" w:type="dxa"/>
            <w:vAlign w:val="bottom"/>
            <w:tcBorders>
              <w:top w:val="single" w:sz="8" w:color="B6DDE8"/>
              <w:right w:val="single" w:sz="8" w:color="B6DDE8"/>
            </w:tcBorders>
            <w:shd w:val="clear" w:color="auto" w:fill="B6DDE8"/>
          </w:tcPr>
          <w:p>
            <w:pPr>
              <w:spacing w:after="0"/>
              <w:rPr>
                <w:sz w:val="22"/>
                <w:szCs w:val="22"/>
                <w:color w:val="auto"/>
              </w:rPr>
            </w:pPr>
          </w:p>
        </w:tc>
        <w:tc>
          <w:tcPr>
            <w:tcW w:w="7260" w:type="dxa"/>
            <w:vAlign w:val="bottom"/>
            <w:tcBorders>
              <w:top w:val="single" w:sz="8" w:color="B6DDE8"/>
              <w:right w:val="single" w:sz="8" w:color="B6DDE8"/>
            </w:tcBorders>
          </w:tcPr>
          <w:p>
            <w:pPr>
              <w:spacing w:after="0"/>
              <w:rPr>
                <w:sz w:val="20"/>
                <w:szCs w:val="20"/>
                <w:color w:val="auto"/>
              </w:rPr>
            </w:pPr>
            <w:r>
              <w:rPr>
                <w:rFonts w:ascii="Arial" w:cs="Arial" w:eastAsia="Arial" w:hAnsi="Arial"/>
                <w:sz w:val="20"/>
                <w:szCs w:val="20"/>
                <w:b w:val="1"/>
                <w:bCs w:val="1"/>
                <w:color w:val="auto"/>
              </w:rPr>
              <w:t>Onshore/Offshore</w:t>
            </w:r>
          </w:p>
        </w:tc>
        <w:tc>
          <w:tcPr>
            <w:tcW w:w="2040" w:type="dxa"/>
            <w:vAlign w:val="bottom"/>
            <w:tcBorders>
              <w:top w:val="single" w:sz="8" w:color="B6DDE8"/>
              <w:right w:val="single" w:sz="8" w:color="B6DDE8"/>
            </w:tcBorders>
            <w:vMerge w:val="restart"/>
          </w:tcPr>
          <w:p>
            <w:pPr>
              <w:jc w:val="right"/>
              <w:ind w:right="1"/>
              <w:spacing w:after="0"/>
              <w:rPr>
                <w:sz w:val="20"/>
                <w:szCs w:val="20"/>
                <w:color w:val="auto"/>
              </w:rPr>
            </w:pPr>
            <w:r>
              <w:rPr>
                <w:rFonts w:ascii="Arial" w:cs="Arial" w:eastAsia="Arial" w:hAnsi="Arial"/>
                <w:sz w:val="20"/>
                <w:szCs w:val="20"/>
                <w:color w:val="auto"/>
              </w:rPr>
              <w:t>Consolidated backlog</w:t>
            </w:r>
          </w:p>
        </w:tc>
        <w:tc>
          <w:tcPr>
            <w:tcW w:w="2040" w:type="dxa"/>
            <w:vAlign w:val="bottom"/>
            <w:tcBorders>
              <w:top w:val="single" w:sz="8" w:color="B6DDE8"/>
              <w:right w:val="single" w:sz="8" w:color="B6DDE8"/>
            </w:tcBorders>
            <w:vMerge w:val="restart"/>
          </w:tcPr>
          <w:p>
            <w:pPr>
              <w:jc w:val="right"/>
              <w:ind w:right="161"/>
              <w:spacing w:after="0"/>
              <w:rPr>
                <w:sz w:val="20"/>
                <w:szCs w:val="20"/>
                <w:color w:val="auto"/>
              </w:rPr>
            </w:pPr>
            <w:r>
              <w:rPr>
                <w:rFonts w:ascii="Arial" w:cs="Arial" w:eastAsia="Arial" w:hAnsi="Arial"/>
                <w:sz w:val="20"/>
                <w:szCs w:val="20"/>
                <w:color w:val="auto"/>
              </w:rPr>
              <w:t>Non-consolidated</w:t>
            </w:r>
          </w:p>
        </w:tc>
        <w:tc>
          <w:tcPr>
            <w:tcW w:w="0" w:type="dxa"/>
            <w:vAlign w:val="bottom"/>
          </w:tcPr>
          <w:p>
            <w:pPr>
              <w:spacing w:after="0"/>
              <w:rPr>
                <w:sz w:val="1"/>
                <w:szCs w:val="1"/>
                <w:color w:val="auto"/>
              </w:rPr>
            </w:pPr>
          </w:p>
        </w:tc>
      </w:tr>
      <w:tr>
        <w:trPr>
          <w:trHeight w:val="65"/>
        </w:trPr>
        <w:tc>
          <w:tcPr>
            <w:tcW w:w="40" w:type="dxa"/>
            <w:vAlign w:val="bottom"/>
            <w:tcBorders>
              <w:right w:val="single" w:sz="8" w:color="B6DDE8"/>
            </w:tcBorders>
            <w:shd w:val="clear" w:color="auto" w:fill="B6DDE8"/>
          </w:tcPr>
          <w:p>
            <w:pPr>
              <w:spacing w:after="0"/>
              <w:rPr>
                <w:sz w:val="5"/>
                <w:szCs w:val="5"/>
                <w:color w:val="auto"/>
              </w:rPr>
            </w:pPr>
          </w:p>
        </w:tc>
        <w:tc>
          <w:tcPr>
            <w:tcW w:w="7260" w:type="dxa"/>
            <w:vAlign w:val="bottom"/>
            <w:tcBorders>
              <w:right w:val="single" w:sz="8" w:color="B6DDE8"/>
            </w:tcBorders>
            <w:vMerge w:val="restart"/>
          </w:tcPr>
          <w:p>
            <w:pPr>
              <w:spacing w:after="0"/>
              <w:rPr>
                <w:sz w:val="20"/>
                <w:szCs w:val="20"/>
                <w:color w:val="auto"/>
              </w:rPr>
            </w:pPr>
            <w:r>
              <w:rPr>
                <w:rFonts w:ascii="Arial" w:cs="Arial" w:eastAsia="Arial" w:hAnsi="Arial"/>
                <w:sz w:val="18"/>
                <w:szCs w:val="18"/>
                <w:color w:val="auto"/>
              </w:rPr>
              <w:t>Estimated Backlog Scheduling as of September 30, 2019</w:t>
            </w:r>
          </w:p>
        </w:tc>
        <w:tc>
          <w:tcPr>
            <w:tcW w:w="2040" w:type="dxa"/>
            <w:vAlign w:val="bottom"/>
            <w:tcBorders>
              <w:right w:val="single" w:sz="8" w:color="B6DDE8"/>
            </w:tcBorders>
            <w:vMerge w:val="continue"/>
          </w:tcPr>
          <w:p>
            <w:pPr>
              <w:spacing w:after="0"/>
              <w:rPr>
                <w:sz w:val="5"/>
                <w:szCs w:val="5"/>
                <w:color w:val="auto"/>
              </w:rPr>
            </w:pPr>
          </w:p>
        </w:tc>
        <w:tc>
          <w:tcPr>
            <w:tcW w:w="2040" w:type="dxa"/>
            <w:vAlign w:val="bottom"/>
            <w:tcBorders>
              <w:right w:val="single" w:sz="8" w:color="B6DDE8"/>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0" w:type="dxa"/>
            <w:vAlign w:val="bottom"/>
            <w:tcBorders>
              <w:right w:val="single" w:sz="8" w:color="B6DDE8"/>
            </w:tcBorders>
            <w:shd w:val="clear" w:color="auto" w:fill="B6DDE8"/>
          </w:tcPr>
          <w:p>
            <w:pPr>
              <w:spacing w:after="0"/>
              <w:rPr>
                <w:sz w:val="12"/>
                <w:szCs w:val="12"/>
                <w:color w:val="auto"/>
              </w:rPr>
            </w:pPr>
          </w:p>
        </w:tc>
        <w:tc>
          <w:tcPr>
            <w:tcW w:w="7260" w:type="dxa"/>
            <w:vAlign w:val="bottom"/>
            <w:tcBorders>
              <w:right w:val="single" w:sz="8" w:color="B6DDE8"/>
            </w:tcBorders>
            <w:vMerge w:val="continue"/>
          </w:tcPr>
          <w:p>
            <w:pPr>
              <w:spacing w:after="0"/>
              <w:rPr>
                <w:sz w:val="12"/>
                <w:szCs w:val="12"/>
                <w:color w:val="auto"/>
              </w:rPr>
            </w:pPr>
          </w:p>
        </w:tc>
        <w:tc>
          <w:tcPr>
            <w:tcW w:w="2040" w:type="dxa"/>
            <w:vAlign w:val="bottom"/>
            <w:tcBorders>
              <w:right w:val="single" w:sz="8" w:color="B6DDE8"/>
            </w:tcBorders>
            <w:vMerge w:val="continue"/>
          </w:tcPr>
          <w:p>
            <w:pPr>
              <w:spacing w:after="0"/>
              <w:rPr>
                <w:sz w:val="12"/>
                <w:szCs w:val="12"/>
                <w:color w:val="auto"/>
              </w:rPr>
            </w:pPr>
          </w:p>
        </w:tc>
        <w:tc>
          <w:tcPr>
            <w:tcW w:w="2040" w:type="dxa"/>
            <w:vAlign w:val="bottom"/>
            <w:tcBorders>
              <w:right w:val="single" w:sz="8" w:color="B6DDE8"/>
            </w:tcBorders>
            <w:vMerge w:val="restart"/>
          </w:tcPr>
          <w:p>
            <w:pPr>
              <w:jc w:val="right"/>
              <w:ind w:right="561"/>
              <w:spacing w:after="0"/>
              <w:rPr>
                <w:sz w:val="20"/>
                <w:szCs w:val="20"/>
                <w:color w:val="auto"/>
              </w:rPr>
            </w:pPr>
            <w:r>
              <w:rPr>
                <w:rFonts w:ascii="Arial" w:cs="Arial" w:eastAsia="Arial" w:hAnsi="Arial"/>
                <w:sz w:val="20"/>
                <w:szCs w:val="20"/>
                <w:color w:val="auto"/>
              </w:rPr>
              <w:t>backlog*</w:t>
            </w:r>
          </w:p>
        </w:tc>
        <w:tc>
          <w:tcPr>
            <w:tcW w:w="0" w:type="dxa"/>
            <w:vAlign w:val="bottom"/>
          </w:tcPr>
          <w:p>
            <w:pPr>
              <w:spacing w:after="0"/>
              <w:rPr>
                <w:sz w:val="1"/>
                <w:szCs w:val="1"/>
                <w:color w:val="auto"/>
              </w:rPr>
            </w:pPr>
          </w:p>
        </w:tc>
      </w:tr>
      <w:tr>
        <w:trPr>
          <w:trHeight w:val="94"/>
        </w:trPr>
        <w:tc>
          <w:tcPr>
            <w:tcW w:w="40" w:type="dxa"/>
            <w:vAlign w:val="bottom"/>
            <w:tcBorders>
              <w:right w:val="single" w:sz="8" w:color="B6DDE8"/>
            </w:tcBorders>
            <w:shd w:val="clear" w:color="auto" w:fill="B6DDE8"/>
          </w:tcPr>
          <w:p>
            <w:pPr>
              <w:spacing w:after="0"/>
              <w:rPr>
                <w:sz w:val="8"/>
                <w:szCs w:val="8"/>
                <w:color w:val="auto"/>
              </w:rPr>
            </w:pPr>
          </w:p>
        </w:tc>
        <w:tc>
          <w:tcPr>
            <w:tcW w:w="7260" w:type="dxa"/>
            <w:vAlign w:val="bottom"/>
            <w:tcBorders>
              <w:right w:val="single" w:sz="8" w:color="B6DDE8"/>
            </w:tcBorders>
            <w:vMerge w:val="restart"/>
          </w:tcPr>
          <w:p>
            <w:pPr>
              <w:spacing w:after="0"/>
              <w:rPr>
                <w:sz w:val="20"/>
                <w:szCs w:val="20"/>
                <w:color w:val="auto"/>
              </w:rPr>
            </w:pPr>
            <w:r>
              <w:rPr>
                <w:rFonts w:ascii="Arial" w:cs="Arial" w:eastAsia="Arial" w:hAnsi="Arial"/>
                <w:sz w:val="14"/>
                <w:szCs w:val="14"/>
                <w:color w:val="auto"/>
              </w:rPr>
              <w:t>(In millions)</w:t>
            </w:r>
          </w:p>
        </w:tc>
        <w:tc>
          <w:tcPr>
            <w:tcW w:w="2040" w:type="dxa"/>
            <w:vAlign w:val="bottom"/>
            <w:tcBorders>
              <w:right w:val="single" w:sz="8" w:color="B6DDE8"/>
            </w:tcBorders>
          </w:tcPr>
          <w:p>
            <w:pPr>
              <w:spacing w:after="0"/>
              <w:rPr>
                <w:sz w:val="8"/>
                <w:szCs w:val="8"/>
                <w:color w:val="auto"/>
              </w:rPr>
            </w:pPr>
          </w:p>
        </w:tc>
        <w:tc>
          <w:tcPr>
            <w:tcW w:w="2040" w:type="dxa"/>
            <w:vAlign w:val="bottom"/>
            <w:tcBorders>
              <w:right w:val="single" w:sz="8" w:color="B6DDE8"/>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0" w:type="dxa"/>
            <w:vAlign w:val="bottom"/>
            <w:tcBorders>
              <w:bottom w:val="single" w:sz="8" w:color="B6DDE8"/>
              <w:right w:val="single" w:sz="8" w:color="B6DDE8"/>
            </w:tcBorders>
            <w:shd w:val="clear" w:color="auto" w:fill="B6DDE8"/>
          </w:tcPr>
          <w:p>
            <w:pPr>
              <w:spacing w:after="0"/>
              <w:rPr>
                <w:sz w:val="8"/>
                <w:szCs w:val="8"/>
                <w:color w:val="auto"/>
              </w:rPr>
            </w:pPr>
          </w:p>
        </w:tc>
        <w:tc>
          <w:tcPr>
            <w:tcW w:w="7260" w:type="dxa"/>
            <w:vAlign w:val="bottom"/>
            <w:tcBorders>
              <w:bottom w:val="single" w:sz="8" w:color="B8CCE4"/>
              <w:right w:val="single" w:sz="8" w:color="B6DDE8"/>
            </w:tcBorders>
            <w:vMerge w:val="continue"/>
          </w:tcPr>
          <w:p>
            <w:pPr>
              <w:spacing w:after="0"/>
              <w:rPr>
                <w:sz w:val="8"/>
                <w:szCs w:val="8"/>
                <w:color w:val="auto"/>
              </w:rPr>
            </w:pPr>
          </w:p>
        </w:tc>
        <w:tc>
          <w:tcPr>
            <w:tcW w:w="2040" w:type="dxa"/>
            <w:vAlign w:val="bottom"/>
            <w:tcBorders>
              <w:bottom w:val="single" w:sz="8" w:color="B8CCE4"/>
              <w:right w:val="single" w:sz="8" w:color="B6DDE8"/>
            </w:tcBorders>
          </w:tcPr>
          <w:p>
            <w:pPr>
              <w:spacing w:after="0"/>
              <w:rPr>
                <w:sz w:val="8"/>
                <w:szCs w:val="8"/>
                <w:color w:val="auto"/>
              </w:rPr>
            </w:pPr>
          </w:p>
        </w:tc>
        <w:tc>
          <w:tcPr>
            <w:tcW w:w="2040" w:type="dxa"/>
            <w:vAlign w:val="bottom"/>
            <w:tcBorders>
              <w:bottom w:val="single" w:sz="8" w:color="B8CCE4"/>
              <w:right w:val="single" w:sz="8" w:color="B6DDE8"/>
            </w:tcBorders>
          </w:tcPr>
          <w:p>
            <w:pPr>
              <w:spacing w:after="0"/>
              <w:rPr>
                <w:sz w:val="8"/>
                <w:szCs w:val="8"/>
                <w:color w:val="auto"/>
              </w:rPr>
            </w:pPr>
          </w:p>
        </w:tc>
        <w:tc>
          <w:tcPr>
            <w:tcW w:w="0" w:type="dxa"/>
            <w:vAlign w:val="bottom"/>
          </w:tcPr>
          <w:p>
            <w:pPr>
              <w:spacing w:after="0"/>
              <w:rPr>
                <w:sz w:val="1"/>
                <w:szCs w:val="1"/>
                <w:color w:val="auto"/>
              </w:rPr>
            </w:pPr>
          </w:p>
        </w:tc>
      </w:tr>
      <w:tr>
        <w:trPr>
          <w:trHeight w:val="266"/>
        </w:trPr>
        <w:tc>
          <w:tcPr>
            <w:tcW w:w="40" w:type="dxa"/>
            <w:vAlign w:val="bottom"/>
            <w:tcBorders>
              <w:bottom w:val="single" w:sz="8" w:color="B6DDE8"/>
              <w:right w:val="single" w:sz="8" w:color="B6DDE8"/>
            </w:tcBorders>
            <w:shd w:val="clear" w:color="auto" w:fill="B6DDE8"/>
          </w:tcPr>
          <w:p>
            <w:pPr>
              <w:spacing w:after="0"/>
              <w:rPr>
                <w:sz w:val="23"/>
                <w:szCs w:val="23"/>
                <w:color w:val="auto"/>
              </w:rPr>
            </w:pPr>
          </w:p>
        </w:tc>
        <w:tc>
          <w:tcPr>
            <w:tcW w:w="7260" w:type="dxa"/>
            <w:vAlign w:val="bottom"/>
            <w:tcBorders>
              <w:bottom w:val="single" w:sz="8" w:color="B6DDE8"/>
              <w:right w:val="single" w:sz="8" w:color="B6DDE8"/>
            </w:tcBorders>
          </w:tcPr>
          <w:p>
            <w:pPr>
              <w:spacing w:after="0"/>
              <w:rPr>
                <w:sz w:val="20"/>
                <w:szCs w:val="20"/>
                <w:color w:val="auto"/>
              </w:rPr>
            </w:pPr>
            <w:r>
              <w:rPr>
                <w:rFonts w:ascii="Arial" w:cs="Arial" w:eastAsia="Arial" w:hAnsi="Arial"/>
                <w:sz w:val="20"/>
                <w:szCs w:val="20"/>
                <w:b w:val="1"/>
                <w:bCs w:val="1"/>
                <w:color w:val="auto"/>
              </w:rPr>
              <w:t>2019 (3 months)</w:t>
            </w:r>
          </w:p>
        </w:tc>
        <w:tc>
          <w:tcPr>
            <w:tcW w:w="2040" w:type="dxa"/>
            <w:vAlign w:val="bottom"/>
            <w:tcBorders>
              <w:bottom w:val="single" w:sz="8" w:color="B6DDE8"/>
              <w:right w:val="single" w:sz="8" w:color="B6DDE8"/>
            </w:tcBorders>
          </w:tcPr>
          <w:p>
            <w:pPr>
              <w:jc w:val="right"/>
              <w:spacing w:after="0"/>
              <w:rPr>
                <w:sz w:val="20"/>
                <w:szCs w:val="20"/>
                <w:color w:val="auto"/>
              </w:rPr>
            </w:pPr>
            <w:r>
              <w:rPr>
                <w:rFonts w:ascii="Arial" w:cs="Arial" w:eastAsia="Arial" w:hAnsi="Arial"/>
                <w:sz w:val="20"/>
                <w:szCs w:val="20"/>
                <w:color w:val="auto"/>
              </w:rPr>
              <w:t>$2,084.5</w:t>
            </w:r>
          </w:p>
        </w:tc>
        <w:tc>
          <w:tcPr>
            <w:tcW w:w="2040" w:type="dxa"/>
            <w:vAlign w:val="bottom"/>
            <w:tcBorders>
              <w:bottom w:val="single" w:sz="8" w:color="B6DDE8"/>
              <w:right w:val="single" w:sz="8" w:color="B6DDE8"/>
            </w:tcBorders>
          </w:tcPr>
          <w:p>
            <w:pPr>
              <w:jc w:val="right"/>
              <w:spacing w:after="0"/>
              <w:rPr>
                <w:sz w:val="20"/>
                <w:szCs w:val="20"/>
                <w:color w:val="auto"/>
              </w:rPr>
            </w:pPr>
            <w:r>
              <w:rPr>
                <w:rFonts w:ascii="Arial" w:cs="Arial" w:eastAsia="Arial" w:hAnsi="Arial"/>
                <w:sz w:val="20"/>
                <w:szCs w:val="20"/>
                <w:color w:val="auto"/>
              </w:rPr>
              <w:t>$194.5</w:t>
            </w:r>
          </w:p>
        </w:tc>
        <w:tc>
          <w:tcPr>
            <w:tcW w:w="0" w:type="dxa"/>
            <w:vAlign w:val="bottom"/>
          </w:tcPr>
          <w:p>
            <w:pPr>
              <w:spacing w:after="0"/>
              <w:rPr>
                <w:sz w:val="1"/>
                <w:szCs w:val="1"/>
                <w:color w:val="auto"/>
              </w:rPr>
            </w:pPr>
          </w:p>
        </w:tc>
      </w:tr>
      <w:tr>
        <w:trPr>
          <w:trHeight w:val="264"/>
        </w:trPr>
        <w:tc>
          <w:tcPr>
            <w:tcW w:w="40" w:type="dxa"/>
            <w:vAlign w:val="bottom"/>
            <w:tcBorders>
              <w:bottom w:val="single" w:sz="8" w:color="B6DDE8"/>
              <w:right w:val="single" w:sz="8" w:color="B6DDE8"/>
            </w:tcBorders>
            <w:shd w:val="clear" w:color="auto" w:fill="B6DDE8"/>
          </w:tcPr>
          <w:p>
            <w:pPr>
              <w:spacing w:after="0"/>
              <w:rPr>
                <w:sz w:val="22"/>
                <w:szCs w:val="22"/>
                <w:color w:val="auto"/>
              </w:rPr>
            </w:pPr>
          </w:p>
        </w:tc>
        <w:tc>
          <w:tcPr>
            <w:tcW w:w="7260" w:type="dxa"/>
            <w:vAlign w:val="bottom"/>
            <w:tcBorders>
              <w:bottom w:val="single" w:sz="8" w:color="B6DDE8"/>
              <w:right w:val="single" w:sz="8" w:color="B6DDE8"/>
            </w:tcBorders>
          </w:tcPr>
          <w:p>
            <w:pPr>
              <w:spacing w:after="0"/>
              <w:rPr>
                <w:sz w:val="20"/>
                <w:szCs w:val="20"/>
                <w:color w:val="auto"/>
              </w:rPr>
            </w:pPr>
            <w:r>
              <w:rPr>
                <w:rFonts w:ascii="Arial" w:cs="Arial" w:eastAsia="Arial" w:hAnsi="Arial"/>
                <w:sz w:val="20"/>
                <w:szCs w:val="20"/>
                <w:b w:val="1"/>
                <w:bCs w:val="1"/>
                <w:color w:val="auto"/>
              </w:rPr>
              <w:t>2020</w:t>
            </w:r>
          </w:p>
        </w:tc>
        <w:tc>
          <w:tcPr>
            <w:tcW w:w="2040" w:type="dxa"/>
            <w:vAlign w:val="bottom"/>
            <w:tcBorders>
              <w:bottom w:val="single" w:sz="8" w:color="B6DDE8"/>
              <w:right w:val="single" w:sz="8" w:color="B6DDE8"/>
            </w:tcBorders>
          </w:tcPr>
          <w:p>
            <w:pPr>
              <w:jc w:val="right"/>
              <w:spacing w:after="0"/>
              <w:rPr>
                <w:sz w:val="20"/>
                <w:szCs w:val="20"/>
                <w:color w:val="auto"/>
              </w:rPr>
            </w:pPr>
            <w:r>
              <w:rPr>
                <w:rFonts w:ascii="Arial" w:cs="Arial" w:eastAsia="Arial" w:hAnsi="Arial"/>
                <w:sz w:val="20"/>
                <w:szCs w:val="20"/>
                <w:color w:val="auto"/>
              </w:rPr>
              <w:t>$5,254.4</w:t>
            </w:r>
          </w:p>
        </w:tc>
        <w:tc>
          <w:tcPr>
            <w:tcW w:w="2040" w:type="dxa"/>
            <w:vAlign w:val="bottom"/>
            <w:tcBorders>
              <w:bottom w:val="single" w:sz="8" w:color="B6DDE8"/>
              <w:right w:val="single" w:sz="8" w:color="B6DDE8"/>
            </w:tcBorders>
          </w:tcPr>
          <w:p>
            <w:pPr>
              <w:jc w:val="right"/>
              <w:spacing w:after="0"/>
              <w:rPr>
                <w:sz w:val="20"/>
                <w:szCs w:val="20"/>
                <w:color w:val="auto"/>
              </w:rPr>
            </w:pPr>
            <w:r>
              <w:rPr>
                <w:rFonts w:ascii="Arial" w:cs="Arial" w:eastAsia="Arial" w:hAnsi="Arial"/>
                <w:sz w:val="20"/>
                <w:szCs w:val="20"/>
                <w:color w:val="auto"/>
              </w:rPr>
              <w:t>$744.3</w:t>
            </w:r>
          </w:p>
        </w:tc>
        <w:tc>
          <w:tcPr>
            <w:tcW w:w="0" w:type="dxa"/>
            <w:vAlign w:val="bottom"/>
          </w:tcPr>
          <w:p>
            <w:pPr>
              <w:spacing w:after="0"/>
              <w:rPr>
                <w:sz w:val="1"/>
                <w:szCs w:val="1"/>
                <w:color w:val="auto"/>
              </w:rPr>
            </w:pPr>
          </w:p>
        </w:tc>
      </w:tr>
      <w:tr>
        <w:trPr>
          <w:trHeight w:val="264"/>
        </w:trPr>
        <w:tc>
          <w:tcPr>
            <w:tcW w:w="40" w:type="dxa"/>
            <w:vAlign w:val="bottom"/>
            <w:tcBorders>
              <w:bottom w:val="single" w:sz="8" w:color="B6DDE8"/>
              <w:right w:val="single" w:sz="8" w:color="B6DDE8"/>
            </w:tcBorders>
            <w:shd w:val="clear" w:color="auto" w:fill="B6DDE8"/>
          </w:tcPr>
          <w:p>
            <w:pPr>
              <w:spacing w:after="0"/>
              <w:rPr>
                <w:sz w:val="22"/>
                <w:szCs w:val="22"/>
                <w:color w:val="auto"/>
              </w:rPr>
            </w:pPr>
          </w:p>
        </w:tc>
        <w:tc>
          <w:tcPr>
            <w:tcW w:w="7260" w:type="dxa"/>
            <w:vAlign w:val="bottom"/>
            <w:tcBorders>
              <w:bottom w:val="single" w:sz="8" w:color="B6DDE8"/>
              <w:right w:val="single" w:sz="8" w:color="B6DDE8"/>
            </w:tcBorders>
          </w:tcPr>
          <w:p>
            <w:pPr>
              <w:spacing w:after="0"/>
              <w:rPr>
                <w:sz w:val="20"/>
                <w:szCs w:val="20"/>
                <w:color w:val="auto"/>
              </w:rPr>
            </w:pPr>
            <w:r>
              <w:rPr>
                <w:rFonts w:ascii="Arial" w:cs="Arial" w:eastAsia="Arial" w:hAnsi="Arial"/>
                <w:sz w:val="20"/>
                <w:szCs w:val="20"/>
                <w:b w:val="1"/>
                <w:bCs w:val="1"/>
                <w:color w:val="auto"/>
              </w:rPr>
              <w:t>2021 and beyond</w:t>
            </w:r>
          </w:p>
        </w:tc>
        <w:tc>
          <w:tcPr>
            <w:tcW w:w="2040" w:type="dxa"/>
            <w:vAlign w:val="bottom"/>
            <w:tcBorders>
              <w:bottom w:val="single" w:sz="8" w:color="B6DDE8"/>
              <w:right w:val="single" w:sz="8" w:color="B6DDE8"/>
            </w:tcBorders>
          </w:tcPr>
          <w:p>
            <w:pPr>
              <w:jc w:val="right"/>
              <w:spacing w:after="0"/>
              <w:rPr>
                <w:sz w:val="20"/>
                <w:szCs w:val="20"/>
                <w:color w:val="auto"/>
              </w:rPr>
            </w:pPr>
            <w:r>
              <w:rPr>
                <w:rFonts w:ascii="Arial" w:cs="Arial" w:eastAsia="Arial" w:hAnsi="Arial"/>
                <w:sz w:val="20"/>
                <w:szCs w:val="20"/>
                <w:color w:val="auto"/>
              </w:rPr>
              <w:t>$7,691.9</w:t>
            </w:r>
          </w:p>
        </w:tc>
        <w:tc>
          <w:tcPr>
            <w:tcW w:w="2040" w:type="dxa"/>
            <w:vAlign w:val="bottom"/>
            <w:tcBorders>
              <w:bottom w:val="single" w:sz="8" w:color="B6DDE8"/>
              <w:right w:val="single" w:sz="8" w:color="B6DDE8"/>
            </w:tcBorders>
          </w:tcPr>
          <w:p>
            <w:pPr>
              <w:jc w:val="right"/>
              <w:spacing w:after="0"/>
              <w:rPr>
                <w:sz w:val="20"/>
                <w:szCs w:val="20"/>
                <w:color w:val="auto"/>
              </w:rPr>
            </w:pPr>
            <w:r>
              <w:rPr>
                <w:rFonts w:ascii="Arial" w:cs="Arial" w:eastAsia="Arial" w:hAnsi="Arial"/>
                <w:sz w:val="20"/>
                <w:szCs w:val="20"/>
                <w:color w:val="auto"/>
              </w:rPr>
              <w:t>$1,693.2</w:t>
            </w:r>
          </w:p>
        </w:tc>
        <w:tc>
          <w:tcPr>
            <w:tcW w:w="0" w:type="dxa"/>
            <w:vAlign w:val="bottom"/>
          </w:tcPr>
          <w:p>
            <w:pPr>
              <w:spacing w:after="0"/>
              <w:rPr>
                <w:sz w:val="1"/>
                <w:szCs w:val="1"/>
                <w:color w:val="auto"/>
              </w:rPr>
            </w:pPr>
          </w:p>
        </w:tc>
      </w:tr>
      <w:tr>
        <w:trPr>
          <w:trHeight w:val="264"/>
        </w:trPr>
        <w:tc>
          <w:tcPr>
            <w:tcW w:w="40" w:type="dxa"/>
            <w:vAlign w:val="bottom"/>
            <w:tcBorders>
              <w:bottom w:val="single" w:sz="8" w:color="B6DDE8"/>
              <w:right w:val="single" w:sz="8" w:color="B6DDE8"/>
            </w:tcBorders>
            <w:shd w:val="clear" w:color="auto" w:fill="B6DDE8"/>
          </w:tcPr>
          <w:p>
            <w:pPr>
              <w:spacing w:after="0"/>
              <w:rPr>
                <w:sz w:val="22"/>
                <w:szCs w:val="22"/>
                <w:color w:val="auto"/>
              </w:rPr>
            </w:pPr>
          </w:p>
        </w:tc>
        <w:tc>
          <w:tcPr>
            <w:tcW w:w="7260" w:type="dxa"/>
            <w:vAlign w:val="bottom"/>
            <w:tcBorders>
              <w:bottom w:val="single" w:sz="8" w:color="B6DDE8"/>
              <w:right w:val="single" w:sz="8" w:color="B6DDE8"/>
            </w:tcBorders>
          </w:tcPr>
          <w:p>
            <w:pPr>
              <w:spacing w:after="0"/>
              <w:rPr>
                <w:sz w:val="20"/>
                <w:szCs w:val="20"/>
                <w:color w:val="auto"/>
              </w:rPr>
            </w:pPr>
            <w:r>
              <w:rPr>
                <w:rFonts w:ascii="Arial" w:cs="Arial" w:eastAsia="Arial" w:hAnsi="Arial"/>
                <w:sz w:val="20"/>
                <w:szCs w:val="20"/>
                <w:b w:val="1"/>
                <w:bCs w:val="1"/>
                <w:color w:val="auto"/>
              </w:rPr>
              <w:t>Total</w:t>
            </w:r>
          </w:p>
        </w:tc>
        <w:tc>
          <w:tcPr>
            <w:tcW w:w="2040" w:type="dxa"/>
            <w:vAlign w:val="bottom"/>
            <w:tcBorders>
              <w:bottom w:val="single" w:sz="8" w:color="B6DDE8"/>
              <w:right w:val="single" w:sz="8" w:color="B6DDE8"/>
            </w:tcBorders>
          </w:tcPr>
          <w:p>
            <w:pPr>
              <w:jc w:val="right"/>
              <w:spacing w:after="0"/>
              <w:rPr>
                <w:sz w:val="20"/>
                <w:szCs w:val="20"/>
                <w:color w:val="auto"/>
              </w:rPr>
            </w:pPr>
            <w:r>
              <w:rPr>
                <w:rFonts w:ascii="Arial" w:cs="Arial" w:eastAsia="Arial" w:hAnsi="Arial"/>
                <w:sz w:val="20"/>
                <w:szCs w:val="20"/>
                <w:b w:val="1"/>
                <w:bCs w:val="1"/>
                <w:color w:val="auto"/>
              </w:rPr>
              <w:t>$15,030.8</w:t>
            </w:r>
          </w:p>
        </w:tc>
        <w:tc>
          <w:tcPr>
            <w:tcW w:w="2040" w:type="dxa"/>
            <w:vAlign w:val="bottom"/>
            <w:tcBorders>
              <w:bottom w:val="single" w:sz="8" w:color="B6DDE8"/>
              <w:right w:val="single" w:sz="8" w:color="B6DDE8"/>
            </w:tcBorders>
          </w:tcPr>
          <w:p>
            <w:pPr>
              <w:jc w:val="right"/>
              <w:spacing w:after="0"/>
              <w:rPr>
                <w:sz w:val="20"/>
                <w:szCs w:val="20"/>
                <w:color w:val="auto"/>
              </w:rPr>
            </w:pPr>
            <w:r>
              <w:rPr>
                <w:rFonts w:ascii="Arial" w:cs="Arial" w:eastAsia="Arial" w:hAnsi="Arial"/>
                <w:sz w:val="20"/>
                <w:szCs w:val="20"/>
                <w:b w:val="1"/>
                <w:bCs w:val="1"/>
                <w:color w:val="auto"/>
              </w:rPr>
              <w:t>$2,632.0</w:t>
            </w:r>
          </w:p>
        </w:tc>
        <w:tc>
          <w:tcPr>
            <w:tcW w:w="0" w:type="dxa"/>
            <w:vAlign w:val="bottom"/>
          </w:tcPr>
          <w:p>
            <w:pPr>
              <w:spacing w:after="0"/>
              <w:rPr>
                <w:sz w:val="1"/>
                <w:szCs w:val="1"/>
                <w:color w:val="auto"/>
              </w:rPr>
            </w:pPr>
          </w:p>
        </w:tc>
      </w:tr>
    </w:tbl>
    <w:p>
      <w:pPr>
        <w:spacing w:after="0" w:line="8" w:lineRule="exact"/>
        <w:rPr>
          <w:sz w:val="20"/>
          <w:szCs w:val="20"/>
          <w:color w:val="auto"/>
        </w:rPr>
      </w:pPr>
    </w:p>
    <w:p>
      <w:pPr>
        <w:ind w:left="60" w:right="520" w:firstLine="2"/>
        <w:spacing w:after="0" w:line="267" w:lineRule="auto"/>
        <w:tabs>
          <w:tab w:leader="none" w:pos="180" w:val="left"/>
        </w:tabs>
        <w:numPr>
          <w:ilvl w:val="0"/>
          <w:numId w:val="11"/>
        </w:numPr>
        <w:rPr>
          <w:rFonts w:ascii="Arial" w:cs="Arial" w:eastAsia="Arial" w:hAnsi="Arial"/>
          <w:sz w:val="18"/>
          <w:szCs w:val="18"/>
          <w:b w:val="1"/>
          <w:bCs w:val="1"/>
          <w:i w:val="1"/>
          <w:iCs w:val="1"/>
          <w:color w:val="auto"/>
        </w:rPr>
      </w:pPr>
      <w:r>
        <w:rPr>
          <w:rFonts w:ascii="Arial" w:cs="Arial" w:eastAsia="Arial" w:hAnsi="Arial"/>
          <w:sz w:val="18"/>
          <w:szCs w:val="18"/>
          <w:i w:val="1"/>
          <w:iCs w:val="1"/>
          <w:color w:val="auto"/>
        </w:rPr>
        <w:t>Non-consolidated backlog reflects the proportional share of backlog related to joint ventures that is not consolidated due to our minority ownership 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180"/>
        <w:spacing w:after="0"/>
        <w:tabs>
          <w:tab w:leader="none" w:pos="10500" w:val="left"/>
        </w:tabs>
        <w:rPr>
          <w:rFonts w:ascii="Arial" w:cs="Arial" w:eastAsia="Arial" w:hAnsi="Arial"/>
          <w:sz w:val="14"/>
          <w:szCs w:val="14"/>
          <w:b w:val="1"/>
          <w:bCs w:val="1"/>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 xml:space="preserve">Page 6 of </w:t>
      </w:r>
      <w:hyperlink w:anchor="page29">
        <w:r>
          <w:rPr>
            <w:rFonts w:ascii="Arial" w:cs="Arial" w:eastAsia="Arial" w:hAnsi="Arial"/>
            <w:sz w:val="14"/>
            <w:szCs w:val="14"/>
            <w:b w:val="1"/>
            <w:bCs w:val="1"/>
            <w:color w:val="auto"/>
          </w:rPr>
          <w:t>24</w:t>
        </w:r>
      </w:hyperlink>
    </w:p>
    <w:p>
      <w:pPr>
        <w:sectPr>
          <w:pgSz w:w="11900" w:h="16838" w:orient="portrait"/>
          <w:cols w:equalWidth="0" w:num="1">
            <w:col w:w="11420"/>
          </w:cols>
          <w:pgMar w:left="240" w:top="1216" w:right="239" w:bottom="1440" w:gutter="0" w:footer="0" w:header="0"/>
        </w:sectPr>
      </w:pPr>
    </w:p>
    <w:bookmarkStart w:id="10" w:name="page11"/>
    <w:bookmarkEnd w:id="10"/>
    <w:p>
      <w:pPr>
        <w:ind w:left="40"/>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2778760" cy="5314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2778760" cy="531495"/>
                    </a:xfrm>
                    <a:prstGeom prst="rect">
                      <a:avLst/>
                    </a:prstGeom>
                    <a:noFill/>
                  </pic:spPr>
                </pic:pic>
              </a:graphicData>
            </a:graphic>
          </wp:anchor>
        </w:drawing>
        <w:t>Surface Technologies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Financial Highlights</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Reconciliation of U.S. GAAP to non-GAAP financial measures are below and in financial schedules.</w:t>
      </w:r>
    </w:p>
    <w:p>
      <w:pPr>
        <w:spacing w:after="0" w:line="125"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6380" w:type="dxa"/>
            <w:vAlign w:val="bottom"/>
            <w:tcBorders>
              <w:top w:val="single" w:sz="8" w:color="B8CCE4"/>
              <w:left w:val="single" w:sz="8" w:color="B8CCE4"/>
              <w:right w:val="single" w:sz="8" w:color="B8CCE4"/>
            </w:tcBorders>
          </w:tcPr>
          <w:p>
            <w:pPr>
              <w:ind w:left="40"/>
              <w:spacing w:after="0"/>
              <w:rPr>
                <w:sz w:val="20"/>
                <w:szCs w:val="20"/>
                <w:color w:val="auto"/>
              </w:rPr>
            </w:pPr>
            <w:r>
              <w:rPr>
                <w:rFonts w:ascii="Arial" w:cs="Arial" w:eastAsia="Arial" w:hAnsi="Arial"/>
                <w:sz w:val="14"/>
                <w:szCs w:val="14"/>
                <w:b w:val="1"/>
                <w:bCs w:val="1"/>
                <w:color w:val="auto"/>
              </w:rPr>
              <w:t>Three Months Ended</w:t>
            </w:r>
          </w:p>
        </w:tc>
        <w:tc>
          <w:tcPr>
            <w:tcW w:w="1800" w:type="dxa"/>
            <w:vAlign w:val="bottom"/>
            <w:tcBorders>
              <w:top w:val="single" w:sz="8" w:color="B8CCE4"/>
              <w:right w:val="single" w:sz="8" w:color="B8CCE4"/>
            </w:tcBorders>
          </w:tcPr>
          <w:p>
            <w:pPr>
              <w:jc w:val="right"/>
              <w:ind w:right="328"/>
              <w:spacing w:after="0"/>
              <w:rPr>
                <w:sz w:val="20"/>
                <w:szCs w:val="20"/>
                <w:color w:val="auto"/>
              </w:rPr>
            </w:pPr>
            <w:r>
              <w:rPr>
                <w:rFonts w:ascii="Arial" w:cs="Arial" w:eastAsia="Arial" w:hAnsi="Arial"/>
                <w:sz w:val="14"/>
                <w:szCs w:val="14"/>
                <w:b w:val="1"/>
                <w:bCs w:val="1"/>
                <w:color w:val="auto"/>
              </w:rPr>
              <w:t>September 30,</w:t>
            </w:r>
          </w:p>
        </w:tc>
        <w:tc>
          <w:tcPr>
            <w:tcW w:w="1800" w:type="dxa"/>
            <w:vAlign w:val="bottom"/>
            <w:tcBorders>
              <w:top w:val="single" w:sz="8" w:color="B8CCE4"/>
              <w:right w:val="single" w:sz="8" w:color="B8CCE4"/>
            </w:tcBorders>
          </w:tcPr>
          <w:p>
            <w:pPr>
              <w:spacing w:after="0"/>
              <w:rPr>
                <w:sz w:val="16"/>
                <w:szCs w:val="16"/>
                <w:color w:val="auto"/>
              </w:rPr>
            </w:pPr>
          </w:p>
        </w:tc>
        <w:tc>
          <w:tcPr>
            <w:tcW w:w="1460" w:type="dxa"/>
            <w:vAlign w:val="bottom"/>
            <w:tcBorders>
              <w:top w:val="single" w:sz="8" w:color="B8CCE4"/>
              <w:right w:val="single" w:sz="8" w:color="B8CCE4"/>
            </w:tcBorders>
          </w:tcPr>
          <w:p>
            <w:pPr>
              <w:spacing w:after="0"/>
              <w:rPr>
                <w:sz w:val="16"/>
                <w:szCs w:val="16"/>
                <w:color w:val="auto"/>
              </w:rPr>
            </w:pPr>
          </w:p>
        </w:tc>
      </w:tr>
      <w:tr>
        <w:trPr>
          <w:trHeight w:val="196"/>
        </w:trPr>
        <w:tc>
          <w:tcPr>
            <w:tcW w:w="638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1800" w:type="dxa"/>
            <w:vAlign w:val="bottom"/>
            <w:tcBorders>
              <w:bottom w:val="single" w:sz="8" w:color="B8CCE4"/>
              <w:right w:val="single" w:sz="8" w:color="B8CCE4"/>
            </w:tcBorders>
          </w:tcPr>
          <w:p>
            <w:pPr>
              <w:jc w:val="right"/>
              <w:ind w:right="648"/>
              <w:spacing w:after="0"/>
              <w:rPr>
                <w:sz w:val="20"/>
                <w:szCs w:val="20"/>
                <w:color w:val="auto"/>
              </w:rPr>
            </w:pPr>
            <w:r>
              <w:rPr>
                <w:rFonts w:ascii="Arial" w:cs="Arial" w:eastAsia="Arial" w:hAnsi="Arial"/>
                <w:sz w:val="14"/>
                <w:szCs w:val="14"/>
                <w:b w:val="1"/>
                <w:bCs w:val="1"/>
                <w:color w:val="auto"/>
              </w:rPr>
              <w:t>2019</w:t>
            </w:r>
          </w:p>
        </w:tc>
        <w:tc>
          <w:tcPr>
            <w:tcW w:w="1800" w:type="dxa"/>
            <w:vAlign w:val="bottom"/>
            <w:tcBorders>
              <w:bottom w:val="single" w:sz="8" w:color="B8CCE4"/>
              <w:right w:val="single" w:sz="8" w:color="B8CCE4"/>
            </w:tcBorders>
          </w:tcPr>
          <w:p>
            <w:pPr>
              <w:jc w:val="right"/>
              <w:ind w:right="145"/>
              <w:spacing w:after="0"/>
              <w:rPr>
                <w:sz w:val="20"/>
                <w:szCs w:val="20"/>
                <w:color w:val="auto"/>
              </w:rPr>
            </w:pPr>
            <w:r>
              <w:rPr>
                <w:rFonts w:ascii="Arial" w:cs="Arial" w:eastAsia="Arial" w:hAnsi="Arial"/>
                <w:sz w:val="14"/>
                <w:szCs w:val="14"/>
                <w:b w:val="1"/>
                <w:bCs w:val="1"/>
                <w:color w:val="auto"/>
              </w:rPr>
              <w:t>September 30, 2018</w:t>
            </w:r>
          </w:p>
        </w:tc>
        <w:tc>
          <w:tcPr>
            <w:tcW w:w="146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14"/>
                <w:szCs w:val="14"/>
                <w:b w:val="1"/>
                <w:bCs w:val="1"/>
                <w:color w:val="auto"/>
              </w:rPr>
              <w:t>Change</w:t>
            </w:r>
          </w:p>
        </w:tc>
      </w:tr>
      <w:tr>
        <w:trPr>
          <w:trHeight w:val="265"/>
        </w:trPr>
        <w:tc>
          <w:tcPr>
            <w:tcW w:w="638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Revenue</w:t>
            </w:r>
          </w:p>
        </w:tc>
        <w:tc>
          <w:tcPr>
            <w:tcW w:w="18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$396.6</w:t>
            </w:r>
          </w:p>
        </w:tc>
        <w:tc>
          <w:tcPr>
            <w:tcW w:w="18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$402.2</w:t>
            </w:r>
          </w:p>
        </w:tc>
        <w:tc>
          <w:tcPr>
            <w:tcW w:w="146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8"/>
              </w:rPr>
              <w:t>(1.4%)</w:t>
            </w:r>
          </w:p>
        </w:tc>
      </w:tr>
      <w:tr>
        <w:trPr>
          <w:trHeight w:val="264"/>
        </w:trPr>
        <w:tc>
          <w:tcPr>
            <w:tcW w:w="638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Operating profit</w:t>
            </w:r>
          </w:p>
        </w:tc>
        <w:tc>
          <w:tcPr>
            <w:tcW w:w="1800" w:type="dxa"/>
            <w:vAlign w:val="bottom"/>
            <w:tcBorders>
              <w:bottom w:val="single" w:sz="8" w:color="B4C6E7"/>
              <w:right w:val="single" w:sz="8" w:color="B8CCE4"/>
            </w:tcBorders>
          </w:tcPr>
          <w:p>
            <w:pPr>
              <w:jc w:val="right"/>
              <w:spacing w:after="0"/>
              <w:rPr>
                <w:sz w:val="20"/>
                <w:szCs w:val="20"/>
                <w:color w:val="auto"/>
              </w:rPr>
            </w:pPr>
            <w:r>
              <w:rPr>
                <w:rFonts w:ascii="Arial" w:cs="Arial" w:eastAsia="Arial" w:hAnsi="Arial"/>
                <w:sz w:val="20"/>
                <w:szCs w:val="20"/>
                <w:color w:val="auto"/>
              </w:rPr>
              <w:t>$6.1</w:t>
            </w:r>
          </w:p>
        </w:tc>
        <w:tc>
          <w:tcPr>
            <w:tcW w:w="18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$51.9</w:t>
            </w:r>
          </w:p>
        </w:tc>
        <w:tc>
          <w:tcPr>
            <w:tcW w:w="146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7"/>
              </w:rPr>
              <w:t>(88.2%)</w:t>
            </w:r>
          </w:p>
        </w:tc>
      </w:tr>
      <w:tr>
        <w:trPr>
          <w:trHeight w:val="284"/>
        </w:trPr>
        <w:tc>
          <w:tcPr>
            <w:tcW w:w="638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Adjusted EBITDA</w:t>
            </w:r>
          </w:p>
        </w:tc>
        <w:tc>
          <w:tcPr>
            <w:tcW w:w="1800" w:type="dxa"/>
            <w:vAlign w:val="bottom"/>
            <w:tcBorders>
              <w:bottom w:val="single" w:sz="8" w:color="B4C6E7"/>
              <w:right w:val="single" w:sz="8" w:color="B8CCE4"/>
            </w:tcBorders>
          </w:tcPr>
          <w:p>
            <w:pPr>
              <w:jc w:val="right"/>
              <w:spacing w:after="0"/>
              <w:rPr>
                <w:sz w:val="20"/>
                <w:szCs w:val="20"/>
                <w:color w:val="auto"/>
              </w:rPr>
            </w:pPr>
            <w:r>
              <w:rPr>
                <w:rFonts w:ascii="Arial" w:cs="Arial" w:eastAsia="Arial" w:hAnsi="Arial"/>
                <w:sz w:val="20"/>
                <w:szCs w:val="20"/>
                <w:color w:val="auto"/>
              </w:rPr>
              <w:t>$44.4</w:t>
            </w:r>
          </w:p>
        </w:tc>
        <w:tc>
          <w:tcPr>
            <w:tcW w:w="18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$72.5</w:t>
            </w:r>
          </w:p>
        </w:tc>
        <w:tc>
          <w:tcPr>
            <w:tcW w:w="146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7"/>
              </w:rPr>
              <w:t>(38.8%)</w:t>
            </w:r>
          </w:p>
        </w:tc>
      </w:tr>
      <w:tr>
        <w:trPr>
          <w:trHeight w:val="244"/>
        </w:trPr>
        <w:tc>
          <w:tcPr>
            <w:tcW w:w="638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Adjusted EBITDA margin</w:t>
            </w:r>
          </w:p>
        </w:tc>
        <w:tc>
          <w:tcPr>
            <w:tcW w:w="18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11.2%</w:t>
            </w:r>
          </w:p>
        </w:tc>
        <w:tc>
          <w:tcPr>
            <w:tcW w:w="1800" w:type="dxa"/>
            <w:vAlign w:val="bottom"/>
            <w:tcBorders>
              <w:bottom w:val="single" w:sz="8" w:color="B4C6E7"/>
              <w:right w:val="single" w:sz="8" w:color="B8CCE4"/>
            </w:tcBorders>
          </w:tcPr>
          <w:p>
            <w:pPr>
              <w:jc w:val="right"/>
              <w:spacing w:after="0"/>
              <w:rPr>
                <w:sz w:val="20"/>
                <w:szCs w:val="20"/>
                <w:color w:val="auto"/>
              </w:rPr>
            </w:pPr>
            <w:r>
              <w:rPr>
                <w:rFonts w:ascii="Arial" w:cs="Arial" w:eastAsia="Arial" w:hAnsi="Arial"/>
                <w:sz w:val="20"/>
                <w:szCs w:val="20"/>
                <w:color w:val="auto"/>
              </w:rPr>
              <w:t>18.0%</w:t>
            </w:r>
          </w:p>
        </w:tc>
        <w:tc>
          <w:tcPr>
            <w:tcW w:w="146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9"/>
              </w:rPr>
              <w:t>(680 bps)</w:t>
            </w:r>
          </w:p>
        </w:tc>
      </w:tr>
      <w:tr>
        <w:trPr>
          <w:trHeight w:val="322"/>
        </w:trPr>
        <w:tc>
          <w:tcPr>
            <w:tcW w:w="6380" w:type="dxa"/>
            <w:vAlign w:val="bottom"/>
            <w:tcBorders>
              <w:left w:val="single" w:sz="8" w:color="B8CCE4"/>
              <w:bottom w:val="single" w:sz="8" w:color="B8CCE4"/>
            </w:tcBorders>
          </w:tcPr>
          <w:p>
            <w:pPr>
              <w:spacing w:after="0"/>
              <w:rPr>
                <w:sz w:val="24"/>
                <w:szCs w:val="24"/>
                <w:color w:val="auto"/>
              </w:rPr>
            </w:pPr>
          </w:p>
        </w:tc>
        <w:tc>
          <w:tcPr>
            <w:tcW w:w="1800" w:type="dxa"/>
            <w:vAlign w:val="bottom"/>
            <w:tcBorders>
              <w:bottom w:val="single" w:sz="8" w:color="B8CCE4"/>
            </w:tcBorders>
          </w:tcPr>
          <w:p>
            <w:pPr>
              <w:spacing w:after="0"/>
              <w:rPr>
                <w:sz w:val="24"/>
                <w:szCs w:val="24"/>
                <w:color w:val="auto"/>
              </w:rPr>
            </w:pPr>
          </w:p>
        </w:tc>
        <w:tc>
          <w:tcPr>
            <w:tcW w:w="1800" w:type="dxa"/>
            <w:vAlign w:val="bottom"/>
            <w:tcBorders>
              <w:bottom w:val="single" w:sz="8" w:color="B8CCE4"/>
            </w:tcBorders>
          </w:tcPr>
          <w:p>
            <w:pPr>
              <w:spacing w:after="0"/>
              <w:rPr>
                <w:sz w:val="24"/>
                <w:szCs w:val="24"/>
                <w:color w:val="auto"/>
              </w:rPr>
            </w:pPr>
          </w:p>
        </w:tc>
        <w:tc>
          <w:tcPr>
            <w:tcW w:w="1460" w:type="dxa"/>
            <w:vAlign w:val="bottom"/>
            <w:tcBorders>
              <w:bottom w:val="single" w:sz="8" w:color="B8CCE4"/>
              <w:right w:val="single" w:sz="8" w:color="B8CCE4"/>
            </w:tcBorders>
          </w:tcPr>
          <w:p>
            <w:pPr>
              <w:spacing w:after="0"/>
              <w:rPr>
                <w:sz w:val="24"/>
                <w:szCs w:val="24"/>
                <w:color w:val="auto"/>
              </w:rPr>
            </w:pPr>
          </w:p>
        </w:tc>
      </w:tr>
      <w:tr>
        <w:trPr>
          <w:trHeight w:val="259"/>
        </w:trPr>
        <w:tc>
          <w:tcPr>
            <w:tcW w:w="638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Inbound orders</w:t>
            </w:r>
          </w:p>
        </w:tc>
        <w:tc>
          <w:tcPr>
            <w:tcW w:w="18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$404.7</w:t>
            </w:r>
          </w:p>
        </w:tc>
        <w:tc>
          <w:tcPr>
            <w:tcW w:w="18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$427.2</w:t>
            </w:r>
          </w:p>
        </w:tc>
        <w:tc>
          <w:tcPr>
            <w:tcW w:w="146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8"/>
              </w:rPr>
              <w:t>(5.3%)</w:t>
            </w:r>
          </w:p>
        </w:tc>
      </w:tr>
      <w:tr>
        <w:trPr>
          <w:trHeight w:val="264"/>
        </w:trPr>
        <w:tc>
          <w:tcPr>
            <w:tcW w:w="638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Backlog</w:t>
            </w:r>
          </w:p>
        </w:tc>
        <w:tc>
          <w:tcPr>
            <w:tcW w:w="18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$428.7</w:t>
            </w:r>
          </w:p>
        </w:tc>
        <w:tc>
          <w:tcPr>
            <w:tcW w:w="18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$455.8</w:t>
            </w:r>
          </w:p>
        </w:tc>
        <w:tc>
          <w:tcPr>
            <w:tcW w:w="146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8"/>
              </w:rPr>
              <w:t>(5.9%)</w:t>
            </w:r>
          </w:p>
        </w:tc>
      </w:tr>
    </w:tbl>
    <w:p>
      <w:pPr>
        <w:spacing w:after="0" w:line="388" w:lineRule="exact"/>
        <w:rPr>
          <w:sz w:val="20"/>
          <w:szCs w:val="20"/>
          <w:color w:val="auto"/>
        </w:rPr>
      </w:pPr>
    </w:p>
    <w:p>
      <w:pPr>
        <w:jc w:val="both"/>
        <w:ind w:right="20"/>
        <w:spacing w:after="0" w:line="242" w:lineRule="auto"/>
        <w:rPr>
          <w:sz w:val="20"/>
          <w:szCs w:val="20"/>
          <w:color w:val="auto"/>
        </w:rPr>
      </w:pPr>
      <w:r>
        <w:rPr>
          <w:rFonts w:ascii="Arial" w:cs="Arial" w:eastAsia="Arial" w:hAnsi="Arial"/>
          <w:sz w:val="20"/>
          <w:szCs w:val="20"/>
          <w:color w:val="auto"/>
        </w:rPr>
        <w:t>Surface Technologies reported third quarter revenue of $396.6 million, a decrease of 1.4 percent from the prior-year quarter. The revenue decline was driven mainly by lower sales in North America resulting from further reductions in drilling and completion activity, largely offset by revenue growth in international markets. Revenue outside North America represents more than 50 percent of the total segment, with activity now expected to reach low double-digit growth for the full year.</w:t>
      </w:r>
    </w:p>
    <w:p>
      <w:pPr>
        <w:spacing w:after="0" w:line="166" w:lineRule="exact"/>
        <w:rPr>
          <w:sz w:val="20"/>
          <w:szCs w:val="20"/>
          <w:color w:val="auto"/>
        </w:rPr>
      </w:pPr>
    </w:p>
    <w:p>
      <w:pPr>
        <w:jc w:val="both"/>
        <w:ind w:right="20"/>
        <w:spacing w:after="0" w:line="242" w:lineRule="auto"/>
        <w:rPr>
          <w:sz w:val="20"/>
          <w:szCs w:val="20"/>
          <w:color w:val="auto"/>
        </w:rPr>
      </w:pPr>
      <w:r>
        <w:rPr>
          <w:rFonts w:ascii="Arial" w:cs="Arial" w:eastAsia="Arial" w:hAnsi="Arial"/>
          <w:sz w:val="20"/>
          <w:szCs w:val="20"/>
          <w:color w:val="auto"/>
        </w:rPr>
        <w:t>Surface Technologies reported operating profit of $6.1 million; adjusted EBITDA was $44.4 million with a margin of 11.2 percent, a decrease of 680 basis points from the prior-year quarter. Operating profit decreased versus the prior-year quarter primarily due to further declines in volume and pricing in North America. These same factors drove the year-over-year decrease in adjusted EBITDA.</w:t>
      </w:r>
    </w:p>
    <w:p>
      <w:pPr>
        <w:spacing w:after="0" w:line="220" w:lineRule="exact"/>
        <w:rPr>
          <w:sz w:val="20"/>
          <w:szCs w:val="20"/>
          <w:color w:val="auto"/>
        </w:rPr>
      </w:pPr>
    </w:p>
    <w:p>
      <w:pPr>
        <w:spacing w:after="0"/>
        <w:rPr>
          <w:sz w:val="20"/>
          <w:szCs w:val="20"/>
          <w:color w:val="auto"/>
        </w:rPr>
      </w:pPr>
      <w:r>
        <w:rPr>
          <w:rFonts w:ascii="Arial" w:cs="Arial" w:eastAsia="Arial" w:hAnsi="Arial"/>
          <w:sz w:val="19"/>
          <w:szCs w:val="19"/>
          <w:color w:val="auto"/>
        </w:rPr>
        <w:t>Inbound orders for the quarter were $404.7 million. Backlog decreased 5.9 percent versus the prior-year quarter to $428.7 million.</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color w:val="auto"/>
        </w:rPr>
        <w:t>Given the short-cycle nature of the business, orders are generally converted into revenue within twelve months.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0"/>
          <w:szCs w:val="20"/>
          <w:color w:val="auto"/>
        </w:rPr>
        <w:t>Third Quarter Surface Technologies Award Highlights</w:t>
      </w:r>
    </w:p>
    <w:p>
      <w:pPr>
        <w:spacing w:after="0" w:line="192"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20"/>
          <w:szCs w:val="20"/>
          <w:color w:val="auto"/>
        </w:rPr>
      </w:pPr>
      <w:r>
        <w:rPr>
          <w:rFonts w:ascii="Arial" w:cs="Arial" w:eastAsia="Arial" w:hAnsi="Arial"/>
          <w:sz w:val="20"/>
          <w:szCs w:val="20"/>
          <w:b w:val="1"/>
          <w:bCs w:val="1"/>
          <w:color w:val="auto"/>
        </w:rPr>
        <w:t xml:space="preserve">ADNOC </w:t>
      </w:r>
      <w:r>
        <w:rPr>
          <w:rFonts w:ascii="Arial" w:cs="Arial" w:eastAsia="Arial" w:hAnsi="Arial"/>
          <w:sz w:val="18"/>
          <w:szCs w:val="18"/>
          <w:b w:val="1"/>
          <w:bCs w:val="1"/>
          <w:color w:val="auto"/>
        </w:rPr>
        <w:t>(United Arab Emirates)</w:t>
      </w:r>
    </w:p>
    <w:p>
      <w:pPr>
        <w:spacing w:after="0" w:line="23"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color w:val="auto"/>
        </w:rPr>
        <w:t>Award for various wellhead and tree configurations for both onshore and offshore oil and gas wells.</w:t>
      </w:r>
    </w:p>
    <w:p>
      <w:pPr>
        <w:spacing w:after="0" w:line="191" w:lineRule="exact"/>
        <w:rPr>
          <w:rFonts w:ascii="Arial" w:cs="Arial" w:eastAsia="Arial" w:hAnsi="Arial"/>
          <w:sz w:val="20"/>
          <w:szCs w:val="20"/>
          <w:color w:val="auto"/>
        </w:rPr>
      </w:pPr>
    </w:p>
    <w:p>
      <w:pPr>
        <w:ind w:left="660" w:hanging="328"/>
        <w:spacing w:after="0"/>
        <w:tabs>
          <w:tab w:leader="none" w:pos="660" w:val="left"/>
        </w:tabs>
        <w:numPr>
          <w:ilvl w:val="0"/>
          <w:numId w:val="12"/>
        </w:numPr>
        <w:rPr>
          <w:rFonts w:ascii="Arial" w:cs="Arial" w:eastAsia="Arial" w:hAnsi="Arial"/>
          <w:sz w:val="20"/>
          <w:szCs w:val="20"/>
          <w:color w:val="auto"/>
        </w:rPr>
      </w:pPr>
      <w:r>
        <w:rPr>
          <w:rFonts w:ascii="Arial" w:cs="Arial" w:eastAsia="Arial" w:hAnsi="Arial"/>
          <w:sz w:val="20"/>
          <w:szCs w:val="20"/>
          <w:b w:val="1"/>
          <w:bCs w:val="1"/>
          <w:color w:val="auto"/>
        </w:rPr>
        <w:t xml:space="preserve">Tatweer Petroleum </w:t>
      </w:r>
      <w:r>
        <w:rPr>
          <w:rFonts w:ascii="Arial" w:cs="Arial" w:eastAsia="Arial" w:hAnsi="Arial"/>
          <w:sz w:val="18"/>
          <w:szCs w:val="18"/>
          <w:b w:val="1"/>
          <w:bCs w:val="1"/>
          <w:color w:val="auto"/>
        </w:rPr>
        <w:t>(Bahrain)</w:t>
      </w:r>
    </w:p>
    <w:p>
      <w:pPr>
        <w:spacing w:after="0" w:line="23"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color w:val="auto"/>
        </w:rPr>
        <w:t>Award for wellheads, trees and control panels for onshore gas wells over five years, with first call-off made in September.</w:t>
      </w:r>
    </w:p>
    <w:p>
      <w:pPr>
        <w:spacing w:after="0" w:line="191" w:lineRule="exact"/>
        <w:rPr>
          <w:rFonts w:ascii="Arial" w:cs="Arial" w:eastAsia="Arial" w:hAnsi="Arial"/>
          <w:sz w:val="20"/>
          <w:szCs w:val="20"/>
          <w:color w:val="auto"/>
        </w:rPr>
      </w:pPr>
    </w:p>
    <w:p>
      <w:pPr>
        <w:ind w:left="660" w:hanging="328"/>
        <w:spacing w:after="0"/>
        <w:tabs>
          <w:tab w:leader="none" w:pos="660" w:val="left"/>
        </w:tabs>
        <w:numPr>
          <w:ilvl w:val="0"/>
          <w:numId w:val="12"/>
        </w:numPr>
        <w:rPr>
          <w:rFonts w:ascii="Arial" w:cs="Arial" w:eastAsia="Arial" w:hAnsi="Arial"/>
          <w:sz w:val="20"/>
          <w:szCs w:val="20"/>
          <w:color w:val="auto"/>
        </w:rPr>
      </w:pPr>
      <w:r>
        <w:rPr>
          <w:rFonts w:ascii="Arial" w:cs="Arial" w:eastAsia="Arial" w:hAnsi="Arial"/>
          <w:sz w:val="20"/>
          <w:szCs w:val="20"/>
          <w:b w:val="1"/>
          <w:bCs w:val="1"/>
          <w:color w:val="auto"/>
        </w:rPr>
        <w:t xml:space="preserve">Saipem </w:t>
      </w:r>
      <w:r>
        <w:rPr>
          <w:rFonts w:ascii="Arial" w:cs="Arial" w:eastAsia="Arial" w:hAnsi="Arial"/>
          <w:sz w:val="18"/>
          <w:szCs w:val="18"/>
          <w:b w:val="1"/>
          <w:bCs w:val="1"/>
          <w:color w:val="auto"/>
        </w:rPr>
        <w:t>(Mauritania and Senegal)</w:t>
      </w:r>
    </w:p>
    <w:p>
      <w:pPr>
        <w:spacing w:after="0" w:line="23"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color w:val="auto"/>
        </w:rPr>
        <w:t>Award to Loading Systems for the offshore marine loading arms scope on the BP Tortue project.</w:t>
      </w:r>
    </w:p>
    <w:p>
      <w:pPr>
        <w:spacing w:after="0" w:line="200" w:lineRule="exact"/>
        <w:rPr>
          <w:sz w:val="20"/>
          <w:szCs w:val="20"/>
          <w:color w:val="auto"/>
        </w:rPr>
      </w:pPr>
    </w:p>
    <w:p>
      <w:pPr>
        <w:spacing w:after="0" w:line="249" w:lineRule="exact"/>
        <w:rPr>
          <w:sz w:val="20"/>
          <w:szCs w:val="20"/>
          <w:color w:val="auto"/>
        </w:rPr>
      </w:pPr>
    </w:p>
    <w:p>
      <w:pPr>
        <w:ind w:left="5180"/>
        <w:spacing w:after="0"/>
        <w:tabs>
          <w:tab w:leader="none" w:pos="10500" w:val="left"/>
        </w:tabs>
        <w:rPr>
          <w:rFonts w:ascii="Arial" w:cs="Arial" w:eastAsia="Arial" w:hAnsi="Arial"/>
          <w:sz w:val="14"/>
          <w:szCs w:val="14"/>
          <w:b w:val="1"/>
          <w:bCs w:val="1"/>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 xml:space="preserve">Page 7 of </w:t>
      </w:r>
      <w:hyperlink w:anchor="page29">
        <w:r>
          <w:rPr>
            <w:rFonts w:ascii="Arial" w:cs="Arial" w:eastAsia="Arial" w:hAnsi="Arial"/>
            <w:sz w:val="14"/>
            <w:szCs w:val="14"/>
            <w:b w:val="1"/>
            <w:bCs w:val="1"/>
            <w:color w:val="auto"/>
          </w:rPr>
          <w:t>24</w:t>
        </w:r>
      </w:hyperlink>
    </w:p>
    <w:p>
      <w:pPr>
        <w:sectPr>
          <w:pgSz w:w="11900" w:h="16838" w:orient="portrait"/>
          <w:cols w:equalWidth="0" w:num="1">
            <w:col w:w="11440"/>
          </w:cols>
          <w:pgMar w:left="240" w:top="1354" w:right="219" w:bottom="1440" w:gutter="0" w:footer="0" w:header="0"/>
        </w:sectPr>
      </w:pPr>
    </w:p>
    <w:bookmarkStart w:id="11" w:name="page12"/>
    <w:bookmarkEnd w:id="11"/>
    <w:p>
      <w:pP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2778760" cy="5314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2778760" cy="531495"/>
                    </a:xfrm>
                    <a:prstGeom prst="rect">
                      <a:avLst/>
                    </a:prstGeom>
                    <a:noFill/>
                  </pic:spPr>
                </pic:pic>
              </a:graphicData>
            </a:graphic>
          </wp:anchor>
        </w:drawing>
        <w:t>Corporate and Other Items</w:t>
      </w:r>
    </w:p>
    <w:p>
      <w:pPr>
        <w:spacing w:after="0" w:line="240"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Corporate expense in the third quarter was $128.8 million. This includes charges and credits totaling $18.2 million of expense. Excluding charges and credits, corporate expense was $110.6 million which included $53.2 million of foreign exchange losses mainly due to the devaluation of unhedged currencies, primarily the Angolan Kwanza.</w:t>
      </w:r>
    </w:p>
    <w:p>
      <w:pPr>
        <w:spacing w:after="0" w:line="166" w:lineRule="exact"/>
        <w:rPr>
          <w:sz w:val="20"/>
          <w:szCs w:val="20"/>
          <w:color w:val="auto"/>
        </w:rPr>
      </w:pPr>
    </w:p>
    <w:p>
      <w:pPr>
        <w:jc w:val="both"/>
        <w:ind w:right="20"/>
        <w:spacing w:after="0" w:line="247" w:lineRule="auto"/>
        <w:rPr>
          <w:sz w:val="20"/>
          <w:szCs w:val="20"/>
          <w:color w:val="auto"/>
        </w:rPr>
      </w:pPr>
      <w:r>
        <w:rPr>
          <w:rFonts w:ascii="Arial" w:cs="Arial" w:eastAsia="Arial" w:hAnsi="Arial"/>
          <w:sz w:val="20"/>
          <w:szCs w:val="20"/>
          <w:color w:val="auto"/>
        </w:rPr>
        <w:t>Net interest expense was $116.5 million in the quarter, which included an increase in the liability payable to joint venture partners of $99.1 million.</w:t>
      </w:r>
    </w:p>
    <w:p>
      <w:pPr>
        <w:spacing w:after="0" w:line="161" w:lineRule="exact"/>
        <w:rPr>
          <w:sz w:val="20"/>
          <w:szCs w:val="20"/>
          <w:color w:val="auto"/>
        </w:rPr>
      </w:pPr>
    </w:p>
    <w:p>
      <w:pPr>
        <w:jc w:val="both"/>
        <w:ind w:right="20"/>
        <w:spacing w:after="0" w:line="247" w:lineRule="auto"/>
        <w:rPr>
          <w:sz w:val="20"/>
          <w:szCs w:val="20"/>
          <w:color w:val="auto"/>
        </w:rPr>
      </w:pPr>
      <w:r>
        <w:rPr>
          <w:rFonts w:ascii="Arial" w:cs="Arial" w:eastAsia="Arial" w:hAnsi="Arial"/>
          <w:sz w:val="20"/>
          <w:szCs w:val="20"/>
          <w:color w:val="auto"/>
        </w:rPr>
        <w:t>The Company recorded a tax provision in the quarter of $65.3 million. The effective tax rate year-to-date was 33.6 percent, including the impact of discrete items.</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color w:val="auto"/>
        </w:rPr>
        <w:t>Total depreciation and amortization for the quarter was $141.6 million.</w:t>
      </w:r>
    </w:p>
    <w:p>
      <w:pPr>
        <w:spacing w:after="0" w:line="175"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Cash flow from operations in the quarter was $92 million. The Company ended the period with cash and cash equivalents of $4,504.4 million; net cash was $596.2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180"/>
        <w:spacing w:after="0"/>
        <w:tabs>
          <w:tab w:leader="none" w:pos="10500" w:val="left"/>
        </w:tabs>
        <w:rPr>
          <w:rFonts w:ascii="Arial" w:cs="Arial" w:eastAsia="Arial" w:hAnsi="Arial"/>
          <w:sz w:val="14"/>
          <w:szCs w:val="14"/>
          <w:b w:val="1"/>
          <w:bCs w:val="1"/>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 xml:space="preserve">Page 8 of </w:t>
      </w:r>
      <w:hyperlink w:anchor="page29">
        <w:r>
          <w:rPr>
            <w:rFonts w:ascii="Arial" w:cs="Arial" w:eastAsia="Arial" w:hAnsi="Arial"/>
            <w:sz w:val="14"/>
            <w:szCs w:val="14"/>
            <w:b w:val="1"/>
            <w:bCs w:val="1"/>
            <w:color w:val="auto"/>
          </w:rPr>
          <w:t>24</w:t>
        </w:r>
      </w:hyperlink>
    </w:p>
    <w:p>
      <w:pPr>
        <w:sectPr>
          <w:pgSz w:w="11900" w:h="16838" w:orient="portrait"/>
          <w:cols w:equalWidth="0" w:num="1">
            <w:col w:w="11420"/>
          </w:cols>
          <w:pgMar w:left="240" w:top="1192" w:right="239" w:bottom="1440" w:gutter="0" w:footer="0" w:header="0"/>
        </w:sectPr>
      </w:pPr>
    </w:p>
    <w:bookmarkStart w:id="12" w:name="page13"/>
    <w:bookmarkEnd w:id="12"/>
    <w:p>
      <w:pP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2778760" cy="5314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2778760" cy="531495"/>
                    </a:xfrm>
                    <a:prstGeom prst="rect">
                      <a:avLst/>
                    </a:prstGeom>
                    <a:noFill/>
                  </pic:spPr>
                </pic:pic>
              </a:graphicData>
            </a:graphic>
          </wp:anchor>
        </w:drawing>
        <w:t>2019 Financial Guidance</w:t>
      </w:r>
      <w:r>
        <w:rPr>
          <w:rFonts w:ascii="Arial" w:cs="Arial" w:eastAsia="Arial" w:hAnsi="Arial"/>
          <w:sz w:val="25"/>
          <w:szCs w:val="25"/>
          <w:b w:val="1"/>
          <w:bCs w:val="1"/>
          <w:color w:val="auto"/>
          <w:vertAlign w:val="superscript"/>
        </w:rPr>
        <w:t>1</w:t>
      </w:r>
    </w:p>
    <w:p>
      <w:pPr>
        <w:spacing w:after="0" w:line="74" w:lineRule="exact"/>
        <w:rPr>
          <w:sz w:val="20"/>
          <w:szCs w:val="20"/>
          <w:color w:val="auto"/>
        </w:rPr>
      </w:pPr>
    </w:p>
    <w:p>
      <w:pPr>
        <w:spacing w:after="0"/>
        <w:rPr>
          <w:sz w:val="20"/>
          <w:szCs w:val="20"/>
          <w:color w:val="auto"/>
        </w:rPr>
      </w:pPr>
      <w:r>
        <w:rPr>
          <w:rFonts w:ascii="Arial" w:cs="Arial" w:eastAsia="Arial" w:hAnsi="Arial"/>
          <w:sz w:val="19"/>
          <w:szCs w:val="19"/>
          <w:color w:val="auto"/>
        </w:rPr>
        <w:t>Updates to the Company’s full-year guidance for 2019 are included in the revised table below and detailed on the following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377825</wp:posOffset>
            </wp:positionV>
            <wp:extent cx="6869430" cy="3003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69430" cy="300355"/>
                    </a:xfrm>
                    <a:prstGeom prst="rect">
                      <a:avLst/>
                    </a:prstGeom>
                    <a:noFill/>
                  </pic:spPr>
                </pic:pic>
              </a:graphicData>
            </a:graphic>
          </wp:anchor>
        </w:drawing>
      </w:r>
    </w:p>
    <w:p>
      <w:pPr>
        <w:spacing w:after="0" w:line="200" w:lineRule="exact"/>
        <w:rPr>
          <w:sz w:val="20"/>
          <w:szCs w:val="20"/>
          <w:color w:val="auto"/>
        </w:rPr>
      </w:pP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 xml:space="preserve">2019 Guidance </w:t>
      </w:r>
      <w:r>
        <w:rPr>
          <w:rFonts w:ascii="Arial" w:cs="Arial" w:eastAsia="Arial" w:hAnsi="Arial"/>
          <w:sz w:val="14"/>
          <w:szCs w:val="14"/>
          <w:i w:val="1"/>
          <w:iCs w:val="1"/>
          <w:color w:val="auto"/>
        </w:rPr>
        <w:t>*Updated October 23,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351790</wp:posOffset>
            </wp:positionV>
            <wp:extent cx="6869430" cy="14319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69430" cy="1431925"/>
                    </a:xfrm>
                    <a:prstGeom prst="rect">
                      <a:avLst/>
                    </a:prstGeom>
                    <a:noFill/>
                  </pic:spPr>
                </pic:pic>
              </a:graphicData>
            </a:graphic>
          </wp:anchor>
        </w:drawing>
      </w:r>
    </w:p>
    <w:p>
      <w:pPr>
        <w:sectPr>
          <w:pgSz w:w="11900" w:h="16838" w:orient="portrait"/>
          <w:cols w:equalWidth="0" w:num="1">
            <w:col w:w="11420"/>
          </w:cols>
          <w:pgMar w:left="240" w:top="1192" w:right="23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left="480"/>
        <w:spacing w:after="0"/>
        <w:rPr>
          <w:sz w:val="20"/>
          <w:szCs w:val="20"/>
          <w:color w:val="auto"/>
        </w:rPr>
      </w:pPr>
      <w:r>
        <w:rPr>
          <w:rFonts w:ascii="Arial" w:cs="Arial" w:eastAsia="Arial" w:hAnsi="Arial"/>
          <w:sz w:val="20"/>
          <w:szCs w:val="20"/>
          <w:b w:val="1"/>
          <w:bCs w:val="1"/>
          <w:color w:val="FFFFFF"/>
        </w:rPr>
        <w:t>Subsea</w:t>
      </w:r>
    </w:p>
    <w:p>
      <w:pPr>
        <w:spacing w:after="0" w:line="78" w:lineRule="exact"/>
        <w:rPr>
          <w:sz w:val="20"/>
          <w:szCs w:val="20"/>
          <w:color w:val="auto"/>
        </w:rPr>
      </w:pPr>
    </w:p>
    <w:p>
      <w:pPr>
        <w:ind w:left="360" w:right="200"/>
        <w:spacing w:after="0" w:line="236" w:lineRule="auto"/>
        <w:rPr>
          <w:sz w:val="20"/>
          <w:szCs w:val="20"/>
          <w:color w:val="auto"/>
        </w:rPr>
      </w:pPr>
      <w:r>
        <w:rPr>
          <w:rFonts w:ascii="Arial" w:cs="Arial" w:eastAsia="Arial" w:hAnsi="Arial"/>
          <w:sz w:val="20"/>
          <w:szCs w:val="20"/>
          <w:color w:val="auto"/>
        </w:rPr>
        <w:t>Revenue in a range of $5.6 - 5.8 billion</w:t>
      </w:r>
    </w:p>
    <w:p>
      <w:pPr>
        <w:spacing w:after="0" w:line="358" w:lineRule="exact"/>
        <w:rPr>
          <w:sz w:val="20"/>
          <w:szCs w:val="20"/>
          <w:color w:val="auto"/>
        </w:rPr>
      </w:pPr>
    </w:p>
    <w:p>
      <w:pPr>
        <w:ind w:left="360"/>
        <w:spacing w:after="0" w:line="229" w:lineRule="auto"/>
        <w:rPr>
          <w:sz w:val="20"/>
          <w:szCs w:val="20"/>
          <w:color w:val="auto"/>
        </w:rPr>
      </w:pPr>
      <w:r>
        <w:rPr>
          <w:rFonts w:ascii="Arial" w:cs="Arial" w:eastAsia="Arial" w:hAnsi="Arial"/>
          <w:sz w:val="20"/>
          <w:szCs w:val="20"/>
          <w:color w:val="auto"/>
        </w:rPr>
        <w:t>EBITDA margin at least 11.5% (excluding amortization related impact of purchase price accounting, and other charges and credits)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7" w:lineRule="exact"/>
        <w:rPr>
          <w:sz w:val="20"/>
          <w:szCs w:val="20"/>
          <w:color w:val="auto"/>
        </w:rPr>
      </w:pPr>
    </w:p>
    <w:p>
      <w:pPr>
        <w:jc w:val="center"/>
        <w:ind w:left="-59"/>
        <w:spacing w:after="0"/>
        <w:rPr>
          <w:sz w:val="20"/>
          <w:szCs w:val="20"/>
          <w:color w:val="auto"/>
        </w:rPr>
      </w:pPr>
      <w:r>
        <w:rPr>
          <w:rFonts w:ascii="Arial" w:cs="Arial" w:eastAsia="Arial" w:hAnsi="Arial"/>
          <w:sz w:val="20"/>
          <w:szCs w:val="20"/>
          <w:b w:val="1"/>
          <w:bCs w:val="1"/>
          <w:color w:val="FFFFFF"/>
        </w:rPr>
        <w:t>Onshore/Offshore</w:t>
      </w:r>
    </w:p>
    <w:p>
      <w:pPr>
        <w:spacing w:after="0" w:line="78" w:lineRule="exact"/>
        <w:rPr>
          <w:sz w:val="20"/>
          <w:szCs w:val="20"/>
          <w:color w:val="auto"/>
        </w:rPr>
      </w:pPr>
    </w:p>
    <w:p>
      <w:pPr>
        <w:ind w:right="500"/>
        <w:spacing w:after="0" w:line="236" w:lineRule="auto"/>
        <w:rPr>
          <w:sz w:val="20"/>
          <w:szCs w:val="20"/>
          <w:color w:val="auto"/>
        </w:rPr>
      </w:pPr>
      <w:r>
        <w:rPr>
          <w:rFonts w:ascii="Arial" w:cs="Arial" w:eastAsia="Arial" w:hAnsi="Arial"/>
          <w:sz w:val="20"/>
          <w:szCs w:val="20"/>
          <w:color w:val="auto"/>
        </w:rPr>
        <w:t>Revenue in a range of $6.0 - 6.3 billion</w:t>
      </w:r>
    </w:p>
    <w:p>
      <w:pPr>
        <w:spacing w:after="0" w:line="200" w:lineRule="exact"/>
        <w:rPr>
          <w:sz w:val="20"/>
          <w:szCs w:val="20"/>
          <w:color w:val="auto"/>
        </w:rPr>
      </w:pPr>
    </w:p>
    <w:p>
      <w:pPr>
        <w:spacing w:after="0" w:line="374" w:lineRule="exact"/>
        <w:rPr>
          <w:sz w:val="20"/>
          <w:szCs w:val="20"/>
          <w:color w:val="auto"/>
        </w:rPr>
      </w:pPr>
    </w:p>
    <w:p>
      <w:pPr>
        <w:spacing w:after="0" w:line="231" w:lineRule="auto"/>
        <w:rPr>
          <w:sz w:val="20"/>
          <w:szCs w:val="20"/>
          <w:color w:val="auto"/>
        </w:rPr>
      </w:pPr>
      <w:r>
        <w:rPr>
          <w:rFonts w:ascii="Arial" w:cs="Arial" w:eastAsia="Arial" w:hAnsi="Arial"/>
          <w:sz w:val="20"/>
          <w:szCs w:val="20"/>
          <w:color w:val="auto"/>
        </w:rPr>
        <w:t>EBITDA margin at least 16.5% (excluding amortization related impact of purchase price accounting, and other charges and credits)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-2286000</wp:posOffset>
            </wp:positionH>
            <wp:positionV relativeFrom="paragraph">
              <wp:posOffset>220345</wp:posOffset>
            </wp:positionV>
            <wp:extent cx="6869430" cy="25730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69430" cy="25730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7" w:lineRule="exact"/>
        <w:rPr>
          <w:sz w:val="20"/>
          <w:szCs w:val="20"/>
          <w:color w:val="auto"/>
        </w:rPr>
      </w:pPr>
    </w:p>
    <w:p>
      <w:pPr>
        <w:ind w:left="680"/>
        <w:spacing w:after="0"/>
        <w:rPr>
          <w:sz w:val="20"/>
          <w:szCs w:val="20"/>
          <w:color w:val="auto"/>
        </w:rPr>
      </w:pPr>
      <w:r>
        <w:rPr>
          <w:rFonts w:ascii="Arial" w:cs="Arial" w:eastAsia="Arial" w:hAnsi="Arial"/>
          <w:sz w:val="20"/>
          <w:szCs w:val="20"/>
          <w:b w:val="1"/>
          <w:bCs w:val="1"/>
          <w:color w:val="FFFFFF"/>
        </w:rPr>
        <w:t>Surface Technologies</w:t>
      </w:r>
    </w:p>
    <w:p>
      <w:pPr>
        <w:spacing w:after="0" w:line="78" w:lineRule="exact"/>
        <w:rPr>
          <w:sz w:val="20"/>
          <w:szCs w:val="20"/>
          <w:color w:val="auto"/>
        </w:rPr>
      </w:pPr>
    </w:p>
    <w:p>
      <w:pPr>
        <w:ind w:right="880"/>
        <w:spacing w:after="0" w:line="236" w:lineRule="auto"/>
        <w:rPr>
          <w:sz w:val="20"/>
          <w:szCs w:val="20"/>
          <w:color w:val="auto"/>
        </w:rPr>
      </w:pPr>
      <w:r>
        <w:rPr>
          <w:rFonts w:ascii="Arial" w:cs="Arial" w:eastAsia="Arial" w:hAnsi="Arial"/>
          <w:sz w:val="20"/>
          <w:szCs w:val="20"/>
          <w:color w:val="auto"/>
        </w:rPr>
        <w:t>Revenue in a range of $1.6 - 1.7 billion</w:t>
      </w:r>
    </w:p>
    <w:p>
      <w:pPr>
        <w:spacing w:after="0" w:line="200" w:lineRule="exact"/>
        <w:rPr>
          <w:sz w:val="20"/>
          <w:szCs w:val="20"/>
          <w:color w:val="auto"/>
        </w:rPr>
      </w:pPr>
    </w:p>
    <w:p>
      <w:pPr>
        <w:spacing w:after="0" w:line="374" w:lineRule="exact"/>
        <w:rPr>
          <w:sz w:val="20"/>
          <w:szCs w:val="20"/>
          <w:color w:val="auto"/>
        </w:rPr>
      </w:pPr>
    </w:p>
    <w:p>
      <w:pPr>
        <w:ind w:right="380"/>
        <w:spacing w:after="0" w:line="231" w:lineRule="auto"/>
        <w:rPr>
          <w:sz w:val="20"/>
          <w:szCs w:val="20"/>
          <w:color w:val="auto"/>
        </w:rPr>
      </w:pPr>
      <w:r>
        <w:rPr>
          <w:rFonts w:ascii="Arial" w:cs="Arial" w:eastAsia="Arial" w:hAnsi="Arial"/>
          <w:sz w:val="20"/>
          <w:szCs w:val="20"/>
          <w:color w:val="auto"/>
        </w:rPr>
        <w:t>EBITDA margin at least 10%* (excluding amortization related impact of purchase price accounting, and other charges and credits)</w:t>
      </w:r>
    </w:p>
    <w:p>
      <w:pPr>
        <w:spacing w:after="0" w:line="200" w:lineRule="exact"/>
        <w:rPr>
          <w:sz w:val="20"/>
          <w:szCs w:val="20"/>
          <w:color w:val="auto"/>
        </w:rPr>
      </w:pPr>
    </w:p>
    <w:p>
      <w:pPr>
        <w:sectPr>
          <w:pgSz w:w="11900" w:h="16838" w:orient="portrait"/>
          <w:cols w:equalWidth="0" w:num="3">
            <w:col w:w="3400" w:space="520"/>
            <w:col w:w="3340" w:space="440"/>
            <w:col w:w="3720"/>
          </w:cols>
          <w:pgMar w:left="240" w:top="1192" w:right="239" w:bottom="1440" w:gutter="0" w:footer="0" w:header="0"/>
          <w:type w:val="continuous"/>
        </w:sectPr>
      </w:pP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FFFFFF"/>
        </w:rPr>
        <w:t>TechnipFMC</w:t>
      </w:r>
    </w:p>
    <w:p>
      <w:pPr>
        <w:spacing w:after="0" w:line="54"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 xml:space="preserve">Corporate expense, net* </w:t>
      </w:r>
      <w:r>
        <w:rPr>
          <w:rFonts w:ascii="Arial" w:cs="Arial" w:eastAsia="Arial" w:hAnsi="Arial"/>
          <w:sz w:val="20"/>
          <w:szCs w:val="20"/>
          <w:color w:val="auto"/>
        </w:rPr>
        <w:t>$210 - 215 million for the full year (excluding the impact of foreign currency fluctuations)</w:t>
      </w:r>
    </w:p>
    <w:p>
      <w:pPr>
        <w:spacing w:after="0" w:line="200" w:lineRule="exact"/>
        <w:rPr>
          <w:sz w:val="20"/>
          <w:szCs w:val="20"/>
          <w:color w:val="auto"/>
        </w:rPr>
      </w:pPr>
    </w:p>
    <w:p>
      <w:pPr>
        <w:spacing w:after="0" w:line="340" w:lineRule="exact"/>
        <w:rPr>
          <w:sz w:val="20"/>
          <w:szCs w:val="20"/>
          <w:color w:val="auto"/>
        </w:rPr>
      </w:pPr>
    </w:p>
    <w:p>
      <w:pPr>
        <w:ind w:left="360" w:right="340"/>
        <w:spacing w:after="0" w:line="258" w:lineRule="auto"/>
        <w:rPr>
          <w:sz w:val="20"/>
          <w:szCs w:val="20"/>
          <w:color w:val="auto"/>
        </w:rPr>
      </w:pPr>
      <w:r>
        <w:rPr>
          <w:rFonts w:ascii="Arial" w:cs="Arial" w:eastAsia="Arial" w:hAnsi="Arial"/>
          <w:sz w:val="20"/>
          <w:szCs w:val="20"/>
          <w:b w:val="1"/>
          <w:bCs w:val="1"/>
          <w:color w:val="auto"/>
        </w:rPr>
        <w:t xml:space="preserve">Net interest expense </w:t>
      </w:r>
      <w:r>
        <w:rPr>
          <w:rFonts w:ascii="Arial" w:cs="Arial" w:eastAsia="Arial" w:hAnsi="Arial"/>
          <w:sz w:val="20"/>
          <w:szCs w:val="20"/>
          <w:color w:val="auto"/>
        </w:rPr>
        <w:t>$30 - 40 million for the full year (excluding the impact of revaluation of partners’ mandatorily</w:t>
      </w:r>
      <w:r>
        <w:rPr>
          <w:rFonts w:ascii="Arial" w:cs="Arial" w:eastAsia="Arial" w:hAnsi="Arial"/>
          <w:sz w:val="20"/>
          <w:szCs w:val="20"/>
          <w:b w:val="1"/>
          <w:bCs w:val="1"/>
          <w:color w:val="auto"/>
        </w:rPr>
        <w:t xml:space="preserve"> </w:t>
      </w:r>
      <w:r>
        <w:rPr>
          <w:rFonts w:ascii="Arial" w:cs="Arial" w:eastAsia="Arial" w:hAnsi="Arial"/>
          <w:sz w:val="20"/>
          <w:szCs w:val="20"/>
          <w:color w:val="auto"/>
        </w:rPr>
        <w:t>redeemable financial liability)</w:t>
      </w:r>
    </w:p>
    <w:p>
      <w:pPr>
        <w:spacing w:after="0" w:line="200" w:lineRule="exact"/>
        <w:rPr>
          <w:sz w:val="20"/>
          <w:szCs w:val="20"/>
          <w:color w:val="auto"/>
        </w:rPr>
      </w:pPr>
    </w:p>
    <w:p>
      <w:pPr>
        <w:spacing w:after="0" w:line="291"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 xml:space="preserve">Tax rate </w:t>
      </w:r>
      <w:r>
        <w:rPr>
          <w:rFonts w:ascii="Arial" w:cs="Arial" w:eastAsia="Arial" w:hAnsi="Arial"/>
          <w:sz w:val="20"/>
          <w:szCs w:val="20"/>
          <w:color w:val="auto"/>
        </w:rPr>
        <w:t>26 - 30% for the full year</w:t>
      </w:r>
    </w:p>
    <w:p>
      <w:pPr>
        <w:spacing w:after="0" w:line="200" w:lineRule="exact"/>
        <w:rPr>
          <w:sz w:val="20"/>
          <w:szCs w:val="20"/>
          <w:color w:val="auto"/>
        </w:rPr>
      </w:pPr>
    </w:p>
    <w:p>
      <w:pPr>
        <w:spacing w:after="0" w:line="340"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 xml:space="preserve">Capital expenditures </w:t>
      </w:r>
      <w:r>
        <w:rPr>
          <w:rFonts w:ascii="Arial" w:cs="Arial" w:eastAsia="Arial" w:hAnsi="Arial"/>
          <w:sz w:val="20"/>
          <w:szCs w:val="20"/>
          <w:color w:val="auto"/>
        </w:rPr>
        <w:t>approximately $350 million for the full year</w:t>
      </w:r>
    </w:p>
    <w:p>
      <w:pPr>
        <w:spacing w:after="0" w:line="200" w:lineRule="exact"/>
        <w:rPr>
          <w:sz w:val="20"/>
          <w:szCs w:val="20"/>
          <w:color w:val="auto"/>
        </w:rPr>
      </w:pPr>
    </w:p>
    <w:p>
      <w:pPr>
        <w:spacing w:after="0" w:line="340"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 xml:space="preserve">Cash flow from operating activities </w:t>
      </w:r>
      <w:r>
        <w:rPr>
          <w:rFonts w:ascii="Arial" w:cs="Arial" w:eastAsia="Arial" w:hAnsi="Arial"/>
          <w:sz w:val="20"/>
          <w:szCs w:val="20"/>
          <w:color w:val="auto"/>
        </w:rPr>
        <w:t>positive for the full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w:t>
      </w:r>
    </w:p>
    <w:p>
      <w:pPr>
        <w:spacing w:after="0" w:line="120" w:lineRule="exact"/>
        <w:rPr>
          <w:sz w:val="20"/>
          <w:szCs w:val="20"/>
          <w:color w:val="auto"/>
        </w:rPr>
      </w:pPr>
    </w:p>
    <w:p>
      <w:pPr>
        <w:jc w:val="both"/>
        <w:ind w:firstLine="8"/>
        <w:spacing w:after="0" w:line="230" w:lineRule="auto"/>
        <w:tabs>
          <w:tab w:leader="none" w:pos="117" w:val="left"/>
        </w:tabs>
        <w:numPr>
          <w:ilvl w:val="0"/>
          <w:numId w:val="13"/>
        </w:numPr>
        <w:rPr>
          <w:rFonts w:ascii="Arial" w:cs="Arial" w:eastAsia="Arial" w:hAnsi="Arial"/>
          <w:sz w:val="22"/>
          <w:szCs w:val="22"/>
          <w:color w:val="auto"/>
          <w:vertAlign w:val="superscript"/>
        </w:rPr>
      </w:pPr>
      <w:r>
        <w:rPr>
          <w:rFonts w:ascii="Arial" w:cs="Arial" w:eastAsia="Arial" w:hAnsi="Arial"/>
          <w:sz w:val="16"/>
          <w:szCs w:val="16"/>
          <w:color w:val="auto"/>
        </w:rPr>
        <w:t>Our guidance measures adjusted EBITDA margin, corporate expense, net (excluding the impact of foreign currency fluctuations), net interest expense (excluding the impact of revaluation of partners’ mandatorily redeemable financial liability), and tax rate are non-GAAP financial measures. We are unable to provide a reconciliation to comparable GAAP financial measures on a forward-looking basis without unreasonable effort because of the unpredictability of the individual components of the most directly comparable GAAP financial measure and the variability of items excluded from each such measure. Such information may have a significant, and potentially unpredictable, impact on our future financial results.</w:t>
      </w:r>
    </w:p>
    <w:p>
      <w:pPr>
        <w:sectPr>
          <w:pgSz w:w="11900" w:h="16838" w:orient="portrait"/>
          <w:cols w:equalWidth="0" w:num="1">
            <w:col w:w="11420"/>
          </w:cols>
          <w:pgMar w:left="240" w:top="1192" w:right="239" w:bottom="1440" w:gutter="0" w:footer="0" w:header="0"/>
          <w:type w:val="continuous"/>
        </w:sectPr>
      </w:pPr>
    </w:p>
    <w:p>
      <w:pPr>
        <w:spacing w:after="0" w:line="200" w:lineRule="exact"/>
        <w:rPr>
          <w:sz w:val="20"/>
          <w:szCs w:val="20"/>
          <w:color w:val="auto"/>
        </w:rPr>
      </w:pPr>
    </w:p>
    <w:p>
      <w:pPr>
        <w:spacing w:after="0" w:line="350" w:lineRule="exact"/>
        <w:rPr>
          <w:sz w:val="20"/>
          <w:szCs w:val="20"/>
          <w:color w:val="auto"/>
        </w:rPr>
      </w:pPr>
    </w:p>
    <w:p>
      <w:pPr>
        <w:ind w:left="5180"/>
        <w:spacing w:after="0"/>
        <w:tabs>
          <w:tab w:leader="none" w:pos="10500" w:val="left"/>
        </w:tabs>
        <w:rPr>
          <w:rFonts w:ascii="Arial" w:cs="Arial" w:eastAsia="Arial" w:hAnsi="Arial"/>
          <w:sz w:val="14"/>
          <w:szCs w:val="14"/>
          <w:b w:val="1"/>
          <w:bCs w:val="1"/>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 xml:space="preserve">Page 9 of </w:t>
      </w:r>
      <w:hyperlink w:anchor="page29">
        <w:r>
          <w:rPr>
            <w:rFonts w:ascii="Arial" w:cs="Arial" w:eastAsia="Arial" w:hAnsi="Arial"/>
            <w:sz w:val="14"/>
            <w:szCs w:val="14"/>
            <w:b w:val="1"/>
            <w:bCs w:val="1"/>
            <w:color w:val="auto"/>
          </w:rPr>
          <w:t>24</w:t>
        </w:r>
      </w:hyperlink>
    </w:p>
    <w:p>
      <w:pPr>
        <w:sectPr>
          <w:pgSz w:w="11900" w:h="16838" w:orient="portrait"/>
          <w:cols w:equalWidth="0" w:num="1">
            <w:col w:w="11420"/>
          </w:cols>
          <w:pgMar w:left="240" w:top="1192" w:right="2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2778760" cy="5314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2778760" cy="531495"/>
                    </a:xfrm>
                    <a:prstGeom prst="rect">
                      <a:avLst/>
                    </a:prstGeom>
                    <a:noFill/>
                  </pic:spPr>
                </pic:pic>
              </a:graphicData>
            </a:graphic>
          </wp:anchor>
        </w:drawing>
        <w:t>Updates to the Company’s full-year guidance for 2019 are detailed below:</w:t>
      </w:r>
    </w:p>
    <w:p>
      <w:pPr>
        <w:spacing w:after="0" w:line="108" w:lineRule="exact"/>
        <w:rPr>
          <w:sz w:val="20"/>
          <w:szCs w:val="20"/>
          <w:color w:val="auto"/>
        </w:rPr>
      </w:pPr>
    </w:p>
    <w:p>
      <w:pPr>
        <w:jc w:val="both"/>
        <w:ind w:left="660" w:hanging="328"/>
        <w:spacing w:after="0" w:line="252" w:lineRule="auto"/>
        <w:tabs>
          <w:tab w:leader="none" w:pos="660" w:val="left"/>
        </w:tabs>
        <w:numPr>
          <w:ilvl w:val="0"/>
          <w:numId w:val="14"/>
        </w:numPr>
        <w:rPr>
          <w:rFonts w:ascii="Arial" w:cs="Arial" w:eastAsia="Arial" w:hAnsi="Arial"/>
          <w:sz w:val="19"/>
          <w:szCs w:val="19"/>
          <w:color w:val="auto"/>
        </w:rPr>
      </w:pPr>
      <w:r>
        <w:rPr>
          <w:rFonts w:ascii="Arial" w:cs="Arial" w:eastAsia="Arial" w:hAnsi="Arial"/>
          <w:sz w:val="19"/>
          <w:szCs w:val="19"/>
          <w:color w:val="auto"/>
        </w:rPr>
        <w:t>Surface Technologies EBITDA margin of at least 10% (excluding amortization related impact of purchase price accounting, and other charges and credits); EBITDA margin guidance has been decreased from the previous guidance of at least 12%.</w:t>
      </w:r>
    </w:p>
    <w:p>
      <w:pPr>
        <w:ind w:left="660" w:hanging="328"/>
        <w:spacing w:after="0" w:line="247" w:lineRule="auto"/>
        <w:tabs>
          <w:tab w:leader="none" w:pos="660" w:val="left"/>
        </w:tabs>
        <w:numPr>
          <w:ilvl w:val="0"/>
          <w:numId w:val="14"/>
        </w:numPr>
        <w:rPr>
          <w:rFonts w:ascii="Arial" w:cs="Arial" w:eastAsia="Arial" w:hAnsi="Arial"/>
          <w:sz w:val="20"/>
          <w:szCs w:val="20"/>
          <w:color w:val="auto"/>
        </w:rPr>
      </w:pPr>
      <w:r>
        <w:rPr>
          <w:rFonts w:ascii="Arial" w:cs="Arial" w:eastAsia="Arial" w:hAnsi="Arial"/>
          <w:sz w:val="20"/>
          <w:szCs w:val="20"/>
          <w:color w:val="auto"/>
        </w:rPr>
        <w:t>Corporate expense, net of $210 - 215 million for the full year (excluding the impact of foreign currency fluctuations); corporate expense, net has been increased from the previous guidance of $160 - 170 million.</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Teleconference</w:t>
      </w:r>
    </w:p>
    <w:p>
      <w:pPr>
        <w:spacing w:after="0" w:line="240"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 xml:space="preserve">The Company will host a teleconference on Thursday, October 24, 2019 to discuss the third quarter 2019 financial results. The call will begin at 1 p.m. London time (8 a.m. New York time). Dial-in information and an accompanying presentation can be found at </w:t>
      </w:r>
      <w:r>
        <w:rPr>
          <w:rFonts w:ascii="Arial" w:cs="Arial" w:eastAsia="Arial" w:hAnsi="Arial"/>
          <w:sz w:val="20"/>
          <w:szCs w:val="20"/>
          <w:u w:val="single" w:color="auto"/>
          <w:color w:val="0000FF"/>
        </w:rPr>
        <w:t>www.technipfmc.com</w:t>
      </w:r>
      <w:r>
        <w:rPr>
          <w:rFonts w:ascii="Arial" w:cs="Arial" w:eastAsia="Arial" w:hAnsi="Arial"/>
          <w:sz w:val="20"/>
          <w:szCs w:val="20"/>
          <w:color w:val="000000"/>
        </w:rPr>
        <w:t>.</w:t>
      </w:r>
    </w:p>
    <w:p>
      <w:pPr>
        <w:spacing w:after="0" w:line="166"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Webcast access will also be available on our website prior to the start of the call. An archived audio replay will be available after the event at the same website address. In the event of a disruption of service or technical difficulty during the call, information will be posted on our website.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180"/>
        <w:spacing w:after="0"/>
        <w:tabs>
          <w:tab w:leader="none" w:pos="10420" w:val="left"/>
        </w:tabs>
        <w:rPr>
          <w:rFonts w:ascii="Arial" w:cs="Arial" w:eastAsia="Arial" w:hAnsi="Arial"/>
          <w:sz w:val="14"/>
          <w:szCs w:val="14"/>
          <w:b w:val="1"/>
          <w:bCs w:val="1"/>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 xml:space="preserve">Page 10 of </w:t>
      </w:r>
      <w:hyperlink w:anchor="page29">
        <w:r>
          <w:rPr>
            <w:rFonts w:ascii="Arial" w:cs="Arial" w:eastAsia="Arial" w:hAnsi="Arial"/>
            <w:sz w:val="14"/>
            <w:szCs w:val="14"/>
            <w:b w:val="1"/>
            <w:bCs w:val="1"/>
            <w:color w:val="auto"/>
          </w:rPr>
          <w:t>24</w:t>
        </w:r>
      </w:hyperlink>
    </w:p>
    <w:p>
      <w:pPr>
        <w:sectPr>
          <w:pgSz w:w="11900" w:h="16838" w:orient="portrait"/>
          <w:cols w:equalWidth="0" w:num="1">
            <w:col w:w="11420"/>
          </w:cols>
          <w:pgMar w:left="240" w:top="1216"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2778760" cy="5314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2778760" cy="531495"/>
                    </a:xfrm>
                    <a:prstGeom prst="rect">
                      <a:avLst/>
                    </a:prstGeom>
                    <a:noFill/>
                  </pic:spPr>
                </pic:pic>
              </a:graphicData>
            </a:graphic>
          </wp:anchor>
        </w:drawing>
        <w:t>###</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808080"/>
        </w:rPr>
        <w:t>About TechnipFMC</w:t>
      </w:r>
    </w:p>
    <w:p>
      <w:pPr>
        <w:spacing w:after="0" w:line="395" w:lineRule="exact"/>
        <w:rPr>
          <w:sz w:val="20"/>
          <w:szCs w:val="20"/>
          <w:color w:val="auto"/>
        </w:rPr>
      </w:pPr>
    </w:p>
    <w:p>
      <w:pPr>
        <w:jc w:val="both"/>
        <w:ind w:right="20"/>
        <w:spacing w:after="0" w:line="267" w:lineRule="auto"/>
        <w:rPr>
          <w:sz w:val="20"/>
          <w:szCs w:val="20"/>
          <w:color w:val="auto"/>
        </w:rPr>
      </w:pPr>
      <w:r>
        <w:rPr>
          <w:rFonts w:ascii="Arial" w:cs="Arial" w:eastAsia="Arial" w:hAnsi="Arial"/>
          <w:sz w:val="20"/>
          <w:szCs w:val="20"/>
          <w:i w:val="1"/>
          <w:iCs w:val="1"/>
          <w:color w:val="808080"/>
        </w:rPr>
        <w:t>TechnipFMC is a global leader in subsea, onshore/offshore, and surface projects. With our proprietary technologies and production systems, integrated expertise, and comprehensive solutions, we are transforming our clients’ project economics.</w:t>
      </w:r>
    </w:p>
    <w:p>
      <w:pPr>
        <w:spacing w:after="0" w:line="123" w:lineRule="exact"/>
        <w:rPr>
          <w:sz w:val="20"/>
          <w:szCs w:val="20"/>
          <w:color w:val="auto"/>
        </w:rPr>
      </w:pPr>
    </w:p>
    <w:p>
      <w:pPr>
        <w:jc w:val="both"/>
        <w:spacing w:after="0" w:line="253" w:lineRule="auto"/>
        <w:rPr>
          <w:sz w:val="20"/>
          <w:szCs w:val="20"/>
          <w:color w:val="auto"/>
        </w:rPr>
      </w:pPr>
      <w:r>
        <w:rPr>
          <w:rFonts w:ascii="Arial" w:cs="Arial" w:eastAsia="Arial" w:hAnsi="Arial"/>
          <w:sz w:val="20"/>
          <w:szCs w:val="20"/>
          <w:i w:val="1"/>
          <w:iCs w:val="1"/>
          <w:color w:val="808080"/>
        </w:rPr>
        <w:t>We are uniquely positioned to deliver greater efficiency across project lifecycles from concept to project delivery and beyond. Through innovative technologies and improved efficiencies, our offering unlocks new possibilities for our clients in developing their oil and gas resources.</w:t>
      </w:r>
    </w:p>
    <w:p>
      <w:pPr>
        <w:spacing w:after="0" w:line="137" w:lineRule="exact"/>
        <w:rPr>
          <w:sz w:val="20"/>
          <w:szCs w:val="20"/>
          <w:color w:val="auto"/>
        </w:rPr>
      </w:pPr>
    </w:p>
    <w:p>
      <w:pPr>
        <w:jc w:val="both"/>
        <w:spacing w:after="0" w:line="267" w:lineRule="auto"/>
        <w:rPr>
          <w:sz w:val="20"/>
          <w:szCs w:val="20"/>
          <w:color w:val="auto"/>
        </w:rPr>
      </w:pPr>
      <w:r>
        <w:rPr>
          <w:rFonts w:ascii="Arial" w:cs="Arial" w:eastAsia="Arial" w:hAnsi="Arial"/>
          <w:sz w:val="20"/>
          <w:szCs w:val="20"/>
          <w:i w:val="1"/>
          <w:iCs w:val="1"/>
          <w:color w:val="808080"/>
        </w:rPr>
        <w:t>Each of our more than 37,000 employees is driven by a steady commitment to clients and a culture of purposeful innovation, challenging industry conventions, and rethinking how the best results are achieved.</w:t>
      </w:r>
    </w:p>
    <w:p>
      <w:pPr>
        <w:spacing w:after="0" w:line="123" w:lineRule="exact"/>
        <w:rPr>
          <w:sz w:val="20"/>
          <w:szCs w:val="20"/>
          <w:color w:val="auto"/>
        </w:rPr>
      </w:pPr>
    </w:p>
    <w:p>
      <w:pPr>
        <w:ind w:right="60"/>
        <w:spacing w:after="0" w:line="253" w:lineRule="auto"/>
        <w:rPr>
          <w:sz w:val="20"/>
          <w:szCs w:val="20"/>
          <w:color w:val="auto"/>
        </w:rPr>
      </w:pPr>
      <w:r>
        <w:rPr>
          <w:rFonts w:ascii="Arial" w:cs="Arial" w:eastAsia="Arial" w:hAnsi="Arial"/>
          <w:sz w:val="20"/>
          <w:szCs w:val="20"/>
          <w:i w:val="1"/>
          <w:iCs w:val="1"/>
          <w:color w:val="808080"/>
        </w:rPr>
        <w:t>TechnipFMC utilizes its website www.TechnipFMC.com as a channel of distribution of material company information. To learn more about us and how we are enhancing the performance of the world’s energy industry, go to www.TechnipFMC.com and follow us on Twitter @TechnipFMC.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808080"/>
        </w:rPr>
        <w:t>This communication contains “forward-looking statements” as defined in Section 27A of the United States Securities Act of 1933, as amended, and Section 21E of the United States Securities Exchange Act of 1934, as amended. Words such as “guidance,” “confident,” “believe,” “expect,” “anticipate,” “plan,” “intend,” “foresee,” “should,” “would,” “could,” “may,” “will,” “likely,” “predicated,” “estimate,” “outlook” and similar expressions are intended to identify forward-looking statements, which are generally not historical in nature. Such forward-looking statements involve significant risks, uncertainties and assumptions that could cause actual results to differ materially from our historical experience and our present expectations or projections, including the following known material factors:</w:t>
      </w:r>
    </w:p>
    <w:p>
      <w:pPr>
        <w:spacing w:after="0" w:line="142" w:lineRule="exact"/>
        <w:rPr>
          <w:sz w:val="20"/>
          <w:szCs w:val="20"/>
          <w:color w:val="auto"/>
        </w:rPr>
      </w:pPr>
    </w:p>
    <w:p>
      <w:pPr>
        <w:ind w:left="660" w:hanging="328"/>
        <w:spacing w:after="0" w:line="26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808080"/>
        </w:rPr>
        <w:t>risks associated with our ability to consummate our proposed separation and spin-off, and our ability to achieve the intended benefits and synergies of the transaction;</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808080"/>
        </w:rPr>
        <w:t>unanticipated changes relating to competitive factors in our industry;</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808080"/>
        </w:rPr>
        <w:t>demand for our products and services, which is affected by changes in the price of, and demand for, crude oil and natural gas in domestic and international markets;</w:t>
      </w:r>
    </w:p>
    <w:p>
      <w:pPr>
        <w:ind w:left="660" w:hanging="328"/>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808080"/>
        </w:rPr>
        <w:t>our ability to develop and implement new technologies and services, as well as our ability to protect and maintain critical intellectual property assets;</w:t>
      </w: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808080"/>
        </w:rPr>
        <w:t>potential liabilities arising out of the installation or use of our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808080"/>
        </w:rPr>
        <w:t>cost overruns related to our fixed price contracts or capital asset construction projects that may affect revenues;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808080"/>
        </w:rPr>
        <w:t>our ability to timely deliver our backlog and its effect on our future sales, profitability, and our relationships with our customers;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808080"/>
        </w:rPr>
        <w:t>our reliance on subcontractors, suppliers and joint venture partners in the performance of our contracts;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808080"/>
        </w:rPr>
        <w:t>our ability to hire and retain key personnel;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808080"/>
        </w:rPr>
        <w:t>piracy risks for our maritime employees and assets;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808080"/>
        </w:rPr>
        <w:t>the potential impacts of seasonal and weather conditions;</w:t>
      </w:r>
    </w:p>
    <w:p>
      <w:pPr>
        <w:spacing w:after="0" w:line="200" w:lineRule="exact"/>
        <w:rPr>
          <w:sz w:val="20"/>
          <w:szCs w:val="20"/>
          <w:color w:val="auto"/>
        </w:rPr>
      </w:pPr>
    </w:p>
    <w:p>
      <w:pPr>
        <w:spacing w:after="0" w:line="256" w:lineRule="exact"/>
        <w:rPr>
          <w:sz w:val="20"/>
          <w:szCs w:val="20"/>
          <w:color w:val="auto"/>
        </w:rPr>
      </w:pPr>
    </w:p>
    <w:p>
      <w:pPr>
        <w:ind w:left="5180"/>
        <w:spacing w:after="0"/>
        <w:tabs>
          <w:tab w:leader="none" w:pos="10420" w:val="left"/>
        </w:tabs>
        <w:rPr>
          <w:rFonts w:ascii="Arial" w:cs="Arial" w:eastAsia="Arial" w:hAnsi="Arial"/>
          <w:sz w:val="14"/>
          <w:szCs w:val="14"/>
          <w:b w:val="1"/>
          <w:bCs w:val="1"/>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 xml:space="preserve">Page 11 of </w:t>
      </w:r>
      <w:hyperlink w:anchor="page29">
        <w:r>
          <w:rPr>
            <w:rFonts w:ascii="Arial" w:cs="Arial" w:eastAsia="Arial" w:hAnsi="Arial"/>
            <w:sz w:val="14"/>
            <w:szCs w:val="14"/>
            <w:b w:val="1"/>
            <w:bCs w:val="1"/>
            <w:color w:val="auto"/>
          </w:rPr>
          <w:t>24</w:t>
        </w:r>
      </w:hyperlink>
    </w:p>
    <w:p>
      <w:pPr>
        <w:sectPr>
          <w:pgSz w:w="11900" w:h="16838" w:orient="portrait"/>
          <w:cols w:equalWidth="0" w:num="1">
            <w:col w:w="11420"/>
          </w:cols>
          <w:pgMar w:left="240" w:top="1192" w:right="239" w:bottom="1440" w:gutter="0" w:footer="0" w:header="0"/>
        </w:sectPr>
      </w:pPr>
    </w:p>
    <w:bookmarkStart w:id="15" w:name="page16"/>
    <w:bookmarkEnd w:id="15"/>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808080"/>
        </w:rPr>
        <w:drawing>
          <wp:anchor simplePos="0" relativeHeight="251657728" behindDoc="1" locked="0" layoutInCell="0" allowOverlap="1">
            <wp:simplePos x="0" y="0"/>
            <wp:positionH relativeFrom="page">
              <wp:posOffset>157480</wp:posOffset>
            </wp:positionH>
            <wp:positionV relativeFrom="page">
              <wp:posOffset>88900</wp:posOffset>
            </wp:positionV>
            <wp:extent cx="2778760" cy="5314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2778760" cy="531495"/>
                    </a:xfrm>
                    <a:prstGeom prst="rect">
                      <a:avLst/>
                    </a:prstGeom>
                    <a:noFill/>
                  </pic:spPr>
                </pic:pic>
              </a:graphicData>
            </a:graphic>
          </wp:anchor>
        </w:drawing>
        <w:t>the cumulative loss of major contracts or alliances;</w:t>
      </w:r>
    </w:p>
    <w:p>
      <w:pPr>
        <w:spacing w:after="0" w:line="27"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808080"/>
        </w:rPr>
        <w:t>U.S. and international laws and regulations, including existing or future environmental regulations, that may increase our costs, limit the demand for our products and services or restrict our operations;</w:t>
      </w: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808080"/>
        </w:rPr>
        <w:t>disruptions in the political, regulatory, economic and social conditions of the countries in which we conduct business;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808080"/>
        </w:rPr>
        <w:t>risks associated with The Depository Trust Company and Euroclear for clearance services for shares traded on the NYSE and Euronext Paris, respectively;</w:t>
      </w:r>
    </w:p>
    <w:p>
      <w:pPr>
        <w:jc w:val="both"/>
        <w:ind w:left="660" w:hanging="328"/>
        <w:spacing w:after="0" w:line="250"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808080"/>
        </w:rPr>
        <w:t>the United Kingdom’s proposed withdrawal from the European Union; risks associated with being an English public limited company, including the need for “distributable profits”, shareholder approval of certain capital structure decisions, and the risk that we may not be able to pay dividends or repurchase shares in accordance with our announced capital allocation plan;</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808080"/>
        </w:rPr>
        <w:t>compliance with covenants under our debt instruments and conditions in the credit markets;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808080"/>
        </w:rPr>
        <w:t>downgrade in the ratings of our debt could restrict our ability to access the debt capital markets;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808080"/>
        </w:rPr>
        <w:t>the outcome of uninsured claims and litigation against us;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808080"/>
        </w:rPr>
        <w:t>the risks of currency exchange rate fluctuations associated with our international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808080"/>
        </w:rPr>
        <w:t>significant merger-related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808080"/>
        </w:rPr>
        <w:t>risks related to our acquisition and divestiture activities;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808080"/>
        </w:rPr>
        <w:t>failure of our information technology infrastructure or any significant breach of security, including related to cyber attacks, and actual or perceived failure to comply with data security and privacy obligations;</w:t>
      </w:r>
    </w:p>
    <w:p>
      <w:pPr>
        <w:jc w:val="both"/>
        <w:ind w:left="660" w:hanging="328"/>
        <w:spacing w:after="0" w:line="250"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808080"/>
        </w:rPr>
        <w:t>risks that the legacy businesses of FMC Technologies, Inc. and Technip S.A. will not be integrated successfully or that the combined company will not realize estimated cost savings, value of certain tax assets, synergies and growth or that such benefits may take longer to realize than expected;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808080"/>
        </w:rPr>
        <w:t>risks associated with tax liabilities, changes in U.S. federal or international tax laws or interpretations to which they are subject;</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808080"/>
        </w:rPr>
        <w:t>the remedial measures to address our material weaknesses could be insufficient or additional issues relating to disclosure controls and procedures or internal control over financial reporting could be identified; and</w:t>
      </w:r>
    </w:p>
    <w:p>
      <w:pPr>
        <w:ind w:left="660" w:hanging="328"/>
        <w:spacing w:after="0" w:line="262"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808080"/>
        </w:rPr>
        <w:t>such other risk factors set forth in our filings with the United States Securities and Exchange Commission and in our filings with the Autorité des marchés financiers or the U.K. Financial Conduct Authority.</w:t>
      </w:r>
    </w:p>
    <w:p>
      <w:pPr>
        <w:spacing w:after="0" w:line="17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808080"/>
        </w:rPr>
        <w:t>We caution you not to place undue reliance on any forward-looking statements, which speak only as of the date hereof. We undertake no obligation to publicly update or revise any of our forward-looking statements after the date they are made, whether as a result of new information, future events or otherwise, except to the extent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5180"/>
        <w:spacing w:after="0"/>
        <w:tabs>
          <w:tab w:leader="none" w:pos="10420" w:val="left"/>
        </w:tabs>
        <w:rPr>
          <w:rFonts w:ascii="Arial" w:cs="Arial" w:eastAsia="Arial" w:hAnsi="Arial"/>
          <w:sz w:val="14"/>
          <w:szCs w:val="14"/>
          <w:b w:val="1"/>
          <w:bCs w:val="1"/>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 xml:space="preserve">Page 12 of </w:t>
      </w:r>
      <w:hyperlink w:anchor="page29">
        <w:r>
          <w:rPr>
            <w:rFonts w:ascii="Arial" w:cs="Arial" w:eastAsia="Arial" w:hAnsi="Arial"/>
            <w:sz w:val="14"/>
            <w:szCs w:val="14"/>
            <w:b w:val="1"/>
            <w:bCs w:val="1"/>
            <w:color w:val="auto"/>
          </w:rPr>
          <w:t>24</w:t>
        </w:r>
      </w:hyperlink>
    </w:p>
    <w:p>
      <w:pPr>
        <w:sectPr>
          <w:pgSz w:w="11900" w:h="16838" w:orient="portrait"/>
          <w:cols w:equalWidth="0" w:num="1">
            <w:col w:w="11420"/>
          </w:cols>
          <w:pgMar w:left="240" w:top="1201" w:right="239" w:bottom="1440" w:gutter="0" w:footer="0" w:header="0"/>
        </w:sectPr>
      </w:pPr>
    </w:p>
    <w:bookmarkStart w:id="16" w:name="page17"/>
    <w:bookmarkEnd w:id="16"/>
    <w:p>
      <w:pPr>
        <w:spacing w:after="0" w:line="3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2778760" cy="5314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2778760" cy="531495"/>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b w:val="1"/>
          <w:bCs w:val="1"/>
          <w:color w:val="auto"/>
        </w:rPr>
        <w:t>Contacts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4260" w:type="dxa"/>
            <w:vAlign w:val="bottom"/>
            <w:gridSpan w:val="4"/>
          </w:tcPr>
          <w:p>
            <w:pPr>
              <w:spacing w:after="0"/>
              <w:rPr>
                <w:sz w:val="20"/>
                <w:szCs w:val="20"/>
                <w:color w:val="auto"/>
              </w:rPr>
            </w:pPr>
            <w:r>
              <w:rPr>
                <w:rFonts w:ascii="Arial" w:cs="Arial" w:eastAsia="Arial" w:hAnsi="Arial"/>
                <w:sz w:val="20"/>
                <w:szCs w:val="20"/>
                <w:b w:val="1"/>
                <w:bCs w:val="1"/>
                <w:color w:val="auto"/>
              </w:rPr>
              <w:t>Investor relations</w:t>
            </w:r>
          </w:p>
        </w:tc>
        <w:tc>
          <w:tcPr>
            <w:tcW w:w="5120" w:type="dxa"/>
            <w:vAlign w:val="bottom"/>
            <w:gridSpan w:val="4"/>
          </w:tcPr>
          <w:p>
            <w:pPr>
              <w:ind w:left="1120"/>
              <w:spacing w:after="0"/>
              <w:rPr>
                <w:sz w:val="20"/>
                <w:szCs w:val="20"/>
                <w:color w:val="auto"/>
              </w:rPr>
            </w:pPr>
            <w:r>
              <w:rPr>
                <w:rFonts w:ascii="Arial" w:cs="Arial" w:eastAsia="Arial" w:hAnsi="Arial"/>
                <w:sz w:val="20"/>
                <w:szCs w:val="20"/>
                <w:b w:val="1"/>
                <w:bCs w:val="1"/>
                <w:color w:val="auto"/>
              </w:rPr>
              <w:t>Media relations</w:t>
            </w:r>
          </w:p>
        </w:tc>
      </w:tr>
      <w:tr>
        <w:trPr>
          <w:trHeight w:val="411"/>
        </w:trPr>
        <w:tc>
          <w:tcPr>
            <w:tcW w:w="4260" w:type="dxa"/>
            <w:vAlign w:val="bottom"/>
            <w:gridSpan w:val="4"/>
          </w:tcPr>
          <w:p>
            <w:pPr>
              <w:spacing w:after="0"/>
              <w:rPr>
                <w:sz w:val="20"/>
                <w:szCs w:val="20"/>
                <w:color w:val="auto"/>
              </w:rPr>
            </w:pPr>
            <w:r>
              <w:rPr>
                <w:rFonts w:ascii="Arial" w:cs="Arial" w:eastAsia="Arial" w:hAnsi="Arial"/>
                <w:sz w:val="20"/>
                <w:szCs w:val="20"/>
                <w:color w:val="auto"/>
              </w:rPr>
              <w:t>Matt Seinsheimer</w:t>
            </w:r>
          </w:p>
        </w:tc>
        <w:tc>
          <w:tcPr>
            <w:tcW w:w="5120" w:type="dxa"/>
            <w:vAlign w:val="bottom"/>
            <w:gridSpan w:val="4"/>
          </w:tcPr>
          <w:p>
            <w:pPr>
              <w:ind w:left="1120"/>
              <w:spacing w:after="0"/>
              <w:rPr>
                <w:sz w:val="20"/>
                <w:szCs w:val="20"/>
                <w:color w:val="auto"/>
              </w:rPr>
            </w:pPr>
            <w:r>
              <w:rPr>
                <w:rFonts w:ascii="Arial" w:cs="Arial" w:eastAsia="Arial" w:hAnsi="Arial"/>
                <w:sz w:val="20"/>
                <w:szCs w:val="20"/>
                <w:color w:val="auto"/>
              </w:rPr>
              <w:t>Christophe Bélorgeot</w:t>
            </w:r>
          </w:p>
        </w:tc>
      </w:tr>
      <w:tr>
        <w:trPr>
          <w:trHeight w:val="216"/>
        </w:trPr>
        <w:tc>
          <w:tcPr>
            <w:tcW w:w="4260" w:type="dxa"/>
            <w:vAlign w:val="bottom"/>
            <w:gridSpan w:val="4"/>
          </w:tcPr>
          <w:p>
            <w:pPr>
              <w:spacing w:after="0" w:line="216" w:lineRule="exact"/>
              <w:rPr>
                <w:sz w:val="20"/>
                <w:szCs w:val="20"/>
                <w:color w:val="auto"/>
              </w:rPr>
            </w:pPr>
            <w:r>
              <w:rPr>
                <w:rFonts w:ascii="Arial" w:cs="Arial" w:eastAsia="Arial" w:hAnsi="Arial"/>
                <w:sz w:val="20"/>
                <w:szCs w:val="20"/>
                <w:color w:val="auto"/>
              </w:rPr>
              <w:t>Vice President Investor Relations</w:t>
            </w:r>
          </w:p>
        </w:tc>
        <w:tc>
          <w:tcPr>
            <w:tcW w:w="5120" w:type="dxa"/>
            <w:vAlign w:val="bottom"/>
            <w:gridSpan w:val="4"/>
          </w:tcPr>
          <w:p>
            <w:pPr>
              <w:ind w:left="1120"/>
              <w:spacing w:after="0" w:line="216" w:lineRule="exact"/>
              <w:rPr>
                <w:sz w:val="20"/>
                <w:szCs w:val="20"/>
                <w:color w:val="auto"/>
              </w:rPr>
            </w:pPr>
            <w:r>
              <w:rPr>
                <w:rFonts w:ascii="Arial" w:cs="Arial" w:eastAsia="Arial" w:hAnsi="Arial"/>
                <w:sz w:val="20"/>
                <w:szCs w:val="20"/>
                <w:color w:val="auto"/>
                <w:w w:val="98"/>
              </w:rPr>
              <w:t>Senior Vice President Corporate Engagement</w:t>
            </w:r>
          </w:p>
        </w:tc>
      </w:tr>
      <w:tr>
        <w:trPr>
          <w:trHeight w:val="216"/>
        </w:trPr>
        <w:tc>
          <w:tcPr>
            <w:tcW w:w="4260" w:type="dxa"/>
            <w:vAlign w:val="bottom"/>
            <w:gridSpan w:val="4"/>
          </w:tcPr>
          <w:p>
            <w:pPr>
              <w:spacing w:after="0" w:line="216" w:lineRule="exact"/>
              <w:rPr>
                <w:sz w:val="20"/>
                <w:szCs w:val="20"/>
                <w:color w:val="auto"/>
              </w:rPr>
            </w:pPr>
            <w:r>
              <w:rPr>
                <w:rFonts w:ascii="Arial" w:cs="Arial" w:eastAsia="Arial" w:hAnsi="Arial"/>
                <w:sz w:val="20"/>
                <w:szCs w:val="20"/>
                <w:color w:val="auto"/>
              </w:rPr>
              <w:t>Tel: +1 281 260 3665</w:t>
            </w:r>
          </w:p>
        </w:tc>
        <w:tc>
          <w:tcPr>
            <w:tcW w:w="5120" w:type="dxa"/>
            <w:vAlign w:val="bottom"/>
            <w:gridSpan w:val="4"/>
          </w:tcPr>
          <w:p>
            <w:pPr>
              <w:ind w:left="1120"/>
              <w:spacing w:after="0" w:line="216" w:lineRule="exact"/>
              <w:rPr>
                <w:sz w:val="20"/>
                <w:szCs w:val="20"/>
                <w:color w:val="auto"/>
              </w:rPr>
            </w:pPr>
            <w:r>
              <w:rPr>
                <w:rFonts w:ascii="Arial" w:cs="Arial" w:eastAsia="Arial" w:hAnsi="Arial"/>
                <w:sz w:val="20"/>
                <w:szCs w:val="20"/>
                <w:color w:val="auto"/>
              </w:rPr>
              <w:t>Tel: +33 1 47 78 39 92</w:t>
            </w:r>
          </w:p>
        </w:tc>
      </w:tr>
      <w:tr>
        <w:trPr>
          <w:trHeight w:val="193"/>
        </w:trPr>
        <w:tc>
          <w:tcPr>
            <w:tcW w:w="4260" w:type="dxa"/>
            <w:vAlign w:val="bottom"/>
            <w:gridSpan w:val="4"/>
          </w:tcPr>
          <w:p>
            <w:pPr>
              <w:spacing w:after="0" w:line="193" w:lineRule="exact"/>
              <w:rPr>
                <w:sz w:val="20"/>
                <w:szCs w:val="20"/>
                <w:color w:val="auto"/>
              </w:rPr>
            </w:pPr>
            <w:r>
              <w:rPr>
                <w:rFonts w:ascii="Arial" w:cs="Arial" w:eastAsia="Arial" w:hAnsi="Arial"/>
                <w:sz w:val="20"/>
                <w:szCs w:val="20"/>
                <w:color w:val="auto"/>
              </w:rPr>
              <w:t xml:space="preserve">Email: </w:t>
            </w:r>
            <w:r>
              <w:rPr>
                <w:rFonts w:ascii="Arial" w:cs="Arial" w:eastAsia="Arial" w:hAnsi="Arial"/>
                <w:sz w:val="20"/>
                <w:szCs w:val="20"/>
                <w:color w:val="0000EE"/>
              </w:rPr>
              <w:t>Matt Seinsheimer</w:t>
            </w:r>
          </w:p>
        </w:tc>
        <w:tc>
          <w:tcPr>
            <w:tcW w:w="5120" w:type="dxa"/>
            <w:vAlign w:val="bottom"/>
            <w:gridSpan w:val="4"/>
          </w:tcPr>
          <w:p>
            <w:pPr>
              <w:ind w:left="1120"/>
              <w:spacing w:after="0" w:line="193" w:lineRule="exact"/>
              <w:rPr>
                <w:sz w:val="20"/>
                <w:szCs w:val="20"/>
                <w:color w:val="auto"/>
              </w:rPr>
            </w:pPr>
            <w:r>
              <w:rPr>
                <w:rFonts w:ascii="Arial" w:cs="Arial" w:eastAsia="Arial" w:hAnsi="Arial"/>
                <w:sz w:val="20"/>
                <w:szCs w:val="20"/>
                <w:color w:val="auto"/>
              </w:rPr>
              <w:t xml:space="preserve">Email: </w:t>
            </w:r>
            <w:r>
              <w:rPr>
                <w:rFonts w:ascii="Arial" w:cs="Arial" w:eastAsia="Arial" w:hAnsi="Arial"/>
                <w:sz w:val="20"/>
                <w:szCs w:val="20"/>
                <w:color w:val="0000EE"/>
              </w:rPr>
              <w:t>Christophe Belorgeot</w:t>
            </w:r>
          </w:p>
        </w:tc>
      </w:tr>
      <w:tr>
        <w:trPr>
          <w:trHeight w:val="20"/>
        </w:trPr>
        <w:tc>
          <w:tcPr>
            <w:tcW w:w="60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436"/>
        </w:trPr>
        <w:tc>
          <w:tcPr>
            <w:tcW w:w="4260" w:type="dxa"/>
            <w:vAlign w:val="bottom"/>
            <w:gridSpan w:val="4"/>
          </w:tcPr>
          <w:p>
            <w:pPr>
              <w:spacing w:after="0"/>
              <w:rPr>
                <w:sz w:val="20"/>
                <w:szCs w:val="20"/>
                <w:color w:val="auto"/>
              </w:rPr>
            </w:pPr>
            <w:r>
              <w:rPr>
                <w:rFonts w:ascii="Arial" w:cs="Arial" w:eastAsia="Arial" w:hAnsi="Arial"/>
                <w:sz w:val="20"/>
                <w:szCs w:val="20"/>
                <w:color w:val="auto"/>
              </w:rPr>
              <w:t>Phillip Lindsay</w:t>
            </w:r>
          </w:p>
        </w:tc>
        <w:tc>
          <w:tcPr>
            <w:tcW w:w="5120" w:type="dxa"/>
            <w:vAlign w:val="bottom"/>
            <w:gridSpan w:val="4"/>
          </w:tcPr>
          <w:p>
            <w:pPr>
              <w:ind w:left="1120"/>
              <w:spacing w:after="0"/>
              <w:rPr>
                <w:sz w:val="20"/>
                <w:szCs w:val="20"/>
                <w:color w:val="auto"/>
              </w:rPr>
            </w:pPr>
            <w:r>
              <w:rPr>
                <w:rFonts w:ascii="Arial" w:cs="Arial" w:eastAsia="Arial" w:hAnsi="Arial"/>
                <w:sz w:val="20"/>
                <w:szCs w:val="20"/>
                <w:color w:val="auto"/>
              </w:rPr>
              <w:t>Delphine Nayral</w:t>
            </w:r>
          </w:p>
        </w:tc>
      </w:tr>
      <w:tr>
        <w:trPr>
          <w:trHeight w:val="216"/>
        </w:trPr>
        <w:tc>
          <w:tcPr>
            <w:tcW w:w="4260" w:type="dxa"/>
            <w:vAlign w:val="bottom"/>
            <w:gridSpan w:val="4"/>
          </w:tcPr>
          <w:p>
            <w:pPr>
              <w:spacing w:after="0" w:line="216" w:lineRule="exact"/>
              <w:rPr>
                <w:sz w:val="20"/>
                <w:szCs w:val="20"/>
                <w:color w:val="auto"/>
              </w:rPr>
            </w:pPr>
            <w:r>
              <w:rPr>
                <w:rFonts w:ascii="Arial" w:cs="Arial" w:eastAsia="Arial" w:hAnsi="Arial"/>
                <w:sz w:val="20"/>
                <w:szCs w:val="20"/>
                <w:color w:val="auto"/>
              </w:rPr>
              <w:t>Director Investor Relations (Europe)</w:t>
            </w:r>
          </w:p>
        </w:tc>
        <w:tc>
          <w:tcPr>
            <w:tcW w:w="5120" w:type="dxa"/>
            <w:vAlign w:val="bottom"/>
            <w:gridSpan w:val="4"/>
          </w:tcPr>
          <w:p>
            <w:pPr>
              <w:ind w:left="1120"/>
              <w:spacing w:after="0" w:line="216" w:lineRule="exact"/>
              <w:rPr>
                <w:sz w:val="20"/>
                <w:szCs w:val="20"/>
                <w:color w:val="auto"/>
              </w:rPr>
            </w:pPr>
            <w:r>
              <w:rPr>
                <w:rFonts w:ascii="Arial" w:cs="Arial" w:eastAsia="Arial" w:hAnsi="Arial"/>
                <w:sz w:val="20"/>
                <w:szCs w:val="20"/>
                <w:color w:val="auto"/>
              </w:rPr>
              <w:t>Director Public Relations</w:t>
            </w:r>
          </w:p>
        </w:tc>
      </w:tr>
      <w:tr>
        <w:trPr>
          <w:trHeight w:val="216"/>
        </w:trPr>
        <w:tc>
          <w:tcPr>
            <w:tcW w:w="4260" w:type="dxa"/>
            <w:vAlign w:val="bottom"/>
            <w:gridSpan w:val="4"/>
          </w:tcPr>
          <w:p>
            <w:pPr>
              <w:spacing w:after="0" w:line="216" w:lineRule="exact"/>
              <w:rPr>
                <w:sz w:val="20"/>
                <w:szCs w:val="20"/>
                <w:color w:val="auto"/>
              </w:rPr>
            </w:pPr>
            <w:r>
              <w:rPr>
                <w:rFonts w:ascii="Arial" w:cs="Arial" w:eastAsia="Arial" w:hAnsi="Arial"/>
                <w:sz w:val="20"/>
                <w:szCs w:val="20"/>
                <w:color w:val="auto"/>
              </w:rPr>
              <w:t>Tel: +44 (0) 20 3429 3929</w:t>
            </w:r>
          </w:p>
        </w:tc>
        <w:tc>
          <w:tcPr>
            <w:tcW w:w="5120" w:type="dxa"/>
            <w:vAlign w:val="bottom"/>
            <w:gridSpan w:val="4"/>
          </w:tcPr>
          <w:p>
            <w:pPr>
              <w:ind w:left="1120"/>
              <w:spacing w:after="0" w:line="216" w:lineRule="exact"/>
              <w:rPr>
                <w:sz w:val="20"/>
                <w:szCs w:val="20"/>
                <w:color w:val="auto"/>
              </w:rPr>
            </w:pPr>
            <w:r>
              <w:rPr>
                <w:rFonts w:ascii="Arial" w:cs="Arial" w:eastAsia="Arial" w:hAnsi="Arial"/>
                <w:sz w:val="20"/>
                <w:szCs w:val="20"/>
                <w:color w:val="auto"/>
              </w:rPr>
              <w:t>Tel: +33 1 47 78 34 83</w:t>
            </w:r>
          </w:p>
        </w:tc>
      </w:tr>
      <w:tr>
        <w:trPr>
          <w:trHeight w:val="193"/>
        </w:trPr>
        <w:tc>
          <w:tcPr>
            <w:tcW w:w="4260" w:type="dxa"/>
            <w:vAlign w:val="bottom"/>
            <w:gridSpan w:val="4"/>
          </w:tcPr>
          <w:p>
            <w:pPr>
              <w:spacing w:after="0" w:line="193" w:lineRule="exact"/>
              <w:rPr>
                <w:sz w:val="20"/>
                <w:szCs w:val="20"/>
                <w:color w:val="auto"/>
              </w:rPr>
            </w:pPr>
            <w:r>
              <w:rPr>
                <w:rFonts w:ascii="Arial" w:cs="Arial" w:eastAsia="Arial" w:hAnsi="Arial"/>
                <w:sz w:val="20"/>
                <w:szCs w:val="20"/>
                <w:color w:val="auto"/>
              </w:rPr>
              <w:t xml:space="preserve">Email: </w:t>
            </w:r>
            <w:r>
              <w:rPr>
                <w:rFonts w:ascii="Arial" w:cs="Arial" w:eastAsia="Arial" w:hAnsi="Arial"/>
                <w:sz w:val="20"/>
                <w:szCs w:val="20"/>
                <w:color w:val="0000EE"/>
              </w:rPr>
              <w:t>Phillip Lindsay</w:t>
            </w:r>
          </w:p>
        </w:tc>
        <w:tc>
          <w:tcPr>
            <w:tcW w:w="5120" w:type="dxa"/>
            <w:vAlign w:val="bottom"/>
            <w:gridSpan w:val="4"/>
          </w:tcPr>
          <w:p>
            <w:pPr>
              <w:ind w:left="1120"/>
              <w:spacing w:after="0" w:line="193" w:lineRule="exact"/>
              <w:rPr>
                <w:sz w:val="20"/>
                <w:szCs w:val="20"/>
                <w:color w:val="auto"/>
              </w:rPr>
            </w:pPr>
            <w:r>
              <w:rPr>
                <w:rFonts w:ascii="Arial" w:cs="Arial" w:eastAsia="Arial" w:hAnsi="Arial"/>
                <w:sz w:val="20"/>
                <w:szCs w:val="20"/>
                <w:color w:val="auto"/>
              </w:rPr>
              <w:t xml:space="preserve">Email: </w:t>
            </w:r>
            <w:r>
              <w:rPr>
                <w:rFonts w:ascii="Arial" w:cs="Arial" w:eastAsia="Arial" w:hAnsi="Arial"/>
                <w:sz w:val="20"/>
                <w:szCs w:val="20"/>
                <w:color w:val="0000EE"/>
              </w:rPr>
              <w:t>Delphine Nayral</w:t>
            </w:r>
          </w:p>
        </w:tc>
      </w:tr>
      <w:tr>
        <w:trPr>
          <w:trHeight w:val="20"/>
        </w:trPr>
        <w:tc>
          <w:tcPr>
            <w:tcW w:w="60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ind w:left="5140"/>
        <w:spacing w:after="0"/>
        <w:tabs>
          <w:tab w:leader="none" w:pos="10380" w:val="left"/>
        </w:tabs>
        <w:rPr>
          <w:rFonts w:ascii="Arial" w:cs="Arial" w:eastAsia="Arial" w:hAnsi="Arial"/>
          <w:sz w:val="14"/>
          <w:szCs w:val="14"/>
          <w:b w:val="1"/>
          <w:bCs w:val="1"/>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 xml:space="preserve">Page 13 of </w:t>
      </w:r>
      <w:hyperlink w:anchor="page29">
        <w:r>
          <w:rPr>
            <w:rFonts w:ascii="Arial" w:cs="Arial" w:eastAsia="Arial" w:hAnsi="Arial"/>
            <w:sz w:val="14"/>
            <w:szCs w:val="14"/>
            <w:b w:val="1"/>
            <w:bCs w:val="1"/>
            <w:color w:val="auto"/>
          </w:rPr>
          <w:t>24</w:t>
        </w:r>
      </w:hyperlink>
    </w:p>
    <w:p>
      <w:pPr>
        <w:sectPr>
          <w:pgSz w:w="11900" w:h="16838" w:orient="portrait"/>
          <w:cols w:equalWidth="0" w:num="1">
            <w:col w:w="11320"/>
          </w:cols>
          <w:pgMar w:left="280" w:top="1440" w:right="299" w:bottom="1440" w:gutter="0" w:footer="0" w:header="0"/>
        </w:sectPr>
      </w:pPr>
    </w:p>
    <w:bookmarkStart w:id="17" w:name="page18"/>
    <w:bookmarkEnd w:id="17"/>
    <w:p>
      <w:pPr>
        <w:jc w:val="right"/>
        <w:spacing w:after="0"/>
        <w:rPr>
          <w:sz w:val="20"/>
          <w:szCs w:val="20"/>
          <w:color w:val="auto"/>
        </w:rPr>
      </w:pPr>
      <w:r>
        <w:rPr>
          <w:rFonts w:ascii="Arial" w:cs="Arial" w:eastAsia="Arial" w:hAnsi="Arial"/>
          <w:sz w:val="13"/>
          <w:szCs w:val="13"/>
          <w:b w:val="1"/>
          <w:bCs w:val="1"/>
          <w:color w:val="auto"/>
        </w:rPr>
        <w:t>Exhibit 1</w:t>
      </w:r>
    </w:p>
    <w:p>
      <w:pPr>
        <w:spacing w:after="0" w:line="161" w:lineRule="exact"/>
        <w:rPr>
          <w:sz w:val="20"/>
          <w:szCs w:val="20"/>
          <w:color w:val="auto"/>
        </w:rPr>
      </w:pPr>
    </w:p>
    <w:p>
      <w:pPr>
        <w:jc w:val="center"/>
        <w:ind w:right="1160"/>
        <w:spacing w:after="0"/>
        <w:rPr>
          <w:sz w:val="20"/>
          <w:szCs w:val="20"/>
          <w:color w:val="auto"/>
        </w:rPr>
      </w:pPr>
      <w:r>
        <w:rPr>
          <w:rFonts w:ascii="Arial" w:cs="Arial" w:eastAsia="Arial" w:hAnsi="Arial"/>
          <w:sz w:val="18"/>
          <w:szCs w:val="18"/>
          <w:b w:val="1"/>
          <w:bCs w:val="1"/>
          <w:u w:val="single" w:color="auto"/>
          <w:color w:val="auto"/>
        </w:rPr>
        <w:t>TECHNIPFMC PLC AND CONSOLIDATED SUBSIDIARIES</w:t>
      </w:r>
    </w:p>
    <w:p>
      <w:pPr>
        <w:spacing w:after="0" w:line="27" w:lineRule="exact"/>
        <w:rPr>
          <w:sz w:val="20"/>
          <w:szCs w:val="20"/>
          <w:color w:val="auto"/>
        </w:rPr>
      </w:pPr>
    </w:p>
    <w:p>
      <w:pPr>
        <w:jc w:val="center"/>
        <w:ind w:right="1160"/>
        <w:spacing w:after="0"/>
        <w:rPr>
          <w:sz w:val="20"/>
          <w:szCs w:val="20"/>
          <w:color w:val="auto"/>
        </w:rPr>
      </w:pPr>
      <w:r>
        <w:rPr>
          <w:rFonts w:ascii="Arial" w:cs="Arial" w:eastAsia="Arial" w:hAnsi="Arial"/>
          <w:sz w:val="18"/>
          <w:szCs w:val="18"/>
          <w:b w:val="1"/>
          <w:bCs w:val="1"/>
          <w:u w:val="single" w:color="auto"/>
          <w:color w:val="auto"/>
        </w:rPr>
        <w:t>CONDENSED CONSOLIDATED STATEMENTS OF INCOME</w:t>
      </w:r>
    </w:p>
    <w:p>
      <w:pPr>
        <w:spacing w:after="0" w:line="9" w:lineRule="exact"/>
        <w:rPr>
          <w:sz w:val="20"/>
          <w:szCs w:val="20"/>
          <w:color w:val="auto"/>
        </w:rPr>
      </w:pPr>
    </w:p>
    <w:p>
      <w:pPr>
        <w:jc w:val="center"/>
        <w:ind w:right="1160"/>
        <w:spacing w:after="0"/>
        <w:rPr>
          <w:sz w:val="20"/>
          <w:szCs w:val="20"/>
          <w:color w:val="auto"/>
        </w:rPr>
      </w:pPr>
      <w:r>
        <w:rPr>
          <w:rFonts w:ascii="Arial" w:cs="Arial" w:eastAsia="Arial" w:hAnsi="Arial"/>
          <w:sz w:val="18"/>
          <w:szCs w:val="18"/>
          <w:b w:val="1"/>
          <w:bCs w:val="1"/>
          <w:color w:val="auto"/>
        </w:rPr>
        <w:t>(In millions, except per share data)</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00" w:type="dxa"/>
            <w:vAlign w:val="bottom"/>
            <w:gridSpan w:val="5"/>
          </w:tcPr>
          <w:p>
            <w:pPr>
              <w:ind w:left="520"/>
              <w:spacing w:after="0"/>
              <w:rPr>
                <w:sz w:val="20"/>
                <w:szCs w:val="20"/>
                <w:color w:val="auto"/>
              </w:rPr>
            </w:pPr>
            <w:r>
              <w:rPr>
                <w:rFonts w:ascii="Arial" w:cs="Arial" w:eastAsia="Arial" w:hAnsi="Arial"/>
                <w:sz w:val="18"/>
                <w:szCs w:val="18"/>
                <w:b w:val="1"/>
                <w:bCs w:val="1"/>
                <w:color w:val="auto"/>
              </w:rPr>
              <w:t>(Unaudited)</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gridSpan w:val="5"/>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gridSpan w:val="4"/>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0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92"/>
              </w:rPr>
              <w:t>Three Months Ended</w:t>
            </w:r>
          </w:p>
        </w:tc>
        <w:tc>
          <w:tcPr>
            <w:tcW w:w="260" w:type="dxa"/>
            <w:vAlign w:val="bottom"/>
          </w:tcPr>
          <w:p>
            <w:pPr>
              <w:spacing w:after="0"/>
              <w:rPr>
                <w:sz w:val="20"/>
                <w:szCs w:val="20"/>
                <w:color w:val="auto"/>
              </w:rPr>
            </w:pPr>
          </w:p>
        </w:tc>
        <w:tc>
          <w:tcPr>
            <w:tcW w:w="3260" w:type="dxa"/>
            <w:vAlign w:val="bottom"/>
            <w:gridSpan w:val="5"/>
          </w:tcPr>
          <w:p>
            <w:pPr>
              <w:jc w:val="center"/>
              <w:ind w:right="1208"/>
              <w:spacing w:after="0"/>
              <w:rPr>
                <w:sz w:val="20"/>
                <w:szCs w:val="20"/>
                <w:color w:val="auto"/>
              </w:rPr>
            </w:pPr>
            <w:r>
              <w:rPr>
                <w:rFonts w:ascii="Arial" w:cs="Arial" w:eastAsia="Arial" w:hAnsi="Arial"/>
                <w:sz w:val="18"/>
                <w:szCs w:val="18"/>
                <w:b w:val="1"/>
                <w:bCs w:val="1"/>
                <w:color w:val="auto"/>
                <w:w w:val="91"/>
              </w:rPr>
              <w:t>Nine Months Ended</w:t>
            </w:r>
          </w:p>
        </w:tc>
        <w:tc>
          <w:tcPr>
            <w:tcW w:w="0" w:type="dxa"/>
            <w:vAlign w:val="bottom"/>
          </w:tcPr>
          <w:p>
            <w:pPr>
              <w:spacing w:after="0"/>
              <w:rPr>
                <w:sz w:val="1"/>
                <w:szCs w:val="1"/>
                <w:color w:val="auto"/>
              </w:rPr>
            </w:pPr>
          </w:p>
        </w:tc>
      </w:tr>
      <w:tr>
        <w:trPr>
          <w:trHeight w:val="270"/>
        </w:trPr>
        <w:tc>
          <w:tcPr>
            <w:tcW w:w="4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30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89"/>
              </w:rPr>
              <w:t>September 30,</w:t>
            </w:r>
          </w:p>
        </w:tc>
        <w:tc>
          <w:tcPr>
            <w:tcW w:w="260" w:type="dxa"/>
            <w:vAlign w:val="bottom"/>
          </w:tcPr>
          <w:p>
            <w:pPr>
              <w:spacing w:after="0"/>
              <w:rPr>
                <w:sz w:val="23"/>
                <w:szCs w:val="23"/>
                <w:color w:val="auto"/>
              </w:rPr>
            </w:pPr>
          </w:p>
        </w:tc>
        <w:tc>
          <w:tcPr>
            <w:tcW w:w="3260" w:type="dxa"/>
            <w:vAlign w:val="bottom"/>
            <w:gridSpan w:val="5"/>
          </w:tcPr>
          <w:p>
            <w:pPr>
              <w:jc w:val="center"/>
              <w:ind w:right="1208"/>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520"/>
        </w:trPr>
        <w:tc>
          <w:tcPr>
            <w:tcW w:w="4120" w:type="dxa"/>
            <w:vAlign w:val="bottom"/>
          </w:tcPr>
          <w:p>
            <w:pPr>
              <w:spacing w:after="0"/>
              <w:rPr>
                <w:sz w:val="20"/>
                <w:szCs w:val="20"/>
                <w:color w:val="auto"/>
              </w:rPr>
            </w:pPr>
            <w:r>
              <w:rPr>
                <w:rFonts w:ascii="Arial" w:cs="Arial" w:eastAsia="Arial" w:hAnsi="Arial"/>
                <w:sz w:val="18"/>
                <w:szCs w:val="18"/>
                <w:color w:val="auto"/>
              </w:rPr>
              <w:t>Revenue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3,335.1</w:t>
            </w:r>
          </w:p>
        </w:tc>
        <w:tc>
          <w:tcPr>
            <w:tcW w:w="10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3,143.8</w:t>
            </w:r>
          </w:p>
        </w:tc>
        <w:tc>
          <w:tcPr>
            <w:tcW w:w="10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9,682.3</w:t>
            </w:r>
          </w:p>
        </w:tc>
        <w:tc>
          <w:tcPr>
            <w:tcW w:w="10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9,229.9</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120" w:type="dxa"/>
            <w:vAlign w:val="bottom"/>
          </w:tcPr>
          <w:p>
            <w:pPr>
              <w:spacing w:after="0"/>
              <w:rPr>
                <w:sz w:val="20"/>
                <w:szCs w:val="20"/>
                <w:color w:val="auto"/>
              </w:rPr>
            </w:pPr>
            <w:r>
              <w:rPr>
                <w:rFonts w:ascii="Arial" w:cs="Arial" w:eastAsia="Arial" w:hAnsi="Arial"/>
                <w:sz w:val="18"/>
                <w:szCs w:val="18"/>
                <w:color w:val="auto"/>
              </w:rPr>
              <w:t>Costs and expenses</w:t>
            </w:r>
          </w:p>
        </w:tc>
        <w:tc>
          <w:tcPr>
            <w:tcW w:w="26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3,095.9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2,863.7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8,994.7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8,527.2</w:t>
            </w: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239.2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280.1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687.6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702.7</w:t>
            </w: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412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(31.8)</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26.8</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(102.5)</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58.0</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53"/>
        </w:trPr>
        <w:tc>
          <w:tcPr>
            <w:tcW w:w="4120" w:type="dxa"/>
            <w:vAlign w:val="bottom"/>
          </w:tcPr>
          <w:p>
            <w:pPr>
              <w:spacing w:after="0"/>
              <w:rPr>
                <w:sz w:val="20"/>
                <w:szCs w:val="20"/>
                <w:color w:val="auto"/>
              </w:rPr>
            </w:pPr>
            <w:r>
              <w:rPr>
                <w:rFonts w:ascii="Arial" w:cs="Arial" w:eastAsia="Arial" w:hAnsi="Arial"/>
                <w:sz w:val="18"/>
                <w:szCs w:val="18"/>
                <w:color w:val="auto"/>
                <w:w w:val="95"/>
              </w:rPr>
              <w:t>Income before net interest expense and income taxes</w:t>
            </w:r>
          </w:p>
        </w:tc>
        <w:tc>
          <w:tcPr>
            <w:tcW w:w="260" w:type="dxa"/>
            <w:vAlign w:val="bottom"/>
          </w:tcPr>
          <w:p>
            <w:pPr>
              <w:spacing w:after="0"/>
              <w:rPr>
                <w:sz w:val="24"/>
                <w:szCs w:val="24"/>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207.4</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306.9</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585.1</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760.7</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120" w:type="dxa"/>
            <w:vAlign w:val="bottom"/>
          </w:tcPr>
          <w:p>
            <w:pPr>
              <w:spacing w:after="0"/>
              <w:rPr>
                <w:sz w:val="20"/>
                <w:szCs w:val="20"/>
                <w:color w:val="auto"/>
              </w:rPr>
            </w:pPr>
            <w:r>
              <w:rPr>
                <w:rFonts w:ascii="Arial" w:cs="Arial" w:eastAsia="Arial" w:hAnsi="Arial"/>
                <w:sz w:val="18"/>
                <w:szCs w:val="18"/>
                <w:color w:val="auto"/>
              </w:rPr>
              <w:t>Net interest expense</w:t>
            </w:r>
          </w:p>
        </w:tc>
        <w:tc>
          <w:tcPr>
            <w:tcW w:w="2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(116.5)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(106.0)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(345.3)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(244.3)</w:t>
            </w: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53"/>
        </w:trPr>
        <w:tc>
          <w:tcPr>
            <w:tcW w:w="412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260" w:type="dxa"/>
            <w:vAlign w:val="bottom"/>
          </w:tcPr>
          <w:p>
            <w:pPr>
              <w:spacing w:after="0"/>
              <w:rPr>
                <w:sz w:val="24"/>
                <w:szCs w:val="24"/>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90.9</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200.9</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239.8</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516.4</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1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6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65.3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66.7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80.7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180.7</w:t>
            </w: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53"/>
        </w:trPr>
        <w:tc>
          <w:tcPr>
            <w:tcW w:w="4120" w:type="dxa"/>
            <w:vAlign w:val="bottom"/>
          </w:tcPr>
          <w:p>
            <w:pPr>
              <w:spacing w:after="0"/>
              <w:rPr>
                <w:sz w:val="20"/>
                <w:szCs w:val="20"/>
                <w:color w:val="auto"/>
              </w:rPr>
            </w:pPr>
            <w:r>
              <w:rPr>
                <w:rFonts w:ascii="Arial" w:cs="Arial" w:eastAsia="Arial" w:hAnsi="Arial"/>
                <w:sz w:val="18"/>
                <w:szCs w:val="18"/>
                <w:color w:val="auto"/>
              </w:rPr>
              <w:t>Net income</w:t>
            </w:r>
          </w:p>
        </w:tc>
        <w:tc>
          <w:tcPr>
            <w:tcW w:w="260" w:type="dxa"/>
            <w:vAlign w:val="bottom"/>
          </w:tcPr>
          <w:p>
            <w:pPr>
              <w:spacing w:after="0"/>
              <w:rPr>
                <w:sz w:val="24"/>
                <w:szCs w:val="24"/>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134.2</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159.1</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335.7</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120" w:type="dxa"/>
            <w:vAlign w:val="bottom"/>
          </w:tcPr>
          <w:p>
            <w:pPr>
              <w:spacing w:after="0"/>
              <w:rPr>
                <w:sz w:val="20"/>
                <w:szCs w:val="20"/>
                <w:color w:val="auto"/>
              </w:rPr>
            </w:pPr>
            <w:r>
              <w:rPr>
                <w:rFonts w:ascii="Arial" w:cs="Arial" w:eastAsia="Arial" w:hAnsi="Arial"/>
                <w:sz w:val="18"/>
                <w:szCs w:val="18"/>
                <w:color w:val="auto"/>
                <w:w w:val="92"/>
              </w:rPr>
              <w:t>Net (income) loss attributable to noncontrolling interests</w:t>
            </w:r>
          </w:p>
        </w:tc>
        <w:tc>
          <w:tcPr>
            <w:tcW w:w="2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73"/>
        </w:trPr>
        <w:tc>
          <w:tcPr>
            <w:tcW w:w="4120" w:type="dxa"/>
            <w:vAlign w:val="bottom"/>
          </w:tcPr>
          <w:p>
            <w:pPr>
              <w:spacing w:after="0"/>
              <w:rPr>
                <w:sz w:val="20"/>
                <w:szCs w:val="20"/>
                <w:color w:val="auto"/>
              </w:rPr>
            </w:pPr>
            <w:r>
              <w:rPr>
                <w:rFonts w:ascii="Arial" w:cs="Arial" w:eastAsia="Arial" w:hAnsi="Arial"/>
                <w:sz w:val="18"/>
                <w:szCs w:val="18"/>
                <w:color w:val="auto"/>
              </w:rPr>
              <w:t>Net income attributable to TechnipFMC plc</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136.9</w:t>
            </w:r>
          </w:p>
        </w:tc>
        <w:tc>
          <w:tcPr>
            <w:tcW w:w="100" w:type="dxa"/>
            <w:vAlign w:val="bottom"/>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139.7</w:t>
            </w:r>
          </w:p>
        </w:tc>
        <w:tc>
          <w:tcPr>
            <w:tcW w:w="100" w:type="dxa"/>
            <w:vAlign w:val="bottom"/>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337.7</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120" w:type="dxa"/>
            <w:vAlign w:val="bottom"/>
            <w:vMerge w:val="restart"/>
          </w:tcPr>
          <w:p>
            <w:pPr>
              <w:spacing w:after="0"/>
              <w:rPr>
                <w:sz w:val="20"/>
                <w:szCs w:val="20"/>
                <w:color w:val="auto"/>
              </w:rPr>
            </w:pPr>
            <w:r>
              <w:rPr>
                <w:rFonts w:ascii="Arial" w:cs="Arial" w:eastAsia="Arial" w:hAnsi="Arial"/>
                <w:sz w:val="18"/>
                <w:szCs w:val="18"/>
                <w:color w:val="auto"/>
              </w:rPr>
              <w:t>Earnings per share attributable to TechnipFMC plc:</w:t>
            </w: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41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120" w:type="dxa"/>
            <w:vAlign w:val="bottom"/>
          </w:tcPr>
          <w:p>
            <w:pPr>
              <w:ind w:left="240"/>
              <w:spacing w:after="0"/>
              <w:rPr>
                <w:sz w:val="20"/>
                <w:szCs w:val="20"/>
                <w:color w:val="auto"/>
              </w:rPr>
            </w:pPr>
            <w:r>
              <w:rPr>
                <w:rFonts w:ascii="Arial" w:cs="Arial" w:eastAsia="Arial" w:hAnsi="Arial"/>
                <w:sz w:val="18"/>
                <w:szCs w:val="18"/>
                <w:color w:val="auto"/>
              </w:rPr>
              <w:t>Basic</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0.30</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0.31</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0.73</w:t>
            </w: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120" w:type="dxa"/>
            <w:vAlign w:val="bottom"/>
          </w:tcPr>
          <w:p>
            <w:pPr>
              <w:ind w:left="240"/>
              <w:spacing w:after="0"/>
              <w:rPr>
                <w:sz w:val="20"/>
                <w:szCs w:val="20"/>
                <w:color w:val="auto"/>
              </w:rPr>
            </w:pPr>
            <w:r>
              <w:rPr>
                <w:rFonts w:ascii="Arial" w:cs="Arial" w:eastAsia="Arial" w:hAnsi="Arial"/>
                <w:sz w:val="18"/>
                <w:szCs w:val="18"/>
                <w:color w:val="auto"/>
              </w:rPr>
              <w:t>Diluted</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0.30</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0.31</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0.73</w:t>
            </w: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54"/>
        </w:trPr>
        <w:tc>
          <w:tcPr>
            <w:tcW w:w="4120" w:type="dxa"/>
            <w:vAlign w:val="bottom"/>
          </w:tcPr>
          <w:p>
            <w:pPr>
              <w:spacing w:after="0"/>
              <w:rPr>
                <w:sz w:val="20"/>
                <w:szCs w:val="20"/>
                <w:color w:val="auto"/>
              </w:rPr>
            </w:pPr>
            <w:r>
              <w:rPr>
                <w:rFonts w:ascii="Arial" w:cs="Arial" w:eastAsia="Arial" w:hAnsi="Arial"/>
                <w:sz w:val="18"/>
                <w:szCs w:val="18"/>
                <w:color w:val="auto"/>
              </w:rPr>
              <w:t>Weighted average shares outstanding:</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120" w:type="dxa"/>
            <w:vAlign w:val="bottom"/>
          </w:tcPr>
          <w:p>
            <w:pPr>
              <w:ind w:left="240"/>
              <w:spacing w:after="0"/>
              <w:rPr>
                <w:sz w:val="20"/>
                <w:szCs w:val="20"/>
                <w:color w:val="auto"/>
              </w:rPr>
            </w:pPr>
            <w:r>
              <w:rPr>
                <w:rFonts w:ascii="Arial" w:cs="Arial" w:eastAsia="Arial" w:hAnsi="Arial"/>
                <w:sz w:val="18"/>
                <w:szCs w:val="18"/>
                <w:color w:val="auto"/>
              </w:rPr>
              <w:t>Basic</w:t>
            </w:r>
          </w:p>
        </w:tc>
        <w:tc>
          <w:tcPr>
            <w:tcW w:w="26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446.9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454.5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448.6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460.0</w:t>
            </w: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120" w:type="dxa"/>
            <w:vAlign w:val="bottom"/>
          </w:tcPr>
          <w:p>
            <w:pPr>
              <w:ind w:left="240"/>
              <w:spacing w:after="0"/>
              <w:rPr>
                <w:sz w:val="20"/>
                <w:szCs w:val="20"/>
                <w:color w:val="auto"/>
              </w:rPr>
            </w:pPr>
            <w:r>
              <w:rPr>
                <w:rFonts w:ascii="Arial" w:cs="Arial" w:eastAsia="Arial" w:hAnsi="Arial"/>
                <w:sz w:val="18"/>
                <w:szCs w:val="18"/>
                <w:color w:val="auto"/>
              </w:rPr>
              <w:t>Diluted</w:t>
            </w:r>
          </w:p>
        </w:tc>
        <w:tc>
          <w:tcPr>
            <w:tcW w:w="26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451.9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459.0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453.5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464.0</w:t>
            </w: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54"/>
        </w:trPr>
        <w:tc>
          <w:tcPr>
            <w:tcW w:w="4120" w:type="dxa"/>
            <w:vAlign w:val="bottom"/>
          </w:tcPr>
          <w:p>
            <w:pPr>
              <w:spacing w:after="0"/>
              <w:rPr>
                <w:sz w:val="20"/>
                <w:szCs w:val="20"/>
                <w:color w:val="auto"/>
              </w:rPr>
            </w:pPr>
            <w:r>
              <w:rPr>
                <w:rFonts w:ascii="Arial" w:cs="Arial" w:eastAsia="Arial" w:hAnsi="Arial"/>
                <w:sz w:val="18"/>
                <w:szCs w:val="18"/>
                <w:color w:val="auto"/>
              </w:rPr>
              <w:t>Cash dividends declared per share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0.39</w:t>
            </w:r>
          </w:p>
        </w:tc>
        <w:tc>
          <w:tcPr>
            <w:tcW w:w="10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0.39</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3"/>
        </w:trPr>
        <w:tc>
          <w:tcPr>
            <w:tcW w:w="5400" w:type="dxa"/>
            <w:vAlign w:val="bottom"/>
            <w:gridSpan w:val="4"/>
          </w:tcPr>
          <w:p>
            <w:pPr>
              <w:ind w:left="4020"/>
              <w:spacing w:after="0"/>
              <w:rPr>
                <w:sz w:val="20"/>
                <w:szCs w:val="20"/>
                <w:color w:val="auto"/>
              </w:rPr>
            </w:pPr>
            <w:r>
              <w:rPr>
                <w:rFonts w:ascii="Arial" w:cs="Arial" w:eastAsia="Arial" w:hAnsi="Arial"/>
                <w:sz w:val="14"/>
                <w:szCs w:val="14"/>
                <w:b w:val="1"/>
                <w:bCs w:val="1"/>
                <w:color w:val="auto"/>
              </w:rPr>
              <w:t>TechnipFMC.com</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60" w:type="dxa"/>
            <w:vAlign w:val="bottom"/>
          </w:tcPr>
          <w:p>
            <w:pPr>
              <w:ind w:left="140"/>
              <w:spacing w:after="0"/>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Page 14 of </w:t>
            </w:r>
            <w:hyperlink w:anchor="page29">
              <w:r>
                <w:rPr>
                  <w:rFonts w:ascii="Arial" w:cs="Arial" w:eastAsia="Arial" w:hAnsi="Arial"/>
                  <w:sz w:val="14"/>
                  <w:szCs w:val="14"/>
                  <w:b w:val="1"/>
                  <w:bCs w:val="1"/>
                  <w:color w:val="auto"/>
                </w:rPr>
                <w:t>24</w:t>
              </w:r>
            </w:hyperlink>
          </w:p>
        </w:tc>
        <w:tc>
          <w:tcPr>
            <w:tcW w:w="0" w:type="dxa"/>
            <w:vAlign w:val="bottom"/>
          </w:tcPr>
          <w:p>
            <w:pPr>
              <w:spacing w:after="0"/>
              <w:rPr>
                <w:sz w:val="1"/>
                <w:szCs w:val="1"/>
                <w:color w:val="auto"/>
              </w:rPr>
            </w:pPr>
          </w:p>
        </w:tc>
      </w:tr>
    </w:tbl>
    <w:p>
      <w:pPr>
        <w:sectPr>
          <w:pgSz w:w="11900" w:h="16838" w:orient="portrait"/>
          <w:cols w:equalWidth="0" w:num="1">
            <w:col w:w="10260"/>
          </w:cols>
          <w:pgMar w:left="1400" w:top="526" w:right="239" w:bottom="1440" w:gutter="0" w:footer="0" w:header="0"/>
        </w:sectPr>
      </w:pPr>
    </w:p>
    <w:bookmarkStart w:id="18" w:name="page19"/>
    <w:bookmarkEnd w:id="18"/>
    <w:p>
      <w:pPr>
        <w:jc w:val="right"/>
        <w:spacing w:after="0"/>
        <w:rPr>
          <w:sz w:val="20"/>
          <w:szCs w:val="20"/>
          <w:color w:val="auto"/>
        </w:rPr>
      </w:pPr>
      <w:r>
        <w:rPr>
          <w:rFonts w:ascii="Arial" w:cs="Arial" w:eastAsia="Arial" w:hAnsi="Arial"/>
          <w:sz w:val="13"/>
          <w:szCs w:val="13"/>
          <w:b w:val="1"/>
          <w:bCs w:val="1"/>
          <w:color w:val="auto"/>
        </w:rPr>
        <w:t>Exhibit 2</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TECHNIPFMC PLC AND CONSOLIDATED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BUSINESS SEGMENT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69" w:lineRule="exact"/>
        <w:rPr>
          <w:sz w:val="20"/>
          <w:szCs w:val="20"/>
          <w:color w:val="auto"/>
        </w:rPr>
      </w:pPr>
    </w:p>
    <w:tbl>
      <w:tblPr>
        <w:tblLayout w:type="fixed"/>
        <w:tblInd w:w="138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00" w:type="dxa"/>
            <w:vAlign w:val="bottom"/>
            <w:gridSpan w:val="5"/>
          </w:tcPr>
          <w:p>
            <w:pPr>
              <w:ind w:left="520"/>
              <w:spacing w:after="0"/>
              <w:rPr>
                <w:sz w:val="20"/>
                <w:szCs w:val="20"/>
                <w:color w:val="auto"/>
              </w:rPr>
            </w:pPr>
            <w:r>
              <w:rPr>
                <w:rFonts w:ascii="Arial" w:cs="Arial" w:eastAsia="Arial" w:hAnsi="Arial"/>
                <w:sz w:val="18"/>
                <w:szCs w:val="18"/>
                <w:b w:val="1"/>
                <w:bCs w:val="1"/>
                <w:color w:val="auto"/>
              </w:rPr>
              <w:t>(Unaudited)</w:t>
            </w: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gridSpan w:val="5"/>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8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2"/>
              </w:rPr>
              <w:t>Three Months Ended</w:t>
            </w:r>
          </w:p>
        </w:tc>
        <w:tc>
          <w:tcPr>
            <w:tcW w:w="260" w:type="dxa"/>
            <w:vAlign w:val="bottom"/>
          </w:tcPr>
          <w:p>
            <w:pPr>
              <w:spacing w:after="0"/>
              <w:rPr>
                <w:sz w:val="20"/>
                <w:szCs w:val="20"/>
                <w:color w:val="auto"/>
              </w:rPr>
            </w:pPr>
          </w:p>
        </w:tc>
        <w:tc>
          <w:tcPr>
            <w:tcW w:w="2200" w:type="dxa"/>
            <w:vAlign w:val="bottom"/>
            <w:gridSpan w:val="4"/>
          </w:tcPr>
          <w:p>
            <w:pPr>
              <w:jc w:val="right"/>
              <w:ind w:right="35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70"/>
        </w:trPr>
        <w:tc>
          <w:tcPr>
            <w:tcW w:w="6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28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89"/>
              </w:rPr>
              <w:t>September 30,</w:t>
            </w:r>
          </w:p>
        </w:tc>
        <w:tc>
          <w:tcPr>
            <w:tcW w:w="260" w:type="dxa"/>
            <w:vAlign w:val="bottom"/>
          </w:tcPr>
          <w:p>
            <w:pPr>
              <w:spacing w:after="0"/>
              <w:rPr>
                <w:sz w:val="23"/>
                <w:szCs w:val="23"/>
                <w:color w:val="auto"/>
              </w:rPr>
            </w:pPr>
          </w:p>
        </w:tc>
        <w:tc>
          <w:tcPr>
            <w:tcW w:w="2200" w:type="dxa"/>
            <w:vAlign w:val="bottom"/>
            <w:gridSpan w:val="4"/>
          </w:tcPr>
          <w:p>
            <w:pPr>
              <w:jc w:val="right"/>
              <w:ind w:right="57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7"/>
        </w:trPr>
        <w:tc>
          <w:tcPr>
            <w:tcW w:w="660" w:type="dxa"/>
            <w:vAlign w:val="bottom"/>
            <w:vMerge w:val="restart"/>
          </w:tcPr>
          <w:p>
            <w:pPr>
              <w:spacing w:after="0"/>
              <w:rPr>
                <w:sz w:val="20"/>
                <w:szCs w:val="20"/>
                <w:color w:val="auto"/>
              </w:rPr>
            </w:pPr>
            <w:r>
              <w:rPr>
                <w:rFonts w:ascii="Arial" w:cs="Arial" w:eastAsia="Arial" w:hAnsi="Arial"/>
                <w:sz w:val="18"/>
                <w:szCs w:val="18"/>
                <w:b w:val="1"/>
                <w:bCs w:val="1"/>
                <w:color w:val="auto"/>
                <w:w w:val="85"/>
              </w:rPr>
              <w:t>Revenue</w:t>
            </w:r>
          </w:p>
        </w:tc>
        <w:tc>
          <w:tcPr>
            <w:tcW w:w="3040" w:type="dxa"/>
            <w:vAlign w:val="bottom"/>
            <w:gridSpan w:val="4"/>
            <w:vMerge w:val="restart"/>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660" w:type="dxa"/>
            <w:vAlign w:val="bottom"/>
            <w:tcBorders>
              <w:bottom w:val="single" w:sz="8" w:color="auto"/>
            </w:tcBorders>
            <w:vMerge w:val="continue"/>
          </w:tcPr>
          <w:p>
            <w:pPr>
              <w:spacing w:after="0"/>
              <w:rPr>
                <w:sz w:val="17"/>
                <w:szCs w:val="17"/>
                <w:color w:val="auto"/>
              </w:rPr>
            </w:pPr>
          </w:p>
        </w:tc>
        <w:tc>
          <w:tcPr>
            <w:tcW w:w="3040" w:type="dxa"/>
            <w:vAlign w:val="bottom"/>
            <w:gridSpan w:val="4"/>
            <w:vMerge w:val="continue"/>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74"/>
        </w:trPr>
        <w:tc>
          <w:tcPr>
            <w:tcW w:w="3700" w:type="dxa"/>
            <w:vAlign w:val="bottom"/>
            <w:gridSpan w:val="5"/>
          </w:tcPr>
          <w:p>
            <w:pPr>
              <w:spacing w:after="0"/>
              <w:rPr>
                <w:sz w:val="20"/>
                <w:szCs w:val="20"/>
                <w:color w:val="auto"/>
              </w:rPr>
            </w:pPr>
            <w:r>
              <w:rPr>
                <w:rFonts w:ascii="Arial" w:cs="Arial" w:eastAsia="Arial" w:hAnsi="Arial"/>
                <w:sz w:val="18"/>
                <w:szCs w:val="18"/>
                <w:color w:val="auto"/>
              </w:rPr>
              <w:t>Subsea</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1,342.2</w:t>
            </w:r>
          </w:p>
        </w:tc>
        <w:tc>
          <w:tcPr>
            <w:tcW w:w="10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1,209.1</w:t>
            </w:r>
          </w:p>
        </w:tc>
        <w:tc>
          <w:tcPr>
            <w:tcW w:w="10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4,036.2</w:t>
            </w:r>
          </w:p>
        </w:tc>
        <w:tc>
          <w:tcPr>
            <w:tcW w:w="10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3,606.7</w:t>
            </w:r>
          </w:p>
        </w:tc>
        <w:tc>
          <w:tcPr>
            <w:tcW w:w="0" w:type="dxa"/>
            <w:vAlign w:val="bottom"/>
          </w:tcPr>
          <w:p>
            <w:pPr>
              <w:spacing w:after="0"/>
              <w:rPr>
                <w:sz w:val="1"/>
                <w:szCs w:val="1"/>
                <w:color w:val="auto"/>
              </w:rPr>
            </w:pPr>
          </w:p>
        </w:tc>
      </w:tr>
      <w:tr>
        <w:trPr>
          <w:trHeight w:val="270"/>
        </w:trPr>
        <w:tc>
          <w:tcPr>
            <w:tcW w:w="3700" w:type="dxa"/>
            <w:vAlign w:val="bottom"/>
            <w:gridSpan w:val="5"/>
          </w:tcPr>
          <w:p>
            <w:pPr>
              <w:spacing w:after="0"/>
              <w:rPr>
                <w:sz w:val="20"/>
                <w:szCs w:val="20"/>
                <w:color w:val="auto"/>
              </w:rPr>
            </w:pPr>
            <w:r>
              <w:rPr>
                <w:rFonts w:ascii="Arial" w:cs="Arial" w:eastAsia="Arial" w:hAnsi="Arial"/>
                <w:sz w:val="18"/>
                <w:szCs w:val="18"/>
                <w:color w:val="auto"/>
              </w:rPr>
              <w:t>Onshore/Offshore</w:t>
            </w:r>
          </w:p>
        </w:tc>
        <w:tc>
          <w:tcPr>
            <w:tcW w:w="26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1,596.3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1,532.5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4,436.4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4,448.3</w:t>
            </w:r>
          </w:p>
        </w:tc>
        <w:tc>
          <w:tcPr>
            <w:tcW w:w="0" w:type="dxa"/>
            <w:vAlign w:val="bottom"/>
          </w:tcPr>
          <w:p>
            <w:pPr>
              <w:spacing w:after="0"/>
              <w:rPr>
                <w:sz w:val="1"/>
                <w:szCs w:val="1"/>
                <w:color w:val="auto"/>
              </w:rPr>
            </w:pPr>
          </w:p>
        </w:tc>
      </w:tr>
      <w:tr>
        <w:trPr>
          <w:trHeight w:val="270"/>
        </w:trPr>
        <w:tc>
          <w:tcPr>
            <w:tcW w:w="3700" w:type="dxa"/>
            <w:vAlign w:val="bottom"/>
            <w:gridSpan w:val="5"/>
          </w:tcPr>
          <w:p>
            <w:pPr>
              <w:spacing w:after="0"/>
              <w:rPr>
                <w:sz w:val="20"/>
                <w:szCs w:val="20"/>
                <w:color w:val="auto"/>
              </w:rPr>
            </w:pPr>
            <w:r>
              <w:rPr>
                <w:rFonts w:ascii="Arial" w:cs="Arial" w:eastAsia="Arial" w:hAnsi="Arial"/>
                <w:sz w:val="18"/>
                <w:szCs w:val="18"/>
                <w:color w:val="auto"/>
              </w:rPr>
              <w:t>Surface Technologies</w:t>
            </w:r>
          </w:p>
        </w:tc>
        <w:tc>
          <w:tcPr>
            <w:tcW w:w="26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396.6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402.2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1,209.7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1,174.9</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3,335.1</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3,143.8</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9,682.3</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9,229.9</w:t>
            </w:r>
          </w:p>
        </w:tc>
        <w:tc>
          <w:tcPr>
            <w:tcW w:w="0" w:type="dxa"/>
            <w:vAlign w:val="bottom"/>
          </w:tcPr>
          <w:p>
            <w:pPr>
              <w:spacing w:after="0"/>
              <w:rPr>
                <w:sz w:val="1"/>
                <w:szCs w:val="1"/>
                <w:color w:val="auto"/>
              </w:rPr>
            </w:pPr>
          </w:p>
        </w:tc>
      </w:tr>
      <w:tr>
        <w:trPr>
          <w:trHeight w:val="27"/>
        </w:trPr>
        <w:tc>
          <w:tcPr>
            <w:tcW w:w="3700" w:type="dxa"/>
            <w:vAlign w:val="bottom"/>
            <w:gridSpan w:val="5"/>
            <w:vMerge w:val="restart"/>
          </w:tcPr>
          <w:p>
            <w:pPr>
              <w:spacing w:after="0"/>
              <w:rPr>
                <w:sz w:val="20"/>
                <w:szCs w:val="20"/>
                <w:color w:val="auto"/>
              </w:rPr>
            </w:pPr>
            <w:r>
              <w:rPr>
                <w:rFonts w:ascii="Arial" w:cs="Arial" w:eastAsia="Arial" w:hAnsi="Arial"/>
                <w:sz w:val="18"/>
                <w:szCs w:val="18"/>
                <w:b w:val="1"/>
                <w:bCs w:val="1"/>
                <w:color w:val="auto"/>
              </w:rPr>
              <w:t>Income before income taxes</w:t>
            </w: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700" w:type="dxa"/>
            <w:vAlign w:val="bottom"/>
            <w:gridSpan w:val="5"/>
            <w:vMerge w:val="continue"/>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3700" w:type="dxa"/>
            <w:vAlign w:val="bottom"/>
            <w:gridSpan w:val="5"/>
            <w:vMerge w:val="continue"/>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4"/>
        </w:trPr>
        <w:tc>
          <w:tcPr>
            <w:tcW w:w="1800" w:type="dxa"/>
            <w:vAlign w:val="bottom"/>
            <w:tcBorders>
              <w:top w:val="single" w:sz="8" w:color="auto"/>
              <w:bottom w:val="single" w:sz="8" w:color="auto"/>
            </w:tcBorders>
            <w:gridSpan w:val="3"/>
          </w:tcPr>
          <w:p>
            <w:pPr>
              <w:spacing w:after="0"/>
              <w:rPr>
                <w:sz w:val="20"/>
                <w:szCs w:val="20"/>
                <w:color w:val="auto"/>
              </w:rPr>
            </w:pPr>
            <w:r>
              <w:rPr>
                <w:rFonts w:ascii="Arial" w:cs="Arial" w:eastAsia="Arial" w:hAnsi="Arial"/>
                <w:sz w:val="18"/>
                <w:szCs w:val="18"/>
                <w:color w:val="auto"/>
                <w:w w:val="90"/>
              </w:rPr>
              <w:t>Segment operating profit</w:t>
            </w:r>
          </w:p>
        </w:tc>
        <w:tc>
          <w:tcPr>
            <w:tcW w:w="320" w:type="dxa"/>
            <w:vAlign w:val="bottom"/>
            <w:tcBorders>
              <w:top w:val="single" w:sz="8" w:color="auto"/>
            </w:tcBorders>
          </w:tcPr>
          <w:p>
            <w:pPr>
              <w:spacing w:after="0"/>
              <w:rPr>
                <w:sz w:val="24"/>
                <w:szCs w:val="24"/>
                <w:color w:val="auto"/>
              </w:rPr>
            </w:pPr>
          </w:p>
        </w:tc>
        <w:tc>
          <w:tcPr>
            <w:tcW w:w="1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3700" w:type="dxa"/>
            <w:vAlign w:val="bottom"/>
            <w:gridSpan w:val="5"/>
          </w:tcPr>
          <w:p>
            <w:pPr>
              <w:spacing w:after="0"/>
              <w:rPr>
                <w:sz w:val="20"/>
                <w:szCs w:val="20"/>
                <w:color w:val="auto"/>
              </w:rPr>
            </w:pPr>
            <w:r>
              <w:rPr>
                <w:rFonts w:ascii="Arial" w:cs="Arial" w:eastAsia="Arial" w:hAnsi="Arial"/>
                <w:sz w:val="18"/>
                <w:szCs w:val="18"/>
                <w:color w:val="auto"/>
              </w:rPr>
              <w:t>Subsea</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45.5</w:t>
            </w:r>
          </w:p>
        </w:tc>
        <w:tc>
          <w:tcPr>
            <w:tcW w:w="10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79.7</w:t>
            </w:r>
          </w:p>
        </w:tc>
        <w:tc>
          <w:tcPr>
            <w:tcW w:w="10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190.1</w:t>
            </w:r>
          </w:p>
        </w:tc>
        <w:tc>
          <w:tcPr>
            <w:tcW w:w="10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210.0</w:t>
            </w:r>
          </w:p>
        </w:tc>
        <w:tc>
          <w:tcPr>
            <w:tcW w:w="0" w:type="dxa"/>
            <w:vAlign w:val="bottom"/>
          </w:tcPr>
          <w:p>
            <w:pPr>
              <w:spacing w:after="0"/>
              <w:rPr>
                <w:sz w:val="1"/>
                <w:szCs w:val="1"/>
                <w:color w:val="auto"/>
              </w:rPr>
            </w:pPr>
          </w:p>
        </w:tc>
      </w:tr>
      <w:tr>
        <w:trPr>
          <w:trHeight w:val="270"/>
        </w:trPr>
        <w:tc>
          <w:tcPr>
            <w:tcW w:w="3700" w:type="dxa"/>
            <w:vAlign w:val="bottom"/>
            <w:gridSpan w:val="5"/>
          </w:tcPr>
          <w:p>
            <w:pPr>
              <w:spacing w:after="0"/>
              <w:rPr>
                <w:sz w:val="20"/>
                <w:szCs w:val="20"/>
                <w:color w:val="auto"/>
              </w:rPr>
            </w:pPr>
            <w:r>
              <w:rPr>
                <w:rFonts w:ascii="Arial" w:cs="Arial" w:eastAsia="Arial" w:hAnsi="Arial"/>
                <w:sz w:val="18"/>
                <w:szCs w:val="18"/>
                <w:color w:val="auto"/>
              </w:rPr>
              <w:t>Onshore/Offshore</w:t>
            </w:r>
          </w:p>
        </w:tc>
        <w:tc>
          <w:tcPr>
            <w:tcW w:w="26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284.6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243.4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714.3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617.6</w:t>
            </w:r>
          </w:p>
        </w:tc>
        <w:tc>
          <w:tcPr>
            <w:tcW w:w="0" w:type="dxa"/>
            <w:vAlign w:val="bottom"/>
          </w:tcPr>
          <w:p>
            <w:pPr>
              <w:spacing w:after="0"/>
              <w:rPr>
                <w:sz w:val="1"/>
                <w:szCs w:val="1"/>
                <w:color w:val="auto"/>
              </w:rPr>
            </w:pPr>
          </w:p>
        </w:tc>
      </w:tr>
      <w:tr>
        <w:trPr>
          <w:trHeight w:val="270"/>
        </w:trPr>
        <w:tc>
          <w:tcPr>
            <w:tcW w:w="3700" w:type="dxa"/>
            <w:vAlign w:val="bottom"/>
            <w:gridSpan w:val="5"/>
          </w:tcPr>
          <w:p>
            <w:pPr>
              <w:spacing w:after="0"/>
              <w:rPr>
                <w:sz w:val="20"/>
                <w:szCs w:val="20"/>
                <w:color w:val="auto"/>
              </w:rPr>
            </w:pPr>
            <w:r>
              <w:rPr>
                <w:rFonts w:ascii="Arial" w:cs="Arial" w:eastAsia="Arial" w:hAnsi="Arial"/>
                <w:sz w:val="18"/>
                <w:szCs w:val="18"/>
                <w:color w:val="auto"/>
              </w:rPr>
              <w:t>Surface Technologies</w:t>
            </w:r>
          </w:p>
        </w:tc>
        <w:tc>
          <w:tcPr>
            <w:tcW w:w="26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51.9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42.1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134.0</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00" w:type="dxa"/>
            <w:vAlign w:val="bottom"/>
            <w:gridSpan w:val="5"/>
          </w:tcPr>
          <w:p>
            <w:pPr>
              <w:spacing w:after="0"/>
              <w:rPr>
                <w:sz w:val="20"/>
                <w:szCs w:val="20"/>
                <w:color w:val="auto"/>
              </w:rPr>
            </w:pPr>
            <w:r>
              <w:rPr>
                <w:rFonts w:ascii="Arial" w:cs="Arial" w:eastAsia="Arial" w:hAnsi="Arial"/>
                <w:sz w:val="18"/>
                <w:szCs w:val="18"/>
                <w:color w:val="auto"/>
              </w:rPr>
              <w:t>Total segment operating profit</w:t>
            </w:r>
          </w:p>
        </w:tc>
        <w:tc>
          <w:tcPr>
            <w:tcW w:w="26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336.2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375.0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946.5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961.6</w:t>
            </w:r>
          </w:p>
        </w:tc>
        <w:tc>
          <w:tcPr>
            <w:tcW w:w="0" w:type="dxa"/>
            <w:vAlign w:val="bottom"/>
          </w:tcPr>
          <w:p>
            <w:pPr>
              <w:spacing w:after="0"/>
              <w:rPr>
                <w:sz w:val="1"/>
                <w:szCs w:val="1"/>
                <w:color w:val="auto"/>
              </w:rPr>
            </w:pPr>
          </w:p>
        </w:tc>
      </w:tr>
      <w:tr>
        <w:trPr>
          <w:trHeight w:val="27"/>
        </w:trPr>
        <w:tc>
          <w:tcPr>
            <w:tcW w:w="3700" w:type="dxa"/>
            <w:vAlign w:val="bottom"/>
            <w:gridSpan w:val="5"/>
            <w:vMerge w:val="restart"/>
          </w:tcPr>
          <w:p>
            <w:pPr>
              <w:spacing w:after="0"/>
              <w:rPr>
                <w:sz w:val="20"/>
                <w:szCs w:val="20"/>
                <w:color w:val="auto"/>
              </w:rPr>
            </w:pPr>
            <w:r>
              <w:rPr>
                <w:rFonts w:ascii="Arial" w:cs="Arial" w:eastAsia="Arial" w:hAnsi="Arial"/>
                <w:sz w:val="18"/>
                <w:szCs w:val="18"/>
                <w:color w:val="auto"/>
              </w:rPr>
              <w:t>Corporate items</w:t>
            </w: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80"/>
        </w:trPr>
        <w:tc>
          <w:tcPr>
            <w:tcW w:w="3700" w:type="dxa"/>
            <w:vAlign w:val="bottom"/>
            <w:gridSpan w:val="5"/>
            <w:vMerge w:val="continue"/>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gridSpan w:val="2"/>
            <w:shd w:val="clear" w:color="auto" w:fill="000000"/>
          </w:tcPr>
          <w:p>
            <w:pPr>
              <w:spacing w:after="0" w:line="20" w:lineRule="exact"/>
              <w:rPr>
                <w:sz w:val="1"/>
                <w:szCs w:val="1"/>
                <w:color w:val="auto"/>
              </w:rPr>
            </w:pPr>
          </w:p>
        </w:tc>
        <w:tc>
          <w:tcPr>
            <w:tcW w:w="256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3700" w:type="dxa"/>
            <w:vAlign w:val="bottom"/>
            <w:gridSpan w:val="5"/>
          </w:tcPr>
          <w:p>
            <w:pPr>
              <w:spacing w:after="0"/>
              <w:rPr>
                <w:sz w:val="20"/>
                <w:szCs w:val="20"/>
                <w:color w:val="auto"/>
              </w:rPr>
            </w:pPr>
            <w:r>
              <w:rPr>
                <w:rFonts w:ascii="Arial" w:cs="Arial" w:eastAsia="Arial" w:hAnsi="Arial"/>
                <w:sz w:val="18"/>
                <w:szCs w:val="18"/>
                <w:color w:val="auto"/>
              </w:rPr>
              <w:t xml:space="preserve">Corporate expense </w:t>
            </w:r>
            <w:r>
              <w:rPr>
                <w:rFonts w:ascii="Arial" w:cs="Arial" w:eastAsia="Arial" w:hAnsi="Arial"/>
                <w:sz w:val="25"/>
                <w:szCs w:val="25"/>
                <w:color w:val="auto"/>
                <w:vertAlign w:val="superscript"/>
              </w:rPr>
              <w:t>(1)</w:t>
            </w: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(128.8)</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(68.1)</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(361.4)</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(200.9)</w:t>
            </w:r>
          </w:p>
        </w:tc>
        <w:tc>
          <w:tcPr>
            <w:tcW w:w="0" w:type="dxa"/>
            <w:vAlign w:val="bottom"/>
          </w:tcPr>
          <w:p>
            <w:pPr>
              <w:spacing w:after="0"/>
              <w:rPr>
                <w:sz w:val="1"/>
                <w:szCs w:val="1"/>
                <w:color w:val="auto"/>
              </w:rPr>
            </w:pPr>
          </w:p>
        </w:tc>
      </w:tr>
      <w:tr>
        <w:trPr>
          <w:trHeight w:val="230"/>
        </w:trPr>
        <w:tc>
          <w:tcPr>
            <w:tcW w:w="3700" w:type="dxa"/>
            <w:vAlign w:val="bottom"/>
            <w:gridSpan w:val="5"/>
          </w:tcPr>
          <w:p>
            <w:pPr>
              <w:spacing w:after="0"/>
              <w:rPr>
                <w:sz w:val="20"/>
                <w:szCs w:val="20"/>
                <w:color w:val="auto"/>
              </w:rPr>
            </w:pPr>
            <w:r>
              <w:rPr>
                <w:rFonts w:ascii="Arial" w:cs="Arial" w:eastAsia="Arial" w:hAnsi="Arial"/>
                <w:sz w:val="18"/>
                <w:szCs w:val="18"/>
                <w:color w:val="auto"/>
              </w:rPr>
              <w:t>Net interest expense</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(116.5)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(106.0)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(345.3)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(244.3)</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00" w:type="dxa"/>
            <w:vAlign w:val="bottom"/>
            <w:gridSpan w:val="5"/>
          </w:tcPr>
          <w:p>
            <w:pPr>
              <w:spacing w:after="0"/>
              <w:rPr>
                <w:sz w:val="20"/>
                <w:szCs w:val="20"/>
                <w:color w:val="auto"/>
              </w:rPr>
            </w:pPr>
            <w:r>
              <w:rPr>
                <w:rFonts w:ascii="Arial" w:cs="Arial" w:eastAsia="Arial" w:hAnsi="Arial"/>
                <w:sz w:val="18"/>
                <w:szCs w:val="18"/>
                <w:color w:val="auto"/>
              </w:rPr>
              <w:t>Total corporate items</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(245.3)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(174.1)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(706.7)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(445.2)</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47"/>
        </w:trPr>
        <w:tc>
          <w:tcPr>
            <w:tcW w:w="3700" w:type="dxa"/>
            <w:vAlign w:val="bottom"/>
            <w:gridSpan w:val="5"/>
          </w:tcPr>
          <w:p>
            <w:pPr>
              <w:spacing w:after="0"/>
              <w:rPr>
                <w:sz w:val="20"/>
                <w:szCs w:val="20"/>
                <w:color w:val="auto"/>
              </w:rPr>
            </w:pPr>
            <w:r>
              <w:rPr>
                <w:rFonts w:ascii="Arial" w:cs="Arial" w:eastAsia="Arial" w:hAnsi="Arial"/>
                <w:sz w:val="18"/>
                <w:szCs w:val="18"/>
                <w:color w:val="auto"/>
              </w:rPr>
              <w:t xml:space="preserve">Net income before income taxes </w:t>
            </w:r>
            <w:r>
              <w:rPr>
                <w:rFonts w:ascii="Arial" w:cs="Arial" w:eastAsia="Arial" w:hAnsi="Arial"/>
                <w:sz w:val="25"/>
                <w:szCs w:val="25"/>
                <w:color w:val="auto"/>
                <w:vertAlign w:val="superscript"/>
              </w:rPr>
              <w:t>(2)</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90.9</w:t>
            </w:r>
          </w:p>
        </w:tc>
        <w:tc>
          <w:tcPr>
            <w:tcW w:w="100" w:type="dxa"/>
            <w:vAlign w:val="bottom"/>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200.9</w:t>
            </w:r>
          </w:p>
        </w:tc>
        <w:tc>
          <w:tcPr>
            <w:tcW w:w="100" w:type="dxa"/>
            <w:vAlign w:val="bottom"/>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239.8</w:t>
            </w:r>
          </w:p>
        </w:tc>
        <w:tc>
          <w:tcPr>
            <w:tcW w:w="100" w:type="dxa"/>
            <w:vAlign w:val="bottom"/>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516.4</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right="520" w:hanging="332"/>
        <w:spacing w:after="0" w:line="277"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Corporate expense primarily includes corporate staff expenses, legal reserve, share-based compensation expenses, other employee benefits, certain foreign exchange gains and losses, merger transaction and integration expenses and separation expenses.</w:t>
      </w:r>
    </w:p>
    <w:p>
      <w:pPr>
        <w:spacing w:after="0" w:line="116" w:lineRule="exact"/>
        <w:rPr>
          <w:rFonts w:ascii="Arial" w:cs="Arial" w:eastAsia="Arial" w:hAnsi="Arial"/>
          <w:sz w:val="18"/>
          <w:szCs w:val="18"/>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amounts attributable to noncontrolling interests.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5180"/>
        <w:spacing w:after="0"/>
        <w:tabs>
          <w:tab w:leader="none" w:pos="10420" w:val="left"/>
        </w:tabs>
        <w:rPr>
          <w:rFonts w:ascii="Arial" w:cs="Arial" w:eastAsia="Arial" w:hAnsi="Arial"/>
          <w:sz w:val="14"/>
          <w:szCs w:val="14"/>
          <w:b w:val="1"/>
          <w:bCs w:val="1"/>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 xml:space="preserve">Page 15 of </w:t>
      </w:r>
      <w:hyperlink w:anchor="page29">
        <w:r>
          <w:rPr>
            <w:rFonts w:ascii="Arial" w:cs="Arial" w:eastAsia="Arial" w:hAnsi="Arial"/>
            <w:sz w:val="14"/>
            <w:szCs w:val="14"/>
            <w:b w:val="1"/>
            <w:bCs w:val="1"/>
            <w:color w:val="auto"/>
          </w:rPr>
          <w:t>24</w:t>
        </w:r>
      </w:hyperlink>
    </w:p>
    <w:p>
      <w:pPr>
        <w:sectPr>
          <w:pgSz w:w="11900" w:h="16838" w:orient="portrait"/>
          <w:cols w:equalWidth="0" w:num="1">
            <w:col w:w="11420"/>
          </w:cols>
          <w:pgMar w:left="240" w:top="526" w:right="239" w:bottom="1440" w:gutter="0" w:footer="0" w:header="0"/>
        </w:sectPr>
      </w:pPr>
    </w:p>
    <w:bookmarkStart w:id="19" w:name="page20"/>
    <w:bookmarkEnd w:id="19"/>
    <w:p>
      <w:pPr>
        <w:jc w:val="right"/>
        <w:spacing w:after="0"/>
        <w:rPr>
          <w:sz w:val="20"/>
          <w:szCs w:val="20"/>
          <w:color w:val="auto"/>
        </w:rPr>
      </w:pPr>
      <w:r>
        <w:rPr>
          <w:rFonts w:ascii="Arial" w:cs="Arial" w:eastAsia="Arial" w:hAnsi="Arial"/>
          <w:sz w:val="13"/>
          <w:szCs w:val="13"/>
          <w:b w:val="1"/>
          <w:bCs w:val="1"/>
          <w:color w:val="auto"/>
        </w:rPr>
        <w:t>Exhibit 3</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TECHNIPFMC PLC AND CONSOLIDATED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BUSINESS SEGMENT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unaudited)</w:t>
      </w:r>
    </w:p>
    <w:p>
      <w:pPr>
        <w:spacing w:after="0" w:line="369" w:lineRule="exact"/>
        <w:rPr>
          <w:sz w:val="20"/>
          <w:szCs w:val="20"/>
          <w:color w:val="auto"/>
        </w:rPr>
      </w:pPr>
    </w:p>
    <w:tbl>
      <w:tblPr>
        <w:tblLayout w:type="fixed"/>
        <w:tblInd w:w="1160" w:type="dxa"/>
        <w:tblCellMar>
          <w:top w:w="0" w:type="dxa"/>
          <w:left w:w="0" w:type="dxa"/>
          <w:bottom w:w="0" w:type="dxa"/>
          <w:right w:w="0" w:type="dxa"/>
        </w:tblCellMar>
      </w:tblPr>
      <w:tr>
        <w:trPr>
          <w:trHeight w:val="234"/>
        </w:trPr>
        <w:tc>
          <w:tcPr>
            <w:tcW w:w="126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60" w:type="dxa"/>
            <w:vAlign w:val="bottom"/>
            <w:gridSpan w:val="5"/>
          </w:tcPr>
          <w:p>
            <w:pPr>
              <w:ind w:left="140"/>
              <w:spacing w:after="0"/>
              <w:rPr>
                <w:sz w:val="20"/>
                <w:szCs w:val="20"/>
                <w:color w:val="auto"/>
              </w:rPr>
            </w:pPr>
            <w:r>
              <w:rPr>
                <w:rFonts w:ascii="Arial" w:cs="Arial" w:eastAsia="Arial" w:hAnsi="Arial"/>
                <w:sz w:val="18"/>
                <w:szCs w:val="18"/>
                <w:b w:val="1"/>
                <w:bCs w:val="1"/>
                <w:color w:val="auto"/>
              </w:rPr>
              <w:t>Three Months Ended</w:t>
            </w:r>
          </w:p>
        </w:tc>
        <w:tc>
          <w:tcPr>
            <w:tcW w:w="260" w:type="dxa"/>
            <w:vAlign w:val="bottom"/>
          </w:tcPr>
          <w:p>
            <w:pPr>
              <w:spacing w:after="0"/>
              <w:rPr>
                <w:sz w:val="20"/>
                <w:szCs w:val="20"/>
                <w:color w:val="auto"/>
              </w:rPr>
            </w:pPr>
          </w:p>
        </w:tc>
        <w:tc>
          <w:tcPr>
            <w:tcW w:w="2140" w:type="dxa"/>
            <w:vAlign w:val="bottom"/>
            <w:gridSpan w:val="4"/>
          </w:tcPr>
          <w:p>
            <w:pPr>
              <w:jc w:val="right"/>
              <w:ind w:right="330"/>
              <w:spacing w:after="0"/>
              <w:rPr>
                <w:sz w:val="20"/>
                <w:szCs w:val="20"/>
                <w:color w:val="auto"/>
              </w:rPr>
            </w:pPr>
            <w:r>
              <w:rPr>
                <w:rFonts w:ascii="Arial" w:cs="Arial" w:eastAsia="Arial" w:hAnsi="Arial"/>
                <w:sz w:val="18"/>
                <w:szCs w:val="18"/>
                <w:b w:val="1"/>
                <w:bCs w:val="1"/>
                <w:color w:val="auto"/>
              </w:rPr>
              <w:t>Nine Months Ended</w:t>
            </w:r>
          </w:p>
        </w:tc>
      </w:tr>
      <w:tr>
        <w:trPr>
          <w:trHeight w:val="230"/>
        </w:trPr>
        <w:tc>
          <w:tcPr>
            <w:tcW w:w="4220" w:type="dxa"/>
            <w:vAlign w:val="bottom"/>
            <w:gridSpan w:val="2"/>
          </w:tcPr>
          <w:p>
            <w:pPr>
              <w:spacing w:after="0" w:line="229" w:lineRule="exact"/>
              <w:rPr>
                <w:sz w:val="20"/>
                <w:szCs w:val="20"/>
                <w:color w:val="auto"/>
              </w:rPr>
            </w:pPr>
            <w:r>
              <w:rPr>
                <w:rFonts w:ascii="Arial" w:cs="Arial" w:eastAsia="Arial" w:hAnsi="Arial"/>
                <w:sz w:val="18"/>
                <w:szCs w:val="18"/>
                <w:b w:val="1"/>
                <w:bCs w:val="1"/>
                <w:color w:val="auto"/>
              </w:rPr>
              <w:t xml:space="preserve">Inbound Orders </w:t>
            </w:r>
            <w:r>
              <w:rPr>
                <w:rFonts w:ascii="Arial" w:cs="Arial" w:eastAsia="Arial" w:hAnsi="Arial"/>
                <w:sz w:val="25"/>
                <w:szCs w:val="25"/>
                <w:b w:val="1"/>
                <w:bCs w:val="1"/>
                <w:color w:val="auto"/>
                <w:vertAlign w:val="superscript"/>
              </w:rPr>
              <w:t>(1)</w:t>
            </w:r>
          </w:p>
        </w:tc>
        <w:tc>
          <w:tcPr>
            <w:tcW w:w="260" w:type="dxa"/>
            <w:vAlign w:val="bottom"/>
          </w:tcPr>
          <w:p>
            <w:pPr>
              <w:spacing w:after="0"/>
              <w:rPr>
                <w:sz w:val="19"/>
                <w:szCs w:val="19"/>
                <w:color w:val="auto"/>
              </w:rPr>
            </w:pPr>
          </w:p>
        </w:tc>
        <w:tc>
          <w:tcPr>
            <w:tcW w:w="2260" w:type="dxa"/>
            <w:vAlign w:val="bottom"/>
            <w:gridSpan w:val="5"/>
          </w:tcPr>
          <w:p>
            <w:pPr>
              <w:ind w:left="400"/>
              <w:spacing w:after="0"/>
              <w:rPr>
                <w:sz w:val="20"/>
                <w:szCs w:val="20"/>
                <w:color w:val="auto"/>
              </w:rPr>
            </w:pPr>
            <w:r>
              <w:rPr>
                <w:rFonts w:ascii="Arial" w:cs="Arial" w:eastAsia="Arial" w:hAnsi="Arial"/>
                <w:sz w:val="18"/>
                <w:szCs w:val="18"/>
                <w:b w:val="1"/>
                <w:bCs w:val="1"/>
                <w:color w:val="auto"/>
              </w:rPr>
              <w:t>September 30,</w:t>
            </w:r>
          </w:p>
        </w:tc>
        <w:tc>
          <w:tcPr>
            <w:tcW w:w="260" w:type="dxa"/>
            <w:vAlign w:val="bottom"/>
          </w:tcPr>
          <w:p>
            <w:pPr>
              <w:spacing w:after="0"/>
              <w:rPr>
                <w:sz w:val="19"/>
                <w:szCs w:val="19"/>
                <w:color w:val="auto"/>
              </w:rPr>
            </w:pPr>
          </w:p>
        </w:tc>
        <w:tc>
          <w:tcPr>
            <w:tcW w:w="214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rPr>
              <w:t>September 30,</w:t>
            </w:r>
          </w:p>
        </w:tc>
      </w:tr>
      <w:tr>
        <w:trPr>
          <w:trHeight w:val="48"/>
        </w:trPr>
        <w:tc>
          <w:tcPr>
            <w:tcW w:w="1260" w:type="dxa"/>
            <w:vAlign w:val="bottom"/>
            <w:tcBorders>
              <w:top w:val="single" w:sz="8" w:color="auto"/>
            </w:tcBorders>
          </w:tcPr>
          <w:p>
            <w:pPr>
              <w:spacing w:after="0"/>
              <w:rPr>
                <w:sz w:val="4"/>
                <w:szCs w:val="4"/>
                <w:color w:val="auto"/>
              </w:rPr>
            </w:pPr>
          </w:p>
        </w:tc>
        <w:tc>
          <w:tcPr>
            <w:tcW w:w="296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r>
      <w:tr>
        <w:trPr>
          <w:trHeight w:val="237"/>
        </w:trPr>
        <w:tc>
          <w:tcPr>
            <w:tcW w:w="126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ind w:left="14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r>
      <w:tr>
        <w:trPr>
          <w:trHeight w:val="27"/>
        </w:trPr>
        <w:tc>
          <w:tcPr>
            <w:tcW w:w="126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520"/>
        </w:trPr>
        <w:tc>
          <w:tcPr>
            <w:tcW w:w="4220" w:type="dxa"/>
            <w:vAlign w:val="bottom"/>
            <w:gridSpan w:val="2"/>
          </w:tcPr>
          <w:p>
            <w:pPr>
              <w:spacing w:after="0"/>
              <w:rPr>
                <w:sz w:val="20"/>
                <w:szCs w:val="20"/>
                <w:color w:val="auto"/>
              </w:rPr>
            </w:pPr>
            <w:r>
              <w:rPr>
                <w:rFonts w:ascii="Arial" w:cs="Arial" w:eastAsia="Arial" w:hAnsi="Arial"/>
                <w:sz w:val="18"/>
                <w:szCs w:val="18"/>
                <w:color w:val="auto"/>
              </w:rPr>
              <w:t>Subsea</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1,509.9</w:t>
            </w:r>
          </w:p>
        </w:tc>
        <w:tc>
          <w:tcPr>
            <w:tcW w:w="10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1,553.9</w:t>
            </w:r>
          </w:p>
        </w:tc>
        <w:tc>
          <w:tcPr>
            <w:tcW w:w="12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6,820.3</w:t>
            </w:r>
          </w:p>
        </w:tc>
        <w:tc>
          <w:tcPr>
            <w:tcW w:w="12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4,297.9</w:t>
            </w:r>
          </w:p>
        </w:tc>
      </w:tr>
      <w:tr>
        <w:trPr>
          <w:trHeight w:val="270"/>
        </w:trPr>
        <w:tc>
          <w:tcPr>
            <w:tcW w:w="4220" w:type="dxa"/>
            <w:vAlign w:val="bottom"/>
            <w:gridSpan w:val="2"/>
          </w:tcPr>
          <w:p>
            <w:pPr>
              <w:spacing w:after="0"/>
              <w:rPr>
                <w:sz w:val="20"/>
                <w:szCs w:val="20"/>
                <w:color w:val="auto"/>
              </w:rPr>
            </w:pPr>
            <w:r>
              <w:rPr>
                <w:rFonts w:ascii="Arial" w:cs="Arial" w:eastAsia="Arial" w:hAnsi="Arial"/>
                <w:sz w:val="18"/>
                <w:szCs w:val="18"/>
                <w:color w:val="auto"/>
              </w:rPr>
              <w:t>Onshore/Offshore</w:t>
            </w: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696.0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1,666.1</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11,966.0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5,816.5</w:t>
            </w:r>
          </w:p>
        </w:tc>
      </w:tr>
      <w:tr>
        <w:trPr>
          <w:trHeight w:val="270"/>
        </w:trPr>
        <w:tc>
          <w:tcPr>
            <w:tcW w:w="4220" w:type="dxa"/>
            <w:vAlign w:val="bottom"/>
            <w:gridSpan w:val="2"/>
          </w:tcPr>
          <w:p>
            <w:pPr>
              <w:spacing w:after="0"/>
              <w:rPr>
                <w:sz w:val="20"/>
                <w:szCs w:val="20"/>
                <w:color w:val="auto"/>
              </w:rPr>
            </w:pPr>
            <w:r>
              <w:rPr>
                <w:rFonts w:ascii="Arial" w:cs="Arial" w:eastAsia="Arial" w:hAnsi="Arial"/>
                <w:sz w:val="18"/>
                <w:szCs w:val="18"/>
                <w:color w:val="auto"/>
              </w:rPr>
              <w:t>Surface Technologies</w:t>
            </w: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404.7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427.2</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1,188.3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1,251.5</w:t>
            </w:r>
          </w:p>
        </w:tc>
      </w:tr>
      <w:tr>
        <w:trPr>
          <w:trHeight w:val="27"/>
        </w:trPr>
        <w:tc>
          <w:tcPr>
            <w:tcW w:w="126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4220" w:type="dxa"/>
            <w:vAlign w:val="bottom"/>
            <w:gridSpan w:val="2"/>
          </w:tcPr>
          <w:p>
            <w:pPr>
              <w:spacing w:after="0"/>
              <w:rPr>
                <w:sz w:val="20"/>
                <w:szCs w:val="20"/>
                <w:color w:val="auto"/>
              </w:rPr>
            </w:pPr>
            <w:r>
              <w:rPr>
                <w:rFonts w:ascii="Arial" w:cs="Arial" w:eastAsia="Arial" w:hAnsi="Arial"/>
                <w:sz w:val="18"/>
                <w:szCs w:val="18"/>
                <w:color w:val="auto"/>
              </w:rPr>
              <w:t>Total inbound orders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2,610.6</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3,647.2</w:t>
            </w:r>
          </w:p>
        </w:tc>
        <w:tc>
          <w:tcPr>
            <w:tcW w:w="12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19,974.6</w:t>
            </w:r>
          </w:p>
        </w:tc>
        <w:tc>
          <w:tcPr>
            <w:tcW w:w="120" w:type="dxa"/>
            <w:vAlign w:val="bottom"/>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11,365.9</w:t>
            </w:r>
          </w:p>
        </w:tc>
      </w:tr>
      <w:tr>
        <w:trPr>
          <w:trHeight w:val="20"/>
        </w:trPr>
        <w:tc>
          <w:tcPr>
            <w:tcW w:w="126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66" w:lineRule="exact"/>
        <w:rPr>
          <w:sz w:val="20"/>
          <w:szCs w:val="20"/>
          <w:color w:val="auto"/>
        </w:rPr>
      </w:pPr>
    </w:p>
    <w:tbl>
      <w:tblPr>
        <w:tblLayout w:type="fixed"/>
        <w:tblInd w:w="1140" w:type="dxa"/>
        <w:tblCellMar>
          <w:top w:w="0" w:type="dxa"/>
          <w:left w:w="0" w:type="dxa"/>
          <w:bottom w:w="0" w:type="dxa"/>
          <w:right w:w="0" w:type="dxa"/>
        </w:tblCellMar>
      </w:tblPr>
      <w:tr>
        <w:trPr>
          <w:trHeight w:val="287"/>
        </w:trPr>
        <w:tc>
          <w:tcPr>
            <w:tcW w:w="676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Order Backlog </w:t>
            </w:r>
            <w:r>
              <w:rPr>
                <w:rFonts w:ascii="Arial" w:cs="Arial" w:eastAsia="Arial" w:hAnsi="Arial"/>
                <w:sz w:val="25"/>
                <w:szCs w:val="25"/>
                <w:b w:val="1"/>
                <w:bCs w:val="1"/>
                <w:color w:val="auto"/>
                <w:vertAlign w:val="superscript"/>
              </w:rPr>
              <w:t>(2)</w:t>
            </w:r>
          </w:p>
        </w:tc>
        <w:tc>
          <w:tcPr>
            <w:tcW w:w="260" w:type="dxa"/>
            <w:vAlign w:val="bottom"/>
          </w:tcPr>
          <w:p>
            <w:pPr>
              <w:spacing w:after="0"/>
              <w:rPr>
                <w:sz w:val="24"/>
                <w:szCs w:val="24"/>
                <w:color w:val="auto"/>
              </w:rPr>
            </w:pPr>
          </w:p>
        </w:tc>
        <w:tc>
          <w:tcPr>
            <w:tcW w:w="216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rPr>
              <w:t>September 30,</w:t>
            </w:r>
          </w:p>
        </w:tc>
      </w:tr>
      <w:tr>
        <w:trPr>
          <w:trHeight w:val="48"/>
        </w:trPr>
        <w:tc>
          <w:tcPr>
            <w:tcW w:w="1140" w:type="dxa"/>
            <w:vAlign w:val="bottom"/>
            <w:tcBorders>
              <w:top w:val="single" w:sz="8" w:color="auto"/>
            </w:tcBorders>
          </w:tcPr>
          <w:p>
            <w:pPr>
              <w:spacing w:after="0"/>
              <w:rPr>
                <w:sz w:val="4"/>
                <w:szCs w:val="4"/>
                <w:color w:val="auto"/>
              </w:rPr>
            </w:pPr>
          </w:p>
        </w:tc>
        <w:tc>
          <w:tcPr>
            <w:tcW w:w="562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r>
      <w:tr>
        <w:trPr>
          <w:trHeight w:val="237"/>
        </w:trPr>
        <w:tc>
          <w:tcPr>
            <w:tcW w:w="1140" w:type="dxa"/>
            <w:vAlign w:val="bottom"/>
          </w:tcPr>
          <w:p>
            <w:pPr>
              <w:spacing w:after="0"/>
              <w:rPr>
                <w:sz w:val="20"/>
                <w:szCs w:val="20"/>
                <w:color w:val="auto"/>
              </w:rPr>
            </w:pPr>
          </w:p>
        </w:tc>
        <w:tc>
          <w:tcPr>
            <w:tcW w:w="5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r>
      <w:tr>
        <w:trPr>
          <w:trHeight w:val="27"/>
        </w:trPr>
        <w:tc>
          <w:tcPr>
            <w:tcW w:w="1140" w:type="dxa"/>
            <w:vAlign w:val="bottom"/>
          </w:tcPr>
          <w:p>
            <w:pPr>
              <w:spacing w:after="0"/>
              <w:rPr>
                <w:sz w:val="2"/>
                <w:szCs w:val="2"/>
                <w:color w:val="auto"/>
              </w:rPr>
            </w:pPr>
          </w:p>
        </w:tc>
        <w:tc>
          <w:tcPr>
            <w:tcW w:w="56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520"/>
        </w:trPr>
        <w:tc>
          <w:tcPr>
            <w:tcW w:w="6760" w:type="dxa"/>
            <w:vAlign w:val="bottom"/>
            <w:gridSpan w:val="2"/>
          </w:tcPr>
          <w:p>
            <w:pPr>
              <w:spacing w:after="0"/>
              <w:rPr>
                <w:sz w:val="20"/>
                <w:szCs w:val="20"/>
                <w:color w:val="auto"/>
              </w:rPr>
            </w:pPr>
            <w:r>
              <w:rPr>
                <w:rFonts w:ascii="Arial" w:cs="Arial" w:eastAsia="Arial" w:hAnsi="Arial"/>
                <w:sz w:val="18"/>
                <w:szCs w:val="18"/>
                <w:color w:val="auto"/>
              </w:rPr>
              <w:t>Subsea</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8,655.8</w:t>
            </w:r>
          </w:p>
        </w:tc>
        <w:tc>
          <w:tcPr>
            <w:tcW w:w="10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6,343.4</w:t>
            </w:r>
          </w:p>
        </w:tc>
      </w:tr>
      <w:tr>
        <w:trPr>
          <w:trHeight w:val="270"/>
        </w:trPr>
        <w:tc>
          <w:tcPr>
            <w:tcW w:w="6760" w:type="dxa"/>
            <w:vAlign w:val="bottom"/>
            <w:gridSpan w:val="2"/>
          </w:tcPr>
          <w:p>
            <w:pPr>
              <w:spacing w:after="0"/>
              <w:rPr>
                <w:sz w:val="20"/>
                <w:szCs w:val="20"/>
                <w:color w:val="auto"/>
              </w:rPr>
            </w:pPr>
            <w:r>
              <w:rPr>
                <w:rFonts w:ascii="Arial" w:cs="Arial" w:eastAsia="Arial" w:hAnsi="Arial"/>
                <w:sz w:val="18"/>
                <w:szCs w:val="18"/>
                <w:color w:val="auto"/>
              </w:rPr>
              <w:t>Onshore/Offshore</w:t>
            </w: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15,030.8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8,378.8</w:t>
            </w:r>
          </w:p>
        </w:tc>
      </w:tr>
      <w:tr>
        <w:trPr>
          <w:trHeight w:val="270"/>
        </w:trPr>
        <w:tc>
          <w:tcPr>
            <w:tcW w:w="6760" w:type="dxa"/>
            <w:vAlign w:val="bottom"/>
            <w:gridSpan w:val="2"/>
          </w:tcPr>
          <w:p>
            <w:pPr>
              <w:spacing w:after="0"/>
              <w:rPr>
                <w:sz w:val="20"/>
                <w:szCs w:val="20"/>
                <w:color w:val="auto"/>
              </w:rPr>
            </w:pPr>
            <w:r>
              <w:rPr>
                <w:rFonts w:ascii="Arial" w:cs="Arial" w:eastAsia="Arial" w:hAnsi="Arial"/>
                <w:sz w:val="18"/>
                <w:szCs w:val="18"/>
                <w:color w:val="auto"/>
              </w:rPr>
              <w:t>Surface Technologies</w:t>
            </w: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428.7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455.8</w:t>
            </w:r>
          </w:p>
        </w:tc>
      </w:tr>
      <w:tr>
        <w:trPr>
          <w:trHeight w:val="27"/>
        </w:trPr>
        <w:tc>
          <w:tcPr>
            <w:tcW w:w="1140" w:type="dxa"/>
            <w:vAlign w:val="bottom"/>
          </w:tcPr>
          <w:p>
            <w:pPr>
              <w:spacing w:after="0"/>
              <w:rPr>
                <w:sz w:val="2"/>
                <w:szCs w:val="2"/>
                <w:color w:val="auto"/>
              </w:rPr>
            </w:pPr>
          </w:p>
        </w:tc>
        <w:tc>
          <w:tcPr>
            <w:tcW w:w="56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6760" w:type="dxa"/>
            <w:vAlign w:val="bottom"/>
            <w:gridSpan w:val="2"/>
          </w:tcPr>
          <w:p>
            <w:pPr>
              <w:spacing w:after="0"/>
              <w:rPr>
                <w:sz w:val="20"/>
                <w:szCs w:val="20"/>
                <w:color w:val="auto"/>
              </w:rPr>
            </w:pPr>
            <w:r>
              <w:rPr>
                <w:rFonts w:ascii="Arial" w:cs="Arial" w:eastAsia="Arial" w:hAnsi="Arial"/>
                <w:sz w:val="18"/>
                <w:szCs w:val="18"/>
                <w:color w:val="auto"/>
              </w:rPr>
              <w:t>Total order backlog</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24,115.3</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15,178.0</w:t>
            </w:r>
          </w:p>
        </w:tc>
      </w:tr>
      <w:tr>
        <w:trPr>
          <w:trHeight w:val="20"/>
        </w:trPr>
        <w:tc>
          <w:tcPr>
            <w:tcW w:w="114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Inbound orders represent the estimated sales value of confirmed customer orders received during the reporting period.</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Order backlog is calculated as the estimated sales value of unfilled, confirmed customer orders at the reporting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5180"/>
        <w:spacing w:after="0"/>
        <w:tabs>
          <w:tab w:leader="none" w:pos="10420" w:val="left"/>
        </w:tabs>
        <w:rPr>
          <w:rFonts w:ascii="Arial" w:cs="Arial" w:eastAsia="Arial" w:hAnsi="Arial"/>
          <w:sz w:val="14"/>
          <w:szCs w:val="14"/>
          <w:b w:val="1"/>
          <w:bCs w:val="1"/>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 xml:space="preserve">Page 16 of </w:t>
      </w:r>
      <w:hyperlink w:anchor="page29">
        <w:r>
          <w:rPr>
            <w:rFonts w:ascii="Arial" w:cs="Arial" w:eastAsia="Arial" w:hAnsi="Arial"/>
            <w:sz w:val="14"/>
            <w:szCs w:val="14"/>
            <w:b w:val="1"/>
            <w:bCs w:val="1"/>
            <w:color w:val="auto"/>
          </w:rPr>
          <w:t>24</w:t>
        </w:r>
      </w:hyperlink>
    </w:p>
    <w:p>
      <w:pPr>
        <w:sectPr>
          <w:pgSz w:w="11900" w:h="16838" w:orient="portrait"/>
          <w:cols w:equalWidth="0" w:num="1">
            <w:col w:w="11420"/>
          </w:cols>
          <w:pgMar w:left="240" w:top="526" w:right="239" w:bottom="1440" w:gutter="0" w:footer="0" w:header="0"/>
        </w:sectPr>
      </w:pPr>
    </w:p>
    <w:bookmarkStart w:id="20" w:name="page21"/>
    <w:bookmarkEnd w:id="20"/>
    <w:p>
      <w:pPr>
        <w:jc w:val="right"/>
        <w:spacing w:after="0"/>
        <w:rPr>
          <w:sz w:val="20"/>
          <w:szCs w:val="20"/>
          <w:color w:val="auto"/>
        </w:rPr>
      </w:pPr>
      <w:r>
        <w:rPr>
          <w:rFonts w:ascii="Arial" w:cs="Arial" w:eastAsia="Arial" w:hAnsi="Arial"/>
          <w:sz w:val="13"/>
          <w:szCs w:val="13"/>
          <w:b w:val="1"/>
          <w:bCs w:val="1"/>
          <w:color w:val="auto"/>
        </w:rPr>
        <w:t>Exhibit 4</w:t>
      </w:r>
    </w:p>
    <w:p>
      <w:pPr>
        <w:spacing w:after="0" w:line="161" w:lineRule="exact"/>
        <w:rPr>
          <w:sz w:val="20"/>
          <w:szCs w:val="20"/>
          <w:color w:val="auto"/>
        </w:rPr>
      </w:pPr>
    </w:p>
    <w:p>
      <w:pPr>
        <w:jc w:val="center"/>
        <w:ind w:right="1140"/>
        <w:spacing w:after="0"/>
        <w:rPr>
          <w:sz w:val="20"/>
          <w:szCs w:val="20"/>
          <w:color w:val="auto"/>
        </w:rPr>
      </w:pPr>
      <w:r>
        <w:rPr>
          <w:rFonts w:ascii="Arial" w:cs="Arial" w:eastAsia="Arial" w:hAnsi="Arial"/>
          <w:sz w:val="18"/>
          <w:szCs w:val="18"/>
          <w:b w:val="1"/>
          <w:bCs w:val="1"/>
          <w:u w:val="single" w:color="auto"/>
          <w:color w:val="auto"/>
        </w:rPr>
        <w:t>TECHNIPFMC PLC AND CONSOLIDATED SUBSIDIARIES</w:t>
      </w:r>
    </w:p>
    <w:p>
      <w:pPr>
        <w:spacing w:after="0" w:line="27" w:lineRule="exact"/>
        <w:rPr>
          <w:sz w:val="20"/>
          <w:szCs w:val="20"/>
          <w:color w:val="auto"/>
        </w:rPr>
      </w:pPr>
    </w:p>
    <w:p>
      <w:pPr>
        <w:jc w:val="center"/>
        <w:ind w:right="1140"/>
        <w:spacing w:after="0"/>
        <w:rPr>
          <w:sz w:val="20"/>
          <w:szCs w:val="20"/>
          <w:color w:val="auto"/>
        </w:rPr>
      </w:pPr>
      <w:r>
        <w:rPr>
          <w:rFonts w:ascii="Arial" w:cs="Arial" w:eastAsia="Arial" w:hAnsi="Arial"/>
          <w:sz w:val="18"/>
          <w:szCs w:val="18"/>
          <w:b w:val="1"/>
          <w:bCs w:val="1"/>
          <w:u w:val="single" w:color="auto"/>
          <w:color w:val="auto"/>
        </w:rPr>
        <w:t>CONDENSED CONSOLIDATED BALANCE SHEETS</w:t>
      </w:r>
    </w:p>
    <w:p>
      <w:pPr>
        <w:spacing w:after="0" w:line="9" w:lineRule="exact"/>
        <w:rPr>
          <w:sz w:val="20"/>
          <w:szCs w:val="20"/>
          <w:color w:val="auto"/>
        </w:rPr>
      </w:pPr>
    </w:p>
    <w:p>
      <w:pPr>
        <w:jc w:val="center"/>
        <w:ind w:right="1140"/>
        <w:spacing w:after="0"/>
        <w:rPr>
          <w:sz w:val="20"/>
          <w:szCs w:val="20"/>
          <w:color w:val="auto"/>
        </w:rPr>
      </w:pPr>
      <w:r>
        <w:rPr>
          <w:rFonts w:ascii="Arial" w:cs="Arial" w:eastAsia="Arial" w:hAnsi="Arial"/>
          <w:sz w:val="18"/>
          <w:szCs w:val="18"/>
          <w:b w:val="1"/>
          <w:bCs w:val="1"/>
          <w:color w:val="auto"/>
        </w:rPr>
        <w:t>(In millions)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9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3"/>
          </w:tcPr>
          <w:p>
            <w:pPr>
              <w:jc w:val="right"/>
              <w:spacing w:after="0"/>
              <w:rPr>
                <w:sz w:val="20"/>
                <w:szCs w:val="20"/>
                <w:color w:val="auto"/>
              </w:rPr>
            </w:pPr>
            <w:r>
              <w:rPr>
                <w:rFonts w:ascii="Arial" w:cs="Arial" w:eastAsia="Arial" w:hAnsi="Arial"/>
                <w:sz w:val="16"/>
                <w:szCs w:val="16"/>
                <w:b w:val="1"/>
                <w:bCs w:val="1"/>
                <w:color w:val="auto"/>
              </w:rPr>
              <w:t>(Unaudited)</w:t>
            </w:r>
          </w:p>
        </w:tc>
        <w:tc>
          <w:tcPr>
            <w:tcW w:w="7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3"/>
        </w:trPr>
        <w:tc>
          <w:tcPr>
            <w:tcW w:w="39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040" w:type="dxa"/>
            <w:vAlign w:val="bottom"/>
          </w:tcPr>
          <w:p>
            <w:pPr>
              <w:spacing w:after="0"/>
              <w:rPr>
                <w:sz w:val="2"/>
                <w:szCs w:val="2"/>
                <w:color w:val="auto"/>
              </w:rPr>
            </w:pPr>
          </w:p>
        </w:tc>
      </w:tr>
      <w:tr>
        <w:trPr>
          <w:trHeight w:val="209"/>
        </w:trPr>
        <w:tc>
          <w:tcPr>
            <w:tcW w:w="39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260" w:type="dxa"/>
            <w:vAlign w:val="bottom"/>
            <w:gridSpan w:val="3"/>
          </w:tcPr>
          <w:p>
            <w:pPr>
              <w:ind w:left="60"/>
              <w:spacing w:after="0"/>
              <w:rPr>
                <w:sz w:val="20"/>
                <w:szCs w:val="20"/>
                <w:color w:val="auto"/>
              </w:rPr>
            </w:pPr>
            <w:r>
              <w:rPr>
                <w:rFonts w:ascii="Arial" w:cs="Arial" w:eastAsia="Arial" w:hAnsi="Arial"/>
                <w:sz w:val="16"/>
                <w:szCs w:val="16"/>
                <w:b w:val="1"/>
                <w:bCs w:val="1"/>
                <w:color w:val="auto"/>
              </w:rPr>
              <w:t>September 30,</w:t>
            </w:r>
          </w:p>
        </w:tc>
        <w:tc>
          <w:tcPr>
            <w:tcW w:w="2200" w:type="dxa"/>
            <w:vAlign w:val="bottom"/>
            <w:gridSpan w:val="3"/>
          </w:tcPr>
          <w:p>
            <w:pPr>
              <w:ind w:left="80"/>
              <w:spacing w:after="0"/>
              <w:rPr>
                <w:sz w:val="20"/>
                <w:szCs w:val="20"/>
                <w:color w:val="auto"/>
              </w:rPr>
            </w:pPr>
            <w:r>
              <w:rPr>
                <w:rFonts w:ascii="Arial" w:cs="Arial" w:eastAsia="Arial" w:hAnsi="Arial"/>
                <w:sz w:val="16"/>
                <w:szCs w:val="16"/>
                <w:b w:val="1"/>
                <w:bCs w:val="1"/>
                <w:color w:val="auto"/>
              </w:rPr>
              <w:t>December 31,</w:t>
            </w:r>
          </w:p>
        </w:tc>
      </w:tr>
      <w:tr>
        <w:trPr>
          <w:trHeight w:val="210"/>
        </w:trPr>
        <w:tc>
          <w:tcPr>
            <w:tcW w:w="39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33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jc w:val="right"/>
              <w:ind w:right="330"/>
              <w:spacing w:after="0"/>
              <w:rPr>
                <w:sz w:val="20"/>
                <w:szCs w:val="20"/>
                <w:color w:val="auto"/>
              </w:rPr>
            </w:pPr>
            <w:r>
              <w:rPr>
                <w:rFonts w:ascii="Arial" w:cs="Arial" w:eastAsia="Arial" w:hAnsi="Arial"/>
                <w:sz w:val="16"/>
                <w:szCs w:val="16"/>
                <w:b w:val="1"/>
                <w:bCs w:val="1"/>
                <w:color w:val="auto"/>
                <w:w w:val="89"/>
              </w:rPr>
              <w:t>2018</w:t>
            </w:r>
          </w:p>
        </w:tc>
        <w:tc>
          <w:tcPr>
            <w:tcW w:w="1040" w:type="dxa"/>
            <w:vAlign w:val="bottom"/>
          </w:tcPr>
          <w:p>
            <w:pPr>
              <w:spacing w:after="0"/>
              <w:rPr>
                <w:sz w:val="18"/>
                <w:szCs w:val="18"/>
                <w:color w:val="auto"/>
              </w:rPr>
            </w:pPr>
          </w:p>
        </w:tc>
      </w:tr>
      <w:tr>
        <w:trPr>
          <w:trHeight w:val="33"/>
        </w:trPr>
        <w:tc>
          <w:tcPr>
            <w:tcW w:w="39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40" w:type="dxa"/>
            <w:vAlign w:val="bottom"/>
          </w:tcPr>
          <w:p>
            <w:pPr>
              <w:spacing w:after="0"/>
              <w:rPr>
                <w:sz w:val="2"/>
                <w:szCs w:val="2"/>
                <w:color w:val="auto"/>
              </w:rPr>
            </w:pPr>
          </w:p>
        </w:tc>
      </w:tr>
      <w:tr>
        <w:trPr>
          <w:trHeight w:val="520"/>
        </w:trPr>
        <w:tc>
          <w:tcPr>
            <w:tcW w:w="39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080" w:type="dxa"/>
            <w:vAlign w:val="bottom"/>
            <w:gridSpan w:val="2"/>
          </w:tcPr>
          <w:p>
            <w:pPr>
              <w:jc w:val="right"/>
              <w:ind w:right="74"/>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4,504.4</w:t>
            </w:r>
          </w:p>
        </w:tc>
        <w:tc>
          <w:tcPr>
            <w:tcW w:w="100" w:type="dxa"/>
            <w:vAlign w:val="bottom"/>
          </w:tcPr>
          <w:p>
            <w:pPr>
              <w:spacing w:after="0"/>
              <w:rPr>
                <w:sz w:val="24"/>
                <w:szCs w:val="24"/>
                <w:color w:val="auto"/>
              </w:rPr>
            </w:pPr>
          </w:p>
        </w:tc>
        <w:tc>
          <w:tcPr>
            <w:tcW w:w="400" w:type="dxa"/>
            <w:vAlign w:val="bottom"/>
          </w:tcPr>
          <w:p>
            <w:pPr>
              <w:jc w:val="right"/>
              <w:ind w:right="192"/>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5,540.0</w:t>
            </w:r>
          </w:p>
        </w:tc>
        <w:tc>
          <w:tcPr>
            <w:tcW w:w="1040" w:type="dxa"/>
            <w:vAlign w:val="bottom"/>
          </w:tcPr>
          <w:p>
            <w:pPr>
              <w:spacing w:after="0"/>
              <w:rPr>
                <w:sz w:val="24"/>
                <w:szCs w:val="24"/>
                <w:color w:val="auto"/>
              </w:rPr>
            </w:pPr>
          </w:p>
        </w:tc>
      </w:tr>
      <w:tr>
        <w:trPr>
          <w:trHeight w:val="270"/>
        </w:trPr>
        <w:tc>
          <w:tcPr>
            <w:tcW w:w="3960" w:type="dxa"/>
            <w:vAlign w:val="bottom"/>
          </w:tcPr>
          <w:p>
            <w:pPr>
              <w:spacing w:after="0"/>
              <w:rPr>
                <w:sz w:val="20"/>
                <w:szCs w:val="20"/>
                <w:color w:val="auto"/>
              </w:rPr>
            </w:pPr>
            <w:r>
              <w:rPr>
                <w:rFonts w:ascii="Arial" w:cs="Arial" w:eastAsia="Arial" w:hAnsi="Arial"/>
                <w:sz w:val="18"/>
                <w:szCs w:val="18"/>
                <w:color w:val="auto"/>
              </w:rPr>
              <w:t>Trade receivables, net</w:t>
            </w:r>
          </w:p>
        </w:tc>
        <w:tc>
          <w:tcPr>
            <w:tcW w:w="28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2,150.0</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2,469.7</w:t>
            </w:r>
          </w:p>
        </w:tc>
        <w:tc>
          <w:tcPr>
            <w:tcW w:w="1040" w:type="dxa"/>
            <w:vAlign w:val="bottom"/>
          </w:tcPr>
          <w:p>
            <w:pPr>
              <w:spacing w:after="0"/>
              <w:rPr>
                <w:sz w:val="23"/>
                <w:szCs w:val="23"/>
                <w:color w:val="auto"/>
              </w:rPr>
            </w:pPr>
          </w:p>
        </w:tc>
      </w:tr>
      <w:tr>
        <w:trPr>
          <w:trHeight w:val="270"/>
        </w:trPr>
        <w:tc>
          <w:tcPr>
            <w:tcW w:w="3960" w:type="dxa"/>
            <w:vAlign w:val="bottom"/>
          </w:tcPr>
          <w:p>
            <w:pPr>
              <w:spacing w:after="0"/>
              <w:rPr>
                <w:sz w:val="20"/>
                <w:szCs w:val="20"/>
                <w:color w:val="auto"/>
              </w:rPr>
            </w:pPr>
            <w:r>
              <w:rPr>
                <w:rFonts w:ascii="Arial" w:cs="Arial" w:eastAsia="Arial" w:hAnsi="Arial"/>
                <w:sz w:val="18"/>
                <w:szCs w:val="18"/>
                <w:color w:val="auto"/>
              </w:rPr>
              <w:t>Contract assets</w:t>
            </w:r>
          </w:p>
        </w:tc>
        <w:tc>
          <w:tcPr>
            <w:tcW w:w="28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1,503.0</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1,295.0</w:t>
            </w:r>
          </w:p>
        </w:tc>
        <w:tc>
          <w:tcPr>
            <w:tcW w:w="1040" w:type="dxa"/>
            <w:vAlign w:val="bottom"/>
          </w:tcPr>
          <w:p>
            <w:pPr>
              <w:spacing w:after="0"/>
              <w:rPr>
                <w:sz w:val="23"/>
                <w:szCs w:val="23"/>
                <w:color w:val="auto"/>
              </w:rPr>
            </w:pPr>
          </w:p>
        </w:tc>
      </w:tr>
      <w:tr>
        <w:trPr>
          <w:trHeight w:val="270"/>
        </w:trPr>
        <w:tc>
          <w:tcPr>
            <w:tcW w:w="3960" w:type="dxa"/>
            <w:vAlign w:val="bottom"/>
          </w:tcPr>
          <w:p>
            <w:pPr>
              <w:spacing w:after="0"/>
              <w:rPr>
                <w:sz w:val="20"/>
                <w:szCs w:val="20"/>
                <w:color w:val="auto"/>
              </w:rPr>
            </w:pPr>
            <w:r>
              <w:rPr>
                <w:rFonts w:ascii="Arial" w:cs="Arial" w:eastAsia="Arial" w:hAnsi="Arial"/>
                <w:sz w:val="18"/>
                <w:szCs w:val="18"/>
                <w:color w:val="auto"/>
              </w:rPr>
              <w:t>Inventories, net</w:t>
            </w:r>
          </w:p>
        </w:tc>
        <w:tc>
          <w:tcPr>
            <w:tcW w:w="28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1,411.9</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1,251.2</w:t>
            </w:r>
          </w:p>
        </w:tc>
        <w:tc>
          <w:tcPr>
            <w:tcW w:w="1040" w:type="dxa"/>
            <w:vAlign w:val="bottom"/>
          </w:tcPr>
          <w:p>
            <w:pPr>
              <w:spacing w:after="0"/>
              <w:rPr>
                <w:sz w:val="23"/>
                <w:szCs w:val="23"/>
                <w:color w:val="auto"/>
              </w:rPr>
            </w:pPr>
          </w:p>
        </w:tc>
      </w:tr>
      <w:tr>
        <w:trPr>
          <w:trHeight w:val="270"/>
        </w:trPr>
        <w:tc>
          <w:tcPr>
            <w:tcW w:w="3960" w:type="dxa"/>
            <w:vAlign w:val="bottom"/>
          </w:tcPr>
          <w:p>
            <w:pPr>
              <w:spacing w:after="0"/>
              <w:rPr>
                <w:sz w:val="20"/>
                <w:szCs w:val="20"/>
                <w:color w:val="auto"/>
              </w:rPr>
            </w:pPr>
            <w:r>
              <w:rPr>
                <w:rFonts w:ascii="Arial" w:cs="Arial" w:eastAsia="Arial" w:hAnsi="Arial"/>
                <w:sz w:val="18"/>
                <w:szCs w:val="18"/>
                <w:color w:val="auto"/>
              </w:rPr>
              <w:t>Other current assets</w:t>
            </w:r>
          </w:p>
        </w:tc>
        <w:tc>
          <w:tcPr>
            <w:tcW w:w="28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1,460.0</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1,225.3</w:t>
            </w:r>
          </w:p>
        </w:tc>
        <w:tc>
          <w:tcPr>
            <w:tcW w:w="1040" w:type="dxa"/>
            <w:vAlign w:val="bottom"/>
          </w:tcPr>
          <w:p>
            <w:pPr>
              <w:spacing w:after="0"/>
              <w:rPr>
                <w:sz w:val="23"/>
                <w:szCs w:val="23"/>
                <w:color w:val="auto"/>
              </w:rPr>
            </w:pPr>
          </w:p>
        </w:tc>
      </w:tr>
      <w:tr>
        <w:trPr>
          <w:trHeight w:val="27"/>
        </w:trPr>
        <w:tc>
          <w:tcPr>
            <w:tcW w:w="39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40" w:type="dxa"/>
            <w:vAlign w:val="bottom"/>
          </w:tcPr>
          <w:p>
            <w:pPr>
              <w:spacing w:after="0"/>
              <w:rPr>
                <w:sz w:val="2"/>
                <w:szCs w:val="2"/>
                <w:color w:val="auto"/>
              </w:rPr>
            </w:pPr>
          </w:p>
        </w:tc>
      </w:tr>
      <w:tr>
        <w:trPr>
          <w:trHeight w:val="237"/>
        </w:trPr>
        <w:tc>
          <w:tcPr>
            <w:tcW w:w="3960" w:type="dxa"/>
            <w:vAlign w:val="bottom"/>
          </w:tcPr>
          <w:p>
            <w:pPr>
              <w:ind w:left="240"/>
              <w:spacing w:after="0"/>
              <w:rPr>
                <w:sz w:val="20"/>
                <w:szCs w:val="20"/>
                <w:color w:val="auto"/>
              </w:rPr>
            </w:pPr>
            <w:r>
              <w:rPr>
                <w:rFonts w:ascii="Arial" w:cs="Arial" w:eastAsia="Arial" w:hAnsi="Arial"/>
                <w:sz w:val="18"/>
                <w:szCs w:val="18"/>
                <w:color w:val="auto"/>
              </w:rPr>
              <w:t>Total current assets</w:t>
            </w:r>
          </w:p>
        </w:tc>
        <w:tc>
          <w:tcPr>
            <w:tcW w:w="2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11,029.3</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6"/>
              </w:rPr>
              <w:t>11,781.2</w:t>
            </w:r>
          </w:p>
        </w:tc>
        <w:tc>
          <w:tcPr>
            <w:tcW w:w="1040" w:type="dxa"/>
            <w:vAlign w:val="bottom"/>
          </w:tcPr>
          <w:p>
            <w:pPr>
              <w:spacing w:after="0"/>
              <w:rPr>
                <w:sz w:val="20"/>
                <w:szCs w:val="20"/>
                <w:color w:val="auto"/>
              </w:rPr>
            </w:pPr>
          </w:p>
        </w:tc>
      </w:tr>
      <w:tr>
        <w:trPr>
          <w:trHeight w:val="554"/>
        </w:trPr>
        <w:tc>
          <w:tcPr>
            <w:tcW w:w="396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2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3,217.1</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3,259.8</w:t>
            </w:r>
          </w:p>
        </w:tc>
        <w:tc>
          <w:tcPr>
            <w:tcW w:w="1040" w:type="dxa"/>
            <w:vAlign w:val="bottom"/>
          </w:tcPr>
          <w:p>
            <w:pPr>
              <w:spacing w:after="0"/>
              <w:rPr>
                <w:sz w:val="24"/>
                <w:szCs w:val="24"/>
                <w:color w:val="auto"/>
              </w:rPr>
            </w:pPr>
          </w:p>
        </w:tc>
      </w:tr>
      <w:tr>
        <w:trPr>
          <w:trHeight w:val="270"/>
        </w:trPr>
        <w:tc>
          <w:tcPr>
            <w:tcW w:w="3960" w:type="dxa"/>
            <w:vAlign w:val="bottom"/>
          </w:tcPr>
          <w:p>
            <w:pPr>
              <w:spacing w:after="0"/>
              <w:rPr>
                <w:sz w:val="20"/>
                <w:szCs w:val="20"/>
                <w:color w:val="auto"/>
              </w:rPr>
            </w:pPr>
            <w:r>
              <w:rPr>
                <w:rFonts w:ascii="Arial" w:cs="Arial" w:eastAsia="Arial" w:hAnsi="Arial"/>
                <w:sz w:val="18"/>
                <w:szCs w:val="18"/>
                <w:color w:val="auto"/>
              </w:rPr>
              <w:t>Goodwill</w:t>
            </w:r>
          </w:p>
        </w:tc>
        <w:tc>
          <w:tcPr>
            <w:tcW w:w="28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7,577.3</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7,607.6</w:t>
            </w:r>
          </w:p>
        </w:tc>
        <w:tc>
          <w:tcPr>
            <w:tcW w:w="1040" w:type="dxa"/>
            <w:vAlign w:val="bottom"/>
          </w:tcPr>
          <w:p>
            <w:pPr>
              <w:spacing w:after="0"/>
              <w:rPr>
                <w:sz w:val="23"/>
                <w:szCs w:val="23"/>
                <w:color w:val="auto"/>
              </w:rPr>
            </w:pPr>
          </w:p>
        </w:tc>
      </w:tr>
      <w:tr>
        <w:trPr>
          <w:trHeight w:val="270"/>
        </w:trPr>
        <w:tc>
          <w:tcPr>
            <w:tcW w:w="3960" w:type="dxa"/>
            <w:vAlign w:val="bottom"/>
          </w:tcPr>
          <w:p>
            <w:pPr>
              <w:spacing w:after="0"/>
              <w:rPr>
                <w:sz w:val="20"/>
                <w:szCs w:val="20"/>
                <w:color w:val="auto"/>
              </w:rPr>
            </w:pPr>
            <w:r>
              <w:rPr>
                <w:rFonts w:ascii="Arial" w:cs="Arial" w:eastAsia="Arial" w:hAnsi="Arial"/>
                <w:sz w:val="18"/>
                <w:szCs w:val="18"/>
                <w:color w:val="auto"/>
              </w:rPr>
              <w:t>Intangible assets, net</w:t>
            </w:r>
          </w:p>
        </w:tc>
        <w:tc>
          <w:tcPr>
            <w:tcW w:w="28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1,105.6</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1,176.7</w:t>
            </w:r>
          </w:p>
        </w:tc>
        <w:tc>
          <w:tcPr>
            <w:tcW w:w="1040" w:type="dxa"/>
            <w:vAlign w:val="bottom"/>
          </w:tcPr>
          <w:p>
            <w:pPr>
              <w:spacing w:after="0"/>
              <w:rPr>
                <w:sz w:val="23"/>
                <w:szCs w:val="23"/>
                <w:color w:val="auto"/>
              </w:rPr>
            </w:pPr>
          </w:p>
        </w:tc>
      </w:tr>
      <w:tr>
        <w:trPr>
          <w:trHeight w:val="270"/>
        </w:trPr>
        <w:tc>
          <w:tcPr>
            <w:tcW w:w="3960" w:type="dxa"/>
            <w:vAlign w:val="bottom"/>
          </w:tcPr>
          <w:p>
            <w:pPr>
              <w:spacing w:after="0"/>
              <w:rPr>
                <w:sz w:val="20"/>
                <w:szCs w:val="20"/>
                <w:color w:val="auto"/>
              </w:rPr>
            </w:pPr>
            <w:r>
              <w:rPr>
                <w:rFonts w:ascii="Arial" w:cs="Arial" w:eastAsia="Arial" w:hAnsi="Arial"/>
                <w:sz w:val="18"/>
                <w:szCs w:val="18"/>
                <w:color w:val="auto"/>
              </w:rPr>
              <w:t>Other assets</w:t>
            </w:r>
          </w:p>
        </w:tc>
        <w:tc>
          <w:tcPr>
            <w:tcW w:w="28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2,011.4</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959.2</w:t>
            </w:r>
          </w:p>
        </w:tc>
        <w:tc>
          <w:tcPr>
            <w:tcW w:w="1040" w:type="dxa"/>
            <w:vAlign w:val="bottom"/>
          </w:tcPr>
          <w:p>
            <w:pPr>
              <w:spacing w:after="0"/>
              <w:rPr>
                <w:sz w:val="23"/>
                <w:szCs w:val="23"/>
                <w:color w:val="auto"/>
              </w:rPr>
            </w:pPr>
          </w:p>
        </w:tc>
      </w:tr>
      <w:tr>
        <w:trPr>
          <w:trHeight w:val="27"/>
        </w:trPr>
        <w:tc>
          <w:tcPr>
            <w:tcW w:w="39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40" w:type="dxa"/>
            <w:vAlign w:val="bottom"/>
          </w:tcPr>
          <w:p>
            <w:pPr>
              <w:spacing w:after="0"/>
              <w:rPr>
                <w:sz w:val="2"/>
                <w:szCs w:val="2"/>
                <w:color w:val="auto"/>
              </w:rPr>
            </w:pPr>
          </w:p>
        </w:tc>
      </w:tr>
      <w:tr>
        <w:trPr>
          <w:trHeight w:val="257"/>
        </w:trPr>
        <w:tc>
          <w:tcPr>
            <w:tcW w:w="3960" w:type="dxa"/>
            <w:vAlign w:val="bottom"/>
          </w:tcPr>
          <w:p>
            <w:pPr>
              <w:spacing w:after="0"/>
              <w:rPr>
                <w:sz w:val="20"/>
                <w:szCs w:val="20"/>
                <w:color w:val="auto"/>
              </w:rPr>
            </w:pPr>
            <w:r>
              <w:rPr>
                <w:rFonts w:ascii="Arial" w:cs="Arial" w:eastAsia="Arial" w:hAnsi="Arial"/>
                <w:sz w:val="18"/>
                <w:szCs w:val="18"/>
                <w:color w:val="auto"/>
              </w:rPr>
              <w:t>Total assets</w:t>
            </w:r>
          </w:p>
        </w:tc>
        <w:tc>
          <w:tcPr>
            <w:tcW w:w="2800" w:type="dxa"/>
            <w:vAlign w:val="bottom"/>
          </w:tcPr>
          <w:p>
            <w:pPr>
              <w:spacing w:after="0"/>
              <w:rPr>
                <w:sz w:val="22"/>
                <w:szCs w:val="22"/>
                <w:color w:val="auto"/>
              </w:rPr>
            </w:pPr>
          </w:p>
        </w:tc>
        <w:tc>
          <w:tcPr>
            <w:tcW w:w="28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24,940.7</w:t>
            </w:r>
          </w:p>
        </w:tc>
        <w:tc>
          <w:tcPr>
            <w:tcW w:w="100" w:type="dxa"/>
            <w:vAlign w:val="bottom"/>
          </w:tcPr>
          <w:p>
            <w:pPr>
              <w:spacing w:after="0"/>
              <w:rPr>
                <w:sz w:val="22"/>
                <w:szCs w:val="22"/>
                <w:color w:val="auto"/>
              </w:rPr>
            </w:pPr>
          </w:p>
        </w:tc>
        <w:tc>
          <w:tcPr>
            <w:tcW w:w="4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24,784.5</w:t>
            </w:r>
          </w:p>
        </w:tc>
        <w:tc>
          <w:tcPr>
            <w:tcW w:w="1040" w:type="dxa"/>
            <w:vAlign w:val="bottom"/>
          </w:tcPr>
          <w:p>
            <w:pPr>
              <w:spacing w:after="0"/>
              <w:rPr>
                <w:sz w:val="22"/>
                <w:szCs w:val="22"/>
                <w:color w:val="auto"/>
              </w:rPr>
            </w:pPr>
          </w:p>
        </w:tc>
      </w:tr>
      <w:tr>
        <w:trPr>
          <w:trHeight w:val="20"/>
        </w:trPr>
        <w:tc>
          <w:tcPr>
            <w:tcW w:w="39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514"/>
        </w:trPr>
        <w:tc>
          <w:tcPr>
            <w:tcW w:w="3960" w:type="dxa"/>
            <w:vAlign w:val="bottom"/>
          </w:tcPr>
          <w:p>
            <w:pPr>
              <w:spacing w:after="0"/>
              <w:rPr>
                <w:sz w:val="20"/>
                <w:szCs w:val="20"/>
                <w:color w:val="auto"/>
              </w:rPr>
            </w:pPr>
            <w:r>
              <w:rPr>
                <w:rFonts w:ascii="Arial" w:cs="Arial" w:eastAsia="Arial" w:hAnsi="Arial"/>
                <w:sz w:val="18"/>
                <w:szCs w:val="18"/>
                <w:color w:val="auto"/>
                <w:w w:val="93"/>
              </w:rPr>
              <w:t>Short-term debt and current portion of long-term debt</w:t>
            </w:r>
          </w:p>
        </w:tc>
        <w:tc>
          <w:tcPr>
            <w:tcW w:w="3080" w:type="dxa"/>
            <w:vAlign w:val="bottom"/>
            <w:gridSpan w:val="2"/>
          </w:tcPr>
          <w:p>
            <w:pPr>
              <w:jc w:val="right"/>
              <w:ind w:right="74"/>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299.4</w:t>
            </w:r>
          </w:p>
        </w:tc>
        <w:tc>
          <w:tcPr>
            <w:tcW w:w="100" w:type="dxa"/>
            <w:vAlign w:val="bottom"/>
          </w:tcPr>
          <w:p>
            <w:pPr>
              <w:spacing w:after="0"/>
              <w:rPr>
                <w:sz w:val="24"/>
                <w:szCs w:val="24"/>
                <w:color w:val="auto"/>
              </w:rPr>
            </w:pPr>
          </w:p>
        </w:tc>
        <w:tc>
          <w:tcPr>
            <w:tcW w:w="400" w:type="dxa"/>
            <w:vAlign w:val="bottom"/>
          </w:tcPr>
          <w:p>
            <w:pPr>
              <w:jc w:val="right"/>
              <w:ind w:right="192"/>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67.4</w:t>
            </w:r>
          </w:p>
        </w:tc>
        <w:tc>
          <w:tcPr>
            <w:tcW w:w="1040" w:type="dxa"/>
            <w:vAlign w:val="bottom"/>
          </w:tcPr>
          <w:p>
            <w:pPr>
              <w:spacing w:after="0"/>
              <w:rPr>
                <w:sz w:val="24"/>
                <w:szCs w:val="24"/>
                <w:color w:val="auto"/>
              </w:rPr>
            </w:pPr>
          </w:p>
        </w:tc>
      </w:tr>
      <w:tr>
        <w:trPr>
          <w:trHeight w:val="270"/>
        </w:trPr>
        <w:tc>
          <w:tcPr>
            <w:tcW w:w="3960" w:type="dxa"/>
            <w:vAlign w:val="bottom"/>
          </w:tcPr>
          <w:p>
            <w:pPr>
              <w:spacing w:after="0"/>
              <w:rPr>
                <w:sz w:val="20"/>
                <w:szCs w:val="20"/>
                <w:color w:val="auto"/>
              </w:rPr>
            </w:pPr>
            <w:r>
              <w:rPr>
                <w:rFonts w:ascii="Arial" w:cs="Arial" w:eastAsia="Arial" w:hAnsi="Arial"/>
                <w:sz w:val="18"/>
                <w:szCs w:val="18"/>
                <w:color w:val="auto"/>
              </w:rPr>
              <w:t>Accounts payable, trade</w:t>
            </w:r>
          </w:p>
        </w:tc>
        <w:tc>
          <w:tcPr>
            <w:tcW w:w="28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2,556.4</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2,600.3</w:t>
            </w:r>
          </w:p>
        </w:tc>
        <w:tc>
          <w:tcPr>
            <w:tcW w:w="1040" w:type="dxa"/>
            <w:vAlign w:val="bottom"/>
          </w:tcPr>
          <w:p>
            <w:pPr>
              <w:spacing w:after="0"/>
              <w:rPr>
                <w:sz w:val="23"/>
                <w:szCs w:val="23"/>
                <w:color w:val="auto"/>
              </w:rPr>
            </w:pPr>
          </w:p>
        </w:tc>
      </w:tr>
      <w:tr>
        <w:trPr>
          <w:trHeight w:val="270"/>
        </w:trPr>
        <w:tc>
          <w:tcPr>
            <w:tcW w:w="3960" w:type="dxa"/>
            <w:vAlign w:val="bottom"/>
          </w:tcPr>
          <w:p>
            <w:pPr>
              <w:spacing w:after="0"/>
              <w:rPr>
                <w:sz w:val="20"/>
                <w:szCs w:val="20"/>
                <w:color w:val="auto"/>
              </w:rPr>
            </w:pPr>
            <w:r>
              <w:rPr>
                <w:rFonts w:ascii="Arial" w:cs="Arial" w:eastAsia="Arial" w:hAnsi="Arial"/>
                <w:sz w:val="18"/>
                <w:szCs w:val="18"/>
                <w:color w:val="auto"/>
              </w:rPr>
              <w:t>Contract liabilities</w:t>
            </w:r>
          </w:p>
        </w:tc>
        <w:tc>
          <w:tcPr>
            <w:tcW w:w="28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4,122.5</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4,085.1</w:t>
            </w:r>
          </w:p>
        </w:tc>
        <w:tc>
          <w:tcPr>
            <w:tcW w:w="1040" w:type="dxa"/>
            <w:vAlign w:val="bottom"/>
          </w:tcPr>
          <w:p>
            <w:pPr>
              <w:spacing w:after="0"/>
              <w:rPr>
                <w:sz w:val="23"/>
                <w:szCs w:val="23"/>
                <w:color w:val="auto"/>
              </w:rPr>
            </w:pPr>
          </w:p>
        </w:tc>
      </w:tr>
      <w:tr>
        <w:trPr>
          <w:trHeight w:val="270"/>
        </w:trPr>
        <w:tc>
          <w:tcPr>
            <w:tcW w:w="396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28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2,371.9</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2,386.6</w:t>
            </w:r>
          </w:p>
        </w:tc>
        <w:tc>
          <w:tcPr>
            <w:tcW w:w="1040" w:type="dxa"/>
            <w:vAlign w:val="bottom"/>
          </w:tcPr>
          <w:p>
            <w:pPr>
              <w:spacing w:after="0"/>
              <w:rPr>
                <w:sz w:val="23"/>
                <w:szCs w:val="23"/>
                <w:color w:val="auto"/>
              </w:rPr>
            </w:pPr>
          </w:p>
        </w:tc>
      </w:tr>
      <w:tr>
        <w:trPr>
          <w:trHeight w:val="27"/>
        </w:trPr>
        <w:tc>
          <w:tcPr>
            <w:tcW w:w="39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40" w:type="dxa"/>
            <w:vAlign w:val="bottom"/>
          </w:tcPr>
          <w:p>
            <w:pPr>
              <w:spacing w:after="0"/>
              <w:rPr>
                <w:sz w:val="2"/>
                <w:szCs w:val="2"/>
                <w:color w:val="auto"/>
              </w:rPr>
            </w:pPr>
          </w:p>
        </w:tc>
      </w:tr>
      <w:tr>
        <w:trPr>
          <w:trHeight w:val="237"/>
        </w:trPr>
        <w:tc>
          <w:tcPr>
            <w:tcW w:w="3960" w:type="dxa"/>
            <w:vAlign w:val="bottom"/>
          </w:tcPr>
          <w:p>
            <w:pPr>
              <w:ind w:left="240"/>
              <w:spacing w:after="0"/>
              <w:rPr>
                <w:sz w:val="20"/>
                <w:szCs w:val="20"/>
                <w:color w:val="auto"/>
              </w:rPr>
            </w:pPr>
            <w:r>
              <w:rPr>
                <w:rFonts w:ascii="Arial" w:cs="Arial" w:eastAsia="Arial" w:hAnsi="Arial"/>
                <w:sz w:val="18"/>
                <w:szCs w:val="18"/>
                <w:color w:val="auto"/>
              </w:rPr>
              <w:t>Total current liabilities</w:t>
            </w:r>
          </w:p>
        </w:tc>
        <w:tc>
          <w:tcPr>
            <w:tcW w:w="2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9,350.2</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9,139.4</w:t>
            </w:r>
          </w:p>
        </w:tc>
        <w:tc>
          <w:tcPr>
            <w:tcW w:w="1040" w:type="dxa"/>
            <w:vAlign w:val="bottom"/>
          </w:tcPr>
          <w:p>
            <w:pPr>
              <w:spacing w:after="0"/>
              <w:rPr>
                <w:sz w:val="20"/>
                <w:szCs w:val="20"/>
                <w:color w:val="auto"/>
              </w:rPr>
            </w:pPr>
          </w:p>
        </w:tc>
      </w:tr>
      <w:tr>
        <w:trPr>
          <w:trHeight w:val="554"/>
        </w:trPr>
        <w:tc>
          <w:tcPr>
            <w:tcW w:w="3960" w:type="dxa"/>
            <w:vAlign w:val="bottom"/>
          </w:tcPr>
          <w:p>
            <w:pPr>
              <w:spacing w:after="0"/>
              <w:rPr>
                <w:sz w:val="20"/>
                <w:szCs w:val="20"/>
                <w:color w:val="auto"/>
              </w:rPr>
            </w:pPr>
            <w:r>
              <w:rPr>
                <w:rFonts w:ascii="Arial" w:cs="Arial" w:eastAsia="Arial" w:hAnsi="Arial"/>
                <w:sz w:val="18"/>
                <w:szCs w:val="18"/>
                <w:color w:val="auto"/>
              </w:rPr>
              <w:t>Long-term debt, less current portion</w:t>
            </w:r>
          </w:p>
        </w:tc>
        <w:tc>
          <w:tcPr>
            <w:tcW w:w="2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3,608.8</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4,124.3</w:t>
            </w:r>
          </w:p>
        </w:tc>
        <w:tc>
          <w:tcPr>
            <w:tcW w:w="1040" w:type="dxa"/>
            <w:vAlign w:val="bottom"/>
          </w:tcPr>
          <w:p>
            <w:pPr>
              <w:spacing w:after="0"/>
              <w:rPr>
                <w:sz w:val="24"/>
                <w:szCs w:val="24"/>
                <w:color w:val="auto"/>
              </w:rPr>
            </w:pPr>
          </w:p>
        </w:tc>
      </w:tr>
      <w:tr>
        <w:trPr>
          <w:trHeight w:val="270"/>
        </w:trPr>
        <w:tc>
          <w:tcPr>
            <w:tcW w:w="3960" w:type="dxa"/>
            <w:vAlign w:val="bottom"/>
          </w:tcPr>
          <w:p>
            <w:pPr>
              <w:spacing w:after="0"/>
              <w:rPr>
                <w:sz w:val="20"/>
                <w:szCs w:val="20"/>
                <w:color w:val="auto"/>
              </w:rPr>
            </w:pPr>
            <w:r>
              <w:rPr>
                <w:rFonts w:ascii="Arial" w:cs="Arial" w:eastAsia="Arial" w:hAnsi="Arial"/>
                <w:sz w:val="18"/>
                <w:szCs w:val="18"/>
                <w:color w:val="auto"/>
              </w:rPr>
              <w:t>Other liabilities</w:t>
            </w:r>
          </w:p>
        </w:tc>
        <w:tc>
          <w:tcPr>
            <w:tcW w:w="28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1,659.3</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1,093.4</w:t>
            </w:r>
          </w:p>
        </w:tc>
        <w:tc>
          <w:tcPr>
            <w:tcW w:w="1040" w:type="dxa"/>
            <w:vAlign w:val="bottom"/>
          </w:tcPr>
          <w:p>
            <w:pPr>
              <w:spacing w:after="0"/>
              <w:rPr>
                <w:sz w:val="23"/>
                <w:szCs w:val="23"/>
                <w:color w:val="auto"/>
              </w:rPr>
            </w:pPr>
          </w:p>
        </w:tc>
      </w:tr>
      <w:tr>
        <w:trPr>
          <w:trHeight w:val="270"/>
        </w:trPr>
        <w:tc>
          <w:tcPr>
            <w:tcW w:w="3960" w:type="dxa"/>
            <w:vAlign w:val="bottom"/>
          </w:tcPr>
          <w:p>
            <w:pPr>
              <w:spacing w:after="0"/>
              <w:rPr>
                <w:sz w:val="20"/>
                <w:szCs w:val="20"/>
                <w:color w:val="auto"/>
              </w:rPr>
            </w:pPr>
            <w:r>
              <w:rPr>
                <w:rFonts w:ascii="Arial" w:cs="Arial" w:eastAsia="Arial" w:hAnsi="Arial"/>
                <w:sz w:val="18"/>
                <w:szCs w:val="18"/>
                <w:color w:val="auto"/>
              </w:rPr>
              <w:t>Redeemable noncontrolling interest</w:t>
            </w:r>
          </w:p>
        </w:tc>
        <w:tc>
          <w:tcPr>
            <w:tcW w:w="28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38.5</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38.5</w:t>
            </w:r>
          </w:p>
        </w:tc>
        <w:tc>
          <w:tcPr>
            <w:tcW w:w="1040" w:type="dxa"/>
            <w:vAlign w:val="bottom"/>
          </w:tcPr>
          <w:p>
            <w:pPr>
              <w:spacing w:after="0"/>
              <w:rPr>
                <w:sz w:val="23"/>
                <w:szCs w:val="23"/>
                <w:color w:val="auto"/>
              </w:rPr>
            </w:pPr>
          </w:p>
        </w:tc>
      </w:tr>
      <w:tr>
        <w:trPr>
          <w:trHeight w:val="270"/>
        </w:trPr>
        <w:tc>
          <w:tcPr>
            <w:tcW w:w="3960" w:type="dxa"/>
            <w:vAlign w:val="bottom"/>
          </w:tcPr>
          <w:p>
            <w:pPr>
              <w:spacing w:after="0"/>
              <w:rPr>
                <w:sz w:val="20"/>
                <w:szCs w:val="20"/>
                <w:color w:val="auto"/>
              </w:rPr>
            </w:pPr>
            <w:r>
              <w:rPr>
                <w:rFonts w:ascii="Arial" w:cs="Arial" w:eastAsia="Arial" w:hAnsi="Arial"/>
                <w:sz w:val="18"/>
                <w:szCs w:val="18"/>
                <w:color w:val="auto"/>
              </w:rPr>
              <w:t>TechnipFMC plc stockholders’ equity</w:t>
            </w:r>
          </w:p>
        </w:tc>
        <w:tc>
          <w:tcPr>
            <w:tcW w:w="28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10,239.0</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6"/>
              </w:rPr>
              <w:t>10,357.6</w:t>
            </w:r>
          </w:p>
        </w:tc>
        <w:tc>
          <w:tcPr>
            <w:tcW w:w="1040" w:type="dxa"/>
            <w:vAlign w:val="bottom"/>
          </w:tcPr>
          <w:p>
            <w:pPr>
              <w:spacing w:after="0"/>
              <w:rPr>
                <w:sz w:val="23"/>
                <w:szCs w:val="23"/>
                <w:color w:val="auto"/>
              </w:rPr>
            </w:pPr>
          </w:p>
        </w:tc>
      </w:tr>
      <w:tr>
        <w:trPr>
          <w:trHeight w:val="270"/>
        </w:trPr>
        <w:tc>
          <w:tcPr>
            <w:tcW w:w="396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28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44.9</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31.3</w:t>
            </w:r>
          </w:p>
        </w:tc>
        <w:tc>
          <w:tcPr>
            <w:tcW w:w="1040" w:type="dxa"/>
            <w:vAlign w:val="bottom"/>
          </w:tcPr>
          <w:p>
            <w:pPr>
              <w:spacing w:after="0"/>
              <w:rPr>
                <w:sz w:val="23"/>
                <w:szCs w:val="23"/>
                <w:color w:val="auto"/>
              </w:rPr>
            </w:pPr>
          </w:p>
        </w:tc>
      </w:tr>
      <w:tr>
        <w:trPr>
          <w:trHeight w:val="27"/>
        </w:trPr>
        <w:tc>
          <w:tcPr>
            <w:tcW w:w="39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40" w:type="dxa"/>
            <w:vAlign w:val="bottom"/>
          </w:tcPr>
          <w:p>
            <w:pPr>
              <w:spacing w:after="0"/>
              <w:rPr>
                <w:sz w:val="2"/>
                <w:szCs w:val="2"/>
                <w:color w:val="auto"/>
              </w:rPr>
            </w:pPr>
          </w:p>
        </w:tc>
      </w:tr>
      <w:tr>
        <w:trPr>
          <w:trHeight w:val="257"/>
        </w:trPr>
        <w:tc>
          <w:tcPr>
            <w:tcW w:w="3960" w:type="dxa"/>
            <w:vAlign w:val="bottom"/>
          </w:tcPr>
          <w:p>
            <w:pPr>
              <w:spacing w:after="0"/>
              <w:rPr>
                <w:sz w:val="20"/>
                <w:szCs w:val="20"/>
                <w:color w:val="auto"/>
              </w:rPr>
            </w:pPr>
            <w:r>
              <w:rPr>
                <w:rFonts w:ascii="Arial" w:cs="Arial" w:eastAsia="Arial" w:hAnsi="Arial"/>
                <w:sz w:val="18"/>
                <w:szCs w:val="18"/>
                <w:color w:val="auto"/>
              </w:rPr>
              <w:t>Total liabilities and equity</w:t>
            </w:r>
          </w:p>
        </w:tc>
        <w:tc>
          <w:tcPr>
            <w:tcW w:w="3080" w:type="dxa"/>
            <w:vAlign w:val="bottom"/>
            <w:gridSpan w:val="2"/>
          </w:tcPr>
          <w:p>
            <w:pPr>
              <w:jc w:val="right"/>
              <w:ind w:right="74"/>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24,940.7</w:t>
            </w:r>
          </w:p>
        </w:tc>
        <w:tc>
          <w:tcPr>
            <w:tcW w:w="100" w:type="dxa"/>
            <w:vAlign w:val="bottom"/>
          </w:tcPr>
          <w:p>
            <w:pPr>
              <w:spacing w:after="0"/>
              <w:rPr>
                <w:sz w:val="22"/>
                <w:szCs w:val="22"/>
                <w:color w:val="auto"/>
              </w:rPr>
            </w:pPr>
          </w:p>
        </w:tc>
        <w:tc>
          <w:tcPr>
            <w:tcW w:w="400" w:type="dxa"/>
            <w:vAlign w:val="bottom"/>
          </w:tcPr>
          <w:p>
            <w:pPr>
              <w:jc w:val="right"/>
              <w:ind w:right="192"/>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6"/>
              </w:rPr>
              <w:t>24,784.5</w:t>
            </w:r>
          </w:p>
        </w:tc>
        <w:tc>
          <w:tcPr>
            <w:tcW w:w="1040" w:type="dxa"/>
            <w:vAlign w:val="bottom"/>
          </w:tcPr>
          <w:p>
            <w:pPr>
              <w:spacing w:after="0"/>
              <w:rPr>
                <w:sz w:val="22"/>
                <w:szCs w:val="22"/>
                <w:color w:val="auto"/>
              </w:rPr>
            </w:pPr>
          </w:p>
        </w:tc>
      </w:tr>
      <w:tr>
        <w:trPr>
          <w:trHeight w:val="20"/>
        </w:trPr>
        <w:tc>
          <w:tcPr>
            <w:tcW w:w="39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623"/>
        </w:trPr>
        <w:tc>
          <w:tcPr>
            <w:tcW w:w="3960" w:type="dxa"/>
            <w:vAlign w:val="bottom"/>
          </w:tcPr>
          <w:p>
            <w:pPr>
              <w:spacing w:after="0"/>
              <w:rPr>
                <w:sz w:val="24"/>
                <w:szCs w:val="24"/>
                <w:color w:val="auto"/>
              </w:rPr>
            </w:pPr>
          </w:p>
        </w:tc>
        <w:tc>
          <w:tcPr>
            <w:tcW w:w="3080" w:type="dxa"/>
            <w:vAlign w:val="bottom"/>
            <w:gridSpan w:val="2"/>
          </w:tcPr>
          <w:p>
            <w:pPr>
              <w:jc w:val="right"/>
              <w:ind w:right="1734"/>
              <w:spacing w:after="0"/>
              <w:rPr>
                <w:sz w:val="20"/>
                <w:szCs w:val="20"/>
                <w:color w:val="auto"/>
              </w:rPr>
            </w:pPr>
            <w:r>
              <w:rPr>
                <w:rFonts w:ascii="Arial" w:cs="Arial" w:eastAsia="Arial" w:hAnsi="Arial"/>
                <w:sz w:val="14"/>
                <w:szCs w:val="14"/>
                <w:b w:val="1"/>
                <w:bCs w:val="1"/>
                <w:color w:val="auto"/>
              </w:rPr>
              <w:t>TechnipFMC.com</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40" w:type="dxa"/>
            <w:vAlign w:val="bottom"/>
          </w:tcPr>
          <w:p>
            <w:pPr>
              <w:ind w:left="120"/>
              <w:spacing w:after="0"/>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Page 17 of </w:t>
            </w:r>
            <w:hyperlink w:anchor="page29">
              <w:r>
                <w:rPr>
                  <w:rFonts w:ascii="Arial" w:cs="Arial" w:eastAsia="Arial" w:hAnsi="Arial"/>
                  <w:sz w:val="14"/>
                  <w:szCs w:val="14"/>
                  <w:b w:val="1"/>
                  <w:bCs w:val="1"/>
                  <w:color w:val="auto"/>
                </w:rPr>
                <w:t>24</w:t>
              </w:r>
            </w:hyperlink>
          </w:p>
        </w:tc>
      </w:tr>
    </w:tbl>
    <w:p>
      <w:pPr>
        <w:sectPr>
          <w:pgSz w:w="11900" w:h="16838" w:orient="portrait"/>
          <w:cols w:equalWidth="0" w:num="1">
            <w:col w:w="10280"/>
          </w:cols>
          <w:pgMar w:left="1380" w:top="526" w:right="239" w:bottom="1440" w:gutter="0" w:footer="0" w:header="0"/>
        </w:sectPr>
      </w:pPr>
    </w:p>
    <w:bookmarkStart w:id="21" w:name="page22"/>
    <w:bookmarkEnd w:id="21"/>
    <w:p>
      <w:pPr>
        <w:jc w:val="right"/>
        <w:spacing w:after="0"/>
        <w:rPr>
          <w:sz w:val="20"/>
          <w:szCs w:val="20"/>
          <w:color w:val="auto"/>
        </w:rPr>
      </w:pPr>
      <w:r>
        <w:rPr>
          <w:rFonts w:ascii="Arial" w:cs="Arial" w:eastAsia="Arial" w:hAnsi="Arial"/>
          <w:sz w:val="13"/>
          <w:szCs w:val="13"/>
          <w:b w:val="1"/>
          <w:bCs w:val="1"/>
          <w:color w:val="auto"/>
        </w:rPr>
        <w:t>Exhibit 5</w:t>
      </w:r>
    </w:p>
    <w:p>
      <w:pPr>
        <w:spacing w:after="0" w:line="166" w:lineRule="exact"/>
        <w:rPr>
          <w:sz w:val="20"/>
          <w:szCs w:val="20"/>
          <w:color w:val="auto"/>
        </w:rPr>
      </w:pPr>
    </w:p>
    <w:p>
      <w:pPr>
        <w:jc w:val="center"/>
        <w:ind w:right="1120"/>
        <w:spacing w:after="0"/>
        <w:rPr>
          <w:sz w:val="20"/>
          <w:szCs w:val="20"/>
          <w:color w:val="auto"/>
        </w:rPr>
      </w:pPr>
      <w:r>
        <w:rPr>
          <w:rFonts w:ascii="Arial" w:cs="Arial" w:eastAsia="Arial" w:hAnsi="Arial"/>
          <w:sz w:val="16"/>
          <w:szCs w:val="16"/>
          <w:b w:val="1"/>
          <w:bCs w:val="1"/>
          <w:u w:val="single" w:color="auto"/>
          <w:color w:val="auto"/>
        </w:rPr>
        <w:t>TECHNIPFMC PLC AND CONSOLIDATED SUBSIDIARIES</w:t>
      </w:r>
    </w:p>
    <w:p>
      <w:pPr>
        <w:spacing w:after="0" w:line="23" w:lineRule="exact"/>
        <w:rPr>
          <w:sz w:val="20"/>
          <w:szCs w:val="20"/>
          <w:color w:val="auto"/>
        </w:rPr>
      </w:pPr>
    </w:p>
    <w:p>
      <w:pPr>
        <w:jc w:val="center"/>
        <w:ind w:right="1120"/>
        <w:spacing w:after="0"/>
        <w:rPr>
          <w:sz w:val="20"/>
          <w:szCs w:val="20"/>
          <w:color w:val="auto"/>
        </w:rPr>
      </w:pPr>
      <w:r>
        <w:rPr>
          <w:rFonts w:ascii="Arial" w:cs="Arial" w:eastAsia="Arial" w:hAnsi="Arial"/>
          <w:sz w:val="16"/>
          <w:szCs w:val="16"/>
          <w:b w:val="1"/>
          <w:bCs w:val="1"/>
          <w:u w:val="single" w:color="auto"/>
          <w:color w:val="auto"/>
        </w:rPr>
        <w:t>CONSOLIDATED STATEMENTS OF CASH FLOWS</w:t>
      </w:r>
    </w:p>
    <w:p>
      <w:pPr>
        <w:spacing w:after="0" w:line="5" w:lineRule="exact"/>
        <w:rPr>
          <w:sz w:val="20"/>
          <w:szCs w:val="20"/>
          <w:color w:val="auto"/>
        </w:rPr>
      </w:pPr>
    </w:p>
    <w:p>
      <w:pPr>
        <w:jc w:val="center"/>
        <w:ind w:right="1120"/>
        <w:spacing w:after="0"/>
        <w:rPr>
          <w:sz w:val="20"/>
          <w:szCs w:val="20"/>
          <w:color w:val="auto"/>
        </w:rPr>
      </w:pPr>
      <w:r>
        <w:rPr>
          <w:rFonts w:ascii="Arial" w:cs="Arial" w:eastAsia="Arial" w:hAnsi="Arial"/>
          <w:sz w:val="16"/>
          <w:szCs w:val="16"/>
          <w:b w:val="1"/>
          <w:bCs w:val="1"/>
          <w:color w:val="auto"/>
        </w:rPr>
        <w:t>(In millions)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3"/>
          </w:tcPr>
          <w:p>
            <w:pPr>
              <w:jc w:val="center"/>
              <w:ind w:left="459"/>
              <w:spacing w:after="0"/>
              <w:rPr>
                <w:sz w:val="20"/>
                <w:szCs w:val="20"/>
                <w:color w:val="auto"/>
              </w:rPr>
            </w:pPr>
            <w:r>
              <w:rPr>
                <w:rFonts w:ascii="Arial" w:cs="Arial" w:eastAsia="Arial" w:hAnsi="Arial"/>
                <w:sz w:val="16"/>
                <w:szCs w:val="16"/>
                <w:b w:val="1"/>
                <w:bCs w:val="1"/>
                <w:color w:val="auto"/>
                <w:w w:val="94"/>
              </w:rPr>
              <w:t>(Unaudited)</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40" w:type="dxa"/>
            <w:vAlign w:val="bottom"/>
            <w:gridSpan w:val="4"/>
          </w:tcPr>
          <w:p>
            <w:pPr>
              <w:jc w:val="center"/>
              <w:ind w:right="139"/>
              <w:spacing w:after="0"/>
              <w:rPr>
                <w:sz w:val="20"/>
                <w:szCs w:val="20"/>
                <w:color w:val="auto"/>
              </w:rPr>
            </w:pPr>
            <w:r>
              <w:rPr>
                <w:rFonts w:ascii="Arial" w:cs="Arial" w:eastAsia="Arial" w:hAnsi="Arial"/>
                <w:sz w:val="16"/>
                <w:szCs w:val="16"/>
                <w:b w:val="1"/>
                <w:bCs w:val="1"/>
                <w:color w:val="auto"/>
                <w:w w:val="92"/>
              </w:rPr>
              <w:t>Nine Months Ended</w:t>
            </w:r>
          </w:p>
        </w:tc>
        <w:tc>
          <w:tcPr>
            <w:tcW w:w="0" w:type="dxa"/>
            <w:vAlign w:val="bottom"/>
          </w:tcPr>
          <w:p>
            <w:pPr>
              <w:spacing w:after="0"/>
              <w:rPr>
                <w:sz w:val="1"/>
                <w:szCs w:val="1"/>
                <w:color w:val="auto"/>
              </w:rPr>
            </w:pPr>
          </w:p>
        </w:tc>
      </w:tr>
      <w:tr>
        <w:trPr>
          <w:trHeight w:val="257"/>
        </w:trPr>
        <w:tc>
          <w:tcPr>
            <w:tcW w:w="67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240" w:type="dxa"/>
            <w:vAlign w:val="bottom"/>
            <w:gridSpan w:val="4"/>
          </w:tcPr>
          <w:p>
            <w:pPr>
              <w:jc w:val="center"/>
              <w:ind w:right="159"/>
              <w:spacing w:after="0"/>
              <w:rPr>
                <w:sz w:val="20"/>
                <w:szCs w:val="20"/>
                <w:color w:val="auto"/>
              </w:rPr>
            </w:pPr>
            <w:r>
              <w:rPr>
                <w:rFonts w:ascii="Arial" w:cs="Arial" w:eastAsia="Arial" w:hAnsi="Arial"/>
                <w:sz w:val="16"/>
                <w:szCs w:val="16"/>
                <w:b w:val="1"/>
                <w:bCs w:val="1"/>
                <w:color w:val="auto"/>
                <w:w w:val="91"/>
              </w:rPr>
              <w:t>September 30,</w:t>
            </w:r>
          </w:p>
        </w:tc>
        <w:tc>
          <w:tcPr>
            <w:tcW w:w="0" w:type="dxa"/>
            <w:vAlign w:val="bottom"/>
          </w:tcPr>
          <w:p>
            <w:pPr>
              <w:spacing w:after="0"/>
              <w:rPr>
                <w:sz w:val="1"/>
                <w:szCs w:val="1"/>
                <w:color w:val="auto"/>
              </w:rPr>
            </w:pPr>
          </w:p>
        </w:tc>
      </w:tr>
      <w:tr>
        <w:trPr>
          <w:trHeight w:val="33"/>
        </w:trPr>
        <w:tc>
          <w:tcPr>
            <w:tcW w:w="6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35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jc w:val="right"/>
              <w:ind w:right="359"/>
              <w:spacing w:after="0"/>
              <w:rPr>
                <w:sz w:val="20"/>
                <w:szCs w:val="20"/>
                <w:color w:val="auto"/>
              </w:rPr>
            </w:pPr>
            <w:r>
              <w:rPr>
                <w:rFonts w:ascii="Arial" w:cs="Arial" w:eastAsia="Arial" w:hAnsi="Arial"/>
                <w:sz w:val="16"/>
                <w:szCs w:val="16"/>
                <w:b w:val="1"/>
                <w:bCs w:val="1"/>
                <w:color w:val="auto"/>
                <w:w w:val="89"/>
              </w:rPr>
              <w:t>2018</w:t>
            </w:r>
          </w:p>
        </w:tc>
        <w:tc>
          <w:tcPr>
            <w:tcW w:w="0" w:type="dxa"/>
            <w:vAlign w:val="bottom"/>
          </w:tcPr>
          <w:p>
            <w:pPr>
              <w:spacing w:after="0"/>
              <w:rPr>
                <w:sz w:val="1"/>
                <w:szCs w:val="1"/>
                <w:color w:val="auto"/>
              </w:rPr>
            </w:pPr>
          </w:p>
        </w:tc>
      </w:tr>
      <w:tr>
        <w:trPr>
          <w:trHeight w:val="33"/>
        </w:trPr>
        <w:tc>
          <w:tcPr>
            <w:tcW w:w="6700" w:type="dxa"/>
            <w:vAlign w:val="bottom"/>
            <w:vMerge w:val="restart"/>
          </w:tcPr>
          <w:p>
            <w:pPr>
              <w:spacing w:after="0"/>
              <w:rPr>
                <w:sz w:val="20"/>
                <w:szCs w:val="20"/>
                <w:color w:val="auto"/>
              </w:rPr>
            </w:pPr>
            <w:r>
              <w:rPr>
                <w:rFonts w:ascii="Arial" w:cs="Arial" w:eastAsia="Arial" w:hAnsi="Arial"/>
                <w:sz w:val="16"/>
                <w:szCs w:val="16"/>
                <w:color w:val="auto"/>
              </w:rPr>
              <w:t>Cash provided (required) by operating activities</w:t>
            </w: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70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70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159.1</w:t>
            </w:r>
          </w:p>
        </w:tc>
        <w:tc>
          <w:tcPr>
            <w:tcW w:w="100" w:type="dxa"/>
            <w:vAlign w:val="bottom"/>
          </w:tcPr>
          <w:p>
            <w:pPr>
              <w:spacing w:after="0"/>
              <w:rPr>
                <w:sz w:val="23"/>
                <w:szCs w:val="23"/>
                <w:color w:val="auto"/>
              </w:rPr>
            </w:pP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335.7</w:t>
            </w:r>
          </w:p>
        </w:tc>
        <w:tc>
          <w:tcPr>
            <w:tcW w:w="0" w:type="dxa"/>
            <w:vAlign w:val="bottom"/>
          </w:tcPr>
          <w:p>
            <w:pPr>
              <w:spacing w:after="0"/>
              <w:rPr>
                <w:sz w:val="1"/>
                <w:szCs w:val="1"/>
                <w:color w:val="auto"/>
              </w:rPr>
            </w:pPr>
          </w:p>
        </w:tc>
      </w:tr>
      <w:tr>
        <w:trPr>
          <w:trHeight w:val="270"/>
        </w:trPr>
        <w:tc>
          <w:tcPr>
            <w:tcW w:w="6700" w:type="dxa"/>
            <w:vAlign w:val="bottom"/>
          </w:tcPr>
          <w:p>
            <w:pPr>
              <w:spacing w:after="0"/>
              <w:rPr>
                <w:sz w:val="20"/>
                <w:szCs w:val="20"/>
                <w:color w:val="auto"/>
              </w:rPr>
            </w:pPr>
            <w:r>
              <w:rPr>
                <w:rFonts w:ascii="Arial" w:cs="Arial" w:eastAsia="Arial" w:hAnsi="Arial"/>
                <w:sz w:val="16"/>
                <w:szCs w:val="16"/>
                <w:color w:val="auto"/>
              </w:rPr>
              <w:t>Adjustments to reconcile net income to cash provided (required) by operating activities</w:t>
            </w: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700" w:type="dxa"/>
            <w:vAlign w:val="bottom"/>
          </w:tcPr>
          <w:p>
            <w:pPr>
              <w:ind w:left="360"/>
              <w:spacing w:after="0"/>
              <w:rPr>
                <w:sz w:val="20"/>
                <w:szCs w:val="20"/>
                <w:color w:val="auto"/>
              </w:rPr>
            </w:pPr>
            <w:r>
              <w:rPr>
                <w:rFonts w:ascii="Arial" w:cs="Arial" w:eastAsia="Arial" w:hAnsi="Arial"/>
                <w:sz w:val="16"/>
                <w:szCs w:val="16"/>
                <w:color w:val="auto"/>
              </w:rPr>
              <w:t>Depreciation</w:t>
            </w: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282.5</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276.3</w:t>
            </w:r>
          </w:p>
        </w:tc>
        <w:tc>
          <w:tcPr>
            <w:tcW w:w="0" w:type="dxa"/>
            <w:vAlign w:val="bottom"/>
          </w:tcPr>
          <w:p>
            <w:pPr>
              <w:spacing w:after="0"/>
              <w:rPr>
                <w:sz w:val="1"/>
                <w:szCs w:val="1"/>
                <w:color w:val="auto"/>
              </w:rPr>
            </w:pPr>
          </w:p>
        </w:tc>
      </w:tr>
      <w:tr>
        <w:trPr>
          <w:trHeight w:val="270"/>
        </w:trPr>
        <w:tc>
          <w:tcPr>
            <w:tcW w:w="6700" w:type="dxa"/>
            <w:vAlign w:val="bottom"/>
          </w:tcPr>
          <w:p>
            <w:pPr>
              <w:ind w:left="360"/>
              <w:spacing w:after="0"/>
              <w:rPr>
                <w:sz w:val="20"/>
                <w:szCs w:val="20"/>
                <w:color w:val="auto"/>
              </w:rPr>
            </w:pPr>
            <w:r>
              <w:rPr>
                <w:rFonts w:ascii="Arial" w:cs="Arial" w:eastAsia="Arial" w:hAnsi="Arial"/>
                <w:sz w:val="16"/>
                <w:szCs w:val="16"/>
                <w:color w:val="auto"/>
              </w:rPr>
              <w:t>Amortization</w:t>
            </w: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96.0</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136.2</w:t>
            </w:r>
          </w:p>
        </w:tc>
        <w:tc>
          <w:tcPr>
            <w:tcW w:w="0" w:type="dxa"/>
            <w:vAlign w:val="bottom"/>
          </w:tcPr>
          <w:p>
            <w:pPr>
              <w:spacing w:after="0"/>
              <w:rPr>
                <w:sz w:val="1"/>
                <w:szCs w:val="1"/>
                <w:color w:val="auto"/>
              </w:rPr>
            </w:pPr>
          </w:p>
        </w:tc>
      </w:tr>
      <w:tr>
        <w:trPr>
          <w:trHeight w:val="270"/>
        </w:trPr>
        <w:tc>
          <w:tcPr>
            <w:tcW w:w="6700" w:type="dxa"/>
            <w:vAlign w:val="bottom"/>
          </w:tcPr>
          <w:p>
            <w:pPr>
              <w:ind w:left="360"/>
              <w:spacing w:after="0"/>
              <w:rPr>
                <w:sz w:val="20"/>
                <w:szCs w:val="20"/>
                <w:color w:val="auto"/>
              </w:rPr>
            </w:pPr>
            <w:r>
              <w:rPr>
                <w:rFonts w:ascii="Arial" w:cs="Arial" w:eastAsia="Arial" w:hAnsi="Arial"/>
                <w:sz w:val="16"/>
                <w:szCs w:val="16"/>
                <w:color w:val="auto"/>
              </w:rPr>
              <w:t>Impairments</w:t>
            </w: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14.1</w:t>
            </w:r>
          </w:p>
        </w:tc>
        <w:tc>
          <w:tcPr>
            <w:tcW w:w="0" w:type="dxa"/>
            <w:vAlign w:val="bottom"/>
          </w:tcPr>
          <w:p>
            <w:pPr>
              <w:spacing w:after="0"/>
              <w:rPr>
                <w:sz w:val="1"/>
                <w:szCs w:val="1"/>
                <w:color w:val="auto"/>
              </w:rPr>
            </w:pPr>
          </w:p>
        </w:tc>
      </w:tr>
      <w:tr>
        <w:trPr>
          <w:trHeight w:val="270"/>
        </w:trPr>
        <w:tc>
          <w:tcPr>
            <w:tcW w:w="6700" w:type="dxa"/>
            <w:vAlign w:val="bottom"/>
          </w:tcPr>
          <w:p>
            <w:pPr>
              <w:ind w:left="360"/>
              <w:spacing w:after="0"/>
              <w:rPr>
                <w:sz w:val="20"/>
                <w:szCs w:val="20"/>
                <w:color w:val="auto"/>
              </w:rPr>
            </w:pPr>
            <w:r>
              <w:rPr>
                <w:rFonts w:ascii="Arial" w:cs="Arial" w:eastAsia="Arial" w:hAnsi="Arial"/>
                <w:sz w:val="16"/>
                <w:szCs w:val="16"/>
                <w:color w:val="auto"/>
              </w:rPr>
              <w:t>Employee benefit plan and share-based compensation costs</w:t>
            </w: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54.2</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27.1</w:t>
            </w:r>
          </w:p>
        </w:tc>
        <w:tc>
          <w:tcPr>
            <w:tcW w:w="0" w:type="dxa"/>
            <w:vAlign w:val="bottom"/>
          </w:tcPr>
          <w:p>
            <w:pPr>
              <w:spacing w:after="0"/>
              <w:rPr>
                <w:sz w:val="1"/>
                <w:szCs w:val="1"/>
                <w:color w:val="auto"/>
              </w:rPr>
            </w:pPr>
          </w:p>
        </w:tc>
      </w:tr>
      <w:tr>
        <w:trPr>
          <w:trHeight w:val="270"/>
        </w:trPr>
        <w:tc>
          <w:tcPr>
            <w:tcW w:w="6700" w:type="dxa"/>
            <w:vAlign w:val="bottom"/>
          </w:tcPr>
          <w:p>
            <w:pPr>
              <w:ind w:left="360"/>
              <w:spacing w:after="0"/>
              <w:rPr>
                <w:sz w:val="20"/>
                <w:szCs w:val="20"/>
                <w:color w:val="auto"/>
              </w:rPr>
            </w:pPr>
            <w:r>
              <w:rPr>
                <w:rFonts w:ascii="Arial" w:cs="Arial" w:eastAsia="Arial" w:hAnsi="Arial"/>
                <w:sz w:val="16"/>
                <w:szCs w:val="16"/>
                <w:color w:val="auto"/>
              </w:rPr>
              <w:t>Deferred income tax provision (benefit), net</w:t>
            </w: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(102.5)</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(44.6)</w:t>
            </w:r>
          </w:p>
        </w:tc>
        <w:tc>
          <w:tcPr>
            <w:tcW w:w="0" w:type="dxa"/>
            <w:vAlign w:val="bottom"/>
          </w:tcPr>
          <w:p>
            <w:pPr>
              <w:spacing w:after="0"/>
              <w:rPr>
                <w:sz w:val="1"/>
                <w:szCs w:val="1"/>
                <w:color w:val="auto"/>
              </w:rPr>
            </w:pPr>
          </w:p>
        </w:tc>
      </w:tr>
      <w:tr>
        <w:trPr>
          <w:trHeight w:val="270"/>
        </w:trPr>
        <w:tc>
          <w:tcPr>
            <w:tcW w:w="6700" w:type="dxa"/>
            <w:vAlign w:val="bottom"/>
          </w:tcPr>
          <w:p>
            <w:pPr>
              <w:ind w:left="360"/>
              <w:spacing w:after="0"/>
              <w:rPr>
                <w:sz w:val="20"/>
                <w:szCs w:val="20"/>
                <w:color w:val="auto"/>
              </w:rPr>
            </w:pPr>
            <w:r>
              <w:rPr>
                <w:rFonts w:ascii="Arial" w:cs="Arial" w:eastAsia="Arial" w:hAnsi="Arial"/>
                <w:sz w:val="16"/>
                <w:szCs w:val="16"/>
                <w:color w:val="auto"/>
              </w:rPr>
              <w:t>Unrealized loss on derivative instruments and foreign exchange</w:t>
            </w: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108.2</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19.0</w:t>
            </w:r>
          </w:p>
        </w:tc>
        <w:tc>
          <w:tcPr>
            <w:tcW w:w="0" w:type="dxa"/>
            <w:vAlign w:val="bottom"/>
          </w:tcPr>
          <w:p>
            <w:pPr>
              <w:spacing w:after="0"/>
              <w:rPr>
                <w:sz w:val="1"/>
                <w:szCs w:val="1"/>
                <w:color w:val="auto"/>
              </w:rPr>
            </w:pPr>
          </w:p>
        </w:tc>
      </w:tr>
      <w:tr>
        <w:trPr>
          <w:trHeight w:val="270"/>
        </w:trPr>
        <w:tc>
          <w:tcPr>
            <w:tcW w:w="6700" w:type="dxa"/>
            <w:vAlign w:val="bottom"/>
          </w:tcPr>
          <w:p>
            <w:pPr>
              <w:ind w:left="360"/>
              <w:spacing w:after="0"/>
              <w:rPr>
                <w:sz w:val="20"/>
                <w:szCs w:val="20"/>
                <w:color w:val="auto"/>
              </w:rPr>
            </w:pPr>
            <w:r>
              <w:rPr>
                <w:rFonts w:ascii="Arial" w:cs="Arial" w:eastAsia="Arial" w:hAnsi="Arial"/>
                <w:sz w:val="16"/>
                <w:szCs w:val="16"/>
                <w:color w:val="auto"/>
              </w:rPr>
              <w:t>Income from equity affiliates, net of dividends received</w:t>
            </w: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(49.6)</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(67.3)</w:t>
            </w:r>
          </w:p>
        </w:tc>
        <w:tc>
          <w:tcPr>
            <w:tcW w:w="0" w:type="dxa"/>
            <w:vAlign w:val="bottom"/>
          </w:tcPr>
          <w:p>
            <w:pPr>
              <w:spacing w:after="0"/>
              <w:rPr>
                <w:sz w:val="1"/>
                <w:szCs w:val="1"/>
                <w:color w:val="auto"/>
              </w:rPr>
            </w:pPr>
          </w:p>
        </w:tc>
      </w:tr>
      <w:tr>
        <w:trPr>
          <w:trHeight w:val="270"/>
        </w:trPr>
        <w:tc>
          <w:tcPr>
            <w:tcW w:w="6700" w:type="dxa"/>
            <w:vAlign w:val="bottom"/>
          </w:tcPr>
          <w:p>
            <w:pPr>
              <w:ind w:left="360"/>
              <w:spacing w:after="0"/>
              <w:rPr>
                <w:sz w:val="20"/>
                <w:szCs w:val="20"/>
                <w:color w:val="auto"/>
              </w:rPr>
            </w:pPr>
            <w:r>
              <w:rPr>
                <w:rFonts w:ascii="Arial" w:cs="Arial" w:eastAsia="Arial" w:hAnsi="Arial"/>
                <w:sz w:val="16"/>
                <w:szCs w:val="16"/>
                <w:color w:val="auto"/>
              </w:rPr>
              <w:t>Other</w:t>
            </w: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390.8</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58.9</w:t>
            </w:r>
          </w:p>
        </w:tc>
        <w:tc>
          <w:tcPr>
            <w:tcW w:w="0" w:type="dxa"/>
            <w:vAlign w:val="bottom"/>
          </w:tcPr>
          <w:p>
            <w:pPr>
              <w:spacing w:after="0"/>
              <w:rPr>
                <w:sz w:val="1"/>
                <w:szCs w:val="1"/>
                <w:color w:val="auto"/>
              </w:rPr>
            </w:pPr>
          </w:p>
        </w:tc>
      </w:tr>
      <w:tr>
        <w:trPr>
          <w:trHeight w:val="270"/>
        </w:trPr>
        <w:tc>
          <w:tcPr>
            <w:tcW w:w="6700" w:type="dxa"/>
            <w:vAlign w:val="bottom"/>
          </w:tcPr>
          <w:p>
            <w:pPr>
              <w:spacing w:after="0"/>
              <w:rPr>
                <w:sz w:val="20"/>
                <w:szCs w:val="20"/>
                <w:color w:val="auto"/>
              </w:rPr>
            </w:pPr>
            <w:r>
              <w:rPr>
                <w:rFonts w:ascii="Arial" w:cs="Arial" w:eastAsia="Arial" w:hAnsi="Arial"/>
                <w:sz w:val="16"/>
                <w:szCs w:val="16"/>
                <w:color w:val="auto"/>
              </w:rPr>
              <w:t>Changes in operating assets and liabilities, net of effects of acquisitions</w:t>
            </w: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700" w:type="dxa"/>
            <w:vAlign w:val="bottom"/>
          </w:tcPr>
          <w:p>
            <w:pPr>
              <w:ind w:left="360"/>
              <w:spacing w:after="0"/>
              <w:rPr>
                <w:sz w:val="20"/>
                <w:szCs w:val="20"/>
                <w:color w:val="auto"/>
              </w:rPr>
            </w:pPr>
            <w:r>
              <w:rPr>
                <w:rFonts w:ascii="Arial" w:cs="Arial" w:eastAsia="Arial" w:hAnsi="Arial"/>
                <w:sz w:val="16"/>
                <w:szCs w:val="16"/>
                <w:color w:val="auto"/>
              </w:rPr>
              <w:t>Trade receivables, net and contract assets</w:t>
            </w: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(23.0)</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(25.9)</w:t>
            </w:r>
          </w:p>
        </w:tc>
        <w:tc>
          <w:tcPr>
            <w:tcW w:w="0" w:type="dxa"/>
            <w:vAlign w:val="bottom"/>
          </w:tcPr>
          <w:p>
            <w:pPr>
              <w:spacing w:after="0"/>
              <w:rPr>
                <w:sz w:val="1"/>
                <w:szCs w:val="1"/>
                <w:color w:val="auto"/>
              </w:rPr>
            </w:pPr>
          </w:p>
        </w:tc>
      </w:tr>
      <w:tr>
        <w:trPr>
          <w:trHeight w:val="270"/>
        </w:trPr>
        <w:tc>
          <w:tcPr>
            <w:tcW w:w="6700" w:type="dxa"/>
            <w:vAlign w:val="bottom"/>
          </w:tcPr>
          <w:p>
            <w:pPr>
              <w:ind w:left="360"/>
              <w:spacing w:after="0"/>
              <w:rPr>
                <w:sz w:val="20"/>
                <w:szCs w:val="20"/>
                <w:color w:val="auto"/>
              </w:rPr>
            </w:pPr>
            <w:r>
              <w:rPr>
                <w:rFonts w:ascii="Arial" w:cs="Arial" w:eastAsia="Arial" w:hAnsi="Arial"/>
                <w:sz w:val="16"/>
                <w:szCs w:val="16"/>
                <w:color w:val="auto"/>
              </w:rPr>
              <w:t>Inventories, net</w:t>
            </w: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(190.6)</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(259.6)</w:t>
            </w:r>
          </w:p>
        </w:tc>
        <w:tc>
          <w:tcPr>
            <w:tcW w:w="0" w:type="dxa"/>
            <w:vAlign w:val="bottom"/>
          </w:tcPr>
          <w:p>
            <w:pPr>
              <w:spacing w:after="0"/>
              <w:rPr>
                <w:sz w:val="1"/>
                <w:szCs w:val="1"/>
                <w:color w:val="auto"/>
              </w:rPr>
            </w:pPr>
          </w:p>
        </w:tc>
      </w:tr>
      <w:tr>
        <w:trPr>
          <w:trHeight w:val="270"/>
        </w:trPr>
        <w:tc>
          <w:tcPr>
            <w:tcW w:w="6700" w:type="dxa"/>
            <w:vAlign w:val="bottom"/>
          </w:tcPr>
          <w:p>
            <w:pPr>
              <w:ind w:left="360"/>
              <w:spacing w:after="0"/>
              <w:rPr>
                <w:sz w:val="20"/>
                <w:szCs w:val="20"/>
                <w:color w:val="auto"/>
              </w:rPr>
            </w:pPr>
            <w:r>
              <w:rPr>
                <w:rFonts w:ascii="Arial" w:cs="Arial" w:eastAsia="Arial" w:hAnsi="Arial"/>
                <w:sz w:val="16"/>
                <w:szCs w:val="16"/>
                <w:color w:val="auto"/>
              </w:rPr>
              <w:t>Accounts payable, trade</w:t>
            </w: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12.3</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(938.2)</w:t>
            </w:r>
          </w:p>
        </w:tc>
        <w:tc>
          <w:tcPr>
            <w:tcW w:w="0" w:type="dxa"/>
            <w:vAlign w:val="bottom"/>
          </w:tcPr>
          <w:p>
            <w:pPr>
              <w:spacing w:after="0"/>
              <w:rPr>
                <w:sz w:val="1"/>
                <w:szCs w:val="1"/>
                <w:color w:val="auto"/>
              </w:rPr>
            </w:pPr>
          </w:p>
        </w:tc>
      </w:tr>
      <w:tr>
        <w:trPr>
          <w:trHeight w:val="270"/>
        </w:trPr>
        <w:tc>
          <w:tcPr>
            <w:tcW w:w="6700" w:type="dxa"/>
            <w:vAlign w:val="bottom"/>
          </w:tcPr>
          <w:p>
            <w:pPr>
              <w:ind w:left="360"/>
              <w:spacing w:after="0"/>
              <w:rPr>
                <w:sz w:val="20"/>
                <w:szCs w:val="20"/>
                <w:color w:val="auto"/>
              </w:rPr>
            </w:pPr>
            <w:r>
              <w:rPr>
                <w:rFonts w:ascii="Arial" w:cs="Arial" w:eastAsia="Arial" w:hAnsi="Arial"/>
                <w:sz w:val="16"/>
                <w:szCs w:val="16"/>
                <w:color w:val="auto"/>
              </w:rPr>
              <w:t>Contract liabilities</w:t>
            </w: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115.1</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(18.6)</w:t>
            </w:r>
          </w:p>
        </w:tc>
        <w:tc>
          <w:tcPr>
            <w:tcW w:w="0" w:type="dxa"/>
            <w:vAlign w:val="bottom"/>
          </w:tcPr>
          <w:p>
            <w:pPr>
              <w:spacing w:after="0"/>
              <w:rPr>
                <w:sz w:val="1"/>
                <w:szCs w:val="1"/>
                <w:color w:val="auto"/>
              </w:rPr>
            </w:pPr>
          </w:p>
        </w:tc>
      </w:tr>
      <w:tr>
        <w:trPr>
          <w:trHeight w:val="270"/>
        </w:trPr>
        <w:tc>
          <w:tcPr>
            <w:tcW w:w="6700" w:type="dxa"/>
            <w:vAlign w:val="bottom"/>
          </w:tcPr>
          <w:p>
            <w:pPr>
              <w:ind w:left="360"/>
              <w:spacing w:after="0"/>
              <w:rPr>
                <w:sz w:val="20"/>
                <w:szCs w:val="20"/>
                <w:color w:val="auto"/>
              </w:rPr>
            </w:pPr>
            <w:r>
              <w:rPr>
                <w:rFonts w:ascii="Arial" w:cs="Arial" w:eastAsia="Arial" w:hAnsi="Arial"/>
                <w:sz w:val="16"/>
                <w:szCs w:val="16"/>
                <w:color w:val="auto"/>
              </w:rPr>
              <w:t>Income taxes payable (receivable), net</w:t>
            </w: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(82.6)</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(91.8)</w:t>
            </w:r>
          </w:p>
        </w:tc>
        <w:tc>
          <w:tcPr>
            <w:tcW w:w="0" w:type="dxa"/>
            <w:vAlign w:val="bottom"/>
          </w:tcPr>
          <w:p>
            <w:pPr>
              <w:spacing w:after="0"/>
              <w:rPr>
                <w:sz w:val="1"/>
                <w:szCs w:val="1"/>
                <w:color w:val="auto"/>
              </w:rPr>
            </w:pPr>
          </w:p>
        </w:tc>
      </w:tr>
      <w:tr>
        <w:trPr>
          <w:trHeight w:val="270"/>
        </w:trPr>
        <w:tc>
          <w:tcPr>
            <w:tcW w:w="6700" w:type="dxa"/>
            <w:vAlign w:val="bottom"/>
          </w:tcPr>
          <w:p>
            <w:pPr>
              <w:ind w:left="360"/>
              <w:spacing w:after="0"/>
              <w:rPr>
                <w:sz w:val="20"/>
                <w:szCs w:val="20"/>
                <w:color w:val="auto"/>
              </w:rPr>
            </w:pPr>
            <w:r>
              <w:rPr>
                <w:rFonts w:ascii="Arial" w:cs="Arial" w:eastAsia="Arial" w:hAnsi="Arial"/>
                <w:sz w:val="16"/>
                <w:szCs w:val="16"/>
                <w:color w:val="auto"/>
              </w:rPr>
              <w:t>Other current assets and liabilities, net</w:t>
            </w: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(519.4)</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416.6</w:t>
            </w:r>
          </w:p>
        </w:tc>
        <w:tc>
          <w:tcPr>
            <w:tcW w:w="0" w:type="dxa"/>
            <w:vAlign w:val="bottom"/>
          </w:tcPr>
          <w:p>
            <w:pPr>
              <w:spacing w:after="0"/>
              <w:rPr>
                <w:sz w:val="1"/>
                <w:szCs w:val="1"/>
                <w:color w:val="auto"/>
              </w:rPr>
            </w:pPr>
          </w:p>
        </w:tc>
      </w:tr>
      <w:tr>
        <w:trPr>
          <w:trHeight w:val="270"/>
        </w:trPr>
        <w:tc>
          <w:tcPr>
            <w:tcW w:w="6700" w:type="dxa"/>
            <w:vAlign w:val="bottom"/>
          </w:tcPr>
          <w:p>
            <w:pPr>
              <w:ind w:left="360"/>
              <w:spacing w:after="0"/>
              <w:rPr>
                <w:sz w:val="20"/>
                <w:szCs w:val="20"/>
                <w:color w:val="auto"/>
              </w:rPr>
            </w:pPr>
            <w:r>
              <w:rPr>
                <w:rFonts w:ascii="Arial" w:cs="Arial" w:eastAsia="Arial" w:hAnsi="Arial"/>
                <w:sz w:val="16"/>
                <w:szCs w:val="16"/>
                <w:color w:val="auto"/>
              </w:rPr>
              <w:t>Other noncurrent assets and liabilities, net</w:t>
            </w: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34.6</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(182.6)</w:t>
            </w:r>
          </w:p>
        </w:tc>
        <w:tc>
          <w:tcPr>
            <w:tcW w:w="0" w:type="dxa"/>
            <w:vAlign w:val="bottom"/>
          </w:tcPr>
          <w:p>
            <w:pPr>
              <w:spacing w:after="0"/>
              <w:rPr>
                <w:sz w:val="1"/>
                <w:szCs w:val="1"/>
                <w:color w:val="auto"/>
              </w:rPr>
            </w:pPr>
          </w:p>
        </w:tc>
      </w:tr>
      <w:tr>
        <w:trPr>
          <w:trHeight w:val="33"/>
        </w:trPr>
        <w:tc>
          <w:tcPr>
            <w:tcW w:w="6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700" w:type="dxa"/>
            <w:vAlign w:val="bottom"/>
          </w:tcPr>
          <w:p>
            <w:pPr>
              <w:spacing w:after="0"/>
              <w:rPr>
                <w:sz w:val="20"/>
                <w:szCs w:val="20"/>
                <w:color w:val="auto"/>
              </w:rPr>
            </w:pPr>
            <w:r>
              <w:rPr>
                <w:rFonts w:ascii="Arial" w:cs="Arial" w:eastAsia="Arial" w:hAnsi="Arial"/>
                <w:sz w:val="16"/>
                <w:szCs w:val="16"/>
                <w:color w:val="auto"/>
              </w:rPr>
              <w:t>Cash provided (required) by operating activities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287.5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(344.7)</w:t>
            </w:r>
          </w:p>
        </w:tc>
        <w:tc>
          <w:tcPr>
            <w:tcW w:w="0" w:type="dxa"/>
            <w:vAlign w:val="bottom"/>
          </w:tcPr>
          <w:p>
            <w:pPr>
              <w:spacing w:after="0"/>
              <w:rPr>
                <w:sz w:val="1"/>
                <w:szCs w:val="1"/>
                <w:color w:val="auto"/>
              </w:rPr>
            </w:pPr>
          </w:p>
        </w:tc>
      </w:tr>
      <w:tr>
        <w:trPr>
          <w:trHeight w:val="33"/>
        </w:trPr>
        <w:tc>
          <w:tcPr>
            <w:tcW w:w="6700" w:type="dxa"/>
            <w:vAlign w:val="bottom"/>
            <w:vMerge w:val="restart"/>
          </w:tcPr>
          <w:p>
            <w:pPr>
              <w:spacing w:after="0"/>
              <w:rPr>
                <w:sz w:val="20"/>
                <w:szCs w:val="20"/>
                <w:color w:val="auto"/>
              </w:rPr>
            </w:pPr>
            <w:r>
              <w:rPr>
                <w:rFonts w:ascii="Arial" w:cs="Arial" w:eastAsia="Arial" w:hAnsi="Arial"/>
                <w:sz w:val="16"/>
                <w:szCs w:val="16"/>
                <w:color w:val="auto"/>
              </w:rPr>
              <w:t>Cash provided (required) by investing activities</w:t>
            </w: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14"/>
        </w:trPr>
        <w:tc>
          <w:tcPr>
            <w:tcW w:w="67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700" w:type="dxa"/>
            <w:vAlign w:val="bottom"/>
          </w:tcPr>
          <w:p>
            <w:pPr>
              <w:ind w:left="360"/>
              <w:spacing w:after="0"/>
              <w:rPr>
                <w:sz w:val="20"/>
                <w:szCs w:val="20"/>
                <w:color w:val="auto"/>
              </w:rPr>
            </w:pPr>
            <w:r>
              <w:rPr>
                <w:rFonts w:ascii="Arial" w:cs="Arial" w:eastAsia="Arial" w:hAnsi="Arial"/>
                <w:sz w:val="16"/>
                <w:szCs w:val="16"/>
                <w:color w:val="auto"/>
              </w:rPr>
              <w:t>Capital expenditures</w:t>
            </w: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(368.4)</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(255.2)</w:t>
            </w:r>
          </w:p>
        </w:tc>
        <w:tc>
          <w:tcPr>
            <w:tcW w:w="0" w:type="dxa"/>
            <w:vAlign w:val="bottom"/>
          </w:tcPr>
          <w:p>
            <w:pPr>
              <w:spacing w:after="0"/>
              <w:rPr>
                <w:sz w:val="1"/>
                <w:szCs w:val="1"/>
                <w:color w:val="auto"/>
              </w:rPr>
            </w:pPr>
          </w:p>
        </w:tc>
      </w:tr>
      <w:tr>
        <w:trPr>
          <w:trHeight w:val="270"/>
        </w:trPr>
        <w:tc>
          <w:tcPr>
            <w:tcW w:w="6700" w:type="dxa"/>
            <w:vAlign w:val="bottom"/>
          </w:tcPr>
          <w:p>
            <w:pPr>
              <w:ind w:left="360"/>
              <w:spacing w:after="0"/>
              <w:rPr>
                <w:sz w:val="20"/>
                <w:szCs w:val="20"/>
                <w:color w:val="auto"/>
              </w:rPr>
            </w:pPr>
            <w:r>
              <w:rPr>
                <w:rFonts w:ascii="Arial" w:cs="Arial" w:eastAsia="Arial" w:hAnsi="Arial"/>
                <w:sz w:val="16"/>
                <w:szCs w:val="16"/>
                <w:color w:val="auto"/>
              </w:rPr>
              <w:t>Payment to acquire debt securities</w:t>
            </w: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(59.7)</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6700" w:type="dxa"/>
            <w:vAlign w:val="bottom"/>
          </w:tcPr>
          <w:p>
            <w:pPr>
              <w:ind w:left="360"/>
              <w:spacing w:after="0"/>
              <w:rPr>
                <w:sz w:val="20"/>
                <w:szCs w:val="20"/>
                <w:color w:val="auto"/>
              </w:rPr>
            </w:pPr>
            <w:r>
              <w:rPr>
                <w:rFonts w:ascii="Arial" w:cs="Arial" w:eastAsia="Arial" w:hAnsi="Arial"/>
                <w:sz w:val="16"/>
                <w:szCs w:val="16"/>
                <w:color w:val="auto"/>
              </w:rPr>
              <w:t>Proceeds from sale of debt securities</w:t>
            </w: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18.9</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6700" w:type="dxa"/>
            <w:vAlign w:val="bottom"/>
          </w:tcPr>
          <w:p>
            <w:pPr>
              <w:ind w:left="360"/>
              <w:spacing w:after="0"/>
              <w:rPr>
                <w:sz w:val="20"/>
                <w:szCs w:val="20"/>
                <w:color w:val="auto"/>
              </w:rPr>
            </w:pPr>
            <w:r>
              <w:rPr>
                <w:rFonts w:ascii="Arial" w:cs="Arial" w:eastAsia="Arial" w:hAnsi="Arial"/>
                <w:sz w:val="16"/>
                <w:szCs w:val="16"/>
                <w:color w:val="auto"/>
              </w:rPr>
              <w:t>Acquisitions, net of cash acquired</w:t>
            </w:r>
          </w:p>
        </w:tc>
        <w:tc>
          <w:tcPr>
            <w:tcW w:w="260" w:type="dxa"/>
            <w:vAlign w:val="bottom"/>
          </w:tcPr>
          <w:p>
            <w:pPr>
              <w:spacing w:after="0"/>
              <w:rPr>
                <w:sz w:val="23"/>
                <w:szCs w:val="23"/>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(103.4)</w:t>
            </w:r>
          </w:p>
        </w:tc>
        <w:tc>
          <w:tcPr>
            <w:tcW w:w="0" w:type="dxa"/>
            <w:vAlign w:val="bottom"/>
          </w:tcPr>
          <w:p>
            <w:pPr>
              <w:spacing w:after="0"/>
              <w:rPr>
                <w:sz w:val="1"/>
                <w:szCs w:val="1"/>
                <w:color w:val="auto"/>
              </w:rPr>
            </w:pPr>
          </w:p>
        </w:tc>
      </w:tr>
      <w:tr>
        <w:trPr>
          <w:trHeight w:val="270"/>
        </w:trPr>
        <w:tc>
          <w:tcPr>
            <w:tcW w:w="6700" w:type="dxa"/>
            <w:vAlign w:val="bottom"/>
          </w:tcPr>
          <w:p>
            <w:pPr>
              <w:ind w:left="360"/>
              <w:spacing w:after="0"/>
              <w:rPr>
                <w:sz w:val="20"/>
                <w:szCs w:val="20"/>
                <w:color w:val="auto"/>
              </w:rPr>
            </w:pPr>
            <w:r>
              <w:rPr>
                <w:rFonts w:ascii="Arial" w:cs="Arial" w:eastAsia="Arial" w:hAnsi="Arial"/>
                <w:sz w:val="16"/>
                <w:szCs w:val="16"/>
                <w:color w:val="auto"/>
              </w:rPr>
              <w:t>Cash divested from deconsolidation</w:t>
            </w:r>
          </w:p>
        </w:tc>
        <w:tc>
          <w:tcPr>
            <w:tcW w:w="260" w:type="dxa"/>
            <w:vAlign w:val="bottom"/>
          </w:tcPr>
          <w:p>
            <w:pPr>
              <w:spacing w:after="0"/>
              <w:rPr>
                <w:sz w:val="23"/>
                <w:szCs w:val="23"/>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70"/>
        </w:trPr>
        <w:tc>
          <w:tcPr>
            <w:tcW w:w="6700" w:type="dxa"/>
            <w:vAlign w:val="bottom"/>
          </w:tcPr>
          <w:p>
            <w:pPr>
              <w:ind w:left="360"/>
              <w:spacing w:after="0"/>
              <w:rPr>
                <w:sz w:val="20"/>
                <w:szCs w:val="20"/>
                <w:color w:val="auto"/>
              </w:rPr>
            </w:pPr>
            <w:r>
              <w:rPr>
                <w:rFonts w:ascii="Arial" w:cs="Arial" w:eastAsia="Arial" w:hAnsi="Arial"/>
                <w:sz w:val="16"/>
                <w:szCs w:val="16"/>
                <w:color w:val="auto"/>
              </w:rPr>
              <w:t>Proceeds from sale of assets</w:t>
            </w: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70"/>
        </w:trPr>
        <w:tc>
          <w:tcPr>
            <w:tcW w:w="6700" w:type="dxa"/>
            <w:vAlign w:val="bottom"/>
          </w:tcPr>
          <w:p>
            <w:pPr>
              <w:ind w:left="360"/>
              <w:spacing w:after="0"/>
              <w:rPr>
                <w:sz w:val="20"/>
                <w:szCs w:val="20"/>
                <w:color w:val="auto"/>
              </w:rPr>
            </w:pPr>
            <w:r>
              <w:rPr>
                <w:rFonts w:ascii="Arial" w:cs="Arial" w:eastAsia="Arial" w:hAnsi="Arial"/>
                <w:sz w:val="16"/>
                <w:szCs w:val="16"/>
                <w:color w:val="auto"/>
              </w:rPr>
              <w:t>Proceeds from repayment of advance to joint venture</w:t>
            </w: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46.4</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6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700" w:type="dxa"/>
            <w:vAlign w:val="bottom"/>
          </w:tcPr>
          <w:p>
            <w:pPr>
              <w:spacing w:after="0"/>
              <w:rPr>
                <w:sz w:val="20"/>
                <w:szCs w:val="20"/>
                <w:color w:val="auto"/>
              </w:rPr>
            </w:pPr>
            <w:r>
              <w:rPr>
                <w:rFonts w:ascii="Arial" w:cs="Arial" w:eastAsia="Arial" w:hAnsi="Arial"/>
                <w:sz w:val="16"/>
                <w:szCs w:val="16"/>
                <w:color w:val="auto"/>
              </w:rPr>
              <w:t>Cash required by investing activities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(357.2)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(358.2)</w:t>
            </w:r>
          </w:p>
        </w:tc>
        <w:tc>
          <w:tcPr>
            <w:tcW w:w="0" w:type="dxa"/>
            <w:vAlign w:val="bottom"/>
          </w:tcPr>
          <w:p>
            <w:pPr>
              <w:spacing w:after="0"/>
              <w:rPr>
                <w:sz w:val="1"/>
                <w:szCs w:val="1"/>
                <w:color w:val="auto"/>
              </w:rPr>
            </w:pPr>
          </w:p>
        </w:tc>
      </w:tr>
      <w:tr>
        <w:trPr>
          <w:trHeight w:val="33"/>
        </w:trPr>
        <w:tc>
          <w:tcPr>
            <w:tcW w:w="6700" w:type="dxa"/>
            <w:vAlign w:val="bottom"/>
            <w:vMerge w:val="restart"/>
          </w:tcPr>
          <w:p>
            <w:pPr>
              <w:spacing w:after="0"/>
              <w:rPr>
                <w:sz w:val="20"/>
                <w:szCs w:val="20"/>
                <w:color w:val="auto"/>
              </w:rPr>
            </w:pPr>
            <w:r>
              <w:rPr>
                <w:rFonts w:ascii="Arial" w:cs="Arial" w:eastAsia="Arial" w:hAnsi="Arial"/>
                <w:sz w:val="16"/>
                <w:szCs w:val="16"/>
                <w:color w:val="auto"/>
              </w:rPr>
              <w:t>Cash required by financing activities</w:t>
            </w: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14"/>
        </w:trPr>
        <w:tc>
          <w:tcPr>
            <w:tcW w:w="67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700" w:type="dxa"/>
            <w:vAlign w:val="bottom"/>
          </w:tcPr>
          <w:p>
            <w:pPr>
              <w:ind w:left="360"/>
              <w:spacing w:after="0"/>
              <w:rPr>
                <w:sz w:val="20"/>
                <w:szCs w:val="20"/>
                <w:color w:val="auto"/>
              </w:rPr>
            </w:pPr>
            <w:r>
              <w:rPr>
                <w:rFonts w:ascii="Arial" w:cs="Arial" w:eastAsia="Arial" w:hAnsi="Arial"/>
                <w:sz w:val="16"/>
                <w:szCs w:val="16"/>
                <w:color w:val="auto"/>
              </w:rPr>
              <w:t>Net decrease in short-term debt</w:t>
            </w: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(28.5)</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(29.5)</w:t>
            </w:r>
          </w:p>
        </w:tc>
        <w:tc>
          <w:tcPr>
            <w:tcW w:w="0" w:type="dxa"/>
            <w:vAlign w:val="bottom"/>
          </w:tcPr>
          <w:p>
            <w:pPr>
              <w:spacing w:after="0"/>
              <w:rPr>
                <w:sz w:val="1"/>
                <w:szCs w:val="1"/>
                <w:color w:val="auto"/>
              </w:rPr>
            </w:pPr>
          </w:p>
        </w:tc>
      </w:tr>
      <w:tr>
        <w:trPr>
          <w:trHeight w:val="270"/>
        </w:trPr>
        <w:tc>
          <w:tcPr>
            <w:tcW w:w="6700" w:type="dxa"/>
            <w:vAlign w:val="bottom"/>
          </w:tcPr>
          <w:p>
            <w:pPr>
              <w:ind w:left="360"/>
              <w:spacing w:after="0"/>
              <w:rPr>
                <w:sz w:val="20"/>
                <w:szCs w:val="20"/>
                <w:color w:val="auto"/>
              </w:rPr>
            </w:pPr>
            <w:r>
              <w:rPr>
                <w:rFonts w:ascii="Arial" w:cs="Arial" w:eastAsia="Arial" w:hAnsi="Arial"/>
                <w:sz w:val="16"/>
                <w:szCs w:val="16"/>
                <w:color w:val="auto"/>
              </w:rPr>
              <w:t>Net (decrease) increase in commercial paper</w:t>
            </w: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(255.5)</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309.3</w:t>
            </w:r>
          </w:p>
        </w:tc>
        <w:tc>
          <w:tcPr>
            <w:tcW w:w="0" w:type="dxa"/>
            <w:vAlign w:val="bottom"/>
          </w:tcPr>
          <w:p>
            <w:pPr>
              <w:spacing w:after="0"/>
              <w:rPr>
                <w:sz w:val="1"/>
                <w:szCs w:val="1"/>
                <w:color w:val="auto"/>
              </w:rPr>
            </w:pPr>
          </w:p>
        </w:tc>
      </w:tr>
      <w:tr>
        <w:trPr>
          <w:trHeight w:val="270"/>
        </w:trPr>
        <w:tc>
          <w:tcPr>
            <w:tcW w:w="6700" w:type="dxa"/>
            <w:vAlign w:val="bottom"/>
          </w:tcPr>
          <w:p>
            <w:pPr>
              <w:ind w:left="360"/>
              <w:spacing w:after="0"/>
              <w:rPr>
                <w:sz w:val="20"/>
                <w:szCs w:val="20"/>
                <w:color w:val="auto"/>
              </w:rPr>
            </w:pPr>
            <w:r>
              <w:rPr>
                <w:rFonts w:ascii="Arial" w:cs="Arial" w:eastAsia="Arial" w:hAnsi="Arial"/>
                <w:sz w:val="16"/>
                <w:szCs w:val="16"/>
                <w:color w:val="auto"/>
              </w:rPr>
              <w:t>Proceeds from issuance of long-term debt</w:t>
            </w: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96.2</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70"/>
        </w:trPr>
        <w:tc>
          <w:tcPr>
            <w:tcW w:w="6700" w:type="dxa"/>
            <w:vAlign w:val="bottom"/>
          </w:tcPr>
          <w:p>
            <w:pPr>
              <w:ind w:left="360"/>
              <w:spacing w:after="0"/>
              <w:rPr>
                <w:sz w:val="20"/>
                <w:szCs w:val="20"/>
                <w:color w:val="auto"/>
              </w:rPr>
            </w:pPr>
            <w:r>
              <w:rPr>
                <w:rFonts w:ascii="Arial" w:cs="Arial" w:eastAsia="Arial" w:hAnsi="Arial"/>
                <w:sz w:val="16"/>
                <w:szCs w:val="16"/>
                <w:color w:val="auto"/>
              </w:rPr>
              <w:t>Purchase of ordinary shares</w:t>
            </w: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(92.7)</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(384.2)</w:t>
            </w:r>
          </w:p>
        </w:tc>
        <w:tc>
          <w:tcPr>
            <w:tcW w:w="0" w:type="dxa"/>
            <w:vAlign w:val="bottom"/>
          </w:tcPr>
          <w:p>
            <w:pPr>
              <w:spacing w:after="0"/>
              <w:rPr>
                <w:sz w:val="1"/>
                <w:szCs w:val="1"/>
                <w:color w:val="auto"/>
              </w:rPr>
            </w:pPr>
          </w:p>
        </w:tc>
      </w:tr>
      <w:tr>
        <w:trPr>
          <w:trHeight w:val="270"/>
        </w:trPr>
        <w:tc>
          <w:tcPr>
            <w:tcW w:w="6700" w:type="dxa"/>
            <w:vAlign w:val="bottom"/>
          </w:tcPr>
          <w:p>
            <w:pPr>
              <w:ind w:left="360"/>
              <w:spacing w:after="0"/>
              <w:rPr>
                <w:sz w:val="20"/>
                <w:szCs w:val="20"/>
                <w:color w:val="auto"/>
              </w:rPr>
            </w:pPr>
            <w:r>
              <w:rPr>
                <w:rFonts w:ascii="Arial" w:cs="Arial" w:eastAsia="Arial" w:hAnsi="Arial"/>
                <w:sz w:val="16"/>
                <w:szCs w:val="16"/>
                <w:color w:val="auto"/>
              </w:rPr>
              <w:t>Dividends paid</w:t>
            </w: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(174.7)</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(179.2)</w:t>
            </w:r>
          </w:p>
        </w:tc>
        <w:tc>
          <w:tcPr>
            <w:tcW w:w="0" w:type="dxa"/>
            <w:vAlign w:val="bottom"/>
          </w:tcPr>
          <w:p>
            <w:pPr>
              <w:spacing w:after="0"/>
              <w:rPr>
                <w:sz w:val="1"/>
                <w:szCs w:val="1"/>
                <w:color w:val="auto"/>
              </w:rPr>
            </w:pPr>
          </w:p>
        </w:tc>
      </w:tr>
      <w:tr>
        <w:trPr>
          <w:trHeight w:val="270"/>
        </w:trPr>
        <w:tc>
          <w:tcPr>
            <w:tcW w:w="6700" w:type="dxa"/>
            <w:vAlign w:val="bottom"/>
          </w:tcPr>
          <w:p>
            <w:pPr>
              <w:ind w:left="360"/>
              <w:spacing w:after="0"/>
              <w:rPr>
                <w:sz w:val="20"/>
                <w:szCs w:val="20"/>
                <w:color w:val="auto"/>
              </w:rPr>
            </w:pPr>
            <w:r>
              <w:rPr>
                <w:rFonts w:ascii="Arial" w:cs="Arial" w:eastAsia="Arial" w:hAnsi="Arial"/>
                <w:sz w:val="16"/>
                <w:szCs w:val="16"/>
                <w:color w:val="auto"/>
              </w:rPr>
              <w:t>Settlements of mandatorily redeemable financial liability</w:t>
            </w: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(443.7)</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(124.2)</w:t>
            </w:r>
          </w:p>
        </w:tc>
        <w:tc>
          <w:tcPr>
            <w:tcW w:w="0" w:type="dxa"/>
            <w:vAlign w:val="bottom"/>
          </w:tcPr>
          <w:p>
            <w:pPr>
              <w:spacing w:after="0"/>
              <w:rPr>
                <w:sz w:val="1"/>
                <w:szCs w:val="1"/>
                <w:color w:val="auto"/>
              </w:rPr>
            </w:pPr>
          </w:p>
        </w:tc>
      </w:tr>
      <w:tr>
        <w:trPr>
          <w:trHeight w:val="270"/>
        </w:trPr>
        <w:tc>
          <w:tcPr>
            <w:tcW w:w="6700" w:type="dxa"/>
            <w:vAlign w:val="bottom"/>
          </w:tcPr>
          <w:p>
            <w:pPr>
              <w:ind w:left="360"/>
              <w:spacing w:after="0"/>
              <w:rPr>
                <w:sz w:val="20"/>
                <w:szCs w:val="20"/>
                <w:color w:val="auto"/>
              </w:rPr>
            </w:pPr>
            <w:r>
              <w:rPr>
                <w:rFonts w:ascii="Arial" w:cs="Arial" w:eastAsia="Arial" w:hAnsi="Arial"/>
                <w:sz w:val="16"/>
                <w:szCs w:val="16"/>
                <w:color w:val="auto"/>
              </w:rPr>
              <w:t>Other</w:t>
            </w:r>
          </w:p>
        </w:tc>
        <w:tc>
          <w:tcPr>
            <w:tcW w:w="260" w:type="dxa"/>
            <w:vAlign w:val="bottom"/>
          </w:tcPr>
          <w:p>
            <w:pPr>
              <w:spacing w:after="0"/>
              <w:rPr>
                <w:sz w:val="23"/>
                <w:szCs w:val="23"/>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33"/>
        </w:trPr>
        <w:tc>
          <w:tcPr>
            <w:tcW w:w="6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700" w:type="dxa"/>
            <w:vAlign w:val="bottom"/>
          </w:tcPr>
          <w:p>
            <w:pPr>
              <w:spacing w:after="0"/>
              <w:rPr>
                <w:sz w:val="20"/>
                <w:szCs w:val="20"/>
                <w:color w:val="auto"/>
              </w:rPr>
            </w:pPr>
            <w:r>
              <w:rPr>
                <w:rFonts w:ascii="Arial" w:cs="Arial" w:eastAsia="Arial" w:hAnsi="Arial"/>
                <w:sz w:val="16"/>
                <w:szCs w:val="16"/>
                <w:color w:val="auto"/>
              </w:rPr>
              <w:t>Cash required by financing activities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(898.9)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(403.0)</w:t>
            </w:r>
          </w:p>
        </w:tc>
        <w:tc>
          <w:tcPr>
            <w:tcW w:w="0" w:type="dxa"/>
            <w:vAlign w:val="bottom"/>
          </w:tcPr>
          <w:p>
            <w:pPr>
              <w:spacing w:after="0"/>
              <w:rPr>
                <w:sz w:val="1"/>
                <w:szCs w:val="1"/>
                <w:color w:val="auto"/>
              </w:rPr>
            </w:pPr>
          </w:p>
        </w:tc>
      </w:tr>
      <w:tr>
        <w:trPr>
          <w:trHeight w:val="33"/>
        </w:trPr>
        <w:tc>
          <w:tcPr>
            <w:tcW w:w="6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700" w:type="dxa"/>
            <w:vAlign w:val="bottom"/>
          </w:tcPr>
          <w:p>
            <w:pPr>
              <w:ind w:left="360"/>
              <w:spacing w:after="0"/>
              <w:rPr>
                <w:sz w:val="20"/>
                <w:szCs w:val="20"/>
                <w:color w:val="auto"/>
              </w:rPr>
            </w:pPr>
            <w:r>
              <w:rPr>
                <w:rFonts w:ascii="Arial" w:cs="Arial" w:eastAsia="Arial" w:hAnsi="Arial"/>
                <w:sz w:val="16"/>
                <w:szCs w:val="16"/>
                <w:color w:val="auto"/>
              </w:rPr>
              <w:t>Effect of changes in foreign exchange rates on cash and cash equivalents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(67.0)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(78.2)</w:t>
            </w:r>
          </w:p>
        </w:tc>
        <w:tc>
          <w:tcPr>
            <w:tcW w:w="0" w:type="dxa"/>
            <w:vAlign w:val="bottom"/>
          </w:tcPr>
          <w:p>
            <w:pPr>
              <w:spacing w:after="0"/>
              <w:rPr>
                <w:sz w:val="1"/>
                <w:szCs w:val="1"/>
                <w:color w:val="auto"/>
              </w:rPr>
            </w:pPr>
          </w:p>
        </w:tc>
      </w:tr>
      <w:tr>
        <w:trPr>
          <w:trHeight w:val="33"/>
        </w:trPr>
        <w:tc>
          <w:tcPr>
            <w:tcW w:w="6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700" w:type="dxa"/>
            <w:vAlign w:val="bottom"/>
          </w:tcPr>
          <w:p>
            <w:pPr>
              <w:ind w:left="360"/>
              <w:spacing w:after="0"/>
              <w:rPr>
                <w:sz w:val="20"/>
                <w:szCs w:val="20"/>
                <w:color w:val="auto"/>
              </w:rPr>
            </w:pPr>
            <w:r>
              <w:rPr>
                <w:rFonts w:ascii="Arial" w:cs="Arial" w:eastAsia="Arial" w:hAnsi="Arial"/>
                <w:sz w:val="16"/>
                <w:szCs w:val="16"/>
                <w:color w:val="auto"/>
              </w:rPr>
              <w:t>Decrease in cash and cash equivalents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(1,035.6)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(1,184.1)</w:t>
            </w:r>
          </w:p>
        </w:tc>
        <w:tc>
          <w:tcPr>
            <w:tcW w:w="0" w:type="dxa"/>
            <w:vAlign w:val="bottom"/>
          </w:tcPr>
          <w:p>
            <w:pPr>
              <w:spacing w:after="0"/>
              <w:rPr>
                <w:sz w:val="1"/>
                <w:szCs w:val="1"/>
                <w:color w:val="auto"/>
              </w:rPr>
            </w:pPr>
          </w:p>
        </w:tc>
      </w:tr>
      <w:tr>
        <w:trPr>
          <w:trHeight w:val="270"/>
        </w:trPr>
        <w:tc>
          <w:tcPr>
            <w:tcW w:w="6700" w:type="dxa"/>
            <w:vAlign w:val="bottom"/>
          </w:tcPr>
          <w:p>
            <w:pPr>
              <w:spacing w:after="0"/>
              <w:rPr>
                <w:sz w:val="20"/>
                <w:szCs w:val="20"/>
                <w:color w:val="auto"/>
              </w:rPr>
            </w:pPr>
            <w:r>
              <w:rPr>
                <w:rFonts w:ascii="Arial" w:cs="Arial" w:eastAsia="Arial" w:hAnsi="Arial"/>
                <w:sz w:val="16"/>
                <w:szCs w:val="16"/>
                <w:color w:val="auto"/>
              </w:rPr>
              <w:t>Cash and cash equivalents, beginning of period</w:t>
            </w: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5,540.0</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6,737.4</w:t>
            </w:r>
          </w:p>
        </w:tc>
        <w:tc>
          <w:tcPr>
            <w:tcW w:w="0" w:type="dxa"/>
            <w:vAlign w:val="bottom"/>
          </w:tcPr>
          <w:p>
            <w:pPr>
              <w:spacing w:after="0"/>
              <w:rPr>
                <w:sz w:val="1"/>
                <w:szCs w:val="1"/>
                <w:color w:val="auto"/>
              </w:rPr>
            </w:pPr>
          </w:p>
        </w:tc>
      </w:tr>
      <w:tr>
        <w:trPr>
          <w:trHeight w:val="33"/>
        </w:trPr>
        <w:tc>
          <w:tcPr>
            <w:tcW w:w="6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00" w:type="dxa"/>
            <w:vAlign w:val="bottom"/>
          </w:tcPr>
          <w:p>
            <w:pPr>
              <w:spacing w:after="0"/>
              <w:rPr>
                <w:sz w:val="20"/>
                <w:szCs w:val="20"/>
                <w:color w:val="auto"/>
              </w:rPr>
            </w:pPr>
            <w:r>
              <w:rPr>
                <w:rFonts w:ascii="Arial" w:cs="Arial" w:eastAsia="Arial" w:hAnsi="Arial"/>
                <w:sz w:val="16"/>
                <w:szCs w:val="16"/>
                <w:color w:val="auto"/>
              </w:rPr>
              <w:t>Cash and cash equivalents, end of period</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4,504.4</w:t>
            </w:r>
          </w:p>
        </w:tc>
        <w:tc>
          <w:tcPr>
            <w:tcW w:w="100" w:type="dxa"/>
            <w:vAlign w:val="bottom"/>
          </w:tcPr>
          <w:p>
            <w:pPr>
              <w:spacing w:after="0"/>
              <w:rPr>
                <w:sz w:val="21"/>
                <w:szCs w:val="21"/>
                <w:color w:val="auto"/>
              </w:rPr>
            </w:pPr>
          </w:p>
        </w:tc>
        <w:tc>
          <w:tcPr>
            <w:tcW w:w="4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5,553.3</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300"/>
          </w:cols>
          <w:pgMar w:left="1360" w:top="526" w:right="239" w:bottom="1036" w:gutter="0" w:footer="0" w:header="0"/>
        </w:sectPr>
      </w:pPr>
    </w:p>
    <w:p>
      <w:pPr>
        <w:spacing w:after="0" w:line="246" w:lineRule="exact"/>
        <w:rPr>
          <w:sz w:val="20"/>
          <w:szCs w:val="20"/>
          <w:color w:val="auto"/>
        </w:rPr>
      </w:pPr>
    </w:p>
    <w:p>
      <w:pPr>
        <w:ind w:left="4060"/>
        <w:spacing w:after="0"/>
        <w:tabs>
          <w:tab w:leader="none" w:pos="9300" w:val="left"/>
        </w:tabs>
        <w:rPr>
          <w:rFonts w:ascii="Arial" w:cs="Arial" w:eastAsia="Arial" w:hAnsi="Arial"/>
          <w:sz w:val="14"/>
          <w:szCs w:val="14"/>
          <w:b w:val="1"/>
          <w:bCs w:val="1"/>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 xml:space="preserve">Page 18 of </w:t>
      </w:r>
      <w:hyperlink w:anchor="page29">
        <w:r>
          <w:rPr>
            <w:rFonts w:ascii="Arial" w:cs="Arial" w:eastAsia="Arial" w:hAnsi="Arial"/>
            <w:sz w:val="14"/>
            <w:szCs w:val="14"/>
            <w:b w:val="1"/>
            <w:bCs w:val="1"/>
            <w:color w:val="auto"/>
          </w:rPr>
          <w:t>24</w:t>
        </w:r>
      </w:hyperlink>
    </w:p>
    <w:p>
      <w:pPr>
        <w:sectPr>
          <w:pgSz w:w="11900" w:h="16838" w:orient="portrait"/>
          <w:cols w:equalWidth="0" w:num="1">
            <w:col w:w="10300"/>
          </w:cols>
          <w:pgMar w:left="1360" w:top="526" w:right="239" w:bottom="1036" w:gutter="0" w:footer="0" w:header="0"/>
          <w:type w:val="continuous"/>
        </w:sectPr>
      </w:pPr>
    </w:p>
    <w:bookmarkStart w:id="22" w:name="page23"/>
    <w:bookmarkEnd w:id="22"/>
    <w:p>
      <w:pPr>
        <w:jc w:val="right"/>
        <w:spacing w:after="0"/>
        <w:rPr>
          <w:sz w:val="20"/>
          <w:szCs w:val="20"/>
          <w:color w:val="auto"/>
        </w:rPr>
      </w:pPr>
      <w:r>
        <w:rPr>
          <w:rFonts w:ascii="Arial" w:cs="Arial" w:eastAsia="Arial" w:hAnsi="Arial"/>
          <w:sz w:val="13"/>
          <w:szCs w:val="13"/>
          <w:b w:val="1"/>
          <w:bCs w:val="1"/>
          <w:color w:val="auto"/>
        </w:rPr>
        <w:t>Exhibit 6</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TECHNIPFMC PLC AND CONSOLIDATED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BUSINESS SEGMENT DATA FOR YAMAL LNG JOINT VENTURE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unaudited)</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control the voting control interests in the legal onshore/offshore contract entities which own and account for the design, engineering, and construction of the Yamal LNG plant. Our partners have a 50% joint interest in these entities. Below is summarized financial information for the consolidated Yamal LNG joint venture as reflected at 100% in our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5819775</wp:posOffset>
            </wp:positionH>
            <wp:positionV relativeFrom="paragraph">
              <wp:posOffset>278765</wp:posOffset>
            </wp:positionV>
            <wp:extent cx="73723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7235" cy="889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tbl>
      <w:tblPr>
        <w:tblLayout w:type="fixed"/>
        <w:tblInd w:w="1140" w:type="dxa"/>
        <w:tblCellMar>
          <w:top w:w="0" w:type="dxa"/>
          <w:left w:w="0" w:type="dxa"/>
          <w:bottom w:w="0" w:type="dxa"/>
          <w:right w:w="0" w:type="dxa"/>
        </w:tblCellMar>
      </w:tblPr>
      <w:tr>
        <w:trPr>
          <w:trHeight w:val="210"/>
        </w:trPr>
        <w:tc>
          <w:tcPr>
            <w:tcW w:w="8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0" w:type="dxa"/>
            <w:vAlign w:val="bottom"/>
            <w:gridSpan w:val="3"/>
          </w:tcPr>
          <w:p>
            <w:pPr>
              <w:jc w:val="center"/>
              <w:ind w:right="968"/>
              <w:spacing w:after="0"/>
              <w:rPr>
                <w:sz w:val="20"/>
                <w:szCs w:val="20"/>
                <w:color w:val="auto"/>
              </w:rPr>
            </w:pPr>
            <w:r>
              <w:rPr>
                <w:rFonts w:ascii="Arial" w:cs="Arial" w:eastAsia="Arial" w:hAnsi="Arial"/>
                <w:sz w:val="16"/>
                <w:szCs w:val="16"/>
                <w:b w:val="1"/>
                <w:bCs w:val="1"/>
                <w:color w:val="auto"/>
                <w:w w:val="91"/>
              </w:rPr>
              <w:t>September 30,</w:t>
            </w:r>
          </w:p>
        </w:tc>
      </w:tr>
      <w:tr>
        <w:trPr>
          <w:trHeight w:val="270"/>
        </w:trPr>
        <w:tc>
          <w:tcPr>
            <w:tcW w:w="80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40" w:type="dxa"/>
            <w:vAlign w:val="bottom"/>
          </w:tcPr>
          <w:p>
            <w:pPr>
              <w:jc w:val="right"/>
              <w:ind w:right="333"/>
              <w:spacing w:after="0"/>
              <w:rPr>
                <w:sz w:val="20"/>
                <w:szCs w:val="20"/>
                <w:color w:val="auto"/>
              </w:rPr>
            </w:pPr>
            <w:r>
              <w:rPr>
                <w:rFonts w:ascii="Arial" w:cs="Arial" w:eastAsia="Arial" w:hAnsi="Arial"/>
                <w:sz w:val="16"/>
                <w:szCs w:val="16"/>
                <w:b w:val="1"/>
                <w:bCs w:val="1"/>
                <w:color w:val="auto"/>
              </w:rPr>
              <w:t>2019</w:t>
            </w:r>
          </w:p>
        </w:tc>
        <w:tc>
          <w:tcPr>
            <w:tcW w:w="1040" w:type="dxa"/>
            <w:vAlign w:val="bottom"/>
          </w:tcPr>
          <w:p>
            <w:pPr>
              <w:spacing w:after="0"/>
              <w:rPr>
                <w:sz w:val="23"/>
                <w:szCs w:val="23"/>
                <w:color w:val="auto"/>
              </w:rPr>
            </w:pPr>
          </w:p>
        </w:tc>
      </w:tr>
      <w:tr>
        <w:trPr>
          <w:trHeight w:val="33"/>
        </w:trPr>
        <w:tc>
          <w:tcPr>
            <w:tcW w:w="80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40" w:type="dxa"/>
            <w:vAlign w:val="bottom"/>
          </w:tcPr>
          <w:p>
            <w:pPr>
              <w:spacing w:after="0"/>
              <w:rPr>
                <w:sz w:val="2"/>
                <w:szCs w:val="2"/>
                <w:color w:val="auto"/>
              </w:rPr>
            </w:pPr>
          </w:p>
        </w:tc>
      </w:tr>
      <w:tr>
        <w:trPr>
          <w:trHeight w:val="237"/>
        </w:trPr>
        <w:tc>
          <w:tcPr>
            <w:tcW w:w="8000" w:type="dxa"/>
            <w:vAlign w:val="bottom"/>
          </w:tcPr>
          <w:p>
            <w:pPr>
              <w:spacing w:after="0"/>
              <w:rPr>
                <w:sz w:val="20"/>
                <w:szCs w:val="20"/>
                <w:color w:val="auto"/>
              </w:rPr>
            </w:pPr>
            <w:r>
              <w:rPr>
                <w:rFonts w:ascii="Arial" w:cs="Arial" w:eastAsia="Arial" w:hAnsi="Arial"/>
                <w:sz w:val="18"/>
                <w:szCs w:val="18"/>
                <w:color w:val="auto"/>
              </w:rPr>
              <w:t>Contract liabilities</w:t>
            </w:r>
          </w:p>
        </w:tc>
        <w:tc>
          <w:tcPr>
            <w:tcW w:w="240" w:type="dxa"/>
            <w:vAlign w:val="bottom"/>
            <w:gridSpan w:val="2"/>
          </w:tcPr>
          <w:p>
            <w:pPr>
              <w:jc w:val="right"/>
              <w:ind w:right="19"/>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1,437.3</w:t>
            </w:r>
          </w:p>
        </w:tc>
        <w:tc>
          <w:tcPr>
            <w:tcW w:w="1040" w:type="dxa"/>
            <w:vAlign w:val="bottom"/>
          </w:tcPr>
          <w:p>
            <w:pPr>
              <w:spacing w:after="0"/>
              <w:rPr>
                <w:sz w:val="20"/>
                <w:szCs w:val="20"/>
                <w:color w:val="auto"/>
              </w:rPr>
            </w:pPr>
          </w:p>
        </w:tc>
      </w:tr>
      <w:tr>
        <w:trPr>
          <w:trHeight w:val="270"/>
        </w:trPr>
        <w:tc>
          <w:tcPr>
            <w:tcW w:w="8000" w:type="dxa"/>
            <w:vAlign w:val="bottom"/>
          </w:tcPr>
          <w:p>
            <w:pPr>
              <w:spacing w:after="0"/>
              <w:rPr>
                <w:sz w:val="20"/>
                <w:szCs w:val="20"/>
                <w:color w:val="auto"/>
              </w:rPr>
            </w:pPr>
            <w:r>
              <w:rPr>
                <w:rFonts w:ascii="Arial" w:cs="Arial" w:eastAsia="Arial" w:hAnsi="Arial"/>
                <w:sz w:val="18"/>
                <w:szCs w:val="18"/>
                <w:color w:val="auto"/>
              </w:rPr>
              <w:t>Mandatorily redeemable financial liability</w:t>
            </w: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288.8</w:t>
            </w:r>
          </w:p>
        </w:tc>
        <w:tc>
          <w:tcPr>
            <w:tcW w:w="1040" w:type="dxa"/>
            <w:vAlign w:val="bottom"/>
          </w:tcPr>
          <w:p>
            <w:pPr>
              <w:spacing w:after="0"/>
              <w:rPr>
                <w:sz w:val="23"/>
                <w:szCs w:val="23"/>
                <w:color w:val="auto"/>
              </w:rPr>
            </w:pPr>
          </w:p>
        </w:tc>
      </w:tr>
      <w:tr>
        <w:trPr>
          <w:trHeight w:val="594"/>
        </w:trPr>
        <w:tc>
          <w:tcPr>
            <w:tcW w:w="80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2"/>
          </w:tcPr>
          <w:p>
            <w:pPr>
              <w:spacing w:after="0"/>
              <w:rPr>
                <w:sz w:val="24"/>
                <w:szCs w:val="24"/>
                <w:color w:val="auto"/>
              </w:rPr>
            </w:pPr>
          </w:p>
        </w:tc>
        <w:tc>
          <w:tcPr>
            <w:tcW w:w="1040" w:type="dxa"/>
            <w:vAlign w:val="bottom"/>
          </w:tcPr>
          <w:p>
            <w:pPr>
              <w:spacing w:after="0"/>
              <w:rPr>
                <w:sz w:val="24"/>
                <w:szCs w:val="24"/>
                <w:color w:val="auto"/>
              </w:rPr>
            </w:pPr>
          </w:p>
        </w:tc>
      </w:tr>
      <w:tr>
        <w:trPr>
          <w:trHeight w:val="209"/>
        </w:trPr>
        <w:tc>
          <w:tcPr>
            <w:tcW w:w="8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0" w:type="dxa"/>
            <w:vAlign w:val="bottom"/>
            <w:gridSpan w:val="3"/>
          </w:tcPr>
          <w:p>
            <w:pPr>
              <w:jc w:val="center"/>
              <w:ind w:right="988"/>
              <w:spacing w:after="0"/>
              <w:rPr>
                <w:sz w:val="20"/>
                <w:szCs w:val="20"/>
                <w:color w:val="auto"/>
              </w:rPr>
            </w:pPr>
            <w:r>
              <w:rPr>
                <w:rFonts w:ascii="Arial" w:cs="Arial" w:eastAsia="Arial" w:hAnsi="Arial"/>
                <w:sz w:val="16"/>
                <w:szCs w:val="16"/>
                <w:b w:val="1"/>
                <w:bCs w:val="1"/>
                <w:color w:val="auto"/>
                <w:w w:val="93"/>
              </w:rPr>
              <w:t>Three Months</w:t>
            </w:r>
          </w:p>
        </w:tc>
      </w:tr>
      <w:tr>
        <w:trPr>
          <w:trHeight w:val="210"/>
        </w:trPr>
        <w:tc>
          <w:tcPr>
            <w:tcW w:w="8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80" w:type="dxa"/>
            <w:vAlign w:val="bottom"/>
            <w:gridSpan w:val="2"/>
          </w:tcPr>
          <w:p>
            <w:pPr>
              <w:jc w:val="center"/>
              <w:ind w:right="1208"/>
              <w:spacing w:after="0"/>
              <w:rPr>
                <w:sz w:val="20"/>
                <w:szCs w:val="20"/>
                <w:color w:val="auto"/>
              </w:rPr>
            </w:pPr>
            <w:r>
              <w:rPr>
                <w:rFonts w:ascii="Arial" w:cs="Arial" w:eastAsia="Arial" w:hAnsi="Arial"/>
                <w:sz w:val="16"/>
                <w:szCs w:val="16"/>
                <w:b w:val="1"/>
                <w:bCs w:val="1"/>
                <w:color w:val="auto"/>
                <w:w w:val="93"/>
              </w:rPr>
              <w:t>Ended</w:t>
            </w:r>
          </w:p>
        </w:tc>
      </w:tr>
      <w:tr>
        <w:trPr>
          <w:trHeight w:val="270"/>
        </w:trPr>
        <w:tc>
          <w:tcPr>
            <w:tcW w:w="80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0" w:type="dxa"/>
            <w:vAlign w:val="bottom"/>
            <w:gridSpan w:val="3"/>
          </w:tcPr>
          <w:p>
            <w:pPr>
              <w:jc w:val="center"/>
              <w:ind w:right="988"/>
              <w:spacing w:after="0"/>
              <w:rPr>
                <w:sz w:val="20"/>
                <w:szCs w:val="20"/>
                <w:color w:val="auto"/>
              </w:rPr>
            </w:pPr>
            <w:r>
              <w:rPr>
                <w:rFonts w:ascii="Arial" w:cs="Arial" w:eastAsia="Arial" w:hAnsi="Arial"/>
                <w:sz w:val="16"/>
                <w:szCs w:val="16"/>
                <w:b w:val="1"/>
                <w:bCs w:val="1"/>
                <w:color w:val="auto"/>
                <w:w w:val="89"/>
              </w:rPr>
              <w:t>September 30,</w:t>
            </w:r>
          </w:p>
        </w:tc>
      </w:tr>
      <w:tr>
        <w:trPr>
          <w:trHeight w:val="276"/>
        </w:trPr>
        <w:tc>
          <w:tcPr>
            <w:tcW w:w="8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ind w:right="333"/>
              <w:spacing w:after="0"/>
              <w:rPr>
                <w:sz w:val="20"/>
                <w:szCs w:val="20"/>
                <w:color w:val="auto"/>
              </w:rPr>
            </w:pPr>
            <w:r>
              <w:rPr>
                <w:rFonts w:ascii="Arial" w:cs="Arial" w:eastAsia="Arial" w:hAnsi="Arial"/>
                <w:sz w:val="18"/>
                <w:szCs w:val="18"/>
                <w:b w:val="1"/>
                <w:bCs w:val="1"/>
                <w:color w:val="auto"/>
              </w:rPr>
              <w:t>2019</w:t>
            </w:r>
          </w:p>
        </w:tc>
        <w:tc>
          <w:tcPr>
            <w:tcW w:w="1040" w:type="dxa"/>
            <w:vAlign w:val="bottom"/>
          </w:tcPr>
          <w:p>
            <w:pPr>
              <w:spacing w:after="0"/>
              <w:rPr>
                <w:sz w:val="24"/>
                <w:szCs w:val="24"/>
                <w:color w:val="auto"/>
              </w:rPr>
            </w:pPr>
          </w:p>
        </w:tc>
      </w:tr>
      <w:tr>
        <w:trPr>
          <w:trHeight w:val="27"/>
        </w:trPr>
        <w:tc>
          <w:tcPr>
            <w:tcW w:w="8000" w:type="dxa"/>
            <w:vAlign w:val="bottom"/>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40" w:type="dxa"/>
            <w:vAlign w:val="bottom"/>
          </w:tcPr>
          <w:p>
            <w:pPr>
              <w:spacing w:after="0"/>
              <w:rPr>
                <w:sz w:val="2"/>
                <w:szCs w:val="2"/>
                <w:color w:val="auto"/>
              </w:rPr>
            </w:pPr>
          </w:p>
        </w:tc>
      </w:tr>
      <w:tr>
        <w:trPr>
          <w:trHeight w:val="237"/>
        </w:trPr>
        <w:tc>
          <w:tcPr>
            <w:tcW w:w="8000" w:type="dxa"/>
            <w:vAlign w:val="bottom"/>
          </w:tcPr>
          <w:p>
            <w:pPr>
              <w:spacing w:after="0"/>
              <w:rPr>
                <w:sz w:val="20"/>
                <w:szCs w:val="20"/>
                <w:color w:val="auto"/>
              </w:rPr>
            </w:pPr>
            <w:r>
              <w:rPr>
                <w:rFonts w:ascii="Arial" w:cs="Arial" w:eastAsia="Arial" w:hAnsi="Arial"/>
                <w:sz w:val="18"/>
                <w:szCs w:val="18"/>
                <w:color w:val="auto"/>
              </w:rPr>
              <w:t>Cash provided by operating activities</w:t>
            </w:r>
          </w:p>
        </w:tc>
        <w:tc>
          <w:tcPr>
            <w:tcW w:w="240" w:type="dxa"/>
            <w:vAlign w:val="bottom"/>
            <w:gridSpan w:val="2"/>
          </w:tcPr>
          <w:p>
            <w:pPr>
              <w:jc w:val="right"/>
              <w:ind w:right="59"/>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9.1</w:t>
            </w:r>
          </w:p>
        </w:tc>
        <w:tc>
          <w:tcPr>
            <w:tcW w:w="1040" w:type="dxa"/>
            <w:vAlign w:val="bottom"/>
          </w:tcPr>
          <w:p>
            <w:pPr>
              <w:spacing w:after="0"/>
              <w:rPr>
                <w:sz w:val="20"/>
                <w:szCs w:val="20"/>
                <w:color w:val="auto"/>
              </w:rPr>
            </w:pPr>
          </w:p>
        </w:tc>
      </w:tr>
      <w:tr>
        <w:trPr>
          <w:trHeight w:val="270"/>
        </w:trPr>
        <w:tc>
          <w:tcPr>
            <w:tcW w:w="8000" w:type="dxa"/>
            <w:vAlign w:val="bottom"/>
          </w:tcPr>
          <w:p>
            <w:pPr>
              <w:spacing w:after="0"/>
              <w:rPr>
                <w:sz w:val="20"/>
                <w:szCs w:val="20"/>
                <w:color w:val="auto"/>
              </w:rPr>
            </w:pPr>
            <w:r>
              <w:rPr>
                <w:rFonts w:ascii="Arial" w:cs="Arial" w:eastAsia="Arial" w:hAnsi="Arial"/>
                <w:sz w:val="18"/>
                <w:szCs w:val="18"/>
                <w:color w:val="auto"/>
              </w:rPr>
              <w:t>Settlements of mandatorily redeemable financial liability</w:t>
            </w: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(223.1)</w:t>
            </w:r>
          </w:p>
        </w:tc>
        <w:tc>
          <w:tcPr>
            <w:tcW w:w="1040" w:type="dxa"/>
            <w:vAlign w:val="bottom"/>
          </w:tcPr>
          <w:p>
            <w:pPr>
              <w:spacing w:after="0"/>
              <w:rPr>
                <w:sz w:val="23"/>
                <w:szCs w:val="23"/>
                <w:color w:val="auto"/>
              </w:rPr>
            </w:pPr>
          </w:p>
        </w:tc>
      </w:tr>
      <w:tr>
        <w:trPr>
          <w:trHeight w:val="663"/>
        </w:trPr>
        <w:tc>
          <w:tcPr>
            <w:tcW w:w="8000" w:type="dxa"/>
            <w:vAlign w:val="bottom"/>
          </w:tcPr>
          <w:p>
            <w:pPr>
              <w:ind w:left="4040"/>
              <w:spacing w:after="0"/>
              <w:rPr>
                <w:sz w:val="20"/>
                <w:szCs w:val="20"/>
                <w:color w:val="auto"/>
              </w:rPr>
            </w:pPr>
            <w:r>
              <w:rPr>
                <w:rFonts w:ascii="Arial" w:cs="Arial" w:eastAsia="Arial" w:hAnsi="Arial"/>
                <w:sz w:val="14"/>
                <w:szCs w:val="14"/>
                <w:b w:val="1"/>
                <w:bCs w:val="1"/>
                <w:color w:val="auto"/>
              </w:rPr>
              <w:t>TechnipFMC.com</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40" w:type="dxa"/>
            <w:vAlign w:val="bottom"/>
          </w:tcPr>
          <w:p>
            <w:pPr>
              <w:ind w:left="120"/>
              <w:spacing w:after="0"/>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Page 19 of </w:t>
            </w:r>
            <w:hyperlink w:anchor="page29">
              <w:r>
                <w:rPr>
                  <w:rFonts w:ascii="Arial" w:cs="Arial" w:eastAsia="Arial" w:hAnsi="Arial"/>
                  <w:sz w:val="14"/>
                  <w:szCs w:val="14"/>
                  <w:b w:val="1"/>
                  <w:bCs w:val="1"/>
                  <w:color w:val="auto"/>
                </w:rPr>
                <w:t>24</w:t>
              </w:r>
            </w:hyperlink>
          </w:p>
        </w:tc>
      </w:tr>
    </w:tbl>
    <w:p>
      <w:pPr>
        <w:sectPr>
          <w:pgSz w:w="11900" w:h="16838" w:orient="portrait"/>
          <w:cols w:equalWidth="0" w:num="1">
            <w:col w:w="11420"/>
          </w:cols>
          <w:pgMar w:left="240" w:top="526" w:right="239" w:bottom="1440" w:gutter="0" w:footer="0" w:header="0"/>
        </w:sectPr>
      </w:pPr>
    </w:p>
    <w:bookmarkStart w:id="23" w:name="page24"/>
    <w:bookmarkEnd w:id="23"/>
    <w:p>
      <w:pPr>
        <w:jc w:val="right"/>
        <w:spacing w:after="0"/>
        <w:rPr>
          <w:sz w:val="20"/>
          <w:szCs w:val="20"/>
          <w:color w:val="auto"/>
        </w:rPr>
      </w:pPr>
      <w:r>
        <w:rPr>
          <w:rFonts w:ascii="Arial" w:cs="Arial" w:eastAsia="Arial" w:hAnsi="Arial"/>
          <w:sz w:val="13"/>
          <w:szCs w:val="13"/>
          <w:b w:val="1"/>
          <w:bCs w:val="1"/>
          <w:color w:val="auto"/>
        </w:rPr>
        <w:t>Exhibit 7</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TECHNIPFMC PLC AND CONSOLIDATED SUBSIDIARIES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RECONCILIATION OF GAAP TO NON-GAAP FINANCIAL MEASURES</w:t>
      </w:r>
    </w:p>
    <w:p>
      <w:pPr>
        <w:jc w:val="center"/>
        <w:spacing w:after="0"/>
        <w:rPr>
          <w:sz w:val="20"/>
          <w:szCs w:val="20"/>
          <w:color w:val="auto"/>
        </w:rPr>
      </w:pPr>
      <w:r>
        <w:rPr>
          <w:rFonts w:ascii="Arial" w:cs="Arial" w:eastAsia="Arial" w:hAnsi="Arial"/>
          <w:sz w:val="13"/>
          <w:szCs w:val="13"/>
          <w:b w:val="1"/>
          <w:bCs w:val="1"/>
          <w:color w:val="auto"/>
        </w:rPr>
        <w:t>(In millions, unaudited)</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Charges and Credits</w:t>
      </w:r>
    </w:p>
    <w:p>
      <w:pPr>
        <w:spacing w:after="0" w:line="13" w:lineRule="exact"/>
        <w:rPr>
          <w:sz w:val="20"/>
          <w:szCs w:val="20"/>
          <w:color w:val="auto"/>
        </w:rPr>
      </w:pPr>
    </w:p>
    <w:p>
      <w:pPr>
        <w:jc w:val="both"/>
        <w:spacing w:after="0" w:line="288" w:lineRule="auto"/>
        <w:rPr>
          <w:sz w:val="20"/>
          <w:szCs w:val="20"/>
          <w:color w:val="auto"/>
        </w:rPr>
      </w:pPr>
      <w:r>
        <w:rPr>
          <w:rFonts w:ascii="Arial" w:cs="Arial" w:eastAsia="Arial" w:hAnsi="Arial"/>
          <w:sz w:val="11"/>
          <w:szCs w:val="11"/>
          <w:color w:val="auto"/>
        </w:rPr>
        <w:t>In addition to financial results determined in accordance with U.S. generally accepted accounting principles (GAAP), the third quarter 2019 Earnings Release also includes non-GAAP financial measures (as defined in Item 10 of Regulation S-K of the Securities Exchange Act of 1934, as amended) and describes performance on a year-over-year basis against 2018 results and measures. Net income, excluding charges and credits, as well as measures derived from it (including Diluted EPS, excluding charges and credits; Income before net interest expense and taxes, excluding charges and credits ("Adjusted Operating profit"); Depreciation and amortization, excluding charges and credits; Earnings before net interest expense, income taxes, depreciation and amortization, excluding charges and credits ("Adjusted EBITDA"); and net cash) are non-GAAP financial measures. Management believes that the exclusion of charges and credits from these financial measures enables investors and management to more effectively evaluate TechnipFMC's operations and consolidated results of operations period-over-period, and to identify operating trends that could otherwise be masked or misleading to both investors and management by the excluded items. These measures are also used by management as performance measures in determining certain incentive compensation. The foregoing non-GAAP financial measures should be considered by investors in addition to, not as a substitute for or superior to, other measures of financial performance prepared in accordance with GAAP. The following is a reconciliation of the most comparable financial measures under GAAP to the non-GAAP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71755</wp:posOffset>
            </wp:positionV>
            <wp:extent cx="470789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707890" cy="8890"/>
                    </a:xfrm>
                    <a:prstGeom prst="rect">
                      <a:avLst/>
                    </a:prstGeom>
                    <a:noFill/>
                  </pic:spPr>
                </pic:pic>
              </a:graphicData>
            </a:graphic>
          </wp:anchor>
        </w:drawing>
      </w:r>
    </w:p>
    <w:p>
      <w:pPr>
        <w:spacing w:after="0" w:line="183" w:lineRule="exact"/>
        <w:rPr>
          <w:sz w:val="20"/>
          <w:szCs w:val="20"/>
          <w:color w:val="auto"/>
        </w:rPr>
      </w:pPr>
    </w:p>
    <w:p>
      <w:pPr>
        <w:jc w:val="center"/>
        <w:ind w:left="1760"/>
        <w:spacing w:after="0"/>
        <w:rPr>
          <w:sz w:val="20"/>
          <w:szCs w:val="20"/>
          <w:color w:val="auto"/>
        </w:rPr>
      </w:pPr>
      <w:r>
        <w:rPr>
          <w:rFonts w:ascii="Arial" w:cs="Arial" w:eastAsia="Arial" w:hAnsi="Arial"/>
          <w:sz w:val="13"/>
          <w:szCs w:val="13"/>
          <w:b w:val="1"/>
          <w:bCs w:val="1"/>
          <w:color w:val="auto"/>
        </w:rPr>
        <w:t>Three Months Ended</w:t>
      </w:r>
    </w:p>
    <w:p>
      <w:pPr>
        <w:spacing w:after="0" w:line="40" w:lineRule="exact"/>
        <w:rPr>
          <w:sz w:val="20"/>
          <w:szCs w:val="20"/>
          <w:color w:val="auto"/>
        </w:rPr>
      </w:pPr>
    </w:p>
    <w:p>
      <w:pPr>
        <w:jc w:val="center"/>
        <w:ind w:left="1760"/>
        <w:spacing w:after="0"/>
        <w:rPr>
          <w:sz w:val="20"/>
          <w:szCs w:val="20"/>
          <w:color w:val="auto"/>
        </w:rPr>
      </w:pPr>
      <w:r>
        <w:rPr>
          <w:rFonts w:ascii="Arial" w:cs="Arial" w:eastAsia="Arial" w:hAnsi="Arial"/>
          <w:sz w:val="13"/>
          <w:szCs w:val="13"/>
          <w:b w:val="1"/>
          <w:bCs w:val="1"/>
          <w:color w:val="auto"/>
        </w:rPr>
        <w:t>September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71120</wp:posOffset>
            </wp:positionV>
            <wp:extent cx="470789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707890" cy="8890"/>
                    </a:xfrm>
                    <a:prstGeom prst="rect">
                      <a:avLst/>
                    </a:prstGeom>
                    <a:noFill/>
                  </pic:spPr>
                </pic:pic>
              </a:graphicData>
            </a:graphic>
          </wp:anchor>
        </w:drawing>
      </w:r>
    </w:p>
    <w:p>
      <w:pPr>
        <w:spacing w:after="0" w:line="100" w:lineRule="exact"/>
        <w:rPr>
          <w:sz w:val="20"/>
          <w:szCs w:val="20"/>
          <w:color w:val="auto"/>
        </w:rPr>
      </w:pPr>
    </w:p>
    <w:tbl>
      <w:tblPr>
        <w:tblLayout w:type="fixed"/>
        <w:tblInd w:w="1180" w:type="dxa"/>
        <w:tblCellMar>
          <w:top w:w="0" w:type="dxa"/>
          <w:left w:w="0" w:type="dxa"/>
          <w:bottom w:w="0" w:type="dxa"/>
          <w:right w:w="0" w:type="dxa"/>
        </w:tblCellMar>
      </w:tblPr>
      <w:tr>
        <w:trPr>
          <w:trHeight w:val="149"/>
        </w:trPr>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center"/>
              <w:spacing w:after="0"/>
              <w:rPr>
                <w:sz w:val="20"/>
                <w:szCs w:val="20"/>
                <w:color w:val="auto"/>
              </w:rPr>
            </w:pPr>
            <w:r>
              <w:rPr>
                <w:rFonts w:ascii="Arial" w:cs="Arial" w:eastAsia="Arial" w:hAnsi="Arial"/>
                <w:sz w:val="13"/>
                <w:szCs w:val="13"/>
                <w:b w:val="1"/>
                <w:bCs w:val="1"/>
                <w:color w:val="auto"/>
                <w:w w:val="88"/>
              </w:rPr>
              <w:t>Earnings before</w:t>
            </w:r>
          </w:p>
        </w:tc>
        <w:tc>
          <w:tcPr>
            <w:tcW w:w="0" w:type="dxa"/>
            <w:vAlign w:val="bottom"/>
          </w:tcPr>
          <w:p>
            <w:pPr>
              <w:spacing w:after="0"/>
              <w:rPr>
                <w:sz w:val="1"/>
                <w:szCs w:val="1"/>
                <w:color w:val="auto"/>
              </w:rPr>
            </w:pPr>
          </w:p>
        </w:tc>
      </w:tr>
      <w:tr>
        <w:trPr>
          <w:trHeight w:val="135"/>
        </w:trPr>
        <w:tc>
          <w:tcPr>
            <w:tcW w:w="1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jc w:val="center"/>
              <w:ind w:right="57"/>
              <w:spacing w:after="0" w:line="135" w:lineRule="exact"/>
              <w:rPr>
                <w:sz w:val="20"/>
                <w:szCs w:val="20"/>
                <w:color w:val="auto"/>
              </w:rPr>
            </w:pPr>
            <w:r>
              <w:rPr>
                <w:rFonts w:ascii="Arial" w:cs="Arial" w:eastAsia="Arial" w:hAnsi="Arial"/>
                <w:sz w:val="13"/>
                <w:szCs w:val="13"/>
                <w:b w:val="1"/>
                <w:bCs w:val="1"/>
                <w:color w:val="auto"/>
                <w:w w:val="85"/>
              </w:rPr>
              <w:t>net interest</w:t>
            </w:r>
          </w:p>
        </w:tc>
        <w:tc>
          <w:tcPr>
            <w:tcW w:w="0" w:type="dxa"/>
            <w:vAlign w:val="bottom"/>
          </w:tcPr>
          <w:p>
            <w:pPr>
              <w:spacing w:after="0"/>
              <w:rPr>
                <w:sz w:val="1"/>
                <w:szCs w:val="1"/>
                <w:color w:val="auto"/>
              </w:rPr>
            </w:pPr>
          </w:p>
        </w:tc>
      </w:tr>
      <w:tr>
        <w:trPr>
          <w:trHeight w:val="135"/>
        </w:trPr>
        <w:tc>
          <w:tcPr>
            <w:tcW w:w="1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5"/>
              </w:rPr>
              <w:t>Net income</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5"/>
              </w:rPr>
              <w:t>Income (loss)</w:t>
            </w: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3"/>
              </w:rPr>
              <w:t>expense, income</w:t>
            </w:r>
          </w:p>
        </w:tc>
        <w:tc>
          <w:tcPr>
            <w:tcW w:w="0" w:type="dxa"/>
            <w:vAlign w:val="bottom"/>
          </w:tcPr>
          <w:p>
            <w:pPr>
              <w:spacing w:after="0"/>
              <w:rPr>
                <w:sz w:val="1"/>
                <w:szCs w:val="1"/>
                <w:color w:val="auto"/>
              </w:rPr>
            </w:pPr>
          </w:p>
        </w:tc>
      </w:tr>
      <w:tr>
        <w:trPr>
          <w:trHeight w:val="135"/>
        </w:trPr>
        <w:tc>
          <w:tcPr>
            <w:tcW w:w="1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0"/>
              </w:rPr>
              <w:t>(loss)</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w w:val="96"/>
              </w:rPr>
              <w:t>before net interest</w:t>
            </w: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jc w:val="center"/>
              <w:ind w:right="57"/>
              <w:spacing w:after="0" w:line="135" w:lineRule="exact"/>
              <w:rPr>
                <w:sz w:val="20"/>
                <w:szCs w:val="20"/>
                <w:color w:val="auto"/>
              </w:rPr>
            </w:pPr>
            <w:r>
              <w:rPr>
                <w:rFonts w:ascii="Arial" w:cs="Arial" w:eastAsia="Arial" w:hAnsi="Arial"/>
                <w:sz w:val="13"/>
                <w:szCs w:val="13"/>
                <w:b w:val="1"/>
                <w:bCs w:val="1"/>
                <w:color w:val="auto"/>
                <w:w w:val="86"/>
              </w:rPr>
              <w:t>taxes,</w:t>
            </w:r>
          </w:p>
        </w:tc>
        <w:tc>
          <w:tcPr>
            <w:tcW w:w="0" w:type="dxa"/>
            <w:vAlign w:val="bottom"/>
          </w:tcPr>
          <w:p>
            <w:pPr>
              <w:spacing w:after="0"/>
              <w:rPr>
                <w:sz w:val="1"/>
                <w:szCs w:val="1"/>
                <w:color w:val="auto"/>
              </w:rPr>
            </w:pPr>
          </w:p>
        </w:tc>
      </w:tr>
      <w:tr>
        <w:trPr>
          <w:trHeight w:val="135"/>
        </w:trPr>
        <w:tc>
          <w:tcPr>
            <w:tcW w:w="1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4"/>
          </w:tcPr>
          <w:p>
            <w:pPr>
              <w:jc w:val="center"/>
              <w:ind w:right="40"/>
              <w:spacing w:after="0" w:line="135" w:lineRule="exact"/>
              <w:rPr>
                <w:sz w:val="20"/>
                <w:szCs w:val="20"/>
                <w:color w:val="auto"/>
              </w:rPr>
            </w:pPr>
            <w:r>
              <w:rPr>
                <w:rFonts w:ascii="Arial" w:cs="Arial" w:eastAsia="Arial" w:hAnsi="Arial"/>
                <w:sz w:val="13"/>
                <w:szCs w:val="13"/>
                <w:b w:val="1"/>
                <w:bCs w:val="1"/>
                <w:color w:val="auto"/>
                <w:w w:val="83"/>
              </w:rPr>
              <w:t>Net income (loss)</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9"/>
              </w:rPr>
              <w:t>attributable to</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3"/>
              </w:rPr>
              <w:t>expense and</w:t>
            </w:r>
          </w:p>
        </w:tc>
        <w:tc>
          <w:tcPr>
            <w:tcW w:w="100" w:type="dxa"/>
            <w:vAlign w:val="bottom"/>
          </w:tcPr>
          <w:p>
            <w:pPr>
              <w:spacing w:after="0"/>
              <w:rPr>
                <w:sz w:val="11"/>
                <w:szCs w:val="11"/>
                <w:color w:val="auto"/>
              </w:rPr>
            </w:pPr>
          </w:p>
        </w:tc>
        <w:tc>
          <w:tcPr>
            <w:tcW w:w="9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8"/>
              </w:rPr>
              <w:t>Depreciation</w:t>
            </w:r>
          </w:p>
        </w:tc>
        <w:tc>
          <w:tcPr>
            <w:tcW w:w="96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8"/>
              </w:rPr>
              <w:t>depreciation and</w:t>
            </w:r>
          </w:p>
        </w:tc>
        <w:tc>
          <w:tcPr>
            <w:tcW w:w="0" w:type="dxa"/>
            <w:vAlign w:val="bottom"/>
          </w:tcPr>
          <w:p>
            <w:pPr>
              <w:spacing w:after="0"/>
              <w:rPr>
                <w:sz w:val="1"/>
                <w:szCs w:val="1"/>
                <w:color w:val="auto"/>
              </w:rPr>
            </w:pPr>
          </w:p>
        </w:tc>
      </w:tr>
      <w:tr>
        <w:trPr>
          <w:trHeight w:val="135"/>
        </w:trPr>
        <w:tc>
          <w:tcPr>
            <w:tcW w:w="1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3"/>
          </w:tcPr>
          <w:p>
            <w:pPr>
              <w:jc w:val="center"/>
              <w:ind w:right="120"/>
              <w:spacing w:after="0" w:line="135" w:lineRule="exact"/>
              <w:rPr>
                <w:sz w:val="20"/>
                <w:szCs w:val="20"/>
                <w:color w:val="auto"/>
              </w:rPr>
            </w:pPr>
            <w:r>
              <w:rPr>
                <w:rFonts w:ascii="Arial" w:cs="Arial" w:eastAsia="Arial" w:hAnsi="Arial"/>
                <w:sz w:val="13"/>
                <w:szCs w:val="13"/>
                <w:b w:val="1"/>
                <w:bCs w:val="1"/>
                <w:color w:val="auto"/>
                <w:w w:val="89"/>
              </w:rPr>
              <w:t>attributable to</w:t>
            </w:r>
          </w:p>
        </w:tc>
        <w:tc>
          <w:tcPr>
            <w:tcW w:w="100" w:type="dxa"/>
            <w:vAlign w:val="bottom"/>
          </w:tcPr>
          <w:p>
            <w:pPr>
              <w:spacing w:after="0"/>
              <w:rPr>
                <w:sz w:val="11"/>
                <w:szCs w:val="11"/>
                <w:color w:val="auto"/>
              </w:rPr>
            </w:pPr>
          </w:p>
        </w:tc>
        <w:tc>
          <w:tcPr>
            <w:tcW w:w="960" w:type="dxa"/>
            <w:vAlign w:val="bottom"/>
            <w:gridSpan w:val="3"/>
          </w:tcPr>
          <w:p>
            <w:pPr>
              <w:jc w:val="center"/>
              <w:ind w:right="20"/>
              <w:spacing w:after="0" w:line="135" w:lineRule="exact"/>
              <w:rPr>
                <w:sz w:val="20"/>
                <w:szCs w:val="20"/>
                <w:color w:val="auto"/>
              </w:rPr>
            </w:pPr>
            <w:r>
              <w:rPr>
                <w:rFonts w:ascii="Arial" w:cs="Arial" w:eastAsia="Arial" w:hAnsi="Arial"/>
                <w:sz w:val="13"/>
                <w:szCs w:val="13"/>
                <w:b w:val="1"/>
                <w:bCs w:val="1"/>
                <w:color w:val="auto"/>
                <w:w w:val="85"/>
              </w:rPr>
              <w:t>noncontrolling</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right"/>
              <w:ind w:right="17"/>
              <w:spacing w:after="0" w:line="135" w:lineRule="exact"/>
              <w:rPr>
                <w:sz w:val="20"/>
                <w:szCs w:val="20"/>
                <w:color w:val="auto"/>
              </w:rPr>
            </w:pPr>
            <w:r>
              <w:rPr>
                <w:rFonts w:ascii="Arial" w:cs="Arial" w:eastAsia="Arial" w:hAnsi="Arial"/>
                <w:sz w:val="13"/>
                <w:szCs w:val="13"/>
                <w:b w:val="1"/>
                <w:bCs w:val="1"/>
                <w:color w:val="auto"/>
                <w:w w:val="87"/>
              </w:rPr>
              <w:t>Provision for</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6"/>
              </w:rPr>
              <w:t>Net interest</w:t>
            </w:r>
          </w:p>
        </w:tc>
        <w:tc>
          <w:tcPr>
            <w:tcW w:w="120" w:type="dxa"/>
            <w:vAlign w:val="bottom"/>
          </w:tcPr>
          <w:p>
            <w:pPr>
              <w:spacing w:after="0"/>
              <w:rPr>
                <w:sz w:val="11"/>
                <w:szCs w:val="11"/>
                <w:color w:val="auto"/>
              </w:rPr>
            </w:pPr>
          </w:p>
        </w:tc>
        <w:tc>
          <w:tcPr>
            <w:tcW w:w="102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2"/>
              </w:rPr>
              <w:t>income taxes</w:t>
            </w:r>
          </w:p>
        </w:tc>
        <w:tc>
          <w:tcPr>
            <w:tcW w:w="100" w:type="dxa"/>
            <w:vAlign w:val="bottom"/>
          </w:tcPr>
          <w:p>
            <w:pPr>
              <w:spacing w:after="0"/>
              <w:rPr>
                <w:sz w:val="11"/>
                <w:szCs w:val="11"/>
                <w:color w:val="auto"/>
              </w:rPr>
            </w:pPr>
          </w:p>
        </w:tc>
        <w:tc>
          <w:tcPr>
            <w:tcW w:w="96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6"/>
              </w:rPr>
              <w:t>and</w:t>
            </w:r>
          </w:p>
        </w:tc>
        <w:tc>
          <w:tcPr>
            <w:tcW w:w="120" w:type="dxa"/>
            <w:vAlign w:val="bottom"/>
          </w:tcPr>
          <w:p>
            <w:pPr>
              <w:spacing w:after="0"/>
              <w:rPr>
                <w:sz w:val="11"/>
                <w:szCs w:val="11"/>
                <w:color w:val="auto"/>
              </w:rPr>
            </w:pPr>
          </w:p>
        </w:tc>
        <w:tc>
          <w:tcPr>
            <w:tcW w:w="840" w:type="dxa"/>
            <w:vAlign w:val="bottom"/>
          </w:tcPr>
          <w:p>
            <w:pPr>
              <w:jc w:val="center"/>
              <w:ind w:right="57"/>
              <w:spacing w:after="0" w:line="135" w:lineRule="exact"/>
              <w:rPr>
                <w:sz w:val="20"/>
                <w:szCs w:val="20"/>
                <w:color w:val="auto"/>
              </w:rPr>
            </w:pPr>
            <w:r>
              <w:rPr>
                <w:rFonts w:ascii="Arial" w:cs="Arial" w:eastAsia="Arial" w:hAnsi="Arial"/>
                <w:sz w:val="13"/>
                <w:szCs w:val="13"/>
                <w:b w:val="1"/>
                <w:bCs w:val="1"/>
                <w:color w:val="auto"/>
                <w:w w:val="87"/>
              </w:rPr>
              <w:t>amortization</w:t>
            </w:r>
          </w:p>
        </w:tc>
        <w:tc>
          <w:tcPr>
            <w:tcW w:w="0" w:type="dxa"/>
            <w:vAlign w:val="bottom"/>
          </w:tcPr>
          <w:p>
            <w:pPr>
              <w:spacing w:after="0"/>
              <w:rPr>
                <w:sz w:val="1"/>
                <w:szCs w:val="1"/>
                <w:color w:val="auto"/>
              </w:rPr>
            </w:pPr>
          </w:p>
        </w:tc>
      </w:tr>
      <w:tr>
        <w:trPr>
          <w:trHeight w:val="174"/>
        </w:trPr>
        <w:tc>
          <w:tcPr>
            <w:tcW w:w="1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3"/>
                <w:szCs w:val="13"/>
                <w:b w:val="1"/>
                <w:bCs w:val="1"/>
                <w:color w:val="auto"/>
                <w:w w:val="89"/>
              </w:rPr>
              <w:t>TechnipFMC plc</w:t>
            </w: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3"/>
                <w:szCs w:val="13"/>
                <w:b w:val="1"/>
                <w:bCs w:val="1"/>
                <w:color w:val="auto"/>
                <w:w w:val="84"/>
              </w:rPr>
              <w:t>interests</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w w:val="84"/>
              </w:rPr>
              <w:t>income taxes</w:t>
            </w:r>
          </w:p>
        </w:tc>
        <w:tc>
          <w:tcPr>
            <w:tcW w:w="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color w:val="auto"/>
                <w:w w:val="80"/>
              </w:rPr>
              <w:t>expense</w:t>
            </w:r>
          </w:p>
        </w:tc>
        <w:tc>
          <w:tcPr>
            <w:tcW w:w="120" w:type="dxa"/>
            <w:vAlign w:val="bottom"/>
          </w:tcPr>
          <w:p>
            <w:pPr>
              <w:spacing w:after="0"/>
              <w:rPr>
                <w:sz w:val="15"/>
                <w:szCs w:val="15"/>
                <w:color w:val="auto"/>
              </w:rPr>
            </w:pPr>
          </w:p>
        </w:tc>
        <w:tc>
          <w:tcPr>
            <w:tcW w:w="104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w w:val="93"/>
              </w:rPr>
              <w:t>(Operating profit)</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0"/>
              </w:rPr>
              <w:t>amortization</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8"/>
              </w:rPr>
              <w:t>(EBITDA)</w:t>
            </w:r>
          </w:p>
        </w:tc>
        <w:tc>
          <w:tcPr>
            <w:tcW w:w="0" w:type="dxa"/>
            <w:vAlign w:val="bottom"/>
          </w:tcPr>
          <w:p>
            <w:pPr>
              <w:spacing w:after="0"/>
              <w:rPr>
                <w:sz w:val="1"/>
                <w:szCs w:val="1"/>
                <w:color w:val="auto"/>
              </w:rPr>
            </w:pPr>
          </w:p>
        </w:tc>
      </w:tr>
      <w:tr>
        <w:trPr>
          <w:trHeight w:val="241"/>
        </w:trPr>
        <w:tc>
          <w:tcPr>
            <w:tcW w:w="1580" w:type="dxa"/>
            <w:vAlign w:val="bottom"/>
          </w:tcPr>
          <w:p>
            <w:pPr>
              <w:spacing w:after="0"/>
              <w:rPr>
                <w:sz w:val="20"/>
                <w:szCs w:val="20"/>
                <w:color w:val="auto"/>
              </w:rPr>
            </w:pPr>
            <w:r>
              <w:rPr>
                <w:rFonts w:ascii="Arial" w:cs="Arial" w:eastAsia="Arial" w:hAnsi="Arial"/>
                <w:sz w:val="13"/>
                <w:szCs w:val="13"/>
                <w:color w:val="auto"/>
                <w:w w:val="93"/>
              </w:rPr>
              <w:t>TechnipFMC plc, as reported</w:t>
            </w:r>
          </w:p>
        </w:tc>
        <w:tc>
          <w:tcPr>
            <w:tcW w:w="200" w:type="dxa"/>
            <w:vAlign w:val="bottom"/>
            <w:gridSpan w:val="2"/>
          </w:tcPr>
          <w:p>
            <w:pPr>
              <w:ind w:left="140"/>
              <w:spacing w:after="0"/>
              <w:rPr>
                <w:sz w:val="20"/>
                <w:szCs w:val="20"/>
                <w:color w:val="auto"/>
              </w:rPr>
            </w:pPr>
            <w:r>
              <w:rPr>
                <w:rFonts w:ascii="Arial" w:cs="Arial" w:eastAsia="Arial" w:hAnsi="Arial"/>
                <w:sz w:val="9"/>
                <w:szCs w:val="9"/>
                <w:color w:val="auto"/>
                <w:w w:val="78"/>
              </w:rPr>
              <w:t>$</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21.8</w:t>
            </w:r>
          </w:p>
        </w:tc>
        <w:tc>
          <w:tcPr>
            <w:tcW w:w="2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3.8</w:t>
            </w:r>
          </w:p>
        </w:tc>
        <w:tc>
          <w:tcPr>
            <w:tcW w:w="40" w:type="dxa"/>
            <w:vAlign w:val="bottom"/>
          </w:tcPr>
          <w:p>
            <w:pPr>
              <w:spacing w:after="0"/>
              <w:rPr>
                <w:sz w:val="20"/>
                <w:szCs w:val="20"/>
                <w:color w:val="auto"/>
              </w:rPr>
            </w:pPr>
          </w:p>
        </w:tc>
        <w:tc>
          <w:tcPr>
            <w:tcW w:w="18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65.3</w:t>
            </w:r>
          </w:p>
        </w:tc>
        <w:tc>
          <w:tcPr>
            <w:tcW w:w="260" w:type="dxa"/>
            <w:vAlign w:val="bottom"/>
            <w:gridSpan w:val="3"/>
          </w:tcPr>
          <w:p>
            <w:pPr>
              <w:jc w:val="right"/>
              <w:ind w:right="40"/>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116.5</w:t>
            </w:r>
          </w:p>
        </w:tc>
        <w:tc>
          <w:tcPr>
            <w:tcW w:w="12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77"/>
              <w:spacing w:after="0"/>
              <w:rPr>
                <w:sz w:val="20"/>
                <w:szCs w:val="20"/>
                <w:color w:val="auto"/>
              </w:rPr>
            </w:pPr>
            <w:r>
              <w:rPr>
                <w:rFonts w:ascii="Arial" w:cs="Arial" w:eastAsia="Arial" w:hAnsi="Arial"/>
                <w:sz w:val="13"/>
                <w:szCs w:val="13"/>
                <w:color w:val="auto"/>
              </w:rPr>
              <w:t>207.4</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ind w:right="17"/>
              <w:spacing w:after="0"/>
              <w:rPr>
                <w:sz w:val="20"/>
                <w:szCs w:val="20"/>
                <w:color w:val="auto"/>
              </w:rPr>
            </w:pPr>
            <w:r>
              <w:rPr>
                <w:rFonts w:ascii="Arial" w:cs="Arial" w:eastAsia="Arial" w:hAnsi="Arial"/>
                <w:sz w:val="13"/>
                <w:szCs w:val="13"/>
                <w:color w:val="auto"/>
              </w:rPr>
              <w:t>141.6</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349.0</w:t>
            </w:r>
          </w:p>
        </w:tc>
        <w:tc>
          <w:tcPr>
            <w:tcW w:w="0" w:type="dxa"/>
            <w:vAlign w:val="bottom"/>
          </w:tcPr>
          <w:p>
            <w:pPr>
              <w:spacing w:after="0"/>
              <w:rPr>
                <w:sz w:val="1"/>
                <w:szCs w:val="1"/>
                <w:color w:val="auto"/>
              </w:rPr>
            </w:pPr>
          </w:p>
        </w:tc>
      </w:tr>
      <w:tr>
        <w:trPr>
          <w:trHeight w:val="486"/>
        </w:trPr>
        <w:tc>
          <w:tcPr>
            <w:tcW w:w="1580" w:type="dxa"/>
            <w:vAlign w:val="bottom"/>
          </w:tcPr>
          <w:p>
            <w:pPr>
              <w:spacing w:after="0"/>
              <w:rPr>
                <w:sz w:val="20"/>
                <w:szCs w:val="20"/>
                <w:color w:val="auto"/>
              </w:rPr>
            </w:pPr>
            <w:r>
              <w:rPr>
                <w:rFonts w:ascii="Arial" w:cs="Arial" w:eastAsia="Arial" w:hAnsi="Arial"/>
                <w:sz w:val="13"/>
                <w:szCs w:val="13"/>
                <w:color w:val="auto"/>
              </w:rPr>
              <w:t>Charges and (credits):</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1580" w:type="dxa"/>
            <w:vAlign w:val="bottom"/>
          </w:tcPr>
          <w:p>
            <w:pPr>
              <w:ind w:left="240"/>
              <w:spacing w:after="0"/>
              <w:rPr>
                <w:sz w:val="20"/>
                <w:szCs w:val="20"/>
                <w:color w:val="auto"/>
              </w:rPr>
            </w:pPr>
            <w:r>
              <w:rPr>
                <w:rFonts w:ascii="Arial" w:cs="Arial" w:eastAsia="Arial" w:hAnsi="Arial"/>
                <w:sz w:val="13"/>
                <w:szCs w:val="13"/>
                <w:color w:val="auto"/>
              </w:rPr>
              <w:t>Impairment and other</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580" w:type="dxa"/>
            <w:vAlign w:val="bottom"/>
          </w:tcPr>
          <w:p>
            <w:pPr>
              <w:ind w:left="240"/>
              <w:spacing w:after="0"/>
              <w:rPr>
                <w:sz w:val="20"/>
                <w:szCs w:val="20"/>
                <w:color w:val="auto"/>
              </w:rPr>
            </w:pPr>
            <w:r>
              <w:rPr>
                <w:rFonts w:ascii="Arial" w:cs="Arial" w:eastAsia="Arial" w:hAnsi="Arial"/>
                <w:sz w:val="13"/>
                <w:szCs w:val="13"/>
                <w:color w:val="auto"/>
              </w:rPr>
              <w:t>charges</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1.0</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0.2</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920" w:type="dxa"/>
            <w:vAlign w:val="bottom"/>
          </w:tcPr>
          <w:p>
            <w:pPr>
              <w:jc w:val="right"/>
              <w:ind w:right="77"/>
              <w:spacing w:after="0"/>
              <w:rPr>
                <w:sz w:val="20"/>
                <w:szCs w:val="20"/>
                <w:color w:val="auto"/>
              </w:rPr>
            </w:pPr>
            <w:r>
              <w:rPr>
                <w:rFonts w:ascii="Arial" w:cs="Arial" w:eastAsia="Arial" w:hAnsi="Arial"/>
                <w:sz w:val="13"/>
                <w:szCs w:val="13"/>
                <w:color w:val="auto"/>
              </w:rPr>
              <w:t>1.2</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64"/>
        </w:trPr>
        <w:tc>
          <w:tcPr>
            <w:tcW w:w="1580" w:type="dxa"/>
            <w:vAlign w:val="bottom"/>
          </w:tcPr>
          <w:p>
            <w:pPr>
              <w:ind w:left="240"/>
              <w:spacing w:after="0"/>
              <w:rPr>
                <w:sz w:val="20"/>
                <w:szCs w:val="20"/>
                <w:color w:val="auto"/>
              </w:rPr>
            </w:pPr>
            <w:r>
              <w:rPr>
                <w:rFonts w:ascii="Arial" w:cs="Arial" w:eastAsia="Arial" w:hAnsi="Arial"/>
                <w:sz w:val="13"/>
                <w:szCs w:val="13"/>
                <w:color w:val="auto"/>
                <w:w w:val="97"/>
              </w:rPr>
              <w:t>Restructuring and other</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580" w:type="dxa"/>
            <w:vAlign w:val="bottom"/>
          </w:tcPr>
          <w:p>
            <w:pPr>
              <w:ind w:left="240"/>
              <w:spacing w:after="0"/>
              <w:rPr>
                <w:sz w:val="20"/>
                <w:szCs w:val="20"/>
                <w:color w:val="auto"/>
              </w:rPr>
            </w:pPr>
            <w:r>
              <w:rPr>
                <w:rFonts w:ascii="Arial" w:cs="Arial" w:eastAsia="Arial" w:hAnsi="Arial"/>
                <w:sz w:val="13"/>
                <w:szCs w:val="13"/>
                <w:color w:val="auto"/>
              </w:rPr>
              <w:t>severance charges</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12.2</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1.8</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920" w:type="dxa"/>
            <w:vAlign w:val="bottom"/>
          </w:tcPr>
          <w:p>
            <w:pPr>
              <w:jc w:val="right"/>
              <w:ind w:right="77"/>
              <w:spacing w:after="0"/>
              <w:rPr>
                <w:sz w:val="20"/>
                <w:szCs w:val="20"/>
                <w:color w:val="auto"/>
              </w:rPr>
            </w:pPr>
            <w:r>
              <w:rPr>
                <w:rFonts w:ascii="Arial" w:cs="Arial" w:eastAsia="Arial" w:hAnsi="Arial"/>
                <w:sz w:val="13"/>
                <w:szCs w:val="13"/>
                <w:color w:val="auto"/>
              </w:rPr>
              <w:t>14.0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14.0</w:t>
            </w:r>
          </w:p>
        </w:tc>
        <w:tc>
          <w:tcPr>
            <w:tcW w:w="0" w:type="dxa"/>
            <w:vAlign w:val="bottom"/>
          </w:tcPr>
          <w:p>
            <w:pPr>
              <w:spacing w:after="0"/>
              <w:rPr>
                <w:sz w:val="1"/>
                <w:szCs w:val="1"/>
                <w:color w:val="auto"/>
              </w:rPr>
            </w:pPr>
          </w:p>
        </w:tc>
      </w:tr>
      <w:tr>
        <w:trPr>
          <w:trHeight w:val="164"/>
        </w:trPr>
        <w:tc>
          <w:tcPr>
            <w:tcW w:w="1580" w:type="dxa"/>
            <w:vAlign w:val="bottom"/>
          </w:tcPr>
          <w:p>
            <w:pPr>
              <w:ind w:left="240"/>
              <w:spacing w:after="0"/>
              <w:rPr>
                <w:sz w:val="20"/>
                <w:szCs w:val="20"/>
                <w:color w:val="auto"/>
              </w:rPr>
            </w:pPr>
            <w:r>
              <w:rPr>
                <w:rFonts w:ascii="Arial" w:cs="Arial" w:eastAsia="Arial" w:hAnsi="Arial"/>
                <w:sz w:val="13"/>
                <w:szCs w:val="13"/>
                <w:color w:val="auto"/>
              </w:rPr>
              <w:t>Business combination</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580" w:type="dxa"/>
            <w:vAlign w:val="bottom"/>
          </w:tcPr>
          <w:p>
            <w:pPr>
              <w:ind w:left="240"/>
              <w:spacing w:after="0" w:line="135" w:lineRule="exact"/>
              <w:rPr>
                <w:sz w:val="20"/>
                <w:szCs w:val="20"/>
                <w:color w:val="auto"/>
              </w:rPr>
            </w:pPr>
            <w:r>
              <w:rPr>
                <w:rFonts w:ascii="Arial" w:cs="Arial" w:eastAsia="Arial" w:hAnsi="Arial"/>
                <w:sz w:val="13"/>
                <w:szCs w:val="13"/>
                <w:color w:val="auto"/>
                <w:w w:val="86"/>
              </w:rPr>
              <w:t>transaction and integration</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1580" w:type="dxa"/>
            <w:vAlign w:val="bottom"/>
          </w:tcPr>
          <w:p>
            <w:pPr>
              <w:ind w:left="240"/>
              <w:spacing w:after="0"/>
              <w:rPr>
                <w:sz w:val="20"/>
                <w:szCs w:val="20"/>
                <w:color w:val="auto"/>
              </w:rPr>
            </w:pPr>
            <w:r>
              <w:rPr>
                <w:rFonts w:ascii="Arial" w:cs="Arial" w:eastAsia="Arial" w:hAnsi="Arial"/>
                <w:sz w:val="13"/>
                <w:szCs w:val="13"/>
                <w:color w:val="auto"/>
              </w:rPr>
              <w:t>costs</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6.0</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0.2</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920" w:type="dxa"/>
            <w:vAlign w:val="bottom"/>
          </w:tcPr>
          <w:p>
            <w:pPr>
              <w:jc w:val="right"/>
              <w:ind w:right="77"/>
              <w:spacing w:after="0"/>
              <w:rPr>
                <w:sz w:val="20"/>
                <w:szCs w:val="20"/>
                <w:color w:val="auto"/>
              </w:rPr>
            </w:pPr>
            <w:r>
              <w:rPr>
                <w:rFonts w:ascii="Arial" w:cs="Arial" w:eastAsia="Arial" w:hAnsi="Arial"/>
                <w:sz w:val="13"/>
                <w:szCs w:val="13"/>
                <w:color w:val="auto"/>
              </w:rPr>
              <w:t>6.2</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6.2</w:t>
            </w:r>
          </w:p>
        </w:tc>
        <w:tc>
          <w:tcPr>
            <w:tcW w:w="0" w:type="dxa"/>
            <w:vAlign w:val="bottom"/>
          </w:tcPr>
          <w:p>
            <w:pPr>
              <w:spacing w:after="0"/>
              <w:rPr>
                <w:sz w:val="1"/>
                <w:szCs w:val="1"/>
                <w:color w:val="auto"/>
              </w:rPr>
            </w:pPr>
          </w:p>
        </w:tc>
      </w:tr>
      <w:tr>
        <w:trPr>
          <w:trHeight w:val="270"/>
        </w:trPr>
        <w:tc>
          <w:tcPr>
            <w:tcW w:w="1580" w:type="dxa"/>
            <w:vAlign w:val="bottom"/>
          </w:tcPr>
          <w:p>
            <w:pPr>
              <w:ind w:left="240"/>
              <w:spacing w:after="0"/>
              <w:rPr>
                <w:sz w:val="20"/>
                <w:szCs w:val="20"/>
                <w:color w:val="auto"/>
              </w:rPr>
            </w:pPr>
            <w:r>
              <w:rPr>
                <w:rFonts w:ascii="Arial" w:cs="Arial" w:eastAsia="Arial" w:hAnsi="Arial"/>
                <w:sz w:val="13"/>
                <w:szCs w:val="13"/>
                <w:color w:val="auto"/>
              </w:rPr>
              <w:t>Separation costs</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7.5</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1.9</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920" w:type="dxa"/>
            <w:vAlign w:val="bottom"/>
          </w:tcPr>
          <w:p>
            <w:pPr>
              <w:jc w:val="right"/>
              <w:ind w:right="77"/>
              <w:spacing w:after="0"/>
              <w:rPr>
                <w:sz w:val="20"/>
                <w:szCs w:val="20"/>
                <w:color w:val="auto"/>
              </w:rPr>
            </w:pPr>
            <w:r>
              <w:rPr>
                <w:rFonts w:ascii="Arial" w:cs="Arial" w:eastAsia="Arial" w:hAnsi="Arial"/>
                <w:sz w:val="13"/>
                <w:szCs w:val="13"/>
                <w:color w:val="auto"/>
              </w:rPr>
              <w:t>9.4</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9.4</w:t>
            </w:r>
          </w:p>
        </w:tc>
        <w:tc>
          <w:tcPr>
            <w:tcW w:w="0" w:type="dxa"/>
            <w:vAlign w:val="bottom"/>
          </w:tcPr>
          <w:p>
            <w:pPr>
              <w:spacing w:after="0"/>
              <w:rPr>
                <w:sz w:val="1"/>
                <w:szCs w:val="1"/>
                <w:color w:val="auto"/>
              </w:rPr>
            </w:pPr>
          </w:p>
        </w:tc>
      </w:tr>
      <w:tr>
        <w:trPr>
          <w:trHeight w:val="270"/>
        </w:trPr>
        <w:tc>
          <w:tcPr>
            <w:tcW w:w="1580" w:type="dxa"/>
            <w:vAlign w:val="bottom"/>
          </w:tcPr>
          <w:p>
            <w:pPr>
              <w:ind w:left="240"/>
              <w:spacing w:after="0"/>
              <w:rPr>
                <w:sz w:val="20"/>
                <w:szCs w:val="20"/>
                <w:color w:val="auto"/>
              </w:rPr>
            </w:pPr>
            <w:r>
              <w:rPr>
                <w:rFonts w:ascii="Arial" w:cs="Arial" w:eastAsia="Arial" w:hAnsi="Arial"/>
                <w:sz w:val="13"/>
                <w:szCs w:val="13"/>
                <w:color w:val="auto"/>
              </w:rPr>
              <w:t>Legal provision, net</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3"/>
                <w:szCs w:val="13"/>
                <w:color w:val="auto"/>
              </w:rPr>
              <w:t>(0.6)</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(0.6)</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(0.6)</w:t>
            </w:r>
          </w:p>
        </w:tc>
        <w:tc>
          <w:tcPr>
            <w:tcW w:w="0" w:type="dxa"/>
            <w:vAlign w:val="bottom"/>
          </w:tcPr>
          <w:p>
            <w:pPr>
              <w:spacing w:after="0"/>
              <w:rPr>
                <w:sz w:val="1"/>
                <w:szCs w:val="1"/>
                <w:color w:val="auto"/>
              </w:rPr>
            </w:pPr>
          </w:p>
        </w:tc>
      </w:tr>
      <w:tr>
        <w:trPr>
          <w:trHeight w:val="164"/>
        </w:trPr>
        <w:tc>
          <w:tcPr>
            <w:tcW w:w="1580" w:type="dxa"/>
            <w:vAlign w:val="bottom"/>
          </w:tcPr>
          <w:p>
            <w:pPr>
              <w:ind w:left="240"/>
              <w:spacing w:after="0"/>
              <w:rPr>
                <w:sz w:val="20"/>
                <w:szCs w:val="20"/>
                <w:color w:val="auto"/>
              </w:rPr>
            </w:pPr>
            <w:r>
              <w:rPr>
                <w:rFonts w:ascii="Arial" w:cs="Arial" w:eastAsia="Arial" w:hAnsi="Arial"/>
                <w:sz w:val="13"/>
                <w:szCs w:val="13"/>
                <w:color w:val="auto"/>
                <w:w w:val="86"/>
              </w:rPr>
              <w:t>Purchase price accounting</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580" w:type="dxa"/>
            <w:vAlign w:val="bottom"/>
          </w:tcPr>
          <w:p>
            <w:pPr>
              <w:ind w:left="240"/>
              <w:spacing w:after="0"/>
              <w:rPr>
                <w:sz w:val="20"/>
                <w:szCs w:val="20"/>
                <w:color w:val="auto"/>
              </w:rPr>
            </w:pPr>
            <w:r>
              <w:rPr>
                <w:rFonts w:ascii="Arial" w:cs="Arial" w:eastAsia="Arial" w:hAnsi="Arial"/>
                <w:sz w:val="13"/>
                <w:szCs w:val="13"/>
                <w:color w:val="auto"/>
              </w:rPr>
              <w:t>adjustment</w:t>
            </w: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3"/>
                <w:szCs w:val="13"/>
                <w:color w:val="auto"/>
              </w:rPr>
              <w:t>6.5</w:t>
            </w: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w:t>
            </w:r>
          </w:p>
        </w:tc>
        <w:tc>
          <w:tcPr>
            <w:tcW w:w="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8.5</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(8.5)</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41"/>
        </w:trPr>
        <w:tc>
          <w:tcPr>
            <w:tcW w:w="1580" w:type="dxa"/>
            <w:vAlign w:val="bottom"/>
          </w:tcPr>
          <w:p>
            <w:pPr>
              <w:spacing w:after="0"/>
              <w:rPr>
                <w:sz w:val="20"/>
                <w:szCs w:val="20"/>
                <w:color w:val="auto"/>
              </w:rPr>
            </w:pPr>
            <w:r>
              <w:rPr>
                <w:rFonts w:ascii="Arial" w:cs="Arial" w:eastAsia="Arial" w:hAnsi="Arial"/>
                <w:sz w:val="13"/>
                <w:szCs w:val="13"/>
                <w:color w:val="auto"/>
                <w:w w:val="95"/>
              </w:rPr>
              <w:t>Adjusted financial measures</w:t>
            </w:r>
          </w:p>
        </w:tc>
        <w:tc>
          <w:tcPr>
            <w:tcW w:w="200" w:type="dxa"/>
            <w:vAlign w:val="bottom"/>
            <w:gridSpan w:val="2"/>
          </w:tcPr>
          <w:p>
            <w:pPr>
              <w:ind w:left="140"/>
              <w:spacing w:after="0"/>
              <w:rPr>
                <w:sz w:val="20"/>
                <w:szCs w:val="20"/>
                <w:color w:val="auto"/>
              </w:rPr>
            </w:pPr>
            <w:r>
              <w:rPr>
                <w:rFonts w:ascii="Arial" w:cs="Arial" w:eastAsia="Arial" w:hAnsi="Arial"/>
                <w:sz w:val="9"/>
                <w:szCs w:val="9"/>
                <w:color w:val="auto"/>
                <w:w w:val="78"/>
              </w:rPr>
              <w:t>$</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54.4</w:t>
            </w:r>
          </w:p>
        </w:tc>
        <w:tc>
          <w:tcPr>
            <w:tcW w:w="2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3.8</w:t>
            </w:r>
          </w:p>
        </w:tc>
        <w:tc>
          <w:tcPr>
            <w:tcW w:w="40" w:type="dxa"/>
            <w:vAlign w:val="bottom"/>
          </w:tcPr>
          <w:p>
            <w:pPr>
              <w:spacing w:after="0"/>
              <w:rPr>
                <w:sz w:val="20"/>
                <w:szCs w:val="20"/>
                <w:color w:val="auto"/>
              </w:rPr>
            </w:pPr>
          </w:p>
        </w:tc>
        <w:tc>
          <w:tcPr>
            <w:tcW w:w="18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71.4</w:t>
            </w:r>
          </w:p>
        </w:tc>
        <w:tc>
          <w:tcPr>
            <w:tcW w:w="260" w:type="dxa"/>
            <w:vAlign w:val="bottom"/>
            <w:gridSpan w:val="3"/>
          </w:tcPr>
          <w:p>
            <w:pPr>
              <w:jc w:val="right"/>
              <w:ind w:right="40"/>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116.5</w:t>
            </w:r>
          </w:p>
        </w:tc>
        <w:tc>
          <w:tcPr>
            <w:tcW w:w="12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77"/>
              <w:spacing w:after="0"/>
              <w:rPr>
                <w:sz w:val="20"/>
                <w:szCs w:val="20"/>
                <w:color w:val="auto"/>
              </w:rPr>
            </w:pPr>
            <w:r>
              <w:rPr>
                <w:rFonts w:ascii="Arial" w:cs="Arial" w:eastAsia="Arial" w:hAnsi="Arial"/>
                <w:sz w:val="13"/>
                <w:szCs w:val="13"/>
                <w:color w:val="auto"/>
              </w:rPr>
              <w:t>246.1</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ind w:right="17"/>
              <w:spacing w:after="0"/>
              <w:rPr>
                <w:sz w:val="20"/>
                <w:szCs w:val="20"/>
                <w:color w:val="auto"/>
              </w:rPr>
            </w:pPr>
            <w:r>
              <w:rPr>
                <w:rFonts w:ascii="Arial" w:cs="Arial" w:eastAsia="Arial" w:hAnsi="Arial"/>
                <w:sz w:val="13"/>
                <w:szCs w:val="13"/>
                <w:color w:val="auto"/>
              </w:rPr>
              <w:t>133.1</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379.2</w:t>
            </w:r>
          </w:p>
        </w:tc>
        <w:tc>
          <w:tcPr>
            <w:tcW w:w="0" w:type="dxa"/>
            <w:vAlign w:val="bottom"/>
          </w:tcPr>
          <w:p>
            <w:pPr>
              <w:spacing w:after="0"/>
              <w:rPr>
                <w:sz w:val="1"/>
                <w:szCs w:val="1"/>
                <w:color w:val="auto"/>
              </w:rPr>
            </w:pPr>
          </w:p>
        </w:tc>
      </w:tr>
      <w:tr>
        <w:trPr>
          <w:trHeight w:val="20"/>
        </w:trPr>
        <w:tc>
          <w:tcPr>
            <w:tcW w:w="1580" w:type="dxa"/>
            <w:vAlign w:val="bottom"/>
            <w:vMerge w:val="restart"/>
          </w:tcPr>
          <w:p>
            <w:pPr>
              <w:spacing w:after="0"/>
              <w:rPr>
                <w:sz w:val="20"/>
                <w:szCs w:val="20"/>
                <w:color w:val="auto"/>
              </w:rPr>
            </w:pPr>
            <w:r>
              <w:rPr>
                <w:rFonts w:ascii="Arial" w:cs="Arial" w:eastAsia="Arial" w:hAnsi="Arial"/>
                <w:sz w:val="13"/>
                <w:szCs w:val="13"/>
                <w:color w:val="auto"/>
              </w:rPr>
              <w:t>Diluted earnings per share</w:t>
            </w: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1"/>
        </w:trPr>
        <w:tc>
          <w:tcPr>
            <w:tcW w:w="15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780" w:type="dxa"/>
            <w:vAlign w:val="bottom"/>
            <w:gridSpan w:val="3"/>
          </w:tcPr>
          <w:p>
            <w:pPr>
              <w:spacing w:after="0" w:line="135" w:lineRule="exact"/>
              <w:rPr>
                <w:sz w:val="20"/>
                <w:szCs w:val="20"/>
                <w:color w:val="auto"/>
              </w:rPr>
            </w:pPr>
            <w:r>
              <w:rPr>
                <w:rFonts w:ascii="Arial" w:cs="Arial" w:eastAsia="Arial" w:hAnsi="Arial"/>
                <w:sz w:val="13"/>
                <w:szCs w:val="13"/>
                <w:color w:val="auto"/>
                <w:w w:val="97"/>
              </w:rPr>
              <w:t>attributable to TechnipFMC plc,</w:t>
            </w: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1580" w:type="dxa"/>
            <w:vAlign w:val="bottom"/>
          </w:tcPr>
          <w:p>
            <w:pPr>
              <w:spacing w:after="0"/>
              <w:rPr>
                <w:sz w:val="20"/>
                <w:szCs w:val="20"/>
                <w:color w:val="auto"/>
              </w:rPr>
            </w:pPr>
            <w:r>
              <w:rPr>
                <w:rFonts w:ascii="Arial" w:cs="Arial" w:eastAsia="Arial" w:hAnsi="Arial"/>
                <w:sz w:val="13"/>
                <w:szCs w:val="13"/>
                <w:color w:val="auto"/>
              </w:rPr>
              <w:t>as reported</w:t>
            </w:r>
          </w:p>
        </w:tc>
        <w:tc>
          <w:tcPr>
            <w:tcW w:w="200" w:type="dxa"/>
            <w:vAlign w:val="bottom"/>
            <w:gridSpan w:val="2"/>
          </w:tcPr>
          <w:p>
            <w:pPr>
              <w:ind w:left="140"/>
              <w:spacing w:after="0"/>
              <w:rPr>
                <w:sz w:val="20"/>
                <w:szCs w:val="20"/>
                <w:color w:val="auto"/>
              </w:rPr>
            </w:pPr>
            <w:r>
              <w:rPr>
                <w:rFonts w:ascii="Arial" w:cs="Arial" w:eastAsia="Arial" w:hAnsi="Arial"/>
                <w:sz w:val="9"/>
                <w:szCs w:val="9"/>
                <w:color w:val="auto"/>
                <w:w w:val="78"/>
              </w:rPr>
              <w:t>$</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0.05</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580" w:type="dxa"/>
            <w:vAlign w:val="bottom"/>
          </w:tcPr>
          <w:p>
            <w:pPr>
              <w:spacing w:after="0"/>
              <w:rPr>
                <w:sz w:val="20"/>
                <w:szCs w:val="20"/>
                <w:color w:val="auto"/>
              </w:rPr>
            </w:pPr>
            <w:r>
              <w:rPr>
                <w:rFonts w:ascii="Arial" w:cs="Arial" w:eastAsia="Arial" w:hAnsi="Arial"/>
                <w:sz w:val="13"/>
                <w:szCs w:val="13"/>
                <w:color w:val="auto"/>
                <w:w w:val="92"/>
              </w:rPr>
              <w:t>Adjusted diluted earnings per</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580" w:type="dxa"/>
            <w:vAlign w:val="bottom"/>
          </w:tcPr>
          <w:p>
            <w:pPr>
              <w:spacing w:after="0" w:line="135" w:lineRule="exact"/>
              <w:rPr>
                <w:sz w:val="20"/>
                <w:szCs w:val="20"/>
                <w:color w:val="auto"/>
              </w:rPr>
            </w:pPr>
            <w:r>
              <w:rPr>
                <w:rFonts w:ascii="Arial" w:cs="Arial" w:eastAsia="Arial" w:hAnsi="Arial"/>
                <w:sz w:val="13"/>
                <w:szCs w:val="13"/>
                <w:color w:val="auto"/>
              </w:rPr>
              <w:t>share attributable to</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1580" w:type="dxa"/>
            <w:vAlign w:val="bottom"/>
          </w:tcPr>
          <w:p>
            <w:pPr>
              <w:spacing w:after="0"/>
              <w:rPr>
                <w:sz w:val="20"/>
                <w:szCs w:val="20"/>
                <w:color w:val="auto"/>
              </w:rPr>
            </w:pPr>
            <w:r>
              <w:rPr>
                <w:rFonts w:ascii="Arial" w:cs="Arial" w:eastAsia="Arial" w:hAnsi="Arial"/>
                <w:sz w:val="13"/>
                <w:szCs w:val="13"/>
                <w:color w:val="auto"/>
              </w:rPr>
              <w:t>TechnipFMC plc</w:t>
            </w:r>
          </w:p>
        </w:tc>
        <w:tc>
          <w:tcPr>
            <w:tcW w:w="200" w:type="dxa"/>
            <w:vAlign w:val="bottom"/>
            <w:gridSpan w:val="2"/>
          </w:tcPr>
          <w:p>
            <w:pPr>
              <w:ind w:left="140"/>
              <w:spacing w:after="0"/>
              <w:rPr>
                <w:sz w:val="20"/>
                <w:szCs w:val="20"/>
                <w:color w:val="auto"/>
              </w:rPr>
            </w:pPr>
            <w:r>
              <w:rPr>
                <w:rFonts w:ascii="Arial" w:cs="Arial" w:eastAsia="Arial" w:hAnsi="Arial"/>
                <w:sz w:val="9"/>
                <w:szCs w:val="9"/>
                <w:color w:val="auto"/>
                <w:w w:val="78"/>
              </w:rPr>
              <w:t>$</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0.12</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83"/>
        </w:trPr>
        <w:tc>
          <w:tcPr>
            <w:tcW w:w="15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5"/>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80" w:type="dxa"/>
            <w:vAlign w:val="bottom"/>
            <w:gridSpan w:val="5"/>
          </w:tcPr>
          <w:p>
            <w:pPr>
              <w:jc w:val="center"/>
              <w:spacing w:after="0"/>
              <w:rPr>
                <w:sz w:val="20"/>
                <w:szCs w:val="20"/>
                <w:color w:val="auto"/>
              </w:rPr>
            </w:pPr>
            <w:r>
              <w:rPr>
                <w:rFonts w:ascii="Arial" w:cs="Arial" w:eastAsia="Arial" w:hAnsi="Arial"/>
                <w:sz w:val="13"/>
                <w:szCs w:val="13"/>
                <w:b w:val="1"/>
                <w:bCs w:val="1"/>
                <w:color w:val="auto"/>
                <w:w w:val="88"/>
              </w:rPr>
              <w:t>Three Months Ended</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40" w:type="dxa"/>
            <w:vAlign w:val="bottom"/>
            <w:gridSpan w:val="4"/>
          </w:tcPr>
          <w:p>
            <w:pPr>
              <w:jc w:val="center"/>
              <w:ind w:right="40"/>
              <w:spacing w:after="0"/>
              <w:rPr>
                <w:sz w:val="20"/>
                <w:szCs w:val="20"/>
                <w:color w:val="auto"/>
              </w:rPr>
            </w:pPr>
            <w:r>
              <w:rPr>
                <w:rFonts w:ascii="Arial" w:cs="Arial" w:eastAsia="Arial" w:hAnsi="Arial"/>
                <w:sz w:val="13"/>
                <w:szCs w:val="13"/>
                <w:b w:val="1"/>
                <w:bCs w:val="1"/>
                <w:color w:val="auto"/>
                <w:w w:val="87"/>
              </w:rPr>
              <w:t>September 30, 2018</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7"/>
        </w:trPr>
        <w:tc>
          <w:tcPr>
            <w:tcW w:w="15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1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88"/>
              </w:rPr>
              <w:t>Earnings before</w:t>
            </w:r>
          </w:p>
        </w:tc>
        <w:tc>
          <w:tcPr>
            <w:tcW w:w="0" w:type="dxa"/>
            <w:vAlign w:val="bottom"/>
          </w:tcPr>
          <w:p>
            <w:pPr>
              <w:spacing w:after="0"/>
              <w:rPr>
                <w:sz w:val="1"/>
                <w:szCs w:val="1"/>
                <w:color w:val="auto"/>
              </w:rPr>
            </w:pPr>
          </w:p>
        </w:tc>
      </w:tr>
      <w:tr>
        <w:trPr>
          <w:trHeight w:val="135"/>
        </w:trPr>
        <w:tc>
          <w:tcPr>
            <w:tcW w:w="1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jc w:val="center"/>
              <w:ind w:right="57"/>
              <w:spacing w:after="0" w:line="135" w:lineRule="exact"/>
              <w:rPr>
                <w:sz w:val="20"/>
                <w:szCs w:val="20"/>
                <w:color w:val="auto"/>
              </w:rPr>
            </w:pPr>
            <w:r>
              <w:rPr>
                <w:rFonts w:ascii="Arial" w:cs="Arial" w:eastAsia="Arial" w:hAnsi="Arial"/>
                <w:sz w:val="13"/>
                <w:szCs w:val="13"/>
                <w:b w:val="1"/>
                <w:bCs w:val="1"/>
                <w:color w:val="auto"/>
                <w:w w:val="85"/>
              </w:rPr>
              <w:t>net interest</w:t>
            </w:r>
          </w:p>
        </w:tc>
        <w:tc>
          <w:tcPr>
            <w:tcW w:w="0" w:type="dxa"/>
            <w:vAlign w:val="bottom"/>
          </w:tcPr>
          <w:p>
            <w:pPr>
              <w:spacing w:after="0"/>
              <w:rPr>
                <w:sz w:val="1"/>
                <w:szCs w:val="1"/>
                <w:color w:val="auto"/>
              </w:rPr>
            </w:pPr>
          </w:p>
        </w:tc>
      </w:tr>
      <w:tr>
        <w:trPr>
          <w:trHeight w:val="135"/>
        </w:trPr>
        <w:tc>
          <w:tcPr>
            <w:tcW w:w="1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5"/>
              </w:rPr>
              <w:t>Income (loss)</w:t>
            </w: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3"/>
              </w:rPr>
              <w:t>expense, income</w:t>
            </w:r>
          </w:p>
        </w:tc>
        <w:tc>
          <w:tcPr>
            <w:tcW w:w="0" w:type="dxa"/>
            <w:vAlign w:val="bottom"/>
          </w:tcPr>
          <w:p>
            <w:pPr>
              <w:spacing w:after="0"/>
              <w:rPr>
                <w:sz w:val="1"/>
                <w:szCs w:val="1"/>
                <w:color w:val="auto"/>
              </w:rPr>
            </w:pPr>
          </w:p>
        </w:tc>
      </w:tr>
      <w:tr>
        <w:trPr>
          <w:trHeight w:val="135"/>
        </w:trPr>
        <w:tc>
          <w:tcPr>
            <w:tcW w:w="1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gridSpan w:val="4"/>
          </w:tcPr>
          <w:p>
            <w:pPr>
              <w:jc w:val="center"/>
              <w:ind w:right="100"/>
              <w:spacing w:after="0" w:line="135" w:lineRule="exact"/>
              <w:rPr>
                <w:sz w:val="20"/>
                <w:szCs w:val="20"/>
                <w:color w:val="auto"/>
              </w:rPr>
            </w:pPr>
            <w:r>
              <w:rPr>
                <w:rFonts w:ascii="Arial" w:cs="Arial" w:eastAsia="Arial" w:hAnsi="Arial"/>
                <w:sz w:val="13"/>
                <w:szCs w:val="13"/>
                <w:b w:val="1"/>
                <w:bCs w:val="1"/>
                <w:color w:val="auto"/>
                <w:w w:val="84"/>
              </w:rPr>
              <w:t>Net income (loss)</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w w:val="96"/>
              </w:rPr>
              <w:t>before net interest</w:t>
            </w: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jc w:val="center"/>
              <w:ind w:right="57"/>
              <w:spacing w:after="0" w:line="135" w:lineRule="exact"/>
              <w:rPr>
                <w:sz w:val="20"/>
                <w:szCs w:val="20"/>
                <w:color w:val="auto"/>
              </w:rPr>
            </w:pPr>
            <w:r>
              <w:rPr>
                <w:rFonts w:ascii="Arial" w:cs="Arial" w:eastAsia="Arial" w:hAnsi="Arial"/>
                <w:sz w:val="13"/>
                <w:szCs w:val="13"/>
                <w:b w:val="1"/>
                <w:bCs w:val="1"/>
                <w:color w:val="auto"/>
                <w:w w:val="86"/>
              </w:rPr>
              <w:t>taxes,</w:t>
            </w:r>
          </w:p>
        </w:tc>
        <w:tc>
          <w:tcPr>
            <w:tcW w:w="0" w:type="dxa"/>
            <w:vAlign w:val="bottom"/>
          </w:tcPr>
          <w:p>
            <w:pPr>
              <w:spacing w:after="0"/>
              <w:rPr>
                <w:sz w:val="1"/>
                <w:szCs w:val="1"/>
                <w:color w:val="auto"/>
              </w:rPr>
            </w:pPr>
          </w:p>
        </w:tc>
      </w:tr>
      <w:tr>
        <w:trPr>
          <w:trHeight w:val="135"/>
        </w:trPr>
        <w:tc>
          <w:tcPr>
            <w:tcW w:w="1580" w:type="dxa"/>
            <w:vAlign w:val="bottom"/>
          </w:tcPr>
          <w:p>
            <w:pPr>
              <w:spacing w:after="0"/>
              <w:rPr>
                <w:sz w:val="11"/>
                <w:szCs w:val="11"/>
                <w:color w:val="auto"/>
              </w:rPr>
            </w:pPr>
          </w:p>
        </w:tc>
        <w:tc>
          <w:tcPr>
            <w:tcW w:w="1140" w:type="dxa"/>
            <w:vAlign w:val="bottom"/>
            <w:gridSpan w:val="5"/>
          </w:tcPr>
          <w:p>
            <w:pPr>
              <w:ind w:left="40"/>
              <w:spacing w:after="0" w:line="135" w:lineRule="exact"/>
              <w:rPr>
                <w:sz w:val="20"/>
                <w:szCs w:val="20"/>
                <w:color w:val="auto"/>
              </w:rPr>
            </w:pPr>
            <w:r>
              <w:rPr>
                <w:rFonts w:ascii="Arial" w:cs="Arial" w:eastAsia="Arial" w:hAnsi="Arial"/>
                <w:sz w:val="13"/>
                <w:szCs w:val="13"/>
                <w:b w:val="1"/>
                <w:bCs w:val="1"/>
                <w:color w:val="auto"/>
                <w:w w:val="99"/>
              </w:rPr>
              <w:t>Net income (loss)</w:t>
            </w:r>
          </w:p>
        </w:tc>
        <w:tc>
          <w:tcPr>
            <w:tcW w:w="100" w:type="dxa"/>
            <w:vAlign w:val="bottom"/>
          </w:tcPr>
          <w:p>
            <w:pPr>
              <w:spacing w:after="0"/>
              <w:rPr>
                <w:sz w:val="11"/>
                <w:szCs w:val="11"/>
                <w:color w:val="auto"/>
              </w:rPr>
            </w:pPr>
          </w:p>
        </w:tc>
        <w:tc>
          <w:tcPr>
            <w:tcW w:w="960" w:type="dxa"/>
            <w:vAlign w:val="bottom"/>
            <w:gridSpan w:val="3"/>
          </w:tcPr>
          <w:p>
            <w:pPr>
              <w:jc w:val="center"/>
              <w:ind w:right="180"/>
              <w:spacing w:after="0" w:line="135" w:lineRule="exact"/>
              <w:rPr>
                <w:sz w:val="20"/>
                <w:szCs w:val="20"/>
                <w:color w:val="auto"/>
              </w:rPr>
            </w:pPr>
            <w:r>
              <w:rPr>
                <w:rFonts w:ascii="Arial" w:cs="Arial" w:eastAsia="Arial" w:hAnsi="Arial"/>
                <w:sz w:val="13"/>
                <w:szCs w:val="13"/>
                <w:b w:val="1"/>
                <w:bCs w:val="1"/>
                <w:color w:val="auto"/>
                <w:w w:val="89"/>
              </w:rPr>
              <w:t>attributable to</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3"/>
              </w:rPr>
              <w:t>expense and</w:t>
            </w:r>
          </w:p>
        </w:tc>
        <w:tc>
          <w:tcPr>
            <w:tcW w:w="100" w:type="dxa"/>
            <w:vAlign w:val="bottom"/>
          </w:tcPr>
          <w:p>
            <w:pPr>
              <w:spacing w:after="0"/>
              <w:rPr>
                <w:sz w:val="11"/>
                <w:szCs w:val="11"/>
                <w:color w:val="auto"/>
              </w:rPr>
            </w:pPr>
          </w:p>
        </w:tc>
        <w:tc>
          <w:tcPr>
            <w:tcW w:w="9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8"/>
              </w:rPr>
              <w:t>Depreciation</w:t>
            </w:r>
          </w:p>
        </w:tc>
        <w:tc>
          <w:tcPr>
            <w:tcW w:w="96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8"/>
              </w:rPr>
              <w:t>depreciation and</w:t>
            </w:r>
          </w:p>
        </w:tc>
        <w:tc>
          <w:tcPr>
            <w:tcW w:w="0" w:type="dxa"/>
            <w:vAlign w:val="bottom"/>
          </w:tcPr>
          <w:p>
            <w:pPr>
              <w:spacing w:after="0"/>
              <w:rPr>
                <w:sz w:val="1"/>
                <w:szCs w:val="1"/>
                <w:color w:val="auto"/>
              </w:rPr>
            </w:pPr>
          </w:p>
        </w:tc>
      </w:tr>
      <w:tr>
        <w:trPr>
          <w:trHeight w:val="135"/>
        </w:trPr>
        <w:tc>
          <w:tcPr>
            <w:tcW w:w="1580" w:type="dxa"/>
            <w:vAlign w:val="bottom"/>
          </w:tcPr>
          <w:p>
            <w:pPr>
              <w:spacing w:after="0"/>
              <w:rPr>
                <w:sz w:val="11"/>
                <w:szCs w:val="11"/>
                <w:color w:val="auto"/>
              </w:rPr>
            </w:pPr>
          </w:p>
        </w:tc>
        <w:tc>
          <w:tcPr>
            <w:tcW w:w="1140" w:type="dxa"/>
            <w:vAlign w:val="bottom"/>
            <w:gridSpan w:val="5"/>
          </w:tcPr>
          <w:p>
            <w:pPr>
              <w:ind w:left="100"/>
              <w:spacing w:after="0" w:line="135" w:lineRule="exact"/>
              <w:rPr>
                <w:sz w:val="20"/>
                <w:szCs w:val="20"/>
                <w:color w:val="auto"/>
              </w:rPr>
            </w:pPr>
            <w:r>
              <w:rPr>
                <w:rFonts w:ascii="Arial" w:cs="Arial" w:eastAsia="Arial" w:hAnsi="Arial"/>
                <w:sz w:val="13"/>
                <w:szCs w:val="13"/>
                <w:b w:val="1"/>
                <w:bCs w:val="1"/>
                <w:color w:val="auto"/>
              </w:rPr>
              <w:t>attributable to</w:t>
            </w:r>
          </w:p>
        </w:tc>
        <w:tc>
          <w:tcPr>
            <w:tcW w:w="1060" w:type="dxa"/>
            <w:vAlign w:val="bottom"/>
            <w:gridSpan w:val="4"/>
          </w:tcPr>
          <w:p>
            <w:pPr>
              <w:jc w:val="center"/>
              <w:ind w:right="100"/>
              <w:spacing w:after="0" w:line="135" w:lineRule="exact"/>
              <w:rPr>
                <w:sz w:val="20"/>
                <w:szCs w:val="20"/>
                <w:color w:val="auto"/>
              </w:rPr>
            </w:pPr>
            <w:r>
              <w:rPr>
                <w:rFonts w:ascii="Arial" w:cs="Arial" w:eastAsia="Arial" w:hAnsi="Arial"/>
                <w:sz w:val="13"/>
                <w:szCs w:val="13"/>
                <w:b w:val="1"/>
                <w:bCs w:val="1"/>
                <w:color w:val="auto"/>
                <w:w w:val="87"/>
              </w:rPr>
              <w:t>noncontrolling</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right"/>
              <w:ind w:right="37"/>
              <w:spacing w:after="0" w:line="135" w:lineRule="exact"/>
              <w:rPr>
                <w:sz w:val="20"/>
                <w:szCs w:val="20"/>
                <w:color w:val="auto"/>
              </w:rPr>
            </w:pPr>
            <w:r>
              <w:rPr>
                <w:rFonts w:ascii="Arial" w:cs="Arial" w:eastAsia="Arial" w:hAnsi="Arial"/>
                <w:sz w:val="13"/>
                <w:szCs w:val="13"/>
                <w:b w:val="1"/>
                <w:bCs w:val="1"/>
                <w:color w:val="auto"/>
                <w:w w:val="84"/>
              </w:rPr>
              <w:t>Provision for</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6"/>
              </w:rPr>
              <w:t>Net interest</w:t>
            </w:r>
          </w:p>
        </w:tc>
        <w:tc>
          <w:tcPr>
            <w:tcW w:w="120" w:type="dxa"/>
            <w:vAlign w:val="bottom"/>
          </w:tcPr>
          <w:p>
            <w:pPr>
              <w:spacing w:after="0"/>
              <w:rPr>
                <w:sz w:val="11"/>
                <w:szCs w:val="11"/>
                <w:color w:val="auto"/>
              </w:rPr>
            </w:pPr>
          </w:p>
        </w:tc>
        <w:tc>
          <w:tcPr>
            <w:tcW w:w="102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2"/>
              </w:rPr>
              <w:t>income taxes</w:t>
            </w:r>
          </w:p>
        </w:tc>
        <w:tc>
          <w:tcPr>
            <w:tcW w:w="100" w:type="dxa"/>
            <w:vAlign w:val="bottom"/>
          </w:tcPr>
          <w:p>
            <w:pPr>
              <w:spacing w:after="0"/>
              <w:rPr>
                <w:sz w:val="11"/>
                <w:szCs w:val="11"/>
                <w:color w:val="auto"/>
              </w:rPr>
            </w:pPr>
          </w:p>
        </w:tc>
        <w:tc>
          <w:tcPr>
            <w:tcW w:w="96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6"/>
              </w:rPr>
              <w:t>and</w:t>
            </w:r>
          </w:p>
        </w:tc>
        <w:tc>
          <w:tcPr>
            <w:tcW w:w="120" w:type="dxa"/>
            <w:vAlign w:val="bottom"/>
          </w:tcPr>
          <w:p>
            <w:pPr>
              <w:spacing w:after="0"/>
              <w:rPr>
                <w:sz w:val="11"/>
                <w:szCs w:val="11"/>
                <w:color w:val="auto"/>
              </w:rPr>
            </w:pPr>
          </w:p>
        </w:tc>
        <w:tc>
          <w:tcPr>
            <w:tcW w:w="840" w:type="dxa"/>
            <w:vAlign w:val="bottom"/>
          </w:tcPr>
          <w:p>
            <w:pPr>
              <w:jc w:val="center"/>
              <w:ind w:right="57"/>
              <w:spacing w:after="0" w:line="135" w:lineRule="exact"/>
              <w:rPr>
                <w:sz w:val="20"/>
                <w:szCs w:val="20"/>
                <w:color w:val="auto"/>
              </w:rPr>
            </w:pPr>
            <w:r>
              <w:rPr>
                <w:rFonts w:ascii="Arial" w:cs="Arial" w:eastAsia="Arial" w:hAnsi="Arial"/>
                <w:sz w:val="13"/>
                <w:szCs w:val="13"/>
                <w:b w:val="1"/>
                <w:bCs w:val="1"/>
                <w:color w:val="auto"/>
                <w:w w:val="87"/>
              </w:rPr>
              <w:t>amortization</w:t>
            </w:r>
          </w:p>
        </w:tc>
        <w:tc>
          <w:tcPr>
            <w:tcW w:w="0" w:type="dxa"/>
            <w:vAlign w:val="bottom"/>
          </w:tcPr>
          <w:p>
            <w:pPr>
              <w:spacing w:after="0"/>
              <w:rPr>
                <w:sz w:val="1"/>
                <w:szCs w:val="1"/>
                <w:color w:val="auto"/>
              </w:rPr>
            </w:pPr>
          </w:p>
        </w:tc>
      </w:tr>
      <w:tr>
        <w:trPr>
          <w:trHeight w:val="174"/>
        </w:trPr>
        <w:tc>
          <w:tcPr>
            <w:tcW w:w="1580" w:type="dxa"/>
            <w:vAlign w:val="bottom"/>
          </w:tcPr>
          <w:p>
            <w:pPr>
              <w:spacing w:after="0"/>
              <w:rPr>
                <w:sz w:val="15"/>
                <w:szCs w:val="15"/>
                <w:color w:val="auto"/>
              </w:rPr>
            </w:pPr>
          </w:p>
        </w:tc>
        <w:tc>
          <w:tcPr>
            <w:tcW w:w="1000" w:type="dxa"/>
            <w:vAlign w:val="bottom"/>
            <w:tcBorders>
              <w:bottom w:val="single" w:sz="8" w:color="auto"/>
            </w:tcBorders>
            <w:gridSpan w:val="3"/>
          </w:tcPr>
          <w:p>
            <w:pPr>
              <w:ind w:left="40"/>
              <w:spacing w:after="0"/>
              <w:rPr>
                <w:sz w:val="20"/>
                <w:szCs w:val="20"/>
                <w:color w:val="auto"/>
              </w:rPr>
            </w:pPr>
            <w:r>
              <w:rPr>
                <w:rFonts w:ascii="Arial" w:cs="Arial" w:eastAsia="Arial" w:hAnsi="Arial"/>
                <w:sz w:val="13"/>
                <w:szCs w:val="13"/>
                <w:b w:val="1"/>
                <w:bCs w:val="1"/>
                <w:color w:val="auto"/>
                <w:w w:val="93"/>
              </w:rPr>
              <w:t>TechnipFMC plc</w:t>
            </w:r>
          </w:p>
        </w:tc>
        <w:tc>
          <w:tcPr>
            <w:tcW w:w="1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157"/>
              <w:spacing w:after="0"/>
              <w:rPr>
                <w:sz w:val="20"/>
                <w:szCs w:val="20"/>
                <w:color w:val="auto"/>
              </w:rPr>
            </w:pPr>
            <w:r>
              <w:rPr>
                <w:rFonts w:ascii="Arial" w:cs="Arial" w:eastAsia="Arial" w:hAnsi="Arial"/>
                <w:sz w:val="13"/>
                <w:szCs w:val="13"/>
                <w:b w:val="1"/>
                <w:bCs w:val="1"/>
                <w:color w:val="auto"/>
                <w:w w:val="84"/>
              </w:rPr>
              <w:t>interests</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w w:val="82"/>
              </w:rPr>
              <w:t>income taxes</w:t>
            </w:r>
          </w:p>
        </w:tc>
        <w:tc>
          <w:tcPr>
            <w:tcW w:w="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color w:val="auto"/>
                <w:w w:val="80"/>
              </w:rPr>
              <w:t>expense</w:t>
            </w:r>
          </w:p>
        </w:tc>
        <w:tc>
          <w:tcPr>
            <w:tcW w:w="120" w:type="dxa"/>
            <w:vAlign w:val="bottom"/>
          </w:tcPr>
          <w:p>
            <w:pPr>
              <w:spacing w:after="0"/>
              <w:rPr>
                <w:sz w:val="15"/>
                <w:szCs w:val="15"/>
                <w:color w:val="auto"/>
              </w:rPr>
            </w:pPr>
          </w:p>
        </w:tc>
        <w:tc>
          <w:tcPr>
            <w:tcW w:w="104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w w:val="93"/>
              </w:rPr>
              <w:t>(Operating profit)</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0"/>
              </w:rPr>
              <w:t>amortization</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8"/>
              </w:rPr>
              <w:t>(EBITDA)</w:t>
            </w:r>
          </w:p>
        </w:tc>
        <w:tc>
          <w:tcPr>
            <w:tcW w:w="0" w:type="dxa"/>
            <w:vAlign w:val="bottom"/>
          </w:tcPr>
          <w:p>
            <w:pPr>
              <w:spacing w:after="0"/>
              <w:rPr>
                <w:sz w:val="1"/>
                <w:szCs w:val="1"/>
                <w:color w:val="auto"/>
              </w:rPr>
            </w:pPr>
          </w:p>
        </w:tc>
      </w:tr>
      <w:tr>
        <w:trPr>
          <w:trHeight w:val="241"/>
        </w:trPr>
        <w:tc>
          <w:tcPr>
            <w:tcW w:w="1580" w:type="dxa"/>
            <w:vAlign w:val="bottom"/>
          </w:tcPr>
          <w:p>
            <w:pPr>
              <w:spacing w:after="0"/>
              <w:rPr>
                <w:sz w:val="20"/>
                <w:szCs w:val="20"/>
                <w:color w:val="auto"/>
              </w:rPr>
            </w:pPr>
            <w:r>
              <w:rPr>
                <w:rFonts w:ascii="Arial" w:cs="Arial" w:eastAsia="Arial" w:hAnsi="Arial"/>
                <w:sz w:val="13"/>
                <w:szCs w:val="13"/>
                <w:color w:val="auto"/>
                <w:w w:val="93"/>
              </w:rPr>
              <w:t>TechnipFMC plc, as reported</w:t>
            </w: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0"/>
                <w:szCs w:val="20"/>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136.9</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0" w:type="dxa"/>
            <w:vAlign w:val="bottom"/>
          </w:tcPr>
          <w:p>
            <w:pPr>
              <w:spacing w:after="0"/>
              <w:rPr>
                <w:sz w:val="20"/>
                <w:szCs w:val="20"/>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(2.7)</w:t>
            </w:r>
          </w:p>
        </w:tc>
        <w:tc>
          <w:tcPr>
            <w:tcW w:w="40" w:type="dxa"/>
            <w:vAlign w:val="bottom"/>
          </w:tcPr>
          <w:p>
            <w:pPr>
              <w:spacing w:after="0"/>
              <w:rPr>
                <w:sz w:val="20"/>
                <w:szCs w:val="20"/>
                <w:color w:val="auto"/>
              </w:rPr>
            </w:pPr>
          </w:p>
        </w:tc>
        <w:tc>
          <w:tcPr>
            <w:tcW w:w="180" w:type="dxa"/>
            <w:vAlign w:val="bottom"/>
            <w:gridSpan w:val="3"/>
          </w:tcPr>
          <w:p>
            <w:pPr>
              <w:jc w:val="right"/>
              <w:ind w:right="40"/>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66.7</w:t>
            </w:r>
          </w:p>
        </w:tc>
        <w:tc>
          <w:tcPr>
            <w:tcW w:w="260" w:type="dxa"/>
            <w:vAlign w:val="bottom"/>
            <w:gridSpan w:val="3"/>
          </w:tcPr>
          <w:p>
            <w:pPr>
              <w:jc w:val="right"/>
              <w:ind w:right="40"/>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106.0</w:t>
            </w:r>
          </w:p>
        </w:tc>
        <w:tc>
          <w:tcPr>
            <w:tcW w:w="12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77"/>
              <w:spacing w:after="0"/>
              <w:rPr>
                <w:sz w:val="20"/>
                <w:szCs w:val="20"/>
                <w:color w:val="auto"/>
              </w:rPr>
            </w:pPr>
            <w:r>
              <w:rPr>
                <w:rFonts w:ascii="Arial" w:cs="Arial" w:eastAsia="Arial" w:hAnsi="Arial"/>
                <w:sz w:val="13"/>
                <w:szCs w:val="13"/>
                <w:color w:val="auto"/>
              </w:rPr>
              <w:t>306.9</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ind w:right="17"/>
              <w:spacing w:after="0"/>
              <w:rPr>
                <w:sz w:val="20"/>
                <w:szCs w:val="20"/>
                <w:color w:val="auto"/>
              </w:rPr>
            </w:pPr>
            <w:r>
              <w:rPr>
                <w:rFonts w:ascii="Arial" w:cs="Arial" w:eastAsia="Arial" w:hAnsi="Arial"/>
                <w:sz w:val="13"/>
                <w:szCs w:val="13"/>
                <w:color w:val="auto"/>
              </w:rPr>
              <w:t>142.0</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448.9</w:t>
            </w:r>
          </w:p>
        </w:tc>
        <w:tc>
          <w:tcPr>
            <w:tcW w:w="0" w:type="dxa"/>
            <w:vAlign w:val="bottom"/>
          </w:tcPr>
          <w:p>
            <w:pPr>
              <w:spacing w:after="0"/>
              <w:rPr>
                <w:sz w:val="1"/>
                <w:szCs w:val="1"/>
                <w:color w:val="auto"/>
              </w:rPr>
            </w:pPr>
          </w:p>
        </w:tc>
      </w:tr>
      <w:tr>
        <w:trPr>
          <w:trHeight w:val="486"/>
        </w:trPr>
        <w:tc>
          <w:tcPr>
            <w:tcW w:w="1580" w:type="dxa"/>
            <w:vAlign w:val="bottom"/>
          </w:tcPr>
          <w:p>
            <w:pPr>
              <w:spacing w:after="0"/>
              <w:rPr>
                <w:sz w:val="20"/>
                <w:szCs w:val="20"/>
                <w:color w:val="auto"/>
              </w:rPr>
            </w:pPr>
            <w:r>
              <w:rPr>
                <w:rFonts w:ascii="Arial" w:cs="Arial" w:eastAsia="Arial" w:hAnsi="Arial"/>
                <w:sz w:val="13"/>
                <w:szCs w:val="13"/>
                <w:color w:val="auto"/>
              </w:rPr>
              <w:t>Charges and (credits):</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1580" w:type="dxa"/>
            <w:vAlign w:val="bottom"/>
          </w:tcPr>
          <w:p>
            <w:pPr>
              <w:ind w:left="240"/>
              <w:spacing w:after="0"/>
              <w:rPr>
                <w:sz w:val="20"/>
                <w:szCs w:val="20"/>
                <w:color w:val="auto"/>
              </w:rPr>
            </w:pPr>
            <w:r>
              <w:rPr>
                <w:rFonts w:ascii="Arial" w:cs="Arial" w:eastAsia="Arial" w:hAnsi="Arial"/>
                <w:sz w:val="13"/>
                <w:szCs w:val="13"/>
                <w:color w:val="auto"/>
              </w:rPr>
              <w:t>Impairment and other</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580" w:type="dxa"/>
            <w:vAlign w:val="bottom"/>
          </w:tcPr>
          <w:p>
            <w:pPr>
              <w:ind w:left="240"/>
              <w:spacing w:after="0"/>
              <w:rPr>
                <w:sz w:val="20"/>
                <w:szCs w:val="20"/>
                <w:color w:val="auto"/>
              </w:rPr>
            </w:pPr>
            <w:r>
              <w:rPr>
                <w:rFonts w:ascii="Arial" w:cs="Arial" w:eastAsia="Arial" w:hAnsi="Arial"/>
                <w:sz w:val="13"/>
                <w:szCs w:val="13"/>
                <w:color w:val="auto"/>
              </w:rPr>
              <w:t>charges</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0.3</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1.3</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920" w:type="dxa"/>
            <w:vAlign w:val="bottom"/>
          </w:tcPr>
          <w:p>
            <w:pPr>
              <w:jc w:val="right"/>
              <w:ind w:right="77"/>
              <w:spacing w:after="0"/>
              <w:rPr>
                <w:sz w:val="20"/>
                <w:szCs w:val="20"/>
                <w:color w:val="auto"/>
              </w:rPr>
            </w:pPr>
            <w:r>
              <w:rPr>
                <w:rFonts w:ascii="Arial" w:cs="Arial" w:eastAsia="Arial" w:hAnsi="Arial"/>
                <w:sz w:val="13"/>
                <w:szCs w:val="13"/>
                <w:color w:val="auto"/>
              </w:rPr>
              <w:t>1.6</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164"/>
        </w:trPr>
        <w:tc>
          <w:tcPr>
            <w:tcW w:w="1580" w:type="dxa"/>
            <w:vAlign w:val="bottom"/>
          </w:tcPr>
          <w:p>
            <w:pPr>
              <w:ind w:left="240"/>
              <w:spacing w:after="0"/>
              <w:rPr>
                <w:sz w:val="20"/>
                <w:szCs w:val="20"/>
                <w:color w:val="auto"/>
              </w:rPr>
            </w:pPr>
            <w:r>
              <w:rPr>
                <w:rFonts w:ascii="Arial" w:cs="Arial" w:eastAsia="Arial" w:hAnsi="Arial"/>
                <w:sz w:val="13"/>
                <w:szCs w:val="13"/>
                <w:color w:val="auto"/>
                <w:w w:val="97"/>
              </w:rPr>
              <w:t>Restructuring and other</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580" w:type="dxa"/>
            <w:vAlign w:val="bottom"/>
          </w:tcPr>
          <w:p>
            <w:pPr>
              <w:ind w:left="240"/>
              <w:spacing w:after="0"/>
              <w:rPr>
                <w:sz w:val="20"/>
                <w:szCs w:val="20"/>
                <w:color w:val="auto"/>
              </w:rPr>
            </w:pPr>
            <w:r>
              <w:rPr>
                <w:rFonts w:ascii="Arial" w:cs="Arial" w:eastAsia="Arial" w:hAnsi="Arial"/>
                <w:sz w:val="13"/>
                <w:szCs w:val="13"/>
                <w:color w:val="auto"/>
              </w:rPr>
              <w:t>severance charges</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4.7</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3.4</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920" w:type="dxa"/>
            <w:vAlign w:val="bottom"/>
          </w:tcPr>
          <w:p>
            <w:pPr>
              <w:jc w:val="right"/>
              <w:ind w:right="77"/>
              <w:spacing w:after="0"/>
              <w:rPr>
                <w:sz w:val="20"/>
                <w:szCs w:val="20"/>
                <w:color w:val="auto"/>
              </w:rPr>
            </w:pPr>
            <w:r>
              <w:rPr>
                <w:rFonts w:ascii="Arial" w:cs="Arial" w:eastAsia="Arial" w:hAnsi="Arial"/>
                <w:sz w:val="13"/>
                <w:szCs w:val="13"/>
                <w:color w:val="auto"/>
              </w:rPr>
              <w:t>8.1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8.1</w:t>
            </w:r>
          </w:p>
        </w:tc>
        <w:tc>
          <w:tcPr>
            <w:tcW w:w="0" w:type="dxa"/>
            <w:vAlign w:val="bottom"/>
          </w:tcPr>
          <w:p>
            <w:pPr>
              <w:spacing w:after="0"/>
              <w:rPr>
                <w:sz w:val="1"/>
                <w:szCs w:val="1"/>
                <w:color w:val="auto"/>
              </w:rPr>
            </w:pPr>
          </w:p>
        </w:tc>
      </w:tr>
      <w:tr>
        <w:trPr>
          <w:trHeight w:val="164"/>
        </w:trPr>
        <w:tc>
          <w:tcPr>
            <w:tcW w:w="1580" w:type="dxa"/>
            <w:vAlign w:val="bottom"/>
          </w:tcPr>
          <w:p>
            <w:pPr>
              <w:ind w:left="240"/>
              <w:spacing w:after="0"/>
              <w:rPr>
                <w:sz w:val="20"/>
                <w:szCs w:val="20"/>
                <w:color w:val="auto"/>
              </w:rPr>
            </w:pPr>
            <w:r>
              <w:rPr>
                <w:rFonts w:ascii="Arial" w:cs="Arial" w:eastAsia="Arial" w:hAnsi="Arial"/>
                <w:sz w:val="13"/>
                <w:szCs w:val="13"/>
                <w:color w:val="auto"/>
              </w:rPr>
              <w:t>Business combination</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580" w:type="dxa"/>
            <w:vAlign w:val="bottom"/>
          </w:tcPr>
          <w:p>
            <w:pPr>
              <w:ind w:left="240"/>
              <w:spacing w:after="0" w:line="135" w:lineRule="exact"/>
              <w:rPr>
                <w:sz w:val="20"/>
                <w:szCs w:val="20"/>
                <w:color w:val="auto"/>
              </w:rPr>
            </w:pPr>
            <w:r>
              <w:rPr>
                <w:rFonts w:ascii="Arial" w:cs="Arial" w:eastAsia="Arial" w:hAnsi="Arial"/>
                <w:sz w:val="13"/>
                <w:szCs w:val="13"/>
                <w:color w:val="auto"/>
              </w:rPr>
              <w:t>transaction and</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1580" w:type="dxa"/>
            <w:vAlign w:val="bottom"/>
          </w:tcPr>
          <w:p>
            <w:pPr>
              <w:ind w:left="240"/>
              <w:spacing w:after="0"/>
              <w:rPr>
                <w:sz w:val="20"/>
                <w:szCs w:val="20"/>
                <w:color w:val="auto"/>
              </w:rPr>
            </w:pPr>
            <w:r>
              <w:rPr>
                <w:rFonts w:ascii="Arial" w:cs="Arial" w:eastAsia="Arial" w:hAnsi="Arial"/>
                <w:sz w:val="13"/>
                <w:szCs w:val="13"/>
                <w:color w:val="auto"/>
              </w:rPr>
              <w:t>integration costs</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3.3</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3.0</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920" w:type="dxa"/>
            <w:vAlign w:val="bottom"/>
          </w:tcPr>
          <w:p>
            <w:pPr>
              <w:jc w:val="right"/>
              <w:ind w:right="77"/>
              <w:spacing w:after="0"/>
              <w:rPr>
                <w:sz w:val="20"/>
                <w:szCs w:val="20"/>
                <w:color w:val="auto"/>
              </w:rPr>
            </w:pPr>
            <w:r>
              <w:rPr>
                <w:rFonts w:ascii="Arial" w:cs="Arial" w:eastAsia="Arial" w:hAnsi="Arial"/>
                <w:sz w:val="13"/>
                <w:szCs w:val="13"/>
                <w:color w:val="auto"/>
              </w:rPr>
              <w:t>6.3</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6.3</w:t>
            </w:r>
          </w:p>
        </w:tc>
        <w:tc>
          <w:tcPr>
            <w:tcW w:w="0" w:type="dxa"/>
            <w:vAlign w:val="bottom"/>
          </w:tcPr>
          <w:p>
            <w:pPr>
              <w:spacing w:after="0"/>
              <w:rPr>
                <w:sz w:val="1"/>
                <w:szCs w:val="1"/>
                <w:color w:val="auto"/>
              </w:rPr>
            </w:pPr>
          </w:p>
        </w:tc>
      </w:tr>
      <w:tr>
        <w:trPr>
          <w:trHeight w:val="270"/>
        </w:trPr>
        <w:tc>
          <w:tcPr>
            <w:tcW w:w="1580" w:type="dxa"/>
            <w:vAlign w:val="bottom"/>
          </w:tcPr>
          <w:p>
            <w:pPr>
              <w:ind w:left="240"/>
              <w:spacing w:after="0"/>
              <w:rPr>
                <w:sz w:val="20"/>
                <w:szCs w:val="20"/>
                <w:color w:val="auto"/>
              </w:rPr>
            </w:pPr>
            <w:r>
              <w:rPr>
                <w:rFonts w:ascii="Arial" w:cs="Arial" w:eastAsia="Arial" w:hAnsi="Arial"/>
                <w:sz w:val="13"/>
                <w:szCs w:val="13"/>
                <w:color w:val="auto"/>
              </w:rPr>
              <w:t>Gain on divestitures</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(21.1)</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(10.5)</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(31.6)</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(31.6)</w:t>
            </w:r>
          </w:p>
        </w:tc>
        <w:tc>
          <w:tcPr>
            <w:tcW w:w="0" w:type="dxa"/>
            <w:vAlign w:val="bottom"/>
          </w:tcPr>
          <w:p>
            <w:pPr>
              <w:spacing w:after="0"/>
              <w:rPr>
                <w:sz w:val="1"/>
                <w:szCs w:val="1"/>
                <w:color w:val="auto"/>
              </w:rPr>
            </w:pPr>
          </w:p>
        </w:tc>
      </w:tr>
      <w:tr>
        <w:trPr>
          <w:trHeight w:val="164"/>
        </w:trPr>
        <w:tc>
          <w:tcPr>
            <w:tcW w:w="1580" w:type="dxa"/>
            <w:vAlign w:val="bottom"/>
          </w:tcPr>
          <w:p>
            <w:pPr>
              <w:ind w:left="240"/>
              <w:spacing w:after="0"/>
              <w:rPr>
                <w:sz w:val="20"/>
                <w:szCs w:val="20"/>
                <w:color w:val="auto"/>
              </w:rPr>
            </w:pPr>
            <w:r>
              <w:rPr>
                <w:rFonts w:ascii="Arial" w:cs="Arial" w:eastAsia="Arial" w:hAnsi="Arial"/>
                <w:sz w:val="13"/>
                <w:szCs w:val="13"/>
                <w:color w:val="auto"/>
              </w:rPr>
              <w:t>Purchase price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580" w:type="dxa"/>
            <w:vAlign w:val="bottom"/>
          </w:tcPr>
          <w:p>
            <w:pPr>
              <w:ind w:left="240"/>
              <w:spacing w:after="0"/>
              <w:rPr>
                <w:sz w:val="20"/>
                <w:szCs w:val="20"/>
                <w:color w:val="auto"/>
              </w:rPr>
            </w:pPr>
            <w:r>
              <w:rPr>
                <w:rFonts w:ascii="Arial" w:cs="Arial" w:eastAsia="Arial" w:hAnsi="Arial"/>
                <w:sz w:val="13"/>
                <w:szCs w:val="13"/>
                <w:color w:val="auto"/>
              </w:rPr>
              <w:t>accounting adjustment</w:t>
            </w: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15.7</w:t>
            </w:r>
          </w:p>
        </w:tc>
        <w:tc>
          <w:tcPr>
            <w:tcW w:w="1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w:t>
            </w:r>
          </w:p>
        </w:tc>
        <w:tc>
          <w:tcPr>
            <w:tcW w:w="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20.5</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(23.3)</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w:t>
            </w:r>
          </w:p>
        </w:tc>
        <w:tc>
          <w:tcPr>
            <w:tcW w:w="0" w:type="dxa"/>
            <w:vAlign w:val="bottom"/>
          </w:tcPr>
          <w:p>
            <w:pPr>
              <w:spacing w:after="0"/>
              <w:rPr>
                <w:sz w:val="1"/>
                <w:szCs w:val="1"/>
                <w:color w:val="auto"/>
              </w:rPr>
            </w:pPr>
          </w:p>
        </w:tc>
      </w:tr>
      <w:tr>
        <w:trPr>
          <w:trHeight w:val="241"/>
        </w:trPr>
        <w:tc>
          <w:tcPr>
            <w:tcW w:w="1580" w:type="dxa"/>
            <w:vAlign w:val="bottom"/>
          </w:tcPr>
          <w:p>
            <w:pPr>
              <w:spacing w:after="0"/>
              <w:rPr>
                <w:sz w:val="20"/>
                <w:szCs w:val="20"/>
                <w:color w:val="auto"/>
              </w:rPr>
            </w:pPr>
            <w:r>
              <w:rPr>
                <w:rFonts w:ascii="Arial" w:cs="Arial" w:eastAsia="Arial" w:hAnsi="Arial"/>
                <w:sz w:val="13"/>
                <w:szCs w:val="13"/>
                <w:color w:val="auto"/>
                <w:w w:val="95"/>
              </w:rPr>
              <w:t>Adjusted financial measures</w:t>
            </w: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0"/>
                <w:szCs w:val="20"/>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139.8</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0" w:type="dxa"/>
            <w:vAlign w:val="bottom"/>
          </w:tcPr>
          <w:p>
            <w:pPr>
              <w:spacing w:after="0"/>
              <w:rPr>
                <w:sz w:val="20"/>
                <w:szCs w:val="20"/>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(2.7)</w:t>
            </w:r>
          </w:p>
        </w:tc>
        <w:tc>
          <w:tcPr>
            <w:tcW w:w="40" w:type="dxa"/>
            <w:vAlign w:val="bottom"/>
          </w:tcPr>
          <w:p>
            <w:pPr>
              <w:spacing w:after="0"/>
              <w:rPr>
                <w:sz w:val="20"/>
                <w:szCs w:val="20"/>
                <w:color w:val="auto"/>
              </w:rPr>
            </w:pPr>
          </w:p>
        </w:tc>
        <w:tc>
          <w:tcPr>
            <w:tcW w:w="180" w:type="dxa"/>
            <w:vAlign w:val="bottom"/>
            <w:gridSpan w:val="3"/>
          </w:tcPr>
          <w:p>
            <w:pPr>
              <w:jc w:val="right"/>
              <w:ind w:right="40"/>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68.7</w:t>
            </w:r>
          </w:p>
        </w:tc>
        <w:tc>
          <w:tcPr>
            <w:tcW w:w="260" w:type="dxa"/>
            <w:vAlign w:val="bottom"/>
            <w:gridSpan w:val="3"/>
          </w:tcPr>
          <w:p>
            <w:pPr>
              <w:jc w:val="right"/>
              <w:ind w:right="40"/>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106.0</w:t>
            </w:r>
          </w:p>
        </w:tc>
        <w:tc>
          <w:tcPr>
            <w:tcW w:w="12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77"/>
              <w:spacing w:after="0"/>
              <w:rPr>
                <w:sz w:val="20"/>
                <w:szCs w:val="20"/>
                <w:color w:val="auto"/>
              </w:rPr>
            </w:pPr>
            <w:r>
              <w:rPr>
                <w:rFonts w:ascii="Arial" w:cs="Arial" w:eastAsia="Arial" w:hAnsi="Arial"/>
                <w:sz w:val="13"/>
                <w:szCs w:val="13"/>
                <w:color w:val="auto"/>
              </w:rPr>
              <w:t>311.8</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ind w:right="17"/>
              <w:spacing w:after="0"/>
              <w:rPr>
                <w:sz w:val="20"/>
                <w:szCs w:val="20"/>
                <w:color w:val="auto"/>
              </w:rPr>
            </w:pPr>
            <w:r>
              <w:rPr>
                <w:rFonts w:ascii="Arial" w:cs="Arial" w:eastAsia="Arial" w:hAnsi="Arial"/>
                <w:sz w:val="13"/>
                <w:szCs w:val="13"/>
                <w:color w:val="auto"/>
              </w:rPr>
              <w:t>118.7</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430.5</w:t>
            </w:r>
          </w:p>
        </w:tc>
        <w:tc>
          <w:tcPr>
            <w:tcW w:w="0" w:type="dxa"/>
            <w:vAlign w:val="bottom"/>
          </w:tcPr>
          <w:p>
            <w:pPr>
              <w:spacing w:after="0"/>
              <w:rPr>
                <w:sz w:val="1"/>
                <w:szCs w:val="1"/>
                <w:color w:val="auto"/>
              </w:rPr>
            </w:pPr>
          </w:p>
        </w:tc>
      </w:tr>
      <w:tr>
        <w:trPr>
          <w:trHeight w:val="20"/>
        </w:trPr>
        <w:tc>
          <w:tcPr>
            <w:tcW w:w="1580" w:type="dxa"/>
            <w:vAlign w:val="bottom"/>
            <w:vMerge w:val="restart"/>
          </w:tcPr>
          <w:p>
            <w:pPr>
              <w:spacing w:after="0"/>
              <w:rPr>
                <w:sz w:val="20"/>
                <w:szCs w:val="20"/>
                <w:color w:val="auto"/>
              </w:rPr>
            </w:pPr>
            <w:r>
              <w:rPr>
                <w:rFonts w:ascii="Arial" w:cs="Arial" w:eastAsia="Arial" w:hAnsi="Arial"/>
                <w:sz w:val="13"/>
                <w:szCs w:val="13"/>
                <w:color w:val="auto"/>
              </w:rPr>
              <w:t>Diluted earnings per share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1"/>
        </w:trPr>
        <w:tc>
          <w:tcPr>
            <w:tcW w:w="15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580" w:type="dxa"/>
            <w:vAlign w:val="bottom"/>
          </w:tcPr>
          <w:p>
            <w:pPr>
              <w:spacing w:after="0" w:line="135" w:lineRule="exact"/>
              <w:rPr>
                <w:sz w:val="20"/>
                <w:szCs w:val="20"/>
                <w:color w:val="auto"/>
              </w:rPr>
            </w:pPr>
            <w:r>
              <w:rPr>
                <w:rFonts w:ascii="Arial" w:cs="Arial" w:eastAsia="Arial" w:hAnsi="Arial"/>
                <w:sz w:val="13"/>
                <w:szCs w:val="13"/>
                <w:color w:val="auto"/>
                <w:w w:val="99"/>
              </w:rPr>
              <w:t>attributable to TechnipFMC</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1580" w:type="dxa"/>
            <w:vAlign w:val="bottom"/>
          </w:tcPr>
          <w:p>
            <w:pPr>
              <w:spacing w:after="0"/>
              <w:rPr>
                <w:sz w:val="20"/>
                <w:szCs w:val="20"/>
                <w:color w:val="auto"/>
              </w:rPr>
            </w:pPr>
            <w:r>
              <w:rPr>
                <w:rFonts w:ascii="Arial" w:cs="Arial" w:eastAsia="Arial" w:hAnsi="Arial"/>
                <w:sz w:val="13"/>
                <w:szCs w:val="13"/>
                <w:color w:val="auto"/>
              </w:rPr>
              <w:t>plc, as reported</w:t>
            </w: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0.30</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580" w:type="dxa"/>
            <w:vAlign w:val="bottom"/>
          </w:tcPr>
          <w:p>
            <w:pPr>
              <w:spacing w:after="0"/>
              <w:rPr>
                <w:sz w:val="20"/>
                <w:szCs w:val="20"/>
                <w:color w:val="auto"/>
              </w:rPr>
            </w:pPr>
            <w:r>
              <w:rPr>
                <w:rFonts w:ascii="Arial" w:cs="Arial" w:eastAsia="Arial" w:hAnsi="Arial"/>
                <w:sz w:val="13"/>
                <w:szCs w:val="13"/>
                <w:color w:val="auto"/>
                <w:w w:val="92"/>
              </w:rPr>
              <w:t>Adjusted diluted earnings per</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580" w:type="dxa"/>
            <w:vAlign w:val="bottom"/>
          </w:tcPr>
          <w:p>
            <w:pPr>
              <w:spacing w:after="0" w:line="135" w:lineRule="exact"/>
              <w:rPr>
                <w:sz w:val="20"/>
                <w:szCs w:val="20"/>
                <w:color w:val="auto"/>
              </w:rPr>
            </w:pPr>
            <w:r>
              <w:rPr>
                <w:rFonts w:ascii="Arial" w:cs="Arial" w:eastAsia="Arial" w:hAnsi="Arial"/>
                <w:sz w:val="13"/>
                <w:szCs w:val="13"/>
                <w:color w:val="auto"/>
              </w:rPr>
              <w:t>share attributable to</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1580" w:type="dxa"/>
            <w:vAlign w:val="bottom"/>
          </w:tcPr>
          <w:p>
            <w:pPr>
              <w:spacing w:after="0"/>
              <w:rPr>
                <w:sz w:val="20"/>
                <w:szCs w:val="20"/>
                <w:color w:val="auto"/>
              </w:rPr>
            </w:pPr>
            <w:r>
              <w:rPr>
                <w:rFonts w:ascii="Arial" w:cs="Arial" w:eastAsia="Arial" w:hAnsi="Arial"/>
                <w:sz w:val="13"/>
                <w:szCs w:val="13"/>
                <w:color w:val="auto"/>
              </w:rPr>
              <w:t>TechnipFMC plc</w:t>
            </w: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0.31</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26" w:right="239" w:bottom="914" w:gutter="0" w:footer="0" w:header="0"/>
        </w:sectPr>
      </w:pPr>
    </w:p>
    <w:p>
      <w:pPr>
        <w:spacing w:after="0" w:line="262" w:lineRule="exact"/>
        <w:rPr>
          <w:sz w:val="20"/>
          <w:szCs w:val="20"/>
          <w:color w:val="auto"/>
        </w:rPr>
      </w:pPr>
    </w:p>
    <w:p>
      <w:pPr>
        <w:ind w:left="5180"/>
        <w:spacing w:after="0"/>
        <w:tabs>
          <w:tab w:leader="none" w:pos="10420" w:val="left"/>
        </w:tabs>
        <w:rPr>
          <w:rFonts w:ascii="Arial" w:cs="Arial" w:eastAsia="Arial" w:hAnsi="Arial"/>
          <w:sz w:val="14"/>
          <w:szCs w:val="14"/>
          <w:b w:val="1"/>
          <w:bCs w:val="1"/>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 xml:space="preserve">Page 20 of </w:t>
      </w:r>
      <w:hyperlink w:anchor="page29">
        <w:r>
          <w:rPr>
            <w:rFonts w:ascii="Arial" w:cs="Arial" w:eastAsia="Arial" w:hAnsi="Arial"/>
            <w:sz w:val="14"/>
            <w:szCs w:val="14"/>
            <w:b w:val="1"/>
            <w:bCs w:val="1"/>
            <w:color w:val="auto"/>
          </w:rPr>
          <w:t>24</w:t>
        </w:r>
      </w:hyperlink>
    </w:p>
    <w:p>
      <w:pPr>
        <w:sectPr>
          <w:pgSz w:w="11900" w:h="16838" w:orient="portrait"/>
          <w:cols w:equalWidth="0" w:num="1">
            <w:col w:w="11420"/>
          </w:cols>
          <w:pgMar w:left="240" w:top="526" w:right="239" w:bottom="914" w:gutter="0" w:footer="0" w:header="0"/>
          <w:type w:val="continuous"/>
        </w:sectPr>
      </w:pPr>
    </w:p>
    <w:bookmarkStart w:id="24" w:name="page25"/>
    <w:bookmarkEnd w:id="24"/>
    <w:p>
      <w:pPr>
        <w:jc w:val="right"/>
        <w:spacing w:after="0"/>
        <w:rPr>
          <w:sz w:val="20"/>
          <w:szCs w:val="20"/>
          <w:color w:val="auto"/>
        </w:rPr>
      </w:pPr>
      <w:r>
        <w:rPr>
          <w:rFonts w:ascii="Arial" w:cs="Arial" w:eastAsia="Arial" w:hAnsi="Arial"/>
          <w:sz w:val="13"/>
          <w:szCs w:val="13"/>
          <w:b w:val="1"/>
          <w:bCs w:val="1"/>
          <w:color w:val="auto"/>
        </w:rPr>
        <w:t>Exhibit 8</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TECHNIPFMC PLC AND CONSOLIDATED SUBSIDIARIES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RECONCILIATION OF GAAP TO NON-GAAP FINANCIAL MEASURES</w:t>
      </w:r>
    </w:p>
    <w:p>
      <w:pPr>
        <w:jc w:val="center"/>
        <w:spacing w:after="0"/>
        <w:rPr>
          <w:sz w:val="20"/>
          <w:szCs w:val="20"/>
          <w:color w:val="auto"/>
        </w:rPr>
      </w:pPr>
      <w:r>
        <w:rPr>
          <w:rFonts w:ascii="Arial" w:cs="Arial" w:eastAsia="Arial" w:hAnsi="Arial"/>
          <w:sz w:val="13"/>
          <w:szCs w:val="13"/>
          <w:b w:val="1"/>
          <w:bCs w:val="1"/>
          <w:color w:val="auto"/>
        </w:rPr>
        <w:t>(In millions, unaudited)</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Charges and Credits</w:t>
      </w:r>
    </w:p>
    <w:p>
      <w:pPr>
        <w:spacing w:after="0" w:line="13" w:lineRule="exact"/>
        <w:rPr>
          <w:sz w:val="20"/>
          <w:szCs w:val="20"/>
          <w:color w:val="auto"/>
        </w:rPr>
      </w:pPr>
    </w:p>
    <w:p>
      <w:pPr>
        <w:jc w:val="both"/>
        <w:spacing w:after="0" w:line="288" w:lineRule="auto"/>
        <w:rPr>
          <w:sz w:val="20"/>
          <w:szCs w:val="20"/>
          <w:color w:val="auto"/>
        </w:rPr>
      </w:pPr>
      <w:r>
        <w:rPr>
          <w:rFonts w:ascii="Arial" w:cs="Arial" w:eastAsia="Arial" w:hAnsi="Arial"/>
          <w:sz w:val="11"/>
          <w:szCs w:val="11"/>
          <w:color w:val="auto"/>
        </w:rPr>
        <w:t>In addition to financial results determined in accordance with U.S. generally accepted accounting principles (GAAP), the third quarter 2019 Earnings Release also includes non-GAAP financial measures (as defined in Item 10 of Regulation S-K of the Securities Exchange Act of 1934, as amended) and describes performance on a year-over-year basis against 2018 results and measures. Net income, excluding charges and credits, as well as measures derived from it (including Diluted EPS, excluding charges and credits; Income before net interest expense and taxes, excluding charges and credits ("Adjusted Operating profit"); Depreciation and amortization, excluding charges and credits; Earnings before net interest expense, income taxes, depreciation and amortization, excluding charges and credits ("Adjusted EBITDA"); and net cash) are non-GAAP financial measures. Management believes that the exclusion of charges and credits from these financial measures enables investors and management to more effectively evaluate TechnipFMC's operations and consolidated results of operations period-over-period, and to identify operating trends that could otherwise be masked or misleading to both investors and management by the excluded items. These measures are also used by management as performance measures in determining certain incentive compensation. The foregoing non-GAAP financial measures should be considered by investors in addition to, not as a substitute for or superior to, other measures of financial performance prepared in accordance with GAAP. The following is a reconciliation of the most comparable financial measures under GAAP to the non-GAAP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1891665</wp:posOffset>
            </wp:positionH>
            <wp:positionV relativeFrom="paragraph">
              <wp:posOffset>71755</wp:posOffset>
            </wp:positionV>
            <wp:extent cx="463931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639310" cy="8890"/>
                    </a:xfrm>
                    <a:prstGeom prst="rect">
                      <a:avLst/>
                    </a:prstGeom>
                    <a:noFill/>
                  </pic:spPr>
                </pic:pic>
              </a:graphicData>
            </a:graphic>
          </wp:anchor>
        </w:drawing>
      </w:r>
    </w:p>
    <w:p>
      <w:pPr>
        <w:spacing w:after="0" w:line="183" w:lineRule="exact"/>
        <w:rPr>
          <w:sz w:val="20"/>
          <w:szCs w:val="20"/>
          <w:color w:val="auto"/>
        </w:rPr>
      </w:pPr>
    </w:p>
    <w:tbl>
      <w:tblPr>
        <w:tblLayout w:type="fixed"/>
        <w:tblInd w:w="1180" w:type="dxa"/>
        <w:tblCellMar>
          <w:top w:w="0" w:type="dxa"/>
          <w:left w:w="0" w:type="dxa"/>
          <w:bottom w:w="0" w:type="dxa"/>
          <w:right w:w="0" w:type="dxa"/>
        </w:tblCellMar>
      </w:tblPr>
      <w:tr>
        <w:trPr>
          <w:trHeight w:val="164"/>
        </w:trPr>
        <w:tc>
          <w:tcPr>
            <w:tcW w:w="1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7"/>
          </w:tcPr>
          <w:p>
            <w:pPr>
              <w:jc w:val="right"/>
              <w:ind w:right="60"/>
              <w:spacing w:after="0"/>
              <w:rPr>
                <w:sz w:val="20"/>
                <w:szCs w:val="20"/>
                <w:color w:val="auto"/>
              </w:rPr>
            </w:pPr>
            <w:r>
              <w:rPr>
                <w:rFonts w:ascii="Arial" w:cs="Arial" w:eastAsia="Arial" w:hAnsi="Arial"/>
                <w:sz w:val="13"/>
                <w:szCs w:val="13"/>
                <w:b w:val="1"/>
                <w:bCs w:val="1"/>
                <w:color w:val="auto"/>
                <w:w w:val="87"/>
              </w:rPr>
              <w:t>Nine Months Ended</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0"/>
        </w:trPr>
        <w:tc>
          <w:tcPr>
            <w:tcW w:w="1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6"/>
          </w:tcPr>
          <w:p>
            <w:pPr>
              <w:spacing w:after="0"/>
              <w:rPr>
                <w:sz w:val="20"/>
                <w:szCs w:val="20"/>
                <w:color w:val="auto"/>
              </w:rPr>
            </w:pPr>
            <w:r>
              <w:rPr>
                <w:rFonts w:ascii="Arial" w:cs="Arial" w:eastAsia="Arial" w:hAnsi="Arial"/>
                <w:sz w:val="13"/>
                <w:szCs w:val="13"/>
                <w:b w:val="1"/>
                <w:bCs w:val="1"/>
                <w:color w:val="auto"/>
                <w:w w:val="90"/>
              </w:rPr>
              <w:t>September 30, 2019</w:t>
            </w:r>
          </w:p>
        </w:tc>
        <w:tc>
          <w:tcPr>
            <w:tcW w:w="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1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88"/>
              </w:rPr>
              <w:t>Earnings before</w:t>
            </w:r>
          </w:p>
        </w:tc>
        <w:tc>
          <w:tcPr>
            <w:tcW w:w="0" w:type="dxa"/>
            <w:vAlign w:val="bottom"/>
          </w:tcPr>
          <w:p>
            <w:pPr>
              <w:spacing w:after="0"/>
              <w:rPr>
                <w:sz w:val="1"/>
                <w:szCs w:val="1"/>
                <w:color w:val="auto"/>
              </w:rPr>
            </w:pPr>
          </w:p>
        </w:tc>
      </w:tr>
      <w:tr>
        <w:trPr>
          <w:trHeight w:val="135"/>
        </w:trPr>
        <w:tc>
          <w:tcPr>
            <w:tcW w:w="1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85"/>
              </w:rPr>
              <w:t>net interest</w:t>
            </w:r>
          </w:p>
        </w:tc>
        <w:tc>
          <w:tcPr>
            <w:tcW w:w="0" w:type="dxa"/>
            <w:vAlign w:val="bottom"/>
          </w:tcPr>
          <w:p>
            <w:pPr>
              <w:spacing w:after="0"/>
              <w:rPr>
                <w:sz w:val="1"/>
                <w:szCs w:val="1"/>
                <w:color w:val="auto"/>
              </w:rPr>
            </w:pPr>
          </w:p>
        </w:tc>
      </w:tr>
      <w:tr>
        <w:trPr>
          <w:trHeight w:val="135"/>
        </w:trPr>
        <w:tc>
          <w:tcPr>
            <w:tcW w:w="1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7"/>
              </w:rPr>
              <w:t>Income before</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78"/>
              </w:rPr>
              <w:t>expense,</w:t>
            </w:r>
          </w:p>
        </w:tc>
        <w:tc>
          <w:tcPr>
            <w:tcW w:w="0" w:type="dxa"/>
            <w:vAlign w:val="bottom"/>
          </w:tcPr>
          <w:p>
            <w:pPr>
              <w:spacing w:after="0"/>
              <w:rPr>
                <w:sz w:val="1"/>
                <w:szCs w:val="1"/>
                <w:color w:val="auto"/>
              </w:rPr>
            </w:pPr>
          </w:p>
        </w:tc>
      </w:tr>
      <w:tr>
        <w:trPr>
          <w:trHeight w:val="135"/>
        </w:trPr>
        <w:tc>
          <w:tcPr>
            <w:tcW w:w="1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5"/>
              </w:rPr>
              <w:t>net interest</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83"/>
              </w:rPr>
              <w:t>income taxes,</w:t>
            </w:r>
          </w:p>
        </w:tc>
        <w:tc>
          <w:tcPr>
            <w:tcW w:w="0" w:type="dxa"/>
            <w:vAlign w:val="bottom"/>
          </w:tcPr>
          <w:p>
            <w:pPr>
              <w:spacing w:after="0"/>
              <w:rPr>
                <w:sz w:val="1"/>
                <w:szCs w:val="1"/>
                <w:color w:val="auto"/>
              </w:rPr>
            </w:pPr>
          </w:p>
        </w:tc>
      </w:tr>
      <w:tr>
        <w:trPr>
          <w:trHeight w:val="135"/>
        </w:trPr>
        <w:tc>
          <w:tcPr>
            <w:tcW w:w="1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84"/>
              </w:rPr>
              <w:t>Net income (loss)</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3"/>
              </w:rPr>
              <w:t>expense and</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87"/>
              </w:rPr>
              <w:t>depreciation</w:t>
            </w:r>
          </w:p>
        </w:tc>
        <w:tc>
          <w:tcPr>
            <w:tcW w:w="0" w:type="dxa"/>
            <w:vAlign w:val="bottom"/>
          </w:tcPr>
          <w:p>
            <w:pPr>
              <w:spacing w:after="0"/>
              <w:rPr>
                <w:sz w:val="1"/>
                <w:szCs w:val="1"/>
                <w:color w:val="auto"/>
              </w:rPr>
            </w:pPr>
          </w:p>
        </w:tc>
      </w:tr>
      <w:tr>
        <w:trPr>
          <w:trHeight w:val="135"/>
        </w:trPr>
        <w:tc>
          <w:tcPr>
            <w:tcW w:w="1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3"/>
          </w:tcPr>
          <w:p>
            <w:pPr>
              <w:jc w:val="center"/>
              <w:ind w:right="40"/>
              <w:spacing w:after="0" w:line="135" w:lineRule="exact"/>
              <w:rPr>
                <w:sz w:val="20"/>
                <w:szCs w:val="20"/>
                <w:color w:val="auto"/>
              </w:rPr>
            </w:pPr>
            <w:r>
              <w:rPr>
                <w:rFonts w:ascii="Arial" w:cs="Arial" w:eastAsia="Arial" w:hAnsi="Arial"/>
                <w:sz w:val="13"/>
                <w:szCs w:val="13"/>
                <w:b w:val="1"/>
                <w:bCs w:val="1"/>
                <w:color w:val="auto"/>
                <w:w w:val="85"/>
              </w:rPr>
              <w:t>Net income</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9"/>
              </w:rPr>
              <w:t>attributable to</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4"/>
              </w:rPr>
              <w:t>income taxes</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8"/>
              </w:rPr>
              <w:t>Depreciation</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86"/>
              </w:rPr>
              <w:t>and</w:t>
            </w:r>
          </w:p>
        </w:tc>
        <w:tc>
          <w:tcPr>
            <w:tcW w:w="0" w:type="dxa"/>
            <w:vAlign w:val="bottom"/>
          </w:tcPr>
          <w:p>
            <w:pPr>
              <w:spacing w:after="0"/>
              <w:rPr>
                <w:sz w:val="1"/>
                <w:szCs w:val="1"/>
                <w:color w:val="auto"/>
              </w:rPr>
            </w:pPr>
          </w:p>
        </w:tc>
      </w:tr>
      <w:tr>
        <w:trPr>
          <w:trHeight w:val="135"/>
        </w:trPr>
        <w:tc>
          <w:tcPr>
            <w:tcW w:w="1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3"/>
          </w:tcPr>
          <w:p>
            <w:pPr>
              <w:jc w:val="center"/>
              <w:ind w:right="60"/>
              <w:spacing w:after="0" w:line="135" w:lineRule="exact"/>
              <w:rPr>
                <w:sz w:val="20"/>
                <w:szCs w:val="20"/>
                <w:color w:val="auto"/>
              </w:rPr>
            </w:pPr>
            <w:r>
              <w:rPr>
                <w:rFonts w:ascii="Arial" w:cs="Arial" w:eastAsia="Arial" w:hAnsi="Arial"/>
                <w:sz w:val="13"/>
                <w:szCs w:val="13"/>
                <w:b w:val="1"/>
                <w:bCs w:val="1"/>
                <w:color w:val="auto"/>
                <w:w w:val="89"/>
              </w:rPr>
              <w:t>attributable to</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87"/>
              </w:rPr>
              <w:t>noncontrolling</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right"/>
              <w:ind w:right="57"/>
              <w:spacing w:after="0" w:line="135" w:lineRule="exact"/>
              <w:rPr>
                <w:sz w:val="20"/>
                <w:szCs w:val="20"/>
                <w:color w:val="auto"/>
              </w:rPr>
            </w:pPr>
            <w:r>
              <w:rPr>
                <w:rFonts w:ascii="Arial" w:cs="Arial" w:eastAsia="Arial" w:hAnsi="Arial"/>
                <w:sz w:val="13"/>
                <w:szCs w:val="13"/>
                <w:b w:val="1"/>
                <w:bCs w:val="1"/>
                <w:color w:val="auto"/>
                <w:w w:val="84"/>
              </w:rPr>
              <w:t>Provision for</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right"/>
              <w:ind w:right="140"/>
              <w:spacing w:after="0" w:line="135" w:lineRule="exact"/>
              <w:rPr>
                <w:sz w:val="20"/>
                <w:szCs w:val="20"/>
                <w:color w:val="auto"/>
              </w:rPr>
            </w:pPr>
            <w:r>
              <w:rPr>
                <w:rFonts w:ascii="Arial" w:cs="Arial" w:eastAsia="Arial" w:hAnsi="Arial"/>
                <w:sz w:val="13"/>
                <w:szCs w:val="13"/>
                <w:b w:val="1"/>
                <w:bCs w:val="1"/>
                <w:color w:val="auto"/>
                <w:w w:val="89"/>
              </w:rPr>
              <w:t>Net interest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1"/>
              </w:rPr>
              <w:t>(Operating</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6"/>
              </w:rPr>
              <w:t>and</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87"/>
              </w:rPr>
              <w:t>amortization</w:t>
            </w:r>
          </w:p>
        </w:tc>
        <w:tc>
          <w:tcPr>
            <w:tcW w:w="0" w:type="dxa"/>
            <w:vAlign w:val="bottom"/>
          </w:tcPr>
          <w:p>
            <w:pPr>
              <w:spacing w:after="0"/>
              <w:rPr>
                <w:sz w:val="1"/>
                <w:szCs w:val="1"/>
                <w:color w:val="auto"/>
              </w:rPr>
            </w:pPr>
          </w:p>
        </w:tc>
      </w:tr>
      <w:tr>
        <w:trPr>
          <w:trHeight w:val="174"/>
        </w:trPr>
        <w:tc>
          <w:tcPr>
            <w:tcW w:w="1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Borders>
              <w:bottom w:val="single" w:sz="8" w:color="auto"/>
            </w:tcBorders>
            <w:gridSpan w:val="5"/>
          </w:tcPr>
          <w:p>
            <w:pPr>
              <w:jc w:val="center"/>
              <w:spacing w:after="0"/>
              <w:rPr>
                <w:sz w:val="20"/>
                <w:szCs w:val="20"/>
                <w:color w:val="auto"/>
              </w:rPr>
            </w:pPr>
            <w:r>
              <w:rPr>
                <w:rFonts w:ascii="Arial" w:cs="Arial" w:eastAsia="Arial" w:hAnsi="Arial"/>
                <w:sz w:val="13"/>
                <w:szCs w:val="13"/>
                <w:b w:val="1"/>
                <w:bCs w:val="1"/>
                <w:color w:val="auto"/>
                <w:w w:val="91"/>
              </w:rPr>
              <w:t>TechnipFMC plc</w:t>
            </w: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3"/>
                <w:szCs w:val="13"/>
                <w:b w:val="1"/>
                <w:bCs w:val="1"/>
                <w:color w:val="auto"/>
                <w:w w:val="81"/>
              </w:rPr>
              <w:t>interests</w:t>
            </w:r>
          </w:p>
        </w:tc>
        <w:tc>
          <w:tcPr>
            <w:tcW w:w="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jc w:val="right"/>
              <w:ind w:right="57"/>
              <w:spacing w:after="0"/>
              <w:rPr>
                <w:sz w:val="20"/>
                <w:szCs w:val="20"/>
                <w:color w:val="auto"/>
              </w:rPr>
            </w:pPr>
            <w:r>
              <w:rPr>
                <w:rFonts w:ascii="Arial" w:cs="Arial" w:eastAsia="Arial" w:hAnsi="Arial"/>
                <w:sz w:val="13"/>
                <w:szCs w:val="13"/>
                <w:b w:val="1"/>
                <w:bCs w:val="1"/>
                <w:color w:val="auto"/>
                <w:w w:val="82"/>
              </w:rPr>
              <w:t>income taxes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3"/>
                <w:szCs w:val="13"/>
                <w:b w:val="1"/>
                <w:bCs w:val="1"/>
                <w:color w:val="auto"/>
                <w:w w:val="99"/>
              </w:rPr>
              <w:t>expense</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3"/>
                <w:szCs w:val="13"/>
                <w:b w:val="1"/>
                <w:bCs w:val="1"/>
                <w:color w:val="auto"/>
                <w:w w:val="90"/>
              </w:rPr>
              <w:t>profit)</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3"/>
                <w:szCs w:val="13"/>
                <w:b w:val="1"/>
                <w:bCs w:val="1"/>
                <w:color w:val="auto"/>
                <w:w w:val="90"/>
              </w:rPr>
              <w:t>amortization</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98"/>
              </w:rPr>
              <w:t>(EBITDA)</w:t>
            </w:r>
          </w:p>
        </w:tc>
        <w:tc>
          <w:tcPr>
            <w:tcW w:w="0" w:type="dxa"/>
            <w:vAlign w:val="bottom"/>
          </w:tcPr>
          <w:p>
            <w:pPr>
              <w:spacing w:after="0"/>
              <w:rPr>
                <w:sz w:val="1"/>
                <w:szCs w:val="1"/>
                <w:color w:val="auto"/>
              </w:rPr>
            </w:pPr>
          </w:p>
        </w:tc>
      </w:tr>
      <w:tr>
        <w:trPr>
          <w:trHeight w:val="241"/>
        </w:trPr>
        <w:tc>
          <w:tcPr>
            <w:tcW w:w="1620" w:type="dxa"/>
            <w:vAlign w:val="bottom"/>
          </w:tcPr>
          <w:p>
            <w:pPr>
              <w:spacing w:after="0"/>
              <w:rPr>
                <w:sz w:val="20"/>
                <w:szCs w:val="20"/>
                <w:color w:val="auto"/>
              </w:rPr>
            </w:pPr>
            <w:r>
              <w:rPr>
                <w:rFonts w:ascii="Arial" w:cs="Arial" w:eastAsia="Arial" w:hAnsi="Arial"/>
                <w:sz w:val="13"/>
                <w:szCs w:val="13"/>
                <w:color w:val="auto"/>
                <w:w w:val="95"/>
              </w:rPr>
              <w:t>TechnipFMC plc, as reported</w:t>
            </w:r>
          </w:p>
        </w:tc>
        <w:tc>
          <w:tcPr>
            <w:tcW w:w="180" w:type="dxa"/>
            <w:vAlign w:val="bottom"/>
          </w:tcPr>
          <w:p>
            <w:pPr>
              <w:spacing w:after="0"/>
              <w:rPr>
                <w:sz w:val="20"/>
                <w:szCs w:val="20"/>
                <w:color w:val="auto"/>
              </w:rPr>
            </w:pPr>
          </w:p>
        </w:tc>
        <w:tc>
          <w:tcPr>
            <w:tcW w:w="100" w:type="dxa"/>
            <w:vAlign w:val="bottom"/>
          </w:tcPr>
          <w:p>
            <w:pPr>
              <w:ind w:left="20"/>
              <w:spacing w:after="0"/>
              <w:rPr>
                <w:sz w:val="20"/>
                <w:szCs w:val="20"/>
                <w:color w:val="auto"/>
              </w:rPr>
            </w:pPr>
            <w:r>
              <w:rPr>
                <w:rFonts w:ascii="Arial" w:cs="Arial" w:eastAsia="Arial" w:hAnsi="Arial"/>
                <w:sz w:val="13"/>
                <w:szCs w:val="13"/>
                <w:color w:val="auto"/>
                <w:w w:val="82"/>
              </w:rPr>
              <w:t>$</w:t>
            </w:r>
          </w:p>
        </w:tc>
        <w:tc>
          <w:tcPr>
            <w:tcW w:w="820" w:type="dxa"/>
            <w:vAlign w:val="bottom"/>
            <w:gridSpan w:val="2"/>
          </w:tcPr>
          <w:p>
            <w:pPr>
              <w:jc w:val="right"/>
              <w:ind w:right="20"/>
              <w:spacing w:after="0"/>
              <w:rPr>
                <w:sz w:val="20"/>
                <w:szCs w:val="20"/>
                <w:color w:val="auto"/>
              </w:rPr>
            </w:pPr>
            <w:r>
              <w:rPr>
                <w:rFonts w:ascii="Arial" w:cs="Arial" w:eastAsia="Arial" w:hAnsi="Arial"/>
                <w:sz w:val="13"/>
                <w:szCs w:val="13"/>
                <w:color w:val="auto"/>
              </w:rPr>
              <w:t>139.7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20"/>
              <w:spacing w:after="0"/>
              <w:rPr>
                <w:sz w:val="20"/>
                <w:szCs w:val="20"/>
                <w:color w:val="auto"/>
              </w:rPr>
            </w:pPr>
            <w:r>
              <w:rPr>
                <w:rFonts w:ascii="Arial" w:cs="Arial" w:eastAsia="Arial" w:hAnsi="Arial"/>
                <w:sz w:val="13"/>
                <w:szCs w:val="13"/>
                <w:color w:val="auto"/>
              </w:rPr>
              <w:t>19.4</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80.7</w:t>
            </w:r>
          </w:p>
        </w:tc>
        <w:tc>
          <w:tcPr>
            <w:tcW w:w="22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345.3</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585.1</w:t>
            </w:r>
          </w:p>
        </w:tc>
        <w:tc>
          <w:tcPr>
            <w:tcW w:w="40" w:type="dxa"/>
            <w:vAlign w:val="bottom"/>
          </w:tcPr>
          <w:p>
            <w:pPr>
              <w:spacing w:after="0"/>
              <w:rPr>
                <w:sz w:val="20"/>
                <w:szCs w:val="20"/>
                <w:color w:val="auto"/>
              </w:rPr>
            </w:pPr>
          </w:p>
        </w:tc>
        <w:tc>
          <w:tcPr>
            <w:tcW w:w="18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378.5</w:t>
            </w:r>
          </w:p>
        </w:tc>
        <w:tc>
          <w:tcPr>
            <w:tcW w:w="40" w:type="dxa"/>
            <w:vAlign w:val="bottom"/>
          </w:tcPr>
          <w:p>
            <w:pPr>
              <w:spacing w:after="0"/>
              <w:rPr>
                <w:sz w:val="20"/>
                <w:szCs w:val="20"/>
                <w:color w:val="auto"/>
              </w:rPr>
            </w:pPr>
          </w:p>
        </w:tc>
        <w:tc>
          <w:tcPr>
            <w:tcW w:w="20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963.6</w:t>
            </w:r>
          </w:p>
        </w:tc>
        <w:tc>
          <w:tcPr>
            <w:tcW w:w="0" w:type="dxa"/>
            <w:vAlign w:val="bottom"/>
          </w:tcPr>
          <w:p>
            <w:pPr>
              <w:spacing w:after="0"/>
              <w:rPr>
                <w:sz w:val="1"/>
                <w:szCs w:val="1"/>
                <w:color w:val="auto"/>
              </w:rPr>
            </w:pPr>
          </w:p>
        </w:tc>
      </w:tr>
      <w:tr>
        <w:trPr>
          <w:trHeight w:val="486"/>
        </w:trPr>
        <w:tc>
          <w:tcPr>
            <w:tcW w:w="1620" w:type="dxa"/>
            <w:vAlign w:val="bottom"/>
          </w:tcPr>
          <w:p>
            <w:pPr>
              <w:spacing w:after="0"/>
              <w:rPr>
                <w:sz w:val="20"/>
                <w:szCs w:val="20"/>
                <w:color w:val="auto"/>
              </w:rPr>
            </w:pPr>
            <w:r>
              <w:rPr>
                <w:rFonts w:ascii="Arial" w:cs="Arial" w:eastAsia="Arial" w:hAnsi="Arial"/>
                <w:sz w:val="13"/>
                <w:szCs w:val="13"/>
                <w:color w:val="auto"/>
              </w:rPr>
              <w:t>Charges and (credits):</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800" w:type="dxa"/>
            <w:vAlign w:val="bottom"/>
            <w:gridSpan w:val="2"/>
          </w:tcPr>
          <w:p>
            <w:pPr>
              <w:ind w:left="240"/>
              <w:spacing w:after="0"/>
              <w:rPr>
                <w:sz w:val="20"/>
                <w:szCs w:val="20"/>
                <w:color w:val="auto"/>
              </w:rPr>
            </w:pPr>
            <w:r>
              <w:rPr>
                <w:rFonts w:ascii="Arial" w:cs="Arial" w:eastAsia="Arial" w:hAnsi="Arial"/>
                <w:sz w:val="13"/>
                <w:szCs w:val="13"/>
                <w:color w:val="auto"/>
                <w:w w:val="88"/>
              </w:rPr>
              <w:t>Impairment and other charges</w:t>
            </w:r>
          </w:p>
        </w:tc>
        <w:tc>
          <w:tcPr>
            <w:tcW w:w="100" w:type="dxa"/>
            <w:vAlign w:val="bottom"/>
          </w:tcPr>
          <w:p>
            <w:pPr>
              <w:spacing w:after="0"/>
              <w:rPr>
                <w:sz w:val="23"/>
                <w:szCs w:val="23"/>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3"/>
                <w:szCs w:val="13"/>
                <w:color w:val="auto"/>
              </w:rPr>
              <w:t>1.9</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0.5</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2.4</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2.4</w:t>
            </w:r>
          </w:p>
        </w:tc>
        <w:tc>
          <w:tcPr>
            <w:tcW w:w="0" w:type="dxa"/>
            <w:vAlign w:val="bottom"/>
          </w:tcPr>
          <w:p>
            <w:pPr>
              <w:spacing w:after="0"/>
              <w:rPr>
                <w:sz w:val="1"/>
                <w:szCs w:val="1"/>
                <w:color w:val="auto"/>
              </w:rPr>
            </w:pPr>
          </w:p>
        </w:tc>
      </w:tr>
      <w:tr>
        <w:trPr>
          <w:trHeight w:val="164"/>
        </w:trPr>
        <w:tc>
          <w:tcPr>
            <w:tcW w:w="1620" w:type="dxa"/>
            <w:vAlign w:val="bottom"/>
          </w:tcPr>
          <w:p>
            <w:pPr>
              <w:ind w:left="240"/>
              <w:spacing w:after="0"/>
              <w:rPr>
                <w:sz w:val="20"/>
                <w:szCs w:val="20"/>
                <w:color w:val="auto"/>
              </w:rPr>
            </w:pPr>
            <w:r>
              <w:rPr>
                <w:rFonts w:ascii="Arial" w:cs="Arial" w:eastAsia="Arial" w:hAnsi="Arial"/>
                <w:sz w:val="13"/>
                <w:szCs w:val="13"/>
                <w:color w:val="auto"/>
              </w:rPr>
              <w:t>Restructuring and other</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620" w:type="dxa"/>
            <w:vAlign w:val="bottom"/>
          </w:tcPr>
          <w:p>
            <w:pPr>
              <w:ind w:left="240"/>
              <w:spacing w:after="0"/>
              <w:rPr>
                <w:sz w:val="20"/>
                <w:szCs w:val="20"/>
                <w:color w:val="auto"/>
              </w:rPr>
            </w:pPr>
            <w:r>
              <w:rPr>
                <w:rFonts w:ascii="Arial" w:cs="Arial" w:eastAsia="Arial" w:hAnsi="Arial"/>
                <w:sz w:val="13"/>
                <w:szCs w:val="13"/>
                <w:color w:val="auto"/>
              </w:rPr>
              <w:t>severance charges</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3"/>
                <w:szCs w:val="13"/>
                <w:color w:val="auto"/>
              </w:rPr>
              <w:t>30.5</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8.0</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38.5</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38.5</w:t>
            </w:r>
          </w:p>
        </w:tc>
        <w:tc>
          <w:tcPr>
            <w:tcW w:w="0" w:type="dxa"/>
            <w:vAlign w:val="bottom"/>
          </w:tcPr>
          <w:p>
            <w:pPr>
              <w:spacing w:after="0"/>
              <w:rPr>
                <w:sz w:val="1"/>
                <w:szCs w:val="1"/>
                <w:color w:val="auto"/>
              </w:rPr>
            </w:pPr>
          </w:p>
        </w:tc>
      </w:tr>
      <w:tr>
        <w:trPr>
          <w:trHeight w:val="164"/>
        </w:trPr>
        <w:tc>
          <w:tcPr>
            <w:tcW w:w="1620" w:type="dxa"/>
            <w:vAlign w:val="bottom"/>
          </w:tcPr>
          <w:p>
            <w:pPr>
              <w:ind w:left="240"/>
              <w:spacing w:after="0"/>
              <w:rPr>
                <w:sz w:val="20"/>
                <w:szCs w:val="20"/>
                <w:color w:val="auto"/>
              </w:rPr>
            </w:pPr>
            <w:r>
              <w:rPr>
                <w:rFonts w:ascii="Arial" w:cs="Arial" w:eastAsia="Arial" w:hAnsi="Arial"/>
                <w:sz w:val="13"/>
                <w:szCs w:val="13"/>
                <w:color w:val="auto"/>
              </w:rPr>
              <w:t>Business combination</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620" w:type="dxa"/>
            <w:vAlign w:val="bottom"/>
          </w:tcPr>
          <w:p>
            <w:pPr>
              <w:ind w:left="240"/>
              <w:spacing w:after="0" w:line="135" w:lineRule="exact"/>
              <w:rPr>
                <w:sz w:val="20"/>
                <w:szCs w:val="20"/>
                <w:color w:val="auto"/>
              </w:rPr>
            </w:pPr>
            <w:r>
              <w:rPr>
                <w:rFonts w:ascii="Arial" w:cs="Arial" w:eastAsia="Arial" w:hAnsi="Arial"/>
                <w:sz w:val="13"/>
                <w:szCs w:val="13"/>
                <w:color w:val="auto"/>
                <w:w w:val="88"/>
              </w:rPr>
              <w:t>transaction and integration</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1620" w:type="dxa"/>
            <w:vAlign w:val="bottom"/>
          </w:tcPr>
          <w:p>
            <w:pPr>
              <w:ind w:left="240"/>
              <w:spacing w:after="0"/>
              <w:rPr>
                <w:sz w:val="20"/>
                <w:szCs w:val="20"/>
                <w:color w:val="auto"/>
              </w:rPr>
            </w:pPr>
            <w:r>
              <w:rPr>
                <w:rFonts w:ascii="Arial" w:cs="Arial" w:eastAsia="Arial" w:hAnsi="Arial"/>
                <w:sz w:val="13"/>
                <w:szCs w:val="13"/>
                <w:color w:val="auto"/>
              </w:rPr>
              <w:t>costs</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3"/>
                <w:szCs w:val="13"/>
                <w:color w:val="auto"/>
              </w:rPr>
              <w:t>24.7</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6.5</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31.2</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31.2</w:t>
            </w:r>
          </w:p>
        </w:tc>
        <w:tc>
          <w:tcPr>
            <w:tcW w:w="0" w:type="dxa"/>
            <w:vAlign w:val="bottom"/>
          </w:tcPr>
          <w:p>
            <w:pPr>
              <w:spacing w:after="0"/>
              <w:rPr>
                <w:sz w:val="1"/>
                <w:szCs w:val="1"/>
                <w:color w:val="auto"/>
              </w:rPr>
            </w:pPr>
          </w:p>
        </w:tc>
      </w:tr>
      <w:tr>
        <w:trPr>
          <w:trHeight w:val="216"/>
        </w:trPr>
        <w:tc>
          <w:tcPr>
            <w:tcW w:w="1620" w:type="dxa"/>
            <w:vAlign w:val="bottom"/>
          </w:tcPr>
          <w:p>
            <w:pPr>
              <w:ind w:left="240"/>
              <w:spacing w:after="0"/>
              <w:rPr>
                <w:sz w:val="20"/>
                <w:szCs w:val="20"/>
                <w:color w:val="auto"/>
              </w:rPr>
            </w:pPr>
            <w:r>
              <w:rPr>
                <w:rFonts w:ascii="Arial" w:cs="Arial" w:eastAsia="Arial" w:hAnsi="Arial"/>
                <w:sz w:val="13"/>
                <w:szCs w:val="13"/>
                <w:color w:val="auto"/>
              </w:rPr>
              <w:t>Separation costs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3"/>
                <w:szCs w:val="13"/>
                <w:color w:val="auto"/>
              </w:rPr>
              <w:t>7.5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1.9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9.4</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9.4</w:t>
            </w:r>
          </w:p>
        </w:tc>
        <w:tc>
          <w:tcPr>
            <w:tcW w:w="0" w:type="dxa"/>
            <w:vAlign w:val="bottom"/>
          </w:tcPr>
          <w:p>
            <w:pPr>
              <w:spacing w:after="0"/>
              <w:rPr>
                <w:sz w:val="1"/>
                <w:szCs w:val="1"/>
                <w:color w:val="auto"/>
              </w:rPr>
            </w:pPr>
          </w:p>
        </w:tc>
      </w:tr>
      <w:tr>
        <w:trPr>
          <w:trHeight w:val="270"/>
        </w:trPr>
        <w:tc>
          <w:tcPr>
            <w:tcW w:w="1620" w:type="dxa"/>
            <w:vAlign w:val="bottom"/>
          </w:tcPr>
          <w:p>
            <w:pPr>
              <w:ind w:left="240"/>
              <w:spacing w:after="0"/>
              <w:rPr>
                <w:sz w:val="20"/>
                <w:szCs w:val="20"/>
                <w:color w:val="auto"/>
              </w:rPr>
            </w:pPr>
            <w:r>
              <w:rPr>
                <w:rFonts w:ascii="Arial" w:cs="Arial" w:eastAsia="Arial" w:hAnsi="Arial"/>
                <w:sz w:val="13"/>
                <w:szCs w:val="13"/>
                <w:color w:val="auto"/>
              </w:rPr>
              <w:t>Reorganization</w:t>
            </w: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3"/>
                <w:szCs w:val="13"/>
                <w:color w:val="auto"/>
              </w:rPr>
              <w:t>19.2</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6.1</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25.3</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25.3</w:t>
            </w:r>
          </w:p>
        </w:tc>
        <w:tc>
          <w:tcPr>
            <w:tcW w:w="0" w:type="dxa"/>
            <w:vAlign w:val="bottom"/>
          </w:tcPr>
          <w:p>
            <w:pPr>
              <w:spacing w:after="0"/>
              <w:rPr>
                <w:sz w:val="1"/>
                <w:szCs w:val="1"/>
                <w:color w:val="auto"/>
              </w:rPr>
            </w:pPr>
          </w:p>
        </w:tc>
      </w:tr>
      <w:tr>
        <w:trPr>
          <w:trHeight w:val="270"/>
        </w:trPr>
        <w:tc>
          <w:tcPr>
            <w:tcW w:w="1620" w:type="dxa"/>
            <w:vAlign w:val="bottom"/>
          </w:tcPr>
          <w:p>
            <w:pPr>
              <w:ind w:left="240"/>
              <w:spacing w:after="0"/>
              <w:rPr>
                <w:sz w:val="20"/>
                <w:szCs w:val="20"/>
                <w:color w:val="auto"/>
              </w:rPr>
            </w:pPr>
            <w:r>
              <w:rPr>
                <w:rFonts w:ascii="Arial" w:cs="Arial" w:eastAsia="Arial" w:hAnsi="Arial"/>
                <w:sz w:val="13"/>
                <w:szCs w:val="13"/>
                <w:color w:val="auto"/>
              </w:rPr>
              <w:t>Legal provision, net</w:t>
            </w: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3"/>
                <w:szCs w:val="13"/>
                <w:color w:val="auto"/>
              </w:rPr>
              <w:t>54.6</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54.6</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54.6</w:t>
            </w:r>
          </w:p>
        </w:tc>
        <w:tc>
          <w:tcPr>
            <w:tcW w:w="0" w:type="dxa"/>
            <w:vAlign w:val="bottom"/>
          </w:tcPr>
          <w:p>
            <w:pPr>
              <w:spacing w:after="0"/>
              <w:rPr>
                <w:sz w:val="1"/>
                <w:szCs w:val="1"/>
                <w:color w:val="auto"/>
              </w:rPr>
            </w:pPr>
          </w:p>
        </w:tc>
      </w:tr>
      <w:tr>
        <w:trPr>
          <w:trHeight w:val="164"/>
        </w:trPr>
        <w:tc>
          <w:tcPr>
            <w:tcW w:w="1620" w:type="dxa"/>
            <w:vAlign w:val="bottom"/>
          </w:tcPr>
          <w:p>
            <w:pPr>
              <w:ind w:left="240"/>
              <w:spacing w:after="0"/>
              <w:rPr>
                <w:sz w:val="20"/>
                <w:szCs w:val="20"/>
                <w:color w:val="auto"/>
              </w:rPr>
            </w:pPr>
            <w:r>
              <w:rPr>
                <w:rFonts w:ascii="Arial" w:cs="Arial" w:eastAsia="Arial" w:hAnsi="Arial"/>
                <w:sz w:val="13"/>
                <w:szCs w:val="13"/>
                <w:color w:val="auto"/>
                <w:w w:val="88"/>
              </w:rPr>
              <w:t>Purchase price accounting</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620" w:type="dxa"/>
            <w:vAlign w:val="bottom"/>
          </w:tcPr>
          <w:p>
            <w:pPr>
              <w:ind w:left="240"/>
              <w:spacing w:after="0"/>
              <w:rPr>
                <w:sz w:val="20"/>
                <w:szCs w:val="20"/>
                <w:color w:val="auto"/>
              </w:rPr>
            </w:pPr>
            <w:r>
              <w:rPr>
                <w:rFonts w:ascii="Arial" w:cs="Arial" w:eastAsia="Arial" w:hAnsi="Arial"/>
                <w:sz w:val="13"/>
                <w:szCs w:val="13"/>
                <w:color w:val="auto"/>
              </w:rPr>
              <w:t>adjustment</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3"/>
                <w:szCs w:val="13"/>
                <w:color w:val="auto"/>
              </w:rPr>
              <w:t>19.5</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6.0</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25.5</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(25.5)</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80"/>
        </w:trPr>
        <w:tc>
          <w:tcPr>
            <w:tcW w:w="1620" w:type="dxa"/>
            <w:vAlign w:val="bottom"/>
          </w:tcPr>
          <w:p>
            <w:pPr>
              <w:ind w:left="240"/>
              <w:spacing w:after="0"/>
              <w:rPr>
                <w:sz w:val="20"/>
                <w:szCs w:val="20"/>
                <w:color w:val="auto"/>
              </w:rPr>
            </w:pPr>
            <w:r>
              <w:rPr>
                <w:rFonts w:ascii="Arial" w:cs="Arial" w:eastAsia="Arial" w:hAnsi="Arial"/>
                <w:sz w:val="13"/>
                <w:szCs w:val="13"/>
                <w:color w:val="auto"/>
              </w:rPr>
              <w:t>Valuation allowance</w:t>
            </w:r>
          </w:p>
        </w:tc>
        <w:tc>
          <w:tcPr>
            <w:tcW w:w="1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color w:val="auto"/>
              </w:rPr>
              <w:t>(40.3)</w:t>
            </w:r>
          </w:p>
        </w:tc>
        <w:tc>
          <w:tcPr>
            <w:tcW w:w="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40.3</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41"/>
        </w:trPr>
        <w:tc>
          <w:tcPr>
            <w:tcW w:w="1620" w:type="dxa"/>
            <w:vAlign w:val="bottom"/>
          </w:tcPr>
          <w:p>
            <w:pPr>
              <w:spacing w:after="0"/>
              <w:rPr>
                <w:sz w:val="20"/>
                <w:szCs w:val="20"/>
                <w:color w:val="auto"/>
              </w:rPr>
            </w:pPr>
            <w:r>
              <w:rPr>
                <w:rFonts w:ascii="Arial" w:cs="Arial" w:eastAsia="Arial" w:hAnsi="Arial"/>
                <w:sz w:val="13"/>
                <w:szCs w:val="13"/>
                <w:color w:val="auto"/>
                <w:w w:val="98"/>
              </w:rPr>
              <w:t>Adjusted financial measures</w:t>
            </w:r>
          </w:p>
        </w:tc>
        <w:tc>
          <w:tcPr>
            <w:tcW w:w="180" w:type="dxa"/>
            <w:vAlign w:val="bottom"/>
          </w:tcPr>
          <w:p>
            <w:pPr>
              <w:spacing w:after="0"/>
              <w:rPr>
                <w:sz w:val="20"/>
                <w:szCs w:val="20"/>
                <w:color w:val="auto"/>
              </w:rPr>
            </w:pPr>
          </w:p>
        </w:tc>
        <w:tc>
          <w:tcPr>
            <w:tcW w:w="100" w:type="dxa"/>
            <w:vAlign w:val="bottom"/>
          </w:tcPr>
          <w:p>
            <w:pPr>
              <w:ind w:left="20"/>
              <w:spacing w:after="0"/>
              <w:rPr>
                <w:sz w:val="20"/>
                <w:szCs w:val="20"/>
                <w:color w:val="auto"/>
              </w:rPr>
            </w:pPr>
            <w:r>
              <w:rPr>
                <w:rFonts w:ascii="Arial" w:cs="Arial" w:eastAsia="Arial" w:hAnsi="Arial"/>
                <w:sz w:val="13"/>
                <w:szCs w:val="13"/>
                <w:color w:val="auto"/>
                <w:w w:val="82"/>
              </w:rPr>
              <w:t>$</w:t>
            </w:r>
          </w:p>
        </w:tc>
        <w:tc>
          <w:tcPr>
            <w:tcW w:w="820" w:type="dxa"/>
            <w:vAlign w:val="bottom"/>
            <w:gridSpan w:val="2"/>
          </w:tcPr>
          <w:p>
            <w:pPr>
              <w:jc w:val="right"/>
              <w:ind w:right="20"/>
              <w:spacing w:after="0"/>
              <w:rPr>
                <w:sz w:val="20"/>
                <w:szCs w:val="20"/>
                <w:color w:val="auto"/>
              </w:rPr>
            </w:pPr>
            <w:r>
              <w:rPr>
                <w:rFonts w:ascii="Arial" w:cs="Arial" w:eastAsia="Arial" w:hAnsi="Arial"/>
                <w:sz w:val="13"/>
                <w:szCs w:val="13"/>
                <w:color w:val="auto"/>
              </w:rPr>
              <w:t>257.3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20"/>
              <w:spacing w:after="0"/>
              <w:rPr>
                <w:sz w:val="20"/>
                <w:szCs w:val="20"/>
                <w:color w:val="auto"/>
              </w:rPr>
            </w:pPr>
            <w:r>
              <w:rPr>
                <w:rFonts w:ascii="Arial" w:cs="Arial" w:eastAsia="Arial" w:hAnsi="Arial"/>
                <w:sz w:val="13"/>
                <w:szCs w:val="13"/>
                <w:color w:val="auto"/>
              </w:rPr>
              <w:t>19.4</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150.0</w:t>
            </w:r>
          </w:p>
        </w:tc>
        <w:tc>
          <w:tcPr>
            <w:tcW w:w="22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345.3</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772.0</w:t>
            </w:r>
          </w:p>
        </w:tc>
        <w:tc>
          <w:tcPr>
            <w:tcW w:w="40" w:type="dxa"/>
            <w:vAlign w:val="bottom"/>
          </w:tcPr>
          <w:p>
            <w:pPr>
              <w:spacing w:after="0"/>
              <w:rPr>
                <w:sz w:val="20"/>
                <w:szCs w:val="20"/>
                <w:color w:val="auto"/>
              </w:rPr>
            </w:pPr>
          </w:p>
        </w:tc>
        <w:tc>
          <w:tcPr>
            <w:tcW w:w="18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353.0</w:t>
            </w:r>
          </w:p>
        </w:tc>
        <w:tc>
          <w:tcPr>
            <w:tcW w:w="40" w:type="dxa"/>
            <w:vAlign w:val="bottom"/>
          </w:tcPr>
          <w:p>
            <w:pPr>
              <w:spacing w:after="0"/>
              <w:rPr>
                <w:sz w:val="20"/>
                <w:szCs w:val="20"/>
                <w:color w:val="auto"/>
              </w:rPr>
            </w:pPr>
          </w:p>
        </w:tc>
        <w:tc>
          <w:tcPr>
            <w:tcW w:w="20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1,125.0</w:t>
            </w:r>
          </w:p>
        </w:tc>
        <w:tc>
          <w:tcPr>
            <w:tcW w:w="0" w:type="dxa"/>
            <w:vAlign w:val="bottom"/>
          </w:tcPr>
          <w:p>
            <w:pPr>
              <w:spacing w:after="0"/>
              <w:rPr>
                <w:sz w:val="1"/>
                <w:szCs w:val="1"/>
                <w:color w:val="auto"/>
              </w:rPr>
            </w:pPr>
          </w:p>
        </w:tc>
      </w:tr>
      <w:tr>
        <w:trPr>
          <w:trHeight w:val="20"/>
        </w:trPr>
        <w:tc>
          <w:tcPr>
            <w:tcW w:w="1620" w:type="dxa"/>
            <w:vAlign w:val="bottom"/>
            <w:vMerge w:val="restart"/>
          </w:tcPr>
          <w:p>
            <w:pPr>
              <w:spacing w:after="0"/>
              <w:rPr>
                <w:sz w:val="20"/>
                <w:szCs w:val="20"/>
                <w:color w:val="auto"/>
              </w:rPr>
            </w:pPr>
            <w:r>
              <w:rPr>
                <w:rFonts w:ascii="Arial" w:cs="Arial" w:eastAsia="Arial" w:hAnsi="Arial"/>
                <w:sz w:val="13"/>
                <w:szCs w:val="13"/>
                <w:color w:val="auto"/>
              </w:rPr>
              <w:t>Diluted earnings per share</w:t>
            </w: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16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800" w:type="dxa"/>
            <w:vAlign w:val="bottom"/>
            <w:gridSpan w:val="2"/>
          </w:tcPr>
          <w:p>
            <w:pPr>
              <w:spacing w:after="0" w:line="135" w:lineRule="exact"/>
              <w:rPr>
                <w:sz w:val="20"/>
                <w:szCs w:val="20"/>
                <w:color w:val="auto"/>
              </w:rPr>
            </w:pPr>
            <w:r>
              <w:rPr>
                <w:rFonts w:ascii="Arial" w:cs="Arial" w:eastAsia="Arial" w:hAnsi="Arial"/>
                <w:sz w:val="13"/>
                <w:szCs w:val="13"/>
                <w:color w:val="auto"/>
                <w:w w:val="89"/>
              </w:rPr>
              <w:t>attributable to TechnipFMC plc, as</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1620" w:type="dxa"/>
            <w:vAlign w:val="bottom"/>
          </w:tcPr>
          <w:p>
            <w:pPr>
              <w:spacing w:after="0"/>
              <w:rPr>
                <w:sz w:val="20"/>
                <w:szCs w:val="20"/>
                <w:color w:val="auto"/>
              </w:rPr>
            </w:pPr>
            <w:r>
              <w:rPr>
                <w:rFonts w:ascii="Arial" w:cs="Arial" w:eastAsia="Arial" w:hAnsi="Arial"/>
                <w:sz w:val="13"/>
                <w:szCs w:val="13"/>
                <w:color w:val="auto"/>
              </w:rPr>
              <w:t>reported</w:t>
            </w:r>
          </w:p>
        </w:tc>
        <w:tc>
          <w:tcPr>
            <w:tcW w:w="180" w:type="dxa"/>
            <w:vAlign w:val="bottom"/>
          </w:tcPr>
          <w:p>
            <w:pPr>
              <w:spacing w:after="0"/>
              <w:rPr>
                <w:sz w:val="13"/>
                <w:szCs w:val="13"/>
                <w:color w:val="auto"/>
              </w:rPr>
            </w:pPr>
          </w:p>
        </w:tc>
        <w:tc>
          <w:tcPr>
            <w:tcW w:w="100" w:type="dxa"/>
            <w:vAlign w:val="bottom"/>
          </w:tcPr>
          <w:p>
            <w:pPr>
              <w:ind w:left="20"/>
              <w:spacing w:after="0"/>
              <w:rPr>
                <w:sz w:val="20"/>
                <w:szCs w:val="20"/>
                <w:color w:val="auto"/>
              </w:rPr>
            </w:pPr>
            <w:r>
              <w:rPr>
                <w:rFonts w:ascii="Arial" w:cs="Arial" w:eastAsia="Arial" w:hAnsi="Arial"/>
                <w:sz w:val="13"/>
                <w:szCs w:val="13"/>
                <w:color w:val="auto"/>
                <w:w w:val="82"/>
              </w:rPr>
              <w:t>$</w:t>
            </w:r>
          </w:p>
        </w:tc>
        <w:tc>
          <w:tcPr>
            <w:tcW w:w="820" w:type="dxa"/>
            <w:vAlign w:val="bottom"/>
            <w:gridSpan w:val="2"/>
          </w:tcPr>
          <w:p>
            <w:pPr>
              <w:jc w:val="right"/>
              <w:ind w:right="20"/>
              <w:spacing w:after="0"/>
              <w:rPr>
                <w:sz w:val="20"/>
                <w:szCs w:val="20"/>
                <w:color w:val="auto"/>
              </w:rPr>
            </w:pPr>
            <w:r>
              <w:rPr>
                <w:rFonts w:ascii="Arial" w:cs="Arial" w:eastAsia="Arial" w:hAnsi="Arial"/>
                <w:sz w:val="13"/>
                <w:szCs w:val="13"/>
                <w:color w:val="auto"/>
              </w:rPr>
              <w:t>0.31</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620" w:type="dxa"/>
            <w:vAlign w:val="bottom"/>
          </w:tcPr>
          <w:p>
            <w:pPr>
              <w:spacing w:after="0"/>
              <w:rPr>
                <w:sz w:val="20"/>
                <w:szCs w:val="20"/>
                <w:color w:val="auto"/>
              </w:rPr>
            </w:pPr>
            <w:r>
              <w:rPr>
                <w:rFonts w:ascii="Arial" w:cs="Arial" w:eastAsia="Arial" w:hAnsi="Arial"/>
                <w:sz w:val="13"/>
                <w:szCs w:val="13"/>
                <w:color w:val="auto"/>
                <w:w w:val="95"/>
              </w:rPr>
              <w:t>Adjusted diluted earnings per</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800" w:type="dxa"/>
            <w:vAlign w:val="bottom"/>
            <w:gridSpan w:val="2"/>
          </w:tcPr>
          <w:p>
            <w:pPr>
              <w:spacing w:after="0" w:line="135" w:lineRule="exact"/>
              <w:rPr>
                <w:sz w:val="20"/>
                <w:szCs w:val="20"/>
                <w:color w:val="auto"/>
              </w:rPr>
            </w:pPr>
            <w:r>
              <w:rPr>
                <w:rFonts w:ascii="Arial" w:cs="Arial" w:eastAsia="Arial" w:hAnsi="Arial"/>
                <w:sz w:val="13"/>
                <w:szCs w:val="13"/>
                <w:color w:val="auto"/>
                <w:w w:val="92"/>
              </w:rPr>
              <w:t>share attributable to TechnipFMC</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1620" w:type="dxa"/>
            <w:vAlign w:val="bottom"/>
          </w:tcPr>
          <w:p>
            <w:pPr>
              <w:spacing w:after="0"/>
              <w:rPr>
                <w:sz w:val="20"/>
                <w:szCs w:val="20"/>
                <w:color w:val="auto"/>
              </w:rPr>
            </w:pPr>
            <w:r>
              <w:rPr>
                <w:rFonts w:ascii="Arial" w:cs="Arial" w:eastAsia="Arial" w:hAnsi="Arial"/>
                <w:sz w:val="13"/>
                <w:szCs w:val="13"/>
                <w:color w:val="auto"/>
              </w:rPr>
              <w:t>plc</w:t>
            </w:r>
          </w:p>
        </w:tc>
        <w:tc>
          <w:tcPr>
            <w:tcW w:w="180" w:type="dxa"/>
            <w:vAlign w:val="bottom"/>
          </w:tcPr>
          <w:p>
            <w:pPr>
              <w:spacing w:after="0"/>
              <w:rPr>
                <w:sz w:val="13"/>
                <w:szCs w:val="13"/>
                <w:color w:val="auto"/>
              </w:rPr>
            </w:pPr>
          </w:p>
        </w:tc>
        <w:tc>
          <w:tcPr>
            <w:tcW w:w="100" w:type="dxa"/>
            <w:vAlign w:val="bottom"/>
          </w:tcPr>
          <w:p>
            <w:pPr>
              <w:ind w:left="20"/>
              <w:spacing w:after="0"/>
              <w:rPr>
                <w:sz w:val="20"/>
                <w:szCs w:val="20"/>
                <w:color w:val="auto"/>
              </w:rPr>
            </w:pPr>
            <w:r>
              <w:rPr>
                <w:rFonts w:ascii="Arial" w:cs="Arial" w:eastAsia="Arial" w:hAnsi="Arial"/>
                <w:sz w:val="13"/>
                <w:szCs w:val="13"/>
                <w:color w:val="auto"/>
                <w:w w:val="82"/>
              </w:rPr>
              <w:t>$</w:t>
            </w:r>
          </w:p>
        </w:tc>
        <w:tc>
          <w:tcPr>
            <w:tcW w:w="820" w:type="dxa"/>
            <w:vAlign w:val="bottom"/>
            <w:gridSpan w:val="2"/>
          </w:tcPr>
          <w:p>
            <w:pPr>
              <w:jc w:val="right"/>
              <w:ind w:right="20"/>
              <w:spacing w:after="0"/>
              <w:rPr>
                <w:sz w:val="20"/>
                <w:szCs w:val="20"/>
                <w:color w:val="auto"/>
              </w:rPr>
            </w:pPr>
            <w:r>
              <w:rPr>
                <w:rFonts w:ascii="Arial" w:cs="Arial" w:eastAsia="Arial" w:hAnsi="Arial"/>
                <w:sz w:val="13"/>
                <w:szCs w:val="13"/>
                <w:color w:val="auto"/>
              </w:rPr>
              <w:t>0.57</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6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6"/>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1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120" w:type="dxa"/>
            <w:vAlign w:val="bottom"/>
            <w:gridSpan w:val="6"/>
          </w:tcPr>
          <w:p>
            <w:pPr>
              <w:jc w:val="center"/>
              <w:spacing w:after="0"/>
              <w:rPr>
                <w:sz w:val="20"/>
                <w:szCs w:val="20"/>
                <w:color w:val="auto"/>
              </w:rPr>
            </w:pPr>
            <w:r>
              <w:rPr>
                <w:rFonts w:ascii="Arial" w:cs="Arial" w:eastAsia="Arial" w:hAnsi="Arial"/>
                <w:sz w:val="13"/>
                <w:szCs w:val="13"/>
                <w:b w:val="1"/>
                <w:bCs w:val="1"/>
                <w:color w:val="auto"/>
                <w:w w:val="88"/>
              </w:rPr>
              <w:t>Nine Months Ended</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0"/>
        </w:trPr>
        <w:tc>
          <w:tcPr>
            <w:tcW w:w="16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6"/>
          </w:tcPr>
          <w:p>
            <w:pPr>
              <w:jc w:val="center"/>
              <w:ind w:right="20"/>
              <w:spacing w:after="0"/>
              <w:rPr>
                <w:sz w:val="20"/>
                <w:szCs w:val="20"/>
                <w:color w:val="auto"/>
              </w:rPr>
            </w:pPr>
            <w:r>
              <w:rPr>
                <w:rFonts w:ascii="Arial" w:cs="Arial" w:eastAsia="Arial" w:hAnsi="Arial"/>
                <w:sz w:val="13"/>
                <w:szCs w:val="13"/>
                <w:b w:val="1"/>
                <w:bCs w:val="1"/>
                <w:color w:val="auto"/>
                <w:w w:val="87"/>
              </w:rPr>
              <w:t>September 30, 2018</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1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88"/>
              </w:rPr>
              <w:t>Earnings before</w:t>
            </w:r>
          </w:p>
        </w:tc>
        <w:tc>
          <w:tcPr>
            <w:tcW w:w="0" w:type="dxa"/>
            <w:vAlign w:val="bottom"/>
          </w:tcPr>
          <w:p>
            <w:pPr>
              <w:spacing w:after="0"/>
              <w:rPr>
                <w:sz w:val="1"/>
                <w:szCs w:val="1"/>
                <w:color w:val="auto"/>
              </w:rPr>
            </w:pPr>
          </w:p>
        </w:tc>
      </w:tr>
      <w:tr>
        <w:trPr>
          <w:trHeight w:val="135"/>
        </w:trPr>
        <w:tc>
          <w:tcPr>
            <w:tcW w:w="1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3"/>
          </w:tcPr>
          <w:p>
            <w:pPr>
              <w:jc w:val="center"/>
              <w:ind w:right="160"/>
              <w:spacing w:after="0" w:line="135" w:lineRule="exact"/>
              <w:rPr>
                <w:sz w:val="20"/>
                <w:szCs w:val="20"/>
                <w:color w:val="auto"/>
              </w:rPr>
            </w:pPr>
            <w:r>
              <w:rPr>
                <w:rFonts w:ascii="Arial" w:cs="Arial" w:eastAsia="Arial" w:hAnsi="Arial"/>
                <w:sz w:val="13"/>
                <w:szCs w:val="13"/>
                <w:b w:val="1"/>
                <w:bCs w:val="1"/>
                <w:color w:val="auto"/>
                <w:w w:val="85"/>
              </w:rPr>
              <w:t>Income before</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center"/>
              <w:ind w:right="77"/>
              <w:spacing w:after="0" w:line="135" w:lineRule="exact"/>
              <w:rPr>
                <w:sz w:val="20"/>
                <w:szCs w:val="20"/>
                <w:color w:val="auto"/>
              </w:rPr>
            </w:pPr>
            <w:r>
              <w:rPr>
                <w:rFonts w:ascii="Arial" w:cs="Arial" w:eastAsia="Arial" w:hAnsi="Arial"/>
                <w:sz w:val="13"/>
                <w:szCs w:val="13"/>
                <w:b w:val="1"/>
                <w:bCs w:val="1"/>
                <w:color w:val="auto"/>
                <w:w w:val="85"/>
              </w:rPr>
              <w:t>net interest</w:t>
            </w:r>
          </w:p>
        </w:tc>
        <w:tc>
          <w:tcPr>
            <w:tcW w:w="0" w:type="dxa"/>
            <w:vAlign w:val="bottom"/>
          </w:tcPr>
          <w:p>
            <w:pPr>
              <w:spacing w:after="0"/>
              <w:rPr>
                <w:sz w:val="1"/>
                <w:szCs w:val="1"/>
                <w:color w:val="auto"/>
              </w:rPr>
            </w:pPr>
          </w:p>
        </w:tc>
      </w:tr>
      <w:tr>
        <w:trPr>
          <w:trHeight w:val="135"/>
        </w:trPr>
        <w:tc>
          <w:tcPr>
            <w:tcW w:w="1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5"/>
              </w:rPr>
              <w:t>net interest</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83"/>
              </w:rPr>
              <w:t>expense, income</w:t>
            </w:r>
          </w:p>
        </w:tc>
        <w:tc>
          <w:tcPr>
            <w:tcW w:w="0" w:type="dxa"/>
            <w:vAlign w:val="bottom"/>
          </w:tcPr>
          <w:p>
            <w:pPr>
              <w:spacing w:after="0"/>
              <w:rPr>
                <w:sz w:val="1"/>
                <w:szCs w:val="1"/>
                <w:color w:val="auto"/>
              </w:rPr>
            </w:pPr>
          </w:p>
        </w:tc>
      </w:tr>
      <w:tr>
        <w:trPr>
          <w:trHeight w:val="135"/>
        </w:trPr>
        <w:tc>
          <w:tcPr>
            <w:tcW w:w="1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gridSpan w:val="5"/>
          </w:tcPr>
          <w:p>
            <w:pPr>
              <w:jc w:val="center"/>
              <w:ind w:right="140"/>
              <w:spacing w:after="0" w:line="135" w:lineRule="exact"/>
              <w:rPr>
                <w:sz w:val="20"/>
                <w:szCs w:val="20"/>
                <w:color w:val="auto"/>
              </w:rPr>
            </w:pPr>
            <w:r>
              <w:rPr>
                <w:rFonts w:ascii="Arial" w:cs="Arial" w:eastAsia="Arial" w:hAnsi="Arial"/>
                <w:sz w:val="13"/>
                <w:szCs w:val="13"/>
                <w:b w:val="1"/>
                <w:bCs w:val="1"/>
                <w:color w:val="auto"/>
                <w:w w:val="83"/>
              </w:rPr>
              <w:t>Net income (loss)</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3"/>
          </w:tcPr>
          <w:p>
            <w:pPr>
              <w:jc w:val="center"/>
              <w:ind w:right="160"/>
              <w:spacing w:after="0" w:line="135" w:lineRule="exact"/>
              <w:rPr>
                <w:sz w:val="20"/>
                <w:szCs w:val="20"/>
                <w:color w:val="auto"/>
              </w:rPr>
            </w:pPr>
            <w:r>
              <w:rPr>
                <w:rFonts w:ascii="Arial" w:cs="Arial" w:eastAsia="Arial" w:hAnsi="Arial"/>
                <w:sz w:val="13"/>
                <w:szCs w:val="13"/>
                <w:b w:val="1"/>
                <w:bCs w:val="1"/>
                <w:color w:val="auto"/>
                <w:w w:val="81"/>
              </w:rPr>
              <w:t>expense and</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center"/>
              <w:ind w:right="77"/>
              <w:spacing w:after="0" w:line="135" w:lineRule="exact"/>
              <w:rPr>
                <w:sz w:val="20"/>
                <w:szCs w:val="20"/>
                <w:color w:val="auto"/>
              </w:rPr>
            </w:pPr>
            <w:r>
              <w:rPr>
                <w:rFonts w:ascii="Arial" w:cs="Arial" w:eastAsia="Arial" w:hAnsi="Arial"/>
                <w:sz w:val="13"/>
                <w:szCs w:val="13"/>
                <w:b w:val="1"/>
                <w:bCs w:val="1"/>
                <w:color w:val="auto"/>
                <w:w w:val="86"/>
              </w:rPr>
              <w:t>taxes,</w:t>
            </w:r>
          </w:p>
        </w:tc>
        <w:tc>
          <w:tcPr>
            <w:tcW w:w="0" w:type="dxa"/>
            <w:vAlign w:val="bottom"/>
          </w:tcPr>
          <w:p>
            <w:pPr>
              <w:spacing w:after="0"/>
              <w:rPr>
                <w:sz w:val="1"/>
                <w:szCs w:val="1"/>
                <w:color w:val="auto"/>
              </w:rPr>
            </w:pPr>
          </w:p>
        </w:tc>
      </w:tr>
      <w:tr>
        <w:trPr>
          <w:trHeight w:val="135"/>
        </w:trPr>
        <w:tc>
          <w:tcPr>
            <w:tcW w:w="1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gridSpan w:val="4"/>
          </w:tcPr>
          <w:p>
            <w:pPr>
              <w:spacing w:after="0" w:line="135" w:lineRule="exact"/>
              <w:rPr>
                <w:sz w:val="20"/>
                <w:szCs w:val="20"/>
                <w:color w:val="auto"/>
              </w:rPr>
            </w:pPr>
            <w:r>
              <w:rPr>
                <w:rFonts w:ascii="Arial" w:cs="Arial" w:eastAsia="Arial" w:hAnsi="Arial"/>
                <w:sz w:val="13"/>
                <w:szCs w:val="13"/>
                <w:b w:val="1"/>
                <w:bCs w:val="1"/>
                <w:color w:val="auto"/>
              </w:rPr>
              <w:t>Net income</w:t>
            </w:r>
          </w:p>
        </w:tc>
        <w:tc>
          <w:tcPr>
            <w:tcW w:w="80" w:type="dxa"/>
            <w:vAlign w:val="bottom"/>
          </w:tcPr>
          <w:p>
            <w:pPr>
              <w:spacing w:after="0"/>
              <w:rPr>
                <w:sz w:val="11"/>
                <w:szCs w:val="11"/>
                <w:color w:val="auto"/>
              </w:rPr>
            </w:pPr>
          </w:p>
        </w:tc>
        <w:tc>
          <w:tcPr>
            <w:tcW w:w="1040" w:type="dxa"/>
            <w:vAlign w:val="bottom"/>
            <w:gridSpan w:val="4"/>
          </w:tcPr>
          <w:p>
            <w:pPr>
              <w:jc w:val="center"/>
              <w:ind w:right="220"/>
              <w:spacing w:after="0" w:line="135" w:lineRule="exact"/>
              <w:rPr>
                <w:sz w:val="20"/>
                <w:szCs w:val="20"/>
                <w:color w:val="auto"/>
              </w:rPr>
            </w:pPr>
            <w:r>
              <w:rPr>
                <w:rFonts w:ascii="Arial" w:cs="Arial" w:eastAsia="Arial" w:hAnsi="Arial"/>
                <w:sz w:val="13"/>
                <w:szCs w:val="13"/>
                <w:b w:val="1"/>
                <w:bCs w:val="1"/>
                <w:color w:val="auto"/>
                <w:w w:val="89"/>
              </w:rPr>
              <w:t>attributable to</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3"/>
          </w:tcPr>
          <w:p>
            <w:pPr>
              <w:jc w:val="center"/>
              <w:ind w:right="160"/>
              <w:spacing w:after="0" w:line="135" w:lineRule="exact"/>
              <w:rPr>
                <w:sz w:val="20"/>
                <w:szCs w:val="20"/>
                <w:color w:val="auto"/>
              </w:rPr>
            </w:pPr>
            <w:r>
              <w:rPr>
                <w:rFonts w:ascii="Arial" w:cs="Arial" w:eastAsia="Arial" w:hAnsi="Arial"/>
                <w:sz w:val="13"/>
                <w:szCs w:val="13"/>
                <w:b w:val="1"/>
                <w:bCs w:val="1"/>
                <w:color w:val="auto"/>
                <w:w w:val="82"/>
              </w:rPr>
              <w:t>income taxes</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8"/>
              </w:rPr>
              <w:t>Depreciation</w:t>
            </w:r>
          </w:p>
        </w:tc>
        <w:tc>
          <w:tcPr>
            <w:tcW w:w="60" w:type="dxa"/>
            <w:vAlign w:val="bottom"/>
          </w:tcPr>
          <w:p>
            <w:pPr>
              <w:spacing w:after="0"/>
              <w:rPr>
                <w:sz w:val="11"/>
                <w:szCs w:val="11"/>
                <w:color w:val="auto"/>
              </w:rPr>
            </w:pPr>
          </w:p>
        </w:tc>
        <w:tc>
          <w:tcPr>
            <w:tcW w:w="96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88"/>
              </w:rPr>
              <w:t>depreciation and</w:t>
            </w:r>
          </w:p>
        </w:tc>
        <w:tc>
          <w:tcPr>
            <w:tcW w:w="0" w:type="dxa"/>
            <w:vAlign w:val="bottom"/>
          </w:tcPr>
          <w:p>
            <w:pPr>
              <w:spacing w:after="0"/>
              <w:rPr>
                <w:sz w:val="1"/>
                <w:szCs w:val="1"/>
                <w:color w:val="auto"/>
              </w:rPr>
            </w:pPr>
          </w:p>
        </w:tc>
      </w:tr>
      <w:tr>
        <w:trPr>
          <w:trHeight w:val="135"/>
        </w:trPr>
        <w:tc>
          <w:tcPr>
            <w:tcW w:w="1620" w:type="dxa"/>
            <w:vAlign w:val="bottom"/>
          </w:tcPr>
          <w:p>
            <w:pPr>
              <w:spacing w:after="0"/>
              <w:rPr>
                <w:sz w:val="11"/>
                <w:szCs w:val="11"/>
                <w:color w:val="auto"/>
              </w:rPr>
            </w:pPr>
          </w:p>
        </w:tc>
        <w:tc>
          <w:tcPr>
            <w:tcW w:w="1120" w:type="dxa"/>
            <w:vAlign w:val="bottom"/>
            <w:gridSpan w:val="5"/>
          </w:tcPr>
          <w:p>
            <w:pPr>
              <w:ind w:left="100"/>
              <w:spacing w:after="0" w:line="135" w:lineRule="exact"/>
              <w:rPr>
                <w:sz w:val="20"/>
                <w:szCs w:val="20"/>
                <w:color w:val="auto"/>
              </w:rPr>
            </w:pPr>
            <w:r>
              <w:rPr>
                <w:rFonts w:ascii="Arial" w:cs="Arial" w:eastAsia="Arial" w:hAnsi="Arial"/>
                <w:sz w:val="13"/>
                <w:szCs w:val="13"/>
                <w:b w:val="1"/>
                <w:bCs w:val="1"/>
                <w:color w:val="auto"/>
              </w:rPr>
              <w:t>attributable to</w:t>
            </w:r>
          </w:p>
        </w:tc>
        <w:tc>
          <w:tcPr>
            <w:tcW w:w="80" w:type="dxa"/>
            <w:vAlign w:val="bottom"/>
          </w:tcPr>
          <w:p>
            <w:pPr>
              <w:spacing w:after="0"/>
              <w:rPr>
                <w:sz w:val="11"/>
                <w:szCs w:val="11"/>
                <w:color w:val="auto"/>
              </w:rPr>
            </w:pPr>
          </w:p>
        </w:tc>
        <w:tc>
          <w:tcPr>
            <w:tcW w:w="1040" w:type="dxa"/>
            <w:vAlign w:val="bottom"/>
            <w:gridSpan w:val="4"/>
          </w:tcPr>
          <w:p>
            <w:pPr>
              <w:jc w:val="center"/>
              <w:ind w:right="220"/>
              <w:spacing w:after="0" w:line="135" w:lineRule="exact"/>
              <w:rPr>
                <w:sz w:val="20"/>
                <w:szCs w:val="20"/>
                <w:color w:val="auto"/>
              </w:rPr>
            </w:pPr>
            <w:r>
              <w:rPr>
                <w:rFonts w:ascii="Arial" w:cs="Arial" w:eastAsia="Arial" w:hAnsi="Arial"/>
                <w:sz w:val="13"/>
                <w:szCs w:val="13"/>
                <w:b w:val="1"/>
                <w:bCs w:val="1"/>
                <w:color w:val="auto"/>
                <w:w w:val="85"/>
              </w:rPr>
              <w:t>noncontrolling</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gridSpan w:val="4"/>
          </w:tcPr>
          <w:p>
            <w:pPr>
              <w:jc w:val="right"/>
              <w:ind w:right="177"/>
              <w:spacing w:after="0" w:line="135" w:lineRule="exact"/>
              <w:rPr>
                <w:sz w:val="20"/>
                <w:szCs w:val="20"/>
                <w:color w:val="auto"/>
              </w:rPr>
            </w:pPr>
            <w:r>
              <w:rPr>
                <w:rFonts w:ascii="Arial" w:cs="Arial" w:eastAsia="Arial" w:hAnsi="Arial"/>
                <w:sz w:val="13"/>
                <w:szCs w:val="13"/>
                <w:b w:val="1"/>
                <w:bCs w:val="1"/>
                <w:color w:val="auto"/>
                <w:w w:val="87"/>
              </w:rPr>
              <w:t>Provision for</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3"/>
          </w:tcPr>
          <w:p>
            <w:pPr>
              <w:jc w:val="center"/>
              <w:ind w:right="180"/>
              <w:spacing w:after="0" w:line="135" w:lineRule="exact"/>
              <w:rPr>
                <w:sz w:val="20"/>
                <w:szCs w:val="20"/>
                <w:color w:val="auto"/>
              </w:rPr>
            </w:pPr>
            <w:r>
              <w:rPr>
                <w:rFonts w:ascii="Arial" w:cs="Arial" w:eastAsia="Arial" w:hAnsi="Arial"/>
                <w:sz w:val="13"/>
                <w:szCs w:val="13"/>
                <w:b w:val="1"/>
                <w:bCs w:val="1"/>
                <w:color w:val="auto"/>
                <w:w w:val="86"/>
              </w:rPr>
              <w:t>Net interest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1"/>
              </w:rPr>
              <w:t>(Operating</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6"/>
              </w:rPr>
              <w:t>and</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center"/>
              <w:ind w:right="77"/>
              <w:spacing w:after="0" w:line="135" w:lineRule="exact"/>
              <w:rPr>
                <w:sz w:val="20"/>
                <w:szCs w:val="20"/>
                <w:color w:val="auto"/>
              </w:rPr>
            </w:pPr>
            <w:r>
              <w:rPr>
                <w:rFonts w:ascii="Arial" w:cs="Arial" w:eastAsia="Arial" w:hAnsi="Arial"/>
                <w:sz w:val="13"/>
                <w:szCs w:val="13"/>
                <w:b w:val="1"/>
                <w:bCs w:val="1"/>
                <w:color w:val="auto"/>
                <w:w w:val="87"/>
              </w:rPr>
              <w:t>amortization</w:t>
            </w:r>
          </w:p>
        </w:tc>
        <w:tc>
          <w:tcPr>
            <w:tcW w:w="0" w:type="dxa"/>
            <w:vAlign w:val="bottom"/>
          </w:tcPr>
          <w:p>
            <w:pPr>
              <w:spacing w:after="0"/>
              <w:rPr>
                <w:sz w:val="1"/>
                <w:szCs w:val="1"/>
                <w:color w:val="auto"/>
              </w:rPr>
            </w:pPr>
          </w:p>
        </w:tc>
      </w:tr>
      <w:tr>
        <w:trPr>
          <w:trHeight w:val="174"/>
        </w:trPr>
        <w:tc>
          <w:tcPr>
            <w:tcW w:w="1620" w:type="dxa"/>
            <w:vAlign w:val="bottom"/>
          </w:tcPr>
          <w:p>
            <w:pPr>
              <w:spacing w:after="0"/>
              <w:rPr>
                <w:sz w:val="15"/>
                <w:szCs w:val="15"/>
                <w:color w:val="auto"/>
              </w:rPr>
            </w:pPr>
          </w:p>
        </w:tc>
        <w:tc>
          <w:tcPr>
            <w:tcW w:w="980" w:type="dxa"/>
            <w:vAlign w:val="bottom"/>
            <w:tcBorders>
              <w:bottom w:val="single" w:sz="8" w:color="auto"/>
            </w:tcBorders>
            <w:gridSpan w:val="3"/>
          </w:tcPr>
          <w:p>
            <w:pPr>
              <w:ind w:left="40"/>
              <w:spacing w:after="0"/>
              <w:rPr>
                <w:sz w:val="20"/>
                <w:szCs w:val="20"/>
                <w:color w:val="auto"/>
              </w:rPr>
            </w:pPr>
            <w:r>
              <w:rPr>
                <w:rFonts w:ascii="Arial" w:cs="Arial" w:eastAsia="Arial" w:hAnsi="Arial"/>
                <w:sz w:val="13"/>
                <w:szCs w:val="13"/>
                <w:b w:val="1"/>
                <w:bCs w:val="1"/>
                <w:color w:val="auto"/>
                <w:w w:val="91"/>
              </w:rPr>
              <w:t>TechnipFMC plc</w:t>
            </w:r>
          </w:p>
        </w:tc>
        <w:tc>
          <w:tcPr>
            <w:tcW w:w="1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237"/>
              <w:spacing w:after="0"/>
              <w:rPr>
                <w:sz w:val="20"/>
                <w:szCs w:val="20"/>
                <w:color w:val="auto"/>
              </w:rPr>
            </w:pPr>
            <w:r>
              <w:rPr>
                <w:rFonts w:ascii="Arial" w:cs="Arial" w:eastAsia="Arial" w:hAnsi="Arial"/>
                <w:sz w:val="13"/>
                <w:szCs w:val="13"/>
                <w:b w:val="1"/>
                <w:bCs w:val="1"/>
                <w:color w:val="auto"/>
                <w:w w:val="84"/>
              </w:rPr>
              <w:t>interests</w:t>
            </w:r>
          </w:p>
        </w:tc>
        <w:tc>
          <w:tcPr>
            <w:tcW w:w="10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3"/>
          </w:tcPr>
          <w:p>
            <w:pPr>
              <w:jc w:val="right"/>
              <w:ind w:right="77"/>
              <w:spacing w:after="0"/>
              <w:rPr>
                <w:sz w:val="20"/>
                <w:szCs w:val="20"/>
                <w:color w:val="auto"/>
              </w:rPr>
            </w:pPr>
            <w:r>
              <w:rPr>
                <w:rFonts w:ascii="Arial" w:cs="Arial" w:eastAsia="Arial" w:hAnsi="Arial"/>
                <w:sz w:val="13"/>
                <w:szCs w:val="13"/>
                <w:b w:val="1"/>
                <w:bCs w:val="1"/>
                <w:color w:val="auto"/>
                <w:w w:val="84"/>
              </w:rPr>
              <w:t>income taxes</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157"/>
              <w:spacing w:after="0"/>
              <w:rPr>
                <w:sz w:val="20"/>
                <w:szCs w:val="20"/>
                <w:color w:val="auto"/>
              </w:rPr>
            </w:pPr>
            <w:r>
              <w:rPr>
                <w:rFonts w:ascii="Arial" w:cs="Arial" w:eastAsia="Arial" w:hAnsi="Arial"/>
                <w:sz w:val="13"/>
                <w:szCs w:val="13"/>
                <w:b w:val="1"/>
                <w:bCs w:val="1"/>
                <w:color w:val="auto"/>
                <w:w w:val="80"/>
              </w:rPr>
              <w:t>expense</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137"/>
              <w:spacing w:after="0"/>
              <w:rPr>
                <w:sz w:val="20"/>
                <w:szCs w:val="20"/>
                <w:color w:val="auto"/>
              </w:rPr>
            </w:pPr>
            <w:r>
              <w:rPr>
                <w:rFonts w:ascii="Arial" w:cs="Arial" w:eastAsia="Arial" w:hAnsi="Arial"/>
                <w:sz w:val="13"/>
                <w:szCs w:val="13"/>
                <w:b w:val="1"/>
                <w:bCs w:val="1"/>
                <w:color w:val="auto"/>
                <w:w w:val="95"/>
              </w:rPr>
              <w:t>profit)</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color w:val="auto"/>
                <w:w w:val="90"/>
              </w:rPr>
              <w:t>amortization</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color w:val="auto"/>
                <w:w w:val="98"/>
              </w:rPr>
              <w:t>(EBITDA)</w:t>
            </w:r>
          </w:p>
        </w:tc>
        <w:tc>
          <w:tcPr>
            <w:tcW w:w="0" w:type="dxa"/>
            <w:vAlign w:val="bottom"/>
          </w:tcPr>
          <w:p>
            <w:pPr>
              <w:spacing w:after="0"/>
              <w:rPr>
                <w:sz w:val="1"/>
                <w:szCs w:val="1"/>
                <w:color w:val="auto"/>
              </w:rPr>
            </w:pPr>
          </w:p>
        </w:tc>
      </w:tr>
      <w:tr>
        <w:trPr>
          <w:trHeight w:val="241"/>
        </w:trPr>
        <w:tc>
          <w:tcPr>
            <w:tcW w:w="1620" w:type="dxa"/>
            <w:vAlign w:val="bottom"/>
          </w:tcPr>
          <w:p>
            <w:pPr>
              <w:spacing w:after="0"/>
              <w:rPr>
                <w:sz w:val="20"/>
                <w:szCs w:val="20"/>
                <w:color w:val="auto"/>
              </w:rPr>
            </w:pPr>
            <w:r>
              <w:rPr>
                <w:rFonts w:ascii="Arial" w:cs="Arial" w:eastAsia="Arial" w:hAnsi="Arial"/>
                <w:sz w:val="13"/>
                <w:szCs w:val="13"/>
                <w:color w:val="auto"/>
                <w:w w:val="95"/>
              </w:rPr>
              <w:t>TechnipFMC plc, as reported</w:t>
            </w:r>
          </w:p>
        </w:tc>
        <w:tc>
          <w:tcPr>
            <w:tcW w:w="180" w:type="dxa"/>
            <w:vAlign w:val="bottom"/>
          </w:tcPr>
          <w:p>
            <w:pPr>
              <w:ind w:left="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0"/>
                <w:szCs w:val="20"/>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337.7</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(2.0)</w:t>
            </w:r>
          </w:p>
        </w:tc>
        <w:tc>
          <w:tcPr>
            <w:tcW w:w="100" w:type="dxa"/>
            <w:vAlign w:val="bottom"/>
          </w:tcPr>
          <w:p>
            <w:pPr>
              <w:spacing w:after="0"/>
              <w:rPr>
                <w:sz w:val="20"/>
                <w:szCs w:val="20"/>
                <w:color w:val="auto"/>
              </w:rPr>
            </w:pPr>
          </w:p>
        </w:tc>
        <w:tc>
          <w:tcPr>
            <w:tcW w:w="100" w:type="dxa"/>
            <w:vAlign w:val="bottom"/>
            <w:gridSpan w:val="2"/>
          </w:tcPr>
          <w:p>
            <w:pPr>
              <w:jc w:val="right"/>
              <w:ind w:right="20"/>
              <w:spacing w:after="0"/>
              <w:rPr>
                <w:sz w:val="20"/>
                <w:szCs w:val="20"/>
                <w:color w:val="auto"/>
              </w:rPr>
            </w:pPr>
            <w:r>
              <w:rPr>
                <w:rFonts w:ascii="Arial" w:cs="Arial" w:eastAsia="Arial" w:hAnsi="Arial"/>
                <w:sz w:val="13"/>
                <w:szCs w:val="13"/>
                <w:color w:val="auto"/>
                <w:w w:val="82"/>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ind w:right="17"/>
              <w:spacing w:after="0"/>
              <w:rPr>
                <w:sz w:val="20"/>
                <w:szCs w:val="20"/>
                <w:color w:val="auto"/>
              </w:rPr>
            </w:pPr>
            <w:r>
              <w:rPr>
                <w:rFonts w:ascii="Arial" w:cs="Arial" w:eastAsia="Arial" w:hAnsi="Arial"/>
                <w:sz w:val="13"/>
                <w:szCs w:val="13"/>
                <w:color w:val="auto"/>
              </w:rPr>
              <w:t>180.7</w:t>
            </w:r>
          </w:p>
        </w:tc>
        <w:tc>
          <w:tcPr>
            <w:tcW w:w="100" w:type="dxa"/>
            <w:vAlign w:val="bottom"/>
          </w:tcPr>
          <w:p>
            <w:pPr>
              <w:spacing w:after="0"/>
              <w:rPr>
                <w:sz w:val="20"/>
                <w:szCs w:val="20"/>
                <w:color w:val="auto"/>
              </w:rPr>
            </w:pPr>
          </w:p>
        </w:tc>
        <w:tc>
          <w:tcPr>
            <w:tcW w:w="100" w:type="dxa"/>
            <w:vAlign w:val="bottom"/>
            <w:gridSpan w:val="2"/>
          </w:tcPr>
          <w:p>
            <w:pPr>
              <w:ind w:left="40"/>
              <w:spacing w:after="0"/>
              <w:rPr>
                <w:sz w:val="20"/>
                <w:szCs w:val="20"/>
                <w:color w:val="auto"/>
              </w:rPr>
            </w:pPr>
            <w:r>
              <w:rPr>
                <w:rFonts w:ascii="Arial" w:cs="Arial" w:eastAsia="Arial" w:hAnsi="Arial"/>
                <w:sz w:val="9"/>
                <w:szCs w:val="9"/>
                <w:color w:val="auto"/>
                <w:w w:val="78"/>
              </w:rPr>
              <w:t>$</w:t>
            </w: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244.3</w:t>
            </w:r>
          </w:p>
        </w:tc>
        <w:tc>
          <w:tcPr>
            <w:tcW w:w="80" w:type="dxa"/>
            <w:vAlign w:val="bottom"/>
          </w:tcPr>
          <w:p>
            <w:pPr>
              <w:spacing w:after="0"/>
              <w:rPr>
                <w:sz w:val="20"/>
                <w:szCs w:val="20"/>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0"/>
                <w:szCs w:val="20"/>
                <w:color w:val="auto"/>
              </w:rPr>
            </w:pP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760.7</w:t>
            </w:r>
          </w:p>
        </w:tc>
        <w:tc>
          <w:tcPr>
            <w:tcW w:w="40" w:type="dxa"/>
            <w:vAlign w:val="bottom"/>
          </w:tcPr>
          <w:p>
            <w:pPr>
              <w:spacing w:after="0"/>
              <w:rPr>
                <w:sz w:val="20"/>
                <w:szCs w:val="20"/>
                <w:color w:val="auto"/>
              </w:rPr>
            </w:pPr>
          </w:p>
        </w:tc>
        <w:tc>
          <w:tcPr>
            <w:tcW w:w="180" w:type="dxa"/>
            <w:vAlign w:val="bottom"/>
            <w:gridSpan w:val="3"/>
          </w:tcPr>
          <w:p>
            <w:pPr>
              <w:jc w:val="right"/>
              <w:ind w:right="4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412.5</w:t>
            </w:r>
          </w:p>
        </w:tc>
        <w:tc>
          <w:tcPr>
            <w:tcW w:w="40" w:type="dxa"/>
            <w:vAlign w:val="bottom"/>
          </w:tcPr>
          <w:p>
            <w:pPr>
              <w:spacing w:after="0"/>
              <w:rPr>
                <w:sz w:val="20"/>
                <w:szCs w:val="20"/>
                <w:color w:val="auto"/>
              </w:rPr>
            </w:pPr>
          </w:p>
        </w:tc>
        <w:tc>
          <w:tcPr>
            <w:tcW w:w="20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17"/>
              <w:spacing w:after="0"/>
              <w:rPr>
                <w:sz w:val="20"/>
                <w:szCs w:val="20"/>
                <w:color w:val="auto"/>
              </w:rPr>
            </w:pPr>
            <w:r>
              <w:rPr>
                <w:rFonts w:ascii="Arial" w:cs="Arial" w:eastAsia="Arial" w:hAnsi="Arial"/>
                <w:sz w:val="13"/>
                <w:szCs w:val="13"/>
                <w:color w:val="auto"/>
              </w:rPr>
              <w:t>1,173.2</w:t>
            </w:r>
          </w:p>
        </w:tc>
        <w:tc>
          <w:tcPr>
            <w:tcW w:w="0" w:type="dxa"/>
            <w:vAlign w:val="bottom"/>
          </w:tcPr>
          <w:p>
            <w:pPr>
              <w:spacing w:after="0"/>
              <w:rPr>
                <w:sz w:val="1"/>
                <w:szCs w:val="1"/>
                <w:color w:val="auto"/>
              </w:rPr>
            </w:pPr>
          </w:p>
        </w:tc>
      </w:tr>
      <w:tr>
        <w:trPr>
          <w:trHeight w:val="486"/>
        </w:trPr>
        <w:tc>
          <w:tcPr>
            <w:tcW w:w="1620" w:type="dxa"/>
            <w:vAlign w:val="bottom"/>
          </w:tcPr>
          <w:p>
            <w:pPr>
              <w:spacing w:after="0"/>
              <w:rPr>
                <w:sz w:val="20"/>
                <w:szCs w:val="20"/>
                <w:color w:val="auto"/>
              </w:rPr>
            </w:pPr>
            <w:r>
              <w:rPr>
                <w:rFonts w:ascii="Arial" w:cs="Arial" w:eastAsia="Arial" w:hAnsi="Arial"/>
                <w:sz w:val="13"/>
                <w:szCs w:val="13"/>
                <w:color w:val="auto"/>
              </w:rPr>
              <w:t>Charges and (credits):</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1620" w:type="dxa"/>
            <w:vAlign w:val="bottom"/>
          </w:tcPr>
          <w:p>
            <w:pPr>
              <w:ind w:left="240"/>
              <w:spacing w:after="0"/>
              <w:rPr>
                <w:sz w:val="20"/>
                <w:szCs w:val="20"/>
                <w:color w:val="auto"/>
              </w:rPr>
            </w:pPr>
            <w:r>
              <w:rPr>
                <w:rFonts w:ascii="Arial" w:cs="Arial" w:eastAsia="Arial" w:hAnsi="Arial"/>
                <w:sz w:val="13"/>
                <w:szCs w:val="13"/>
                <w:color w:val="auto"/>
              </w:rPr>
              <w:t>Impairment and other</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620" w:type="dxa"/>
            <w:vAlign w:val="bottom"/>
          </w:tcPr>
          <w:p>
            <w:pPr>
              <w:ind w:left="240"/>
              <w:spacing w:after="0"/>
              <w:rPr>
                <w:sz w:val="20"/>
                <w:szCs w:val="20"/>
                <w:color w:val="auto"/>
              </w:rPr>
            </w:pPr>
            <w:r>
              <w:rPr>
                <w:rFonts w:ascii="Arial" w:cs="Arial" w:eastAsia="Arial" w:hAnsi="Arial"/>
                <w:sz w:val="13"/>
                <w:szCs w:val="13"/>
                <w:color w:val="auto"/>
              </w:rPr>
              <w:t>charges</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9.4</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ind w:right="17"/>
              <w:spacing w:after="0"/>
              <w:rPr>
                <w:sz w:val="20"/>
                <w:szCs w:val="20"/>
                <w:color w:val="auto"/>
              </w:rPr>
            </w:pPr>
            <w:r>
              <w:rPr>
                <w:rFonts w:ascii="Arial" w:cs="Arial" w:eastAsia="Arial" w:hAnsi="Arial"/>
                <w:sz w:val="13"/>
                <w:szCs w:val="13"/>
                <w:color w:val="auto"/>
              </w:rPr>
              <w:t>4.7</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14.1</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ind w:right="17"/>
              <w:spacing w:after="0"/>
              <w:rPr>
                <w:sz w:val="20"/>
                <w:szCs w:val="20"/>
                <w:color w:val="auto"/>
              </w:rPr>
            </w:pPr>
            <w:r>
              <w:rPr>
                <w:rFonts w:ascii="Arial" w:cs="Arial" w:eastAsia="Arial" w:hAnsi="Arial"/>
                <w:sz w:val="13"/>
                <w:szCs w:val="13"/>
                <w:color w:val="auto"/>
              </w:rPr>
              <w:t>14.1</w:t>
            </w:r>
          </w:p>
        </w:tc>
        <w:tc>
          <w:tcPr>
            <w:tcW w:w="0" w:type="dxa"/>
            <w:vAlign w:val="bottom"/>
          </w:tcPr>
          <w:p>
            <w:pPr>
              <w:spacing w:after="0"/>
              <w:rPr>
                <w:sz w:val="1"/>
                <w:szCs w:val="1"/>
                <w:color w:val="auto"/>
              </w:rPr>
            </w:pPr>
          </w:p>
        </w:tc>
      </w:tr>
      <w:tr>
        <w:trPr>
          <w:trHeight w:val="164"/>
        </w:trPr>
        <w:tc>
          <w:tcPr>
            <w:tcW w:w="1620" w:type="dxa"/>
            <w:vAlign w:val="bottom"/>
          </w:tcPr>
          <w:p>
            <w:pPr>
              <w:ind w:left="240"/>
              <w:spacing w:after="0"/>
              <w:rPr>
                <w:sz w:val="20"/>
                <w:szCs w:val="20"/>
                <w:color w:val="auto"/>
              </w:rPr>
            </w:pPr>
            <w:r>
              <w:rPr>
                <w:rFonts w:ascii="Arial" w:cs="Arial" w:eastAsia="Arial" w:hAnsi="Arial"/>
                <w:sz w:val="13"/>
                <w:szCs w:val="13"/>
                <w:color w:val="auto"/>
              </w:rPr>
              <w:t>Restructuring and other</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620" w:type="dxa"/>
            <w:vAlign w:val="bottom"/>
          </w:tcPr>
          <w:p>
            <w:pPr>
              <w:ind w:left="240"/>
              <w:spacing w:after="0"/>
              <w:rPr>
                <w:sz w:val="20"/>
                <w:szCs w:val="20"/>
                <w:color w:val="auto"/>
              </w:rPr>
            </w:pPr>
            <w:r>
              <w:rPr>
                <w:rFonts w:ascii="Arial" w:cs="Arial" w:eastAsia="Arial" w:hAnsi="Arial"/>
                <w:sz w:val="13"/>
                <w:szCs w:val="13"/>
                <w:color w:val="auto"/>
              </w:rPr>
              <w:t>severance charges</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12.3</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ind w:right="17"/>
              <w:spacing w:after="0"/>
              <w:rPr>
                <w:sz w:val="20"/>
                <w:szCs w:val="20"/>
                <w:color w:val="auto"/>
              </w:rPr>
            </w:pPr>
            <w:r>
              <w:rPr>
                <w:rFonts w:ascii="Arial" w:cs="Arial" w:eastAsia="Arial" w:hAnsi="Arial"/>
                <w:sz w:val="13"/>
                <w:szCs w:val="13"/>
                <w:color w:val="auto"/>
              </w:rPr>
              <w:t>6.2</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18.5</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ind w:right="17"/>
              <w:spacing w:after="0"/>
              <w:rPr>
                <w:sz w:val="20"/>
                <w:szCs w:val="20"/>
                <w:color w:val="auto"/>
              </w:rPr>
            </w:pPr>
            <w:r>
              <w:rPr>
                <w:rFonts w:ascii="Arial" w:cs="Arial" w:eastAsia="Arial" w:hAnsi="Arial"/>
                <w:sz w:val="13"/>
                <w:szCs w:val="13"/>
                <w:color w:val="auto"/>
              </w:rPr>
              <w:t>18.5</w:t>
            </w:r>
          </w:p>
        </w:tc>
        <w:tc>
          <w:tcPr>
            <w:tcW w:w="0" w:type="dxa"/>
            <w:vAlign w:val="bottom"/>
          </w:tcPr>
          <w:p>
            <w:pPr>
              <w:spacing w:after="0"/>
              <w:rPr>
                <w:sz w:val="1"/>
                <w:szCs w:val="1"/>
                <w:color w:val="auto"/>
              </w:rPr>
            </w:pPr>
          </w:p>
        </w:tc>
      </w:tr>
      <w:tr>
        <w:trPr>
          <w:trHeight w:val="164"/>
        </w:trPr>
        <w:tc>
          <w:tcPr>
            <w:tcW w:w="1620" w:type="dxa"/>
            <w:vAlign w:val="bottom"/>
          </w:tcPr>
          <w:p>
            <w:pPr>
              <w:ind w:left="240"/>
              <w:spacing w:after="0"/>
              <w:rPr>
                <w:sz w:val="20"/>
                <w:szCs w:val="20"/>
                <w:color w:val="auto"/>
              </w:rPr>
            </w:pPr>
            <w:r>
              <w:rPr>
                <w:rFonts w:ascii="Arial" w:cs="Arial" w:eastAsia="Arial" w:hAnsi="Arial"/>
                <w:sz w:val="13"/>
                <w:szCs w:val="13"/>
                <w:color w:val="auto"/>
              </w:rPr>
              <w:t>Business combination</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620" w:type="dxa"/>
            <w:vAlign w:val="bottom"/>
          </w:tcPr>
          <w:p>
            <w:pPr>
              <w:ind w:left="240"/>
              <w:spacing w:after="0" w:line="135" w:lineRule="exact"/>
              <w:rPr>
                <w:sz w:val="20"/>
                <w:szCs w:val="20"/>
                <w:color w:val="auto"/>
              </w:rPr>
            </w:pPr>
            <w:r>
              <w:rPr>
                <w:rFonts w:ascii="Arial" w:cs="Arial" w:eastAsia="Arial" w:hAnsi="Arial"/>
                <w:sz w:val="13"/>
                <w:szCs w:val="13"/>
                <w:color w:val="auto"/>
                <w:w w:val="88"/>
              </w:rPr>
              <w:t>transaction and integration</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1620" w:type="dxa"/>
            <w:vAlign w:val="bottom"/>
          </w:tcPr>
          <w:p>
            <w:pPr>
              <w:ind w:left="240"/>
              <w:spacing w:after="0"/>
              <w:rPr>
                <w:sz w:val="20"/>
                <w:szCs w:val="20"/>
                <w:color w:val="auto"/>
              </w:rPr>
            </w:pPr>
            <w:r>
              <w:rPr>
                <w:rFonts w:ascii="Arial" w:cs="Arial" w:eastAsia="Arial" w:hAnsi="Arial"/>
                <w:sz w:val="13"/>
                <w:szCs w:val="13"/>
                <w:color w:val="auto"/>
              </w:rPr>
              <w:t>costs</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13.9</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ind w:right="17"/>
              <w:spacing w:after="0"/>
              <w:rPr>
                <w:sz w:val="20"/>
                <w:szCs w:val="20"/>
                <w:color w:val="auto"/>
              </w:rPr>
            </w:pPr>
            <w:r>
              <w:rPr>
                <w:rFonts w:ascii="Arial" w:cs="Arial" w:eastAsia="Arial" w:hAnsi="Arial"/>
                <w:sz w:val="13"/>
                <w:szCs w:val="13"/>
                <w:color w:val="auto"/>
              </w:rPr>
              <w:t>7.0</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20.9</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ind w:right="17"/>
              <w:spacing w:after="0"/>
              <w:rPr>
                <w:sz w:val="20"/>
                <w:szCs w:val="20"/>
                <w:color w:val="auto"/>
              </w:rPr>
            </w:pPr>
            <w:r>
              <w:rPr>
                <w:rFonts w:ascii="Arial" w:cs="Arial" w:eastAsia="Arial" w:hAnsi="Arial"/>
                <w:sz w:val="13"/>
                <w:szCs w:val="13"/>
                <w:color w:val="auto"/>
              </w:rPr>
              <w:t>20.9</w:t>
            </w:r>
          </w:p>
        </w:tc>
        <w:tc>
          <w:tcPr>
            <w:tcW w:w="0" w:type="dxa"/>
            <w:vAlign w:val="bottom"/>
          </w:tcPr>
          <w:p>
            <w:pPr>
              <w:spacing w:after="0"/>
              <w:rPr>
                <w:sz w:val="1"/>
                <w:szCs w:val="1"/>
                <w:color w:val="auto"/>
              </w:rPr>
            </w:pPr>
          </w:p>
        </w:tc>
      </w:tr>
      <w:tr>
        <w:trPr>
          <w:trHeight w:val="270"/>
        </w:trPr>
        <w:tc>
          <w:tcPr>
            <w:tcW w:w="1620" w:type="dxa"/>
            <w:vAlign w:val="bottom"/>
          </w:tcPr>
          <w:p>
            <w:pPr>
              <w:ind w:left="240"/>
              <w:spacing w:after="0"/>
              <w:rPr>
                <w:sz w:val="20"/>
                <w:szCs w:val="20"/>
                <w:color w:val="auto"/>
              </w:rPr>
            </w:pPr>
            <w:r>
              <w:rPr>
                <w:rFonts w:ascii="Arial" w:cs="Arial" w:eastAsia="Arial" w:hAnsi="Arial"/>
                <w:sz w:val="13"/>
                <w:szCs w:val="13"/>
                <w:color w:val="auto"/>
              </w:rPr>
              <w:t>Gain on divestitures</w:t>
            </w: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(21.1)</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(10.5)</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(31.6)</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(31.6)</w:t>
            </w:r>
          </w:p>
        </w:tc>
        <w:tc>
          <w:tcPr>
            <w:tcW w:w="0" w:type="dxa"/>
            <w:vAlign w:val="bottom"/>
          </w:tcPr>
          <w:p>
            <w:pPr>
              <w:spacing w:after="0"/>
              <w:rPr>
                <w:sz w:val="1"/>
                <w:szCs w:val="1"/>
                <w:color w:val="auto"/>
              </w:rPr>
            </w:pPr>
          </w:p>
        </w:tc>
      </w:tr>
      <w:tr>
        <w:trPr>
          <w:trHeight w:val="164"/>
        </w:trPr>
        <w:tc>
          <w:tcPr>
            <w:tcW w:w="1620" w:type="dxa"/>
            <w:vAlign w:val="bottom"/>
          </w:tcPr>
          <w:p>
            <w:pPr>
              <w:ind w:left="240"/>
              <w:spacing w:after="0"/>
              <w:rPr>
                <w:sz w:val="20"/>
                <w:szCs w:val="20"/>
                <w:color w:val="auto"/>
              </w:rPr>
            </w:pPr>
            <w:r>
              <w:rPr>
                <w:rFonts w:ascii="Arial" w:cs="Arial" w:eastAsia="Arial" w:hAnsi="Arial"/>
                <w:sz w:val="13"/>
                <w:szCs w:val="13"/>
                <w:color w:val="auto"/>
                <w:w w:val="88"/>
              </w:rPr>
              <w:t>Purchase price accounting</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620" w:type="dxa"/>
            <w:vAlign w:val="bottom"/>
          </w:tcPr>
          <w:p>
            <w:pPr>
              <w:ind w:left="240"/>
              <w:spacing w:after="0"/>
              <w:rPr>
                <w:sz w:val="20"/>
                <w:szCs w:val="20"/>
                <w:color w:val="auto"/>
              </w:rPr>
            </w:pPr>
            <w:r>
              <w:rPr>
                <w:rFonts w:ascii="Arial" w:cs="Arial" w:eastAsia="Arial" w:hAnsi="Arial"/>
                <w:sz w:val="13"/>
                <w:szCs w:val="13"/>
                <w:color w:val="auto"/>
              </w:rPr>
              <w:t>adjustment</w:t>
            </w: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50.9</w:t>
            </w:r>
          </w:p>
        </w:tc>
        <w:tc>
          <w:tcPr>
            <w:tcW w:w="1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15.6</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66.5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(67.3)</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(0.8)</w:t>
            </w:r>
          </w:p>
        </w:tc>
        <w:tc>
          <w:tcPr>
            <w:tcW w:w="0" w:type="dxa"/>
            <w:vAlign w:val="bottom"/>
          </w:tcPr>
          <w:p>
            <w:pPr>
              <w:spacing w:after="0"/>
              <w:rPr>
                <w:sz w:val="1"/>
                <w:szCs w:val="1"/>
                <w:color w:val="auto"/>
              </w:rPr>
            </w:pPr>
          </w:p>
        </w:tc>
      </w:tr>
      <w:tr>
        <w:trPr>
          <w:trHeight w:val="241"/>
        </w:trPr>
        <w:tc>
          <w:tcPr>
            <w:tcW w:w="1620" w:type="dxa"/>
            <w:vAlign w:val="bottom"/>
          </w:tcPr>
          <w:p>
            <w:pPr>
              <w:spacing w:after="0"/>
              <w:rPr>
                <w:sz w:val="20"/>
                <w:szCs w:val="20"/>
                <w:color w:val="auto"/>
              </w:rPr>
            </w:pPr>
            <w:r>
              <w:rPr>
                <w:rFonts w:ascii="Arial" w:cs="Arial" w:eastAsia="Arial" w:hAnsi="Arial"/>
                <w:sz w:val="13"/>
                <w:szCs w:val="13"/>
                <w:color w:val="auto"/>
                <w:w w:val="98"/>
              </w:rPr>
              <w:t>Adjusted financial measures</w:t>
            </w:r>
          </w:p>
        </w:tc>
        <w:tc>
          <w:tcPr>
            <w:tcW w:w="180" w:type="dxa"/>
            <w:vAlign w:val="bottom"/>
          </w:tcPr>
          <w:p>
            <w:pPr>
              <w:ind w:left="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0"/>
                <w:szCs w:val="20"/>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403.1</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(2.0)</w:t>
            </w:r>
          </w:p>
        </w:tc>
        <w:tc>
          <w:tcPr>
            <w:tcW w:w="100" w:type="dxa"/>
            <w:vAlign w:val="bottom"/>
          </w:tcPr>
          <w:p>
            <w:pPr>
              <w:spacing w:after="0"/>
              <w:rPr>
                <w:sz w:val="20"/>
                <w:szCs w:val="20"/>
                <w:color w:val="auto"/>
              </w:rPr>
            </w:pPr>
          </w:p>
        </w:tc>
        <w:tc>
          <w:tcPr>
            <w:tcW w:w="100" w:type="dxa"/>
            <w:vAlign w:val="bottom"/>
            <w:gridSpan w:val="2"/>
          </w:tcPr>
          <w:p>
            <w:pPr>
              <w:jc w:val="right"/>
              <w:ind w:right="20"/>
              <w:spacing w:after="0"/>
              <w:rPr>
                <w:sz w:val="20"/>
                <w:szCs w:val="20"/>
                <w:color w:val="auto"/>
              </w:rPr>
            </w:pPr>
            <w:r>
              <w:rPr>
                <w:rFonts w:ascii="Arial" w:cs="Arial" w:eastAsia="Arial" w:hAnsi="Arial"/>
                <w:sz w:val="13"/>
                <w:szCs w:val="13"/>
                <w:color w:val="auto"/>
                <w:w w:val="82"/>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ind w:right="17"/>
              <w:spacing w:after="0"/>
              <w:rPr>
                <w:sz w:val="20"/>
                <w:szCs w:val="20"/>
                <w:color w:val="auto"/>
              </w:rPr>
            </w:pPr>
            <w:r>
              <w:rPr>
                <w:rFonts w:ascii="Arial" w:cs="Arial" w:eastAsia="Arial" w:hAnsi="Arial"/>
                <w:sz w:val="13"/>
                <w:szCs w:val="13"/>
                <w:color w:val="auto"/>
              </w:rPr>
              <w:t>203.7</w:t>
            </w:r>
          </w:p>
        </w:tc>
        <w:tc>
          <w:tcPr>
            <w:tcW w:w="100" w:type="dxa"/>
            <w:vAlign w:val="bottom"/>
          </w:tcPr>
          <w:p>
            <w:pPr>
              <w:spacing w:after="0"/>
              <w:rPr>
                <w:sz w:val="20"/>
                <w:szCs w:val="20"/>
                <w:color w:val="auto"/>
              </w:rPr>
            </w:pPr>
          </w:p>
        </w:tc>
        <w:tc>
          <w:tcPr>
            <w:tcW w:w="100" w:type="dxa"/>
            <w:vAlign w:val="bottom"/>
            <w:gridSpan w:val="2"/>
          </w:tcPr>
          <w:p>
            <w:pPr>
              <w:ind w:left="40"/>
              <w:spacing w:after="0"/>
              <w:rPr>
                <w:sz w:val="20"/>
                <w:szCs w:val="20"/>
                <w:color w:val="auto"/>
              </w:rPr>
            </w:pPr>
            <w:r>
              <w:rPr>
                <w:rFonts w:ascii="Arial" w:cs="Arial" w:eastAsia="Arial" w:hAnsi="Arial"/>
                <w:sz w:val="9"/>
                <w:szCs w:val="9"/>
                <w:color w:val="auto"/>
                <w:w w:val="78"/>
              </w:rPr>
              <w:t>$</w:t>
            </w: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244.3</w:t>
            </w:r>
          </w:p>
        </w:tc>
        <w:tc>
          <w:tcPr>
            <w:tcW w:w="80" w:type="dxa"/>
            <w:vAlign w:val="bottom"/>
          </w:tcPr>
          <w:p>
            <w:pPr>
              <w:spacing w:after="0"/>
              <w:rPr>
                <w:sz w:val="20"/>
                <w:szCs w:val="20"/>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0"/>
                <w:szCs w:val="20"/>
                <w:color w:val="auto"/>
              </w:rPr>
            </w:pP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849.1</w:t>
            </w:r>
          </w:p>
        </w:tc>
        <w:tc>
          <w:tcPr>
            <w:tcW w:w="40" w:type="dxa"/>
            <w:vAlign w:val="bottom"/>
          </w:tcPr>
          <w:p>
            <w:pPr>
              <w:spacing w:after="0"/>
              <w:rPr>
                <w:sz w:val="20"/>
                <w:szCs w:val="20"/>
                <w:color w:val="auto"/>
              </w:rPr>
            </w:pPr>
          </w:p>
        </w:tc>
        <w:tc>
          <w:tcPr>
            <w:tcW w:w="180" w:type="dxa"/>
            <w:vAlign w:val="bottom"/>
            <w:gridSpan w:val="3"/>
          </w:tcPr>
          <w:p>
            <w:pPr>
              <w:jc w:val="right"/>
              <w:ind w:right="4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345.2</w:t>
            </w:r>
          </w:p>
        </w:tc>
        <w:tc>
          <w:tcPr>
            <w:tcW w:w="40" w:type="dxa"/>
            <w:vAlign w:val="bottom"/>
          </w:tcPr>
          <w:p>
            <w:pPr>
              <w:spacing w:after="0"/>
              <w:rPr>
                <w:sz w:val="20"/>
                <w:szCs w:val="20"/>
                <w:color w:val="auto"/>
              </w:rPr>
            </w:pPr>
          </w:p>
        </w:tc>
        <w:tc>
          <w:tcPr>
            <w:tcW w:w="20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17"/>
              <w:spacing w:after="0"/>
              <w:rPr>
                <w:sz w:val="20"/>
                <w:szCs w:val="20"/>
                <w:color w:val="auto"/>
              </w:rPr>
            </w:pPr>
            <w:r>
              <w:rPr>
                <w:rFonts w:ascii="Arial" w:cs="Arial" w:eastAsia="Arial" w:hAnsi="Arial"/>
                <w:sz w:val="13"/>
                <w:szCs w:val="13"/>
                <w:color w:val="auto"/>
              </w:rPr>
              <w:t>1,194.3</w:t>
            </w:r>
          </w:p>
        </w:tc>
        <w:tc>
          <w:tcPr>
            <w:tcW w:w="0" w:type="dxa"/>
            <w:vAlign w:val="bottom"/>
          </w:tcPr>
          <w:p>
            <w:pPr>
              <w:spacing w:after="0"/>
              <w:rPr>
                <w:sz w:val="1"/>
                <w:szCs w:val="1"/>
                <w:color w:val="auto"/>
              </w:rPr>
            </w:pPr>
          </w:p>
        </w:tc>
      </w:tr>
      <w:tr>
        <w:trPr>
          <w:trHeight w:val="20"/>
        </w:trPr>
        <w:tc>
          <w:tcPr>
            <w:tcW w:w="1620" w:type="dxa"/>
            <w:vAlign w:val="bottom"/>
            <w:vMerge w:val="restart"/>
          </w:tcPr>
          <w:p>
            <w:pPr>
              <w:spacing w:after="0"/>
              <w:rPr>
                <w:sz w:val="20"/>
                <w:szCs w:val="20"/>
                <w:color w:val="auto"/>
              </w:rPr>
            </w:pPr>
            <w:r>
              <w:rPr>
                <w:rFonts w:ascii="Arial" w:cs="Arial" w:eastAsia="Arial" w:hAnsi="Arial"/>
                <w:sz w:val="13"/>
                <w:szCs w:val="13"/>
                <w:color w:val="auto"/>
              </w:rPr>
              <w:t>Diluted earnings per share</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16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620" w:type="dxa"/>
            <w:vAlign w:val="bottom"/>
          </w:tcPr>
          <w:p>
            <w:pPr>
              <w:spacing w:after="0" w:line="135" w:lineRule="exact"/>
              <w:rPr>
                <w:sz w:val="20"/>
                <w:szCs w:val="20"/>
                <w:color w:val="auto"/>
              </w:rPr>
            </w:pPr>
            <w:r>
              <w:rPr>
                <w:rFonts w:ascii="Arial" w:cs="Arial" w:eastAsia="Arial" w:hAnsi="Arial"/>
                <w:sz w:val="13"/>
                <w:szCs w:val="13"/>
                <w:color w:val="auto"/>
              </w:rPr>
              <w:t>attributable to TechnipFMC</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1620" w:type="dxa"/>
            <w:vAlign w:val="bottom"/>
          </w:tcPr>
          <w:p>
            <w:pPr>
              <w:spacing w:after="0"/>
              <w:rPr>
                <w:sz w:val="20"/>
                <w:szCs w:val="20"/>
                <w:color w:val="auto"/>
              </w:rPr>
            </w:pPr>
            <w:r>
              <w:rPr>
                <w:rFonts w:ascii="Arial" w:cs="Arial" w:eastAsia="Arial" w:hAnsi="Arial"/>
                <w:sz w:val="13"/>
                <w:szCs w:val="13"/>
                <w:color w:val="auto"/>
              </w:rPr>
              <w:t>plc, as reported</w:t>
            </w:r>
          </w:p>
        </w:tc>
        <w:tc>
          <w:tcPr>
            <w:tcW w:w="180" w:type="dxa"/>
            <w:vAlign w:val="bottom"/>
          </w:tcPr>
          <w:p>
            <w:pPr>
              <w:ind w:left="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0.73</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620" w:type="dxa"/>
            <w:vAlign w:val="bottom"/>
          </w:tcPr>
          <w:p>
            <w:pPr>
              <w:spacing w:after="0"/>
              <w:rPr>
                <w:sz w:val="20"/>
                <w:szCs w:val="20"/>
                <w:color w:val="auto"/>
              </w:rPr>
            </w:pPr>
            <w:r>
              <w:rPr>
                <w:rFonts w:ascii="Arial" w:cs="Arial" w:eastAsia="Arial" w:hAnsi="Arial"/>
                <w:sz w:val="13"/>
                <w:szCs w:val="13"/>
                <w:color w:val="auto"/>
                <w:w w:val="95"/>
              </w:rPr>
              <w:t>Adjusted diluted earnings per</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620" w:type="dxa"/>
            <w:vAlign w:val="bottom"/>
          </w:tcPr>
          <w:p>
            <w:pPr>
              <w:spacing w:after="0" w:line="135" w:lineRule="exact"/>
              <w:rPr>
                <w:sz w:val="20"/>
                <w:szCs w:val="20"/>
                <w:color w:val="auto"/>
              </w:rPr>
            </w:pPr>
            <w:r>
              <w:rPr>
                <w:rFonts w:ascii="Arial" w:cs="Arial" w:eastAsia="Arial" w:hAnsi="Arial"/>
                <w:sz w:val="13"/>
                <w:szCs w:val="13"/>
                <w:color w:val="auto"/>
              </w:rPr>
              <w:t>share attributable to</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1620" w:type="dxa"/>
            <w:vAlign w:val="bottom"/>
          </w:tcPr>
          <w:p>
            <w:pPr>
              <w:spacing w:after="0"/>
              <w:rPr>
                <w:sz w:val="20"/>
                <w:szCs w:val="20"/>
                <w:color w:val="auto"/>
              </w:rPr>
            </w:pPr>
            <w:r>
              <w:rPr>
                <w:rFonts w:ascii="Arial" w:cs="Arial" w:eastAsia="Arial" w:hAnsi="Arial"/>
                <w:sz w:val="13"/>
                <w:szCs w:val="13"/>
                <w:color w:val="auto"/>
              </w:rPr>
              <w:t>TechnipFMC plc</w:t>
            </w:r>
          </w:p>
        </w:tc>
        <w:tc>
          <w:tcPr>
            <w:tcW w:w="180" w:type="dxa"/>
            <w:vAlign w:val="bottom"/>
          </w:tcPr>
          <w:p>
            <w:pPr>
              <w:ind w:left="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0.87</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26" w:right="239" w:bottom="860" w:gutter="0" w:footer="0" w:header="0"/>
        </w:sectPr>
      </w:pPr>
    </w:p>
    <w:p>
      <w:pPr>
        <w:spacing w:after="0" w:line="262" w:lineRule="exact"/>
        <w:rPr>
          <w:sz w:val="20"/>
          <w:szCs w:val="20"/>
          <w:color w:val="auto"/>
        </w:rPr>
      </w:pPr>
    </w:p>
    <w:p>
      <w:pPr>
        <w:ind w:left="5180"/>
        <w:spacing w:after="0"/>
        <w:tabs>
          <w:tab w:leader="none" w:pos="10420" w:val="left"/>
        </w:tabs>
        <w:rPr>
          <w:rFonts w:ascii="Arial" w:cs="Arial" w:eastAsia="Arial" w:hAnsi="Arial"/>
          <w:sz w:val="14"/>
          <w:szCs w:val="14"/>
          <w:b w:val="1"/>
          <w:bCs w:val="1"/>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 xml:space="preserve">Page 21 of </w:t>
      </w:r>
      <w:hyperlink w:anchor="page29">
        <w:r>
          <w:rPr>
            <w:rFonts w:ascii="Arial" w:cs="Arial" w:eastAsia="Arial" w:hAnsi="Arial"/>
            <w:sz w:val="14"/>
            <w:szCs w:val="14"/>
            <w:b w:val="1"/>
            <w:bCs w:val="1"/>
            <w:color w:val="auto"/>
          </w:rPr>
          <w:t>24</w:t>
        </w:r>
      </w:hyperlink>
    </w:p>
    <w:p>
      <w:pPr>
        <w:sectPr>
          <w:pgSz w:w="11900" w:h="16838" w:orient="portrait"/>
          <w:cols w:equalWidth="0" w:num="1">
            <w:col w:w="11420"/>
          </w:cols>
          <w:pgMar w:left="240" w:top="526" w:right="239" w:bottom="860" w:gutter="0" w:footer="0" w:header="0"/>
          <w:type w:val="continuous"/>
        </w:sectPr>
      </w:pPr>
    </w:p>
    <w:bookmarkStart w:id="25" w:name="page26"/>
    <w:bookmarkEnd w:id="25"/>
    <w:p>
      <w:pPr>
        <w:jc w:val="right"/>
        <w:spacing w:after="0"/>
        <w:rPr>
          <w:sz w:val="20"/>
          <w:szCs w:val="20"/>
          <w:color w:val="auto"/>
        </w:rPr>
      </w:pPr>
      <w:r>
        <w:rPr>
          <w:rFonts w:ascii="Arial" w:cs="Arial" w:eastAsia="Arial" w:hAnsi="Arial"/>
          <w:sz w:val="13"/>
          <w:szCs w:val="13"/>
          <w:b w:val="1"/>
          <w:bCs w:val="1"/>
          <w:color w:val="auto"/>
        </w:rPr>
        <w:t>Exhibit 9</w:t>
      </w:r>
    </w:p>
    <w:p>
      <w:pPr>
        <w:spacing w:after="0" w:line="161" w:lineRule="exact"/>
        <w:rPr>
          <w:sz w:val="20"/>
          <w:szCs w:val="20"/>
          <w:color w:val="auto"/>
        </w:rPr>
      </w:pPr>
    </w:p>
    <w:p>
      <w:pPr>
        <w:jc w:val="center"/>
        <w:ind w:right="1160"/>
        <w:spacing w:after="0" w:line="266" w:lineRule="auto"/>
        <w:rPr>
          <w:sz w:val="20"/>
          <w:szCs w:val="20"/>
          <w:color w:val="auto"/>
        </w:rPr>
      </w:pPr>
      <w:r>
        <w:rPr>
          <w:rFonts w:ascii="Arial" w:cs="Arial" w:eastAsia="Arial" w:hAnsi="Arial"/>
          <w:sz w:val="18"/>
          <w:szCs w:val="18"/>
          <w:b w:val="1"/>
          <w:bCs w:val="1"/>
          <w:u w:val="single" w:color="auto"/>
          <w:color w:val="auto"/>
        </w:rPr>
        <w:t xml:space="preserve">TECHNIPFMC PLC AND CONSOLIDATED SUBSIDIARIES RECONCILIATION OF GAAP TO NON-GAAP FINANCIAL MEASURES </w:t>
      </w:r>
      <w:r>
        <w:rPr>
          <w:rFonts w:ascii="Arial" w:cs="Arial" w:eastAsia="Arial" w:hAnsi="Arial"/>
          <w:sz w:val="18"/>
          <w:szCs w:val="18"/>
          <w:b w:val="1"/>
          <w:bCs w:val="1"/>
          <w:color w:val="auto"/>
        </w:rPr>
        <w:t>(In millions,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2570480</wp:posOffset>
            </wp:positionH>
            <wp:positionV relativeFrom="paragraph">
              <wp:posOffset>209550</wp:posOffset>
            </wp:positionV>
            <wp:extent cx="323278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232785" cy="8890"/>
                    </a:xfrm>
                    <a:prstGeom prst="rect">
                      <a:avLst/>
                    </a:prstGeom>
                    <a:noFill/>
                  </pic:spPr>
                </pic:pic>
              </a:graphicData>
            </a:graphic>
          </wp:anchor>
        </w:drawing>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80" w:type="dxa"/>
            <w:vAlign w:val="bottom"/>
            <w:gridSpan w:val="7"/>
          </w:tcPr>
          <w:p>
            <w:pPr>
              <w:jc w:val="center"/>
              <w:ind w:left="608"/>
              <w:spacing w:after="0"/>
              <w:rPr>
                <w:sz w:val="20"/>
                <w:szCs w:val="20"/>
                <w:color w:val="auto"/>
              </w:rPr>
            </w:pPr>
            <w:r>
              <w:rPr>
                <w:rFonts w:ascii="Arial" w:cs="Arial" w:eastAsia="Arial" w:hAnsi="Arial"/>
                <w:sz w:val="14"/>
                <w:szCs w:val="14"/>
                <w:b w:val="1"/>
                <w:bCs w:val="1"/>
                <w:color w:val="auto"/>
                <w:w w:val="95"/>
              </w:rPr>
              <w:t>Three Months Ended</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40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1"/>
              </w:rPr>
              <w:t>September 30, 2019</w:t>
            </w: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w w:val="96"/>
              </w:rPr>
              <w:t>Subsea</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ind w:left="40"/>
              <w:spacing w:after="0" w:line="153" w:lineRule="exact"/>
              <w:rPr>
                <w:sz w:val="20"/>
                <w:szCs w:val="20"/>
                <w:color w:val="auto"/>
              </w:rPr>
            </w:pPr>
            <w:r>
              <w:rPr>
                <w:rFonts w:ascii="Arial" w:cs="Arial" w:eastAsia="Arial" w:hAnsi="Arial"/>
                <w:sz w:val="14"/>
                <w:szCs w:val="14"/>
                <w:b w:val="1"/>
                <w:bCs w:val="1"/>
                <w:color w:val="auto"/>
              </w:rPr>
              <w:t>Onshore/</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3"/>
              </w:rPr>
              <w:t>Surface</w:t>
            </w:r>
          </w:p>
        </w:tc>
        <w:tc>
          <w:tcPr>
            <w:tcW w:w="100" w:type="dxa"/>
            <w:vAlign w:val="bottom"/>
          </w:tcPr>
          <w:p>
            <w:pPr>
              <w:spacing w:after="0"/>
              <w:rPr>
                <w:sz w:val="13"/>
                <w:szCs w:val="13"/>
                <w:color w:val="auto"/>
              </w:rPr>
            </w:pPr>
          </w:p>
        </w:tc>
        <w:tc>
          <w:tcPr>
            <w:tcW w:w="9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Corporate</w:t>
            </w:r>
          </w:p>
        </w:tc>
        <w:tc>
          <w:tcPr>
            <w:tcW w:w="200" w:type="dxa"/>
            <w:vAlign w:val="bottom"/>
          </w:tcPr>
          <w:p>
            <w:pPr>
              <w:spacing w:after="0"/>
              <w:rPr>
                <w:sz w:val="13"/>
                <w:szCs w:val="13"/>
                <w:color w:val="auto"/>
              </w:rPr>
            </w:pPr>
          </w:p>
        </w:tc>
        <w:tc>
          <w:tcPr>
            <w:tcW w:w="74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0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Offshore</w:t>
            </w: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Technologies</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96"/>
              </w:rPr>
              <w:t>and Other</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4040" w:type="dxa"/>
            <w:vAlign w:val="bottom"/>
          </w:tcPr>
          <w:p>
            <w:pPr>
              <w:spacing w:after="0"/>
              <w:rPr>
                <w:sz w:val="20"/>
                <w:szCs w:val="20"/>
                <w:color w:val="auto"/>
              </w:rPr>
            </w:pPr>
            <w:r>
              <w:rPr>
                <w:rFonts w:ascii="Arial" w:cs="Arial" w:eastAsia="Arial" w:hAnsi="Arial"/>
                <w:sz w:val="14"/>
                <w:szCs w:val="14"/>
                <w:color w:val="auto"/>
              </w:rPr>
              <w:t>Revenue</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1,342.2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1,596.3</w:t>
            </w:r>
          </w:p>
        </w:tc>
        <w:tc>
          <w:tcPr>
            <w:tcW w:w="300" w:type="dxa"/>
            <w:vAlign w:val="bottom"/>
            <w:gridSpan w:val="3"/>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396.6</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3,335.1</w:t>
            </w:r>
          </w:p>
        </w:tc>
        <w:tc>
          <w:tcPr>
            <w:tcW w:w="0" w:type="dxa"/>
            <w:vAlign w:val="bottom"/>
          </w:tcPr>
          <w:p>
            <w:pPr>
              <w:spacing w:after="0"/>
              <w:rPr>
                <w:sz w:val="1"/>
                <w:szCs w:val="1"/>
                <w:color w:val="auto"/>
              </w:rPr>
            </w:pPr>
          </w:p>
        </w:tc>
      </w:tr>
      <w:tr>
        <w:trPr>
          <w:trHeight w:val="486"/>
        </w:trPr>
        <w:tc>
          <w:tcPr>
            <w:tcW w:w="4040" w:type="dxa"/>
            <w:vAlign w:val="bottom"/>
          </w:tcPr>
          <w:p>
            <w:pPr>
              <w:spacing w:after="0"/>
              <w:rPr>
                <w:sz w:val="20"/>
                <w:szCs w:val="20"/>
                <w:color w:val="auto"/>
              </w:rPr>
            </w:pPr>
            <w:r>
              <w:rPr>
                <w:rFonts w:ascii="Arial" w:cs="Arial" w:eastAsia="Arial" w:hAnsi="Arial"/>
                <w:sz w:val="14"/>
                <w:szCs w:val="14"/>
                <w:color w:val="auto"/>
              </w:rPr>
              <w:t>Operating profit (loss), as reported (pre-tax)</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45.5</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284.6</w:t>
            </w:r>
          </w:p>
        </w:tc>
        <w:tc>
          <w:tcPr>
            <w:tcW w:w="300" w:type="dxa"/>
            <w:vAlign w:val="bottom"/>
            <w:gridSpan w:val="3"/>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6.1</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(128.8)</w:t>
            </w:r>
          </w:p>
        </w:tc>
        <w:tc>
          <w:tcPr>
            <w:tcW w:w="100" w:type="dxa"/>
            <w:vAlign w:val="bottom"/>
          </w:tcPr>
          <w:p>
            <w:pPr>
              <w:spacing w:after="0"/>
              <w:rPr>
                <w:sz w:val="24"/>
                <w:szCs w:val="24"/>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207.4</w:t>
            </w:r>
          </w:p>
        </w:tc>
        <w:tc>
          <w:tcPr>
            <w:tcW w:w="0" w:type="dxa"/>
            <w:vAlign w:val="bottom"/>
          </w:tcPr>
          <w:p>
            <w:pPr>
              <w:spacing w:after="0"/>
              <w:rPr>
                <w:sz w:val="1"/>
                <w:szCs w:val="1"/>
                <w:color w:val="auto"/>
              </w:rPr>
            </w:pPr>
          </w:p>
        </w:tc>
      </w:tr>
      <w:tr>
        <w:trPr>
          <w:trHeight w:val="486"/>
        </w:trPr>
        <w:tc>
          <w:tcPr>
            <w:tcW w:w="4040" w:type="dxa"/>
            <w:vAlign w:val="bottom"/>
          </w:tcPr>
          <w:p>
            <w:pPr>
              <w:spacing w:after="0"/>
              <w:rPr>
                <w:sz w:val="20"/>
                <w:szCs w:val="20"/>
                <w:color w:val="auto"/>
              </w:rPr>
            </w:pPr>
            <w:r>
              <w:rPr>
                <w:rFonts w:ascii="Arial" w:cs="Arial" w:eastAsia="Arial" w:hAnsi="Arial"/>
                <w:sz w:val="14"/>
                <w:szCs w:val="14"/>
                <w:color w:val="auto"/>
              </w:rPr>
              <w:t>Charges and (credits):</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40" w:type="dxa"/>
            <w:vAlign w:val="bottom"/>
          </w:tcPr>
          <w:p>
            <w:pPr>
              <w:ind w:left="240"/>
              <w:spacing w:after="0"/>
              <w:rPr>
                <w:sz w:val="20"/>
                <w:szCs w:val="20"/>
                <w:color w:val="auto"/>
              </w:rPr>
            </w:pPr>
            <w:r>
              <w:rPr>
                <w:rFonts w:ascii="Arial" w:cs="Arial" w:eastAsia="Arial" w:hAnsi="Arial"/>
                <w:sz w:val="14"/>
                <w:szCs w:val="14"/>
                <w:color w:val="auto"/>
              </w:rPr>
              <w:t>Impairment and other charges</w:t>
            </w:r>
          </w:p>
        </w:tc>
        <w:tc>
          <w:tcPr>
            <w:tcW w:w="180" w:type="dxa"/>
            <w:vAlign w:val="bottom"/>
          </w:tcPr>
          <w:p>
            <w:pPr>
              <w:spacing w:after="0"/>
              <w:rPr>
                <w:sz w:val="23"/>
                <w:szCs w:val="23"/>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70"/>
        </w:trPr>
        <w:tc>
          <w:tcPr>
            <w:tcW w:w="4040" w:type="dxa"/>
            <w:vAlign w:val="bottom"/>
          </w:tcPr>
          <w:p>
            <w:pPr>
              <w:ind w:left="240"/>
              <w:spacing w:after="0"/>
              <w:rPr>
                <w:sz w:val="20"/>
                <w:szCs w:val="20"/>
                <w:color w:val="auto"/>
              </w:rPr>
            </w:pPr>
            <w:r>
              <w:rPr>
                <w:rFonts w:ascii="Arial" w:cs="Arial" w:eastAsia="Arial" w:hAnsi="Arial"/>
                <w:sz w:val="14"/>
                <w:szCs w:val="14"/>
                <w:color w:val="auto"/>
              </w:rPr>
              <w:t>Restructuring and other severance charges</w:t>
            </w:r>
          </w:p>
        </w:tc>
        <w:tc>
          <w:tcPr>
            <w:tcW w:w="180" w:type="dxa"/>
            <w:vAlign w:val="bottom"/>
          </w:tcPr>
          <w:p>
            <w:pPr>
              <w:spacing w:after="0"/>
              <w:rPr>
                <w:sz w:val="23"/>
                <w:szCs w:val="23"/>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4.9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5.2</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0.7</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14.0</w:t>
            </w:r>
          </w:p>
        </w:tc>
        <w:tc>
          <w:tcPr>
            <w:tcW w:w="0" w:type="dxa"/>
            <w:vAlign w:val="bottom"/>
          </w:tcPr>
          <w:p>
            <w:pPr>
              <w:spacing w:after="0"/>
              <w:rPr>
                <w:sz w:val="1"/>
                <w:szCs w:val="1"/>
                <w:color w:val="auto"/>
              </w:rPr>
            </w:pPr>
          </w:p>
        </w:tc>
      </w:tr>
      <w:tr>
        <w:trPr>
          <w:trHeight w:val="270"/>
        </w:trPr>
        <w:tc>
          <w:tcPr>
            <w:tcW w:w="4040" w:type="dxa"/>
            <w:vAlign w:val="bottom"/>
          </w:tcPr>
          <w:p>
            <w:pPr>
              <w:ind w:left="240"/>
              <w:spacing w:after="0"/>
              <w:rPr>
                <w:sz w:val="20"/>
                <w:szCs w:val="20"/>
                <w:color w:val="auto"/>
              </w:rPr>
            </w:pPr>
            <w:r>
              <w:rPr>
                <w:rFonts w:ascii="Arial" w:cs="Arial" w:eastAsia="Arial" w:hAnsi="Arial"/>
                <w:sz w:val="14"/>
                <w:szCs w:val="14"/>
                <w:color w:val="auto"/>
              </w:rPr>
              <w:t>Business combination transaction and integration costs</w:t>
            </w:r>
          </w:p>
        </w:tc>
        <w:tc>
          <w:tcPr>
            <w:tcW w:w="180" w:type="dxa"/>
            <w:vAlign w:val="bottom"/>
          </w:tcPr>
          <w:p>
            <w:pPr>
              <w:spacing w:after="0"/>
              <w:rPr>
                <w:sz w:val="23"/>
                <w:szCs w:val="23"/>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6.2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216"/>
        </w:trPr>
        <w:tc>
          <w:tcPr>
            <w:tcW w:w="4040" w:type="dxa"/>
            <w:vAlign w:val="bottom"/>
          </w:tcPr>
          <w:p>
            <w:pPr>
              <w:ind w:left="240"/>
              <w:spacing w:after="0"/>
              <w:rPr>
                <w:sz w:val="20"/>
                <w:szCs w:val="20"/>
                <w:color w:val="auto"/>
              </w:rPr>
            </w:pPr>
            <w:r>
              <w:rPr>
                <w:rFonts w:ascii="Arial" w:cs="Arial" w:eastAsia="Arial" w:hAnsi="Arial"/>
                <w:sz w:val="14"/>
                <w:szCs w:val="14"/>
                <w:color w:val="auto"/>
              </w:rPr>
              <w:t>Separation costs</w:t>
            </w:r>
          </w:p>
        </w:tc>
        <w:tc>
          <w:tcPr>
            <w:tcW w:w="18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9.4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9.4</w:t>
            </w:r>
          </w:p>
        </w:tc>
        <w:tc>
          <w:tcPr>
            <w:tcW w:w="0" w:type="dxa"/>
            <w:vAlign w:val="bottom"/>
          </w:tcPr>
          <w:p>
            <w:pPr>
              <w:spacing w:after="0"/>
              <w:rPr>
                <w:sz w:val="1"/>
                <w:szCs w:val="1"/>
                <w:color w:val="auto"/>
              </w:rPr>
            </w:pPr>
          </w:p>
        </w:tc>
      </w:tr>
      <w:tr>
        <w:trPr>
          <w:trHeight w:val="270"/>
        </w:trPr>
        <w:tc>
          <w:tcPr>
            <w:tcW w:w="4040" w:type="dxa"/>
            <w:vAlign w:val="bottom"/>
          </w:tcPr>
          <w:p>
            <w:pPr>
              <w:ind w:left="240"/>
              <w:spacing w:after="0"/>
              <w:rPr>
                <w:sz w:val="20"/>
                <w:szCs w:val="20"/>
                <w:color w:val="auto"/>
              </w:rPr>
            </w:pPr>
            <w:r>
              <w:rPr>
                <w:rFonts w:ascii="Arial" w:cs="Arial" w:eastAsia="Arial" w:hAnsi="Arial"/>
                <w:sz w:val="14"/>
                <w:szCs w:val="14"/>
                <w:color w:val="auto"/>
              </w:rPr>
              <w:t>Legal provision, net</w:t>
            </w:r>
          </w:p>
        </w:tc>
        <w:tc>
          <w:tcPr>
            <w:tcW w:w="180" w:type="dxa"/>
            <w:vAlign w:val="bottom"/>
          </w:tcPr>
          <w:p>
            <w:pPr>
              <w:spacing w:after="0"/>
              <w:rPr>
                <w:sz w:val="23"/>
                <w:szCs w:val="23"/>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276"/>
        </w:trPr>
        <w:tc>
          <w:tcPr>
            <w:tcW w:w="4040" w:type="dxa"/>
            <w:vAlign w:val="bottom"/>
          </w:tcPr>
          <w:p>
            <w:pPr>
              <w:ind w:left="240"/>
              <w:spacing w:after="0"/>
              <w:rPr>
                <w:sz w:val="20"/>
                <w:szCs w:val="20"/>
                <w:color w:val="auto"/>
              </w:rPr>
            </w:pPr>
            <w:r>
              <w:rPr>
                <w:rFonts w:ascii="Arial" w:cs="Arial" w:eastAsia="Arial" w:hAnsi="Arial"/>
                <w:sz w:val="14"/>
                <w:szCs w:val="14"/>
                <w:color w:val="auto"/>
                <w:w w:val="99"/>
              </w:rPr>
              <w:t>Purchase price accounting adjustments - amortization related</w:t>
            </w:r>
          </w:p>
        </w:tc>
        <w:tc>
          <w:tcPr>
            <w:tcW w:w="180" w:type="dxa"/>
            <w:vAlign w:val="bottom"/>
          </w:tcPr>
          <w:p>
            <w:pPr>
              <w:spacing w:after="0"/>
              <w:rPr>
                <w:sz w:val="24"/>
                <w:szCs w:val="24"/>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8.5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244"/>
        </w:trPr>
        <w:tc>
          <w:tcPr>
            <w:tcW w:w="4040" w:type="dxa"/>
            <w:vAlign w:val="bottom"/>
          </w:tcPr>
          <w:p>
            <w:pPr>
              <w:ind w:left="460"/>
              <w:spacing w:after="0"/>
              <w:rPr>
                <w:sz w:val="20"/>
                <w:szCs w:val="20"/>
                <w:color w:val="auto"/>
              </w:rPr>
            </w:pPr>
            <w:r>
              <w:rPr>
                <w:rFonts w:ascii="Arial" w:cs="Arial" w:eastAsia="Arial" w:hAnsi="Arial"/>
                <w:sz w:val="14"/>
                <w:szCs w:val="14"/>
                <w:color w:val="auto"/>
              </w:rPr>
              <w:t>Subtotal</w:t>
            </w:r>
          </w:p>
        </w:tc>
        <w:tc>
          <w:tcPr>
            <w:tcW w:w="18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14.6</w:t>
            </w: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5.2</w:t>
            </w:r>
          </w:p>
        </w:tc>
        <w:tc>
          <w:tcPr>
            <w:tcW w:w="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0.7</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18.2</w:t>
            </w: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38.7</w:t>
            </w:r>
          </w:p>
        </w:tc>
        <w:tc>
          <w:tcPr>
            <w:tcW w:w="0" w:type="dxa"/>
            <w:vAlign w:val="bottom"/>
          </w:tcPr>
          <w:p>
            <w:pPr>
              <w:spacing w:after="0"/>
              <w:rPr>
                <w:sz w:val="1"/>
                <w:szCs w:val="1"/>
                <w:color w:val="auto"/>
              </w:rPr>
            </w:pPr>
          </w:p>
        </w:tc>
      </w:tr>
      <w:tr>
        <w:trPr>
          <w:trHeight w:val="228"/>
        </w:trPr>
        <w:tc>
          <w:tcPr>
            <w:tcW w:w="40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040" w:type="dxa"/>
            <w:vAlign w:val="bottom"/>
          </w:tcPr>
          <w:p>
            <w:pPr>
              <w:spacing w:after="0"/>
              <w:rPr>
                <w:sz w:val="20"/>
                <w:szCs w:val="20"/>
                <w:color w:val="auto"/>
              </w:rPr>
            </w:pPr>
            <w:r>
              <w:rPr>
                <w:rFonts w:ascii="Arial" w:cs="Arial" w:eastAsia="Arial" w:hAnsi="Arial"/>
                <w:sz w:val="14"/>
                <w:szCs w:val="14"/>
                <w:color w:val="auto"/>
              </w:rPr>
              <w:t>Adjusted Operating profit (loss)</w:t>
            </w:r>
          </w:p>
        </w:tc>
        <w:tc>
          <w:tcPr>
            <w:tcW w:w="1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60.1</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289.8</w:t>
            </w:r>
          </w:p>
        </w:tc>
        <w:tc>
          <w:tcPr>
            <w:tcW w:w="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6.8</w:t>
            </w: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(110.6)</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246.1</w:t>
            </w:r>
          </w:p>
        </w:tc>
        <w:tc>
          <w:tcPr>
            <w:tcW w:w="0" w:type="dxa"/>
            <w:vAlign w:val="bottom"/>
          </w:tcPr>
          <w:p>
            <w:pPr>
              <w:spacing w:after="0"/>
              <w:rPr>
                <w:sz w:val="1"/>
                <w:szCs w:val="1"/>
                <w:color w:val="auto"/>
              </w:rPr>
            </w:pPr>
          </w:p>
        </w:tc>
      </w:tr>
      <w:tr>
        <w:trPr>
          <w:trHeight w:val="474"/>
        </w:trPr>
        <w:tc>
          <w:tcPr>
            <w:tcW w:w="4040" w:type="dxa"/>
            <w:vAlign w:val="bottom"/>
          </w:tcPr>
          <w:p>
            <w:pPr>
              <w:spacing w:after="0"/>
              <w:rPr>
                <w:sz w:val="20"/>
                <w:szCs w:val="20"/>
                <w:color w:val="auto"/>
              </w:rPr>
            </w:pPr>
            <w:r>
              <w:rPr>
                <w:rFonts w:ascii="Arial" w:cs="Arial" w:eastAsia="Arial" w:hAnsi="Arial"/>
                <w:sz w:val="14"/>
                <w:szCs w:val="14"/>
                <w:color w:val="auto"/>
              </w:rPr>
              <w:t>Adjusted Depreciation and amortization</w:t>
            </w:r>
          </w:p>
        </w:tc>
        <w:tc>
          <w:tcPr>
            <w:tcW w:w="180" w:type="dxa"/>
            <w:vAlign w:val="bottom"/>
          </w:tcPr>
          <w:p>
            <w:pPr>
              <w:spacing w:after="0"/>
              <w:rPr>
                <w:sz w:val="24"/>
                <w:szCs w:val="24"/>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79.0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14.4</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37.6</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133.1</w:t>
            </w:r>
          </w:p>
        </w:tc>
        <w:tc>
          <w:tcPr>
            <w:tcW w:w="0" w:type="dxa"/>
            <w:vAlign w:val="bottom"/>
          </w:tcPr>
          <w:p>
            <w:pPr>
              <w:spacing w:after="0"/>
              <w:rPr>
                <w:sz w:val="1"/>
                <w:szCs w:val="1"/>
                <w:color w:val="auto"/>
              </w:rPr>
            </w:pPr>
          </w:p>
        </w:tc>
      </w:tr>
      <w:tr>
        <w:trPr>
          <w:trHeight w:val="228"/>
        </w:trPr>
        <w:tc>
          <w:tcPr>
            <w:tcW w:w="40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40" w:type="dxa"/>
            <w:vAlign w:val="bottom"/>
          </w:tcPr>
          <w:p>
            <w:pPr>
              <w:spacing w:after="0"/>
              <w:rPr>
                <w:sz w:val="20"/>
                <w:szCs w:val="20"/>
                <w:color w:val="auto"/>
              </w:rPr>
            </w:pPr>
            <w:r>
              <w:rPr>
                <w:rFonts w:ascii="Arial" w:cs="Arial" w:eastAsia="Arial" w:hAnsi="Arial"/>
                <w:sz w:val="14"/>
                <w:szCs w:val="14"/>
                <w:color w:val="auto"/>
              </w:rPr>
              <w:t>Adjusted EBITDA</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139.1</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304.2</w:t>
            </w:r>
          </w:p>
        </w:tc>
        <w:tc>
          <w:tcPr>
            <w:tcW w:w="300" w:type="dxa"/>
            <w:vAlign w:val="bottom"/>
            <w:gridSpan w:val="3"/>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44.4</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(108.5)</w:t>
            </w:r>
          </w:p>
        </w:tc>
        <w:tc>
          <w:tcPr>
            <w:tcW w:w="100" w:type="dxa"/>
            <w:vAlign w:val="bottom"/>
          </w:tcPr>
          <w:p>
            <w:pPr>
              <w:spacing w:after="0"/>
              <w:rPr>
                <w:sz w:val="20"/>
                <w:szCs w:val="20"/>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379.2</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5"/>
        </w:trPr>
        <w:tc>
          <w:tcPr>
            <w:tcW w:w="4040" w:type="dxa"/>
            <w:vAlign w:val="bottom"/>
          </w:tcPr>
          <w:p>
            <w:pPr>
              <w:spacing w:after="0"/>
              <w:rPr>
                <w:sz w:val="20"/>
                <w:szCs w:val="20"/>
                <w:color w:val="auto"/>
              </w:rPr>
            </w:pPr>
            <w:r>
              <w:rPr>
                <w:rFonts w:ascii="Arial" w:cs="Arial" w:eastAsia="Arial" w:hAnsi="Arial"/>
                <w:sz w:val="14"/>
                <w:szCs w:val="14"/>
                <w:color w:val="auto"/>
              </w:rPr>
              <w:t>Operating profit margin, as reported</w:t>
            </w:r>
          </w:p>
        </w:tc>
        <w:tc>
          <w:tcPr>
            <w:tcW w:w="1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17.8%</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486"/>
        </w:trPr>
        <w:tc>
          <w:tcPr>
            <w:tcW w:w="4040" w:type="dxa"/>
            <w:vAlign w:val="bottom"/>
          </w:tcPr>
          <w:p>
            <w:pPr>
              <w:spacing w:after="0"/>
              <w:rPr>
                <w:sz w:val="20"/>
                <w:szCs w:val="20"/>
                <w:color w:val="auto"/>
              </w:rPr>
            </w:pPr>
            <w:r>
              <w:rPr>
                <w:rFonts w:ascii="Arial" w:cs="Arial" w:eastAsia="Arial" w:hAnsi="Arial"/>
                <w:sz w:val="14"/>
                <w:szCs w:val="14"/>
                <w:color w:val="auto"/>
              </w:rPr>
              <w:t>Adjusted Operating profit margin</w:t>
            </w:r>
          </w:p>
        </w:tc>
        <w:tc>
          <w:tcPr>
            <w:tcW w:w="1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18.2%</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486"/>
        </w:trPr>
        <w:tc>
          <w:tcPr>
            <w:tcW w:w="4040" w:type="dxa"/>
            <w:vAlign w:val="bottom"/>
          </w:tcPr>
          <w:p>
            <w:pPr>
              <w:spacing w:after="0"/>
              <w:rPr>
                <w:sz w:val="20"/>
                <w:szCs w:val="20"/>
                <w:color w:val="auto"/>
              </w:rPr>
            </w:pPr>
            <w:r>
              <w:rPr>
                <w:rFonts w:ascii="Arial" w:cs="Arial" w:eastAsia="Arial" w:hAnsi="Arial"/>
                <w:sz w:val="14"/>
                <w:szCs w:val="14"/>
                <w:color w:val="auto"/>
              </w:rPr>
              <w:t>Adjusted EBITDA margin</w:t>
            </w:r>
          </w:p>
        </w:tc>
        <w:tc>
          <w:tcPr>
            <w:tcW w:w="1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19.1%</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11.2%</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11.4%</w:t>
            </w:r>
          </w:p>
        </w:tc>
        <w:tc>
          <w:tcPr>
            <w:tcW w:w="0" w:type="dxa"/>
            <w:vAlign w:val="bottom"/>
          </w:tcPr>
          <w:p>
            <w:pPr>
              <w:spacing w:after="0"/>
              <w:rPr>
                <w:sz w:val="1"/>
                <w:szCs w:val="1"/>
                <w:color w:val="auto"/>
              </w:rPr>
            </w:pPr>
          </w:p>
        </w:tc>
      </w:tr>
      <w:tr>
        <w:trPr>
          <w:trHeight w:val="633"/>
        </w:trPr>
        <w:tc>
          <w:tcPr>
            <w:tcW w:w="40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7"/>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80" w:type="dxa"/>
            <w:vAlign w:val="bottom"/>
            <w:gridSpan w:val="7"/>
          </w:tcPr>
          <w:p>
            <w:pPr>
              <w:jc w:val="center"/>
              <w:ind w:left="608"/>
              <w:spacing w:after="0"/>
              <w:rPr>
                <w:sz w:val="20"/>
                <w:szCs w:val="20"/>
                <w:color w:val="auto"/>
              </w:rPr>
            </w:pPr>
            <w:r>
              <w:rPr>
                <w:rFonts w:ascii="Arial" w:cs="Arial" w:eastAsia="Arial" w:hAnsi="Arial"/>
                <w:sz w:val="14"/>
                <w:szCs w:val="14"/>
                <w:b w:val="1"/>
                <w:bCs w:val="1"/>
                <w:color w:val="auto"/>
                <w:w w:val="95"/>
              </w:rPr>
              <w:t>Three Months Ended</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40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1"/>
              </w:rPr>
              <w:t>September 30, 2018</w:t>
            </w: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w w:val="96"/>
              </w:rPr>
              <w:t>Subsea</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ind w:left="40"/>
              <w:spacing w:after="0" w:line="153" w:lineRule="exact"/>
              <w:rPr>
                <w:sz w:val="20"/>
                <w:szCs w:val="20"/>
                <w:color w:val="auto"/>
              </w:rPr>
            </w:pPr>
            <w:r>
              <w:rPr>
                <w:rFonts w:ascii="Arial" w:cs="Arial" w:eastAsia="Arial" w:hAnsi="Arial"/>
                <w:sz w:val="14"/>
                <w:szCs w:val="14"/>
                <w:b w:val="1"/>
                <w:bCs w:val="1"/>
                <w:color w:val="auto"/>
              </w:rPr>
              <w:t>Onshore/</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3"/>
              </w:rPr>
              <w:t>Surface</w:t>
            </w:r>
          </w:p>
        </w:tc>
        <w:tc>
          <w:tcPr>
            <w:tcW w:w="100" w:type="dxa"/>
            <w:vAlign w:val="bottom"/>
          </w:tcPr>
          <w:p>
            <w:pPr>
              <w:spacing w:after="0"/>
              <w:rPr>
                <w:sz w:val="13"/>
                <w:szCs w:val="13"/>
                <w:color w:val="auto"/>
              </w:rPr>
            </w:pPr>
          </w:p>
        </w:tc>
        <w:tc>
          <w:tcPr>
            <w:tcW w:w="900" w:type="dxa"/>
            <w:vAlign w:val="bottom"/>
            <w:gridSpan w:val="2"/>
          </w:tcPr>
          <w:p>
            <w:pPr>
              <w:jc w:val="right"/>
              <w:ind w:right="240"/>
              <w:spacing w:after="0" w:line="153" w:lineRule="exact"/>
              <w:rPr>
                <w:sz w:val="20"/>
                <w:szCs w:val="20"/>
                <w:color w:val="auto"/>
              </w:rPr>
            </w:pPr>
            <w:r>
              <w:rPr>
                <w:rFonts w:ascii="Arial" w:cs="Arial" w:eastAsia="Arial" w:hAnsi="Arial"/>
                <w:sz w:val="14"/>
                <w:szCs w:val="14"/>
                <w:b w:val="1"/>
                <w:bCs w:val="1"/>
                <w:color w:val="auto"/>
                <w:w w:val="95"/>
              </w:rPr>
              <w:t>Corporate</w:t>
            </w:r>
          </w:p>
        </w:tc>
        <w:tc>
          <w:tcPr>
            <w:tcW w:w="200" w:type="dxa"/>
            <w:vAlign w:val="bottom"/>
          </w:tcPr>
          <w:p>
            <w:pPr>
              <w:spacing w:after="0"/>
              <w:rPr>
                <w:sz w:val="13"/>
                <w:szCs w:val="13"/>
                <w:color w:val="auto"/>
              </w:rPr>
            </w:pPr>
          </w:p>
        </w:tc>
        <w:tc>
          <w:tcPr>
            <w:tcW w:w="74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0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Offshore</w:t>
            </w: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Technologies</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96"/>
              </w:rPr>
              <w:t>and Other</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4040" w:type="dxa"/>
            <w:vAlign w:val="bottom"/>
          </w:tcPr>
          <w:p>
            <w:pPr>
              <w:spacing w:after="0"/>
              <w:rPr>
                <w:sz w:val="20"/>
                <w:szCs w:val="20"/>
                <w:color w:val="auto"/>
              </w:rPr>
            </w:pPr>
            <w:r>
              <w:rPr>
                <w:rFonts w:ascii="Arial" w:cs="Arial" w:eastAsia="Arial" w:hAnsi="Arial"/>
                <w:sz w:val="14"/>
                <w:szCs w:val="14"/>
                <w:color w:val="auto"/>
              </w:rPr>
              <w:t>Revenue</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1,209.1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1,532.5</w:t>
            </w:r>
          </w:p>
        </w:tc>
        <w:tc>
          <w:tcPr>
            <w:tcW w:w="300" w:type="dxa"/>
            <w:vAlign w:val="bottom"/>
            <w:gridSpan w:val="3"/>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402.2</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3,143.8</w:t>
            </w:r>
          </w:p>
        </w:tc>
        <w:tc>
          <w:tcPr>
            <w:tcW w:w="0" w:type="dxa"/>
            <w:vAlign w:val="bottom"/>
          </w:tcPr>
          <w:p>
            <w:pPr>
              <w:spacing w:after="0"/>
              <w:rPr>
                <w:sz w:val="1"/>
                <w:szCs w:val="1"/>
                <w:color w:val="auto"/>
              </w:rPr>
            </w:pPr>
          </w:p>
        </w:tc>
      </w:tr>
      <w:tr>
        <w:trPr>
          <w:trHeight w:val="486"/>
        </w:trPr>
        <w:tc>
          <w:tcPr>
            <w:tcW w:w="4040" w:type="dxa"/>
            <w:vAlign w:val="bottom"/>
          </w:tcPr>
          <w:p>
            <w:pPr>
              <w:spacing w:after="0"/>
              <w:rPr>
                <w:sz w:val="20"/>
                <w:szCs w:val="20"/>
                <w:color w:val="auto"/>
              </w:rPr>
            </w:pPr>
            <w:r>
              <w:rPr>
                <w:rFonts w:ascii="Arial" w:cs="Arial" w:eastAsia="Arial" w:hAnsi="Arial"/>
                <w:sz w:val="14"/>
                <w:szCs w:val="14"/>
                <w:color w:val="auto"/>
              </w:rPr>
              <w:t>Operating profit (loss), as reported (pre-tax)</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79.7</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243.4</w:t>
            </w:r>
          </w:p>
        </w:tc>
        <w:tc>
          <w:tcPr>
            <w:tcW w:w="300" w:type="dxa"/>
            <w:vAlign w:val="bottom"/>
            <w:gridSpan w:val="3"/>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51.9</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(68.1)</w:t>
            </w:r>
          </w:p>
        </w:tc>
        <w:tc>
          <w:tcPr>
            <w:tcW w:w="100" w:type="dxa"/>
            <w:vAlign w:val="bottom"/>
          </w:tcPr>
          <w:p>
            <w:pPr>
              <w:spacing w:after="0"/>
              <w:rPr>
                <w:sz w:val="24"/>
                <w:szCs w:val="24"/>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306.9</w:t>
            </w:r>
          </w:p>
        </w:tc>
        <w:tc>
          <w:tcPr>
            <w:tcW w:w="0" w:type="dxa"/>
            <w:vAlign w:val="bottom"/>
          </w:tcPr>
          <w:p>
            <w:pPr>
              <w:spacing w:after="0"/>
              <w:rPr>
                <w:sz w:val="1"/>
                <w:szCs w:val="1"/>
                <w:color w:val="auto"/>
              </w:rPr>
            </w:pPr>
          </w:p>
        </w:tc>
      </w:tr>
      <w:tr>
        <w:trPr>
          <w:trHeight w:val="486"/>
        </w:trPr>
        <w:tc>
          <w:tcPr>
            <w:tcW w:w="4040" w:type="dxa"/>
            <w:vAlign w:val="bottom"/>
          </w:tcPr>
          <w:p>
            <w:pPr>
              <w:spacing w:after="0"/>
              <w:rPr>
                <w:sz w:val="20"/>
                <w:szCs w:val="20"/>
                <w:color w:val="auto"/>
              </w:rPr>
            </w:pPr>
            <w:r>
              <w:rPr>
                <w:rFonts w:ascii="Arial" w:cs="Arial" w:eastAsia="Arial" w:hAnsi="Arial"/>
                <w:sz w:val="14"/>
                <w:szCs w:val="14"/>
                <w:color w:val="auto"/>
              </w:rPr>
              <w:t>Charges and (credits):</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40" w:type="dxa"/>
            <w:vAlign w:val="bottom"/>
          </w:tcPr>
          <w:p>
            <w:pPr>
              <w:ind w:left="240"/>
              <w:spacing w:after="0"/>
              <w:rPr>
                <w:sz w:val="20"/>
                <w:szCs w:val="20"/>
                <w:color w:val="auto"/>
              </w:rPr>
            </w:pPr>
            <w:r>
              <w:rPr>
                <w:rFonts w:ascii="Arial" w:cs="Arial" w:eastAsia="Arial" w:hAnsi="Arial"/>
                <w:sz w:val="14"/>
                <w:szCs w:val="14"/>
                <w:color w:val="auto"/>
              </w:rPr>
              <w:t>Impairment and other charges</w:t>
            </w:r>
          </w:p>
        </w:tc>
        <w:tc>
          <w:tcPr>
            <w:tcW w:w="180" w:type="dxa"/>
            <w:vAlign w:val="bottom"/>
          </w:tcPr>
          <w:p>
            <w:pPr>
              <w:spacing w:after="0"/>
              <w:rPr>
                <w:sz w:val="23"/>
                <w:szCs w:val="23"/>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70"/>
        </w:trPr>
        <w:tc>
          <w:tcPr>
            <w:tcW w:w="4040" w:type="dxa"/>
            <w:vAlign w:val="bottom"/>
          </w:tcPr>
          <w:p>
            <w:pPr>
              <w:ind w:left="240"/>
              <w:spacing w:after="0"/>
              <w:rPr>
                <w:sz w:val="20"/>
                <w:szCs w:val="20"/>
                <w:color w:val="auto"/>
              </w:rPr>
            </w:pPr>
            <w:r>
              <w:rPr>
                <w:rFonts w:ascii="Arial" w:cs="Arial" w:eastAsia="Arial" w:hAnsi="Arial"/>
                <w:sz w:val="14"/>
                <w:szCs w:val="14"/>
                <w:color w:val="auto"/>
              </w:rPr>
              <w:t>Restructuring and other severance charges</w:t>
            </w:r>
          </w:p>
        </w:tc>
        <w:tc>
          <w:tcPr>
            <w:tcW w:w="180" w:type="dxa"/>
            <w:vAlign w:val="bottom"/>
          </w:tcPr>
          <w:p>
            <w:pPr>
              <w:spacing w:after="0"/>
              <w:rPr>
                <w:sz w:val="23"/>
                <w:szCs w:val="23"/>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(0.2)</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270"/>
        </w:trPr>
        <w:tc>
          <w:tcPr>
            <w:tcW w:w="4040" w:type="dxa"/>
            <w:vAlign w:val="bottom"/>
          </w:tcPr>
          <w:p>
            <w:pPr>
              <w:ind w:left="240"/>
              <w:spacing w:after="0"/>
              <w:rPr>
                <w:sz w:val="20"/>
                <w:szCs w:val="20"/>
                <w:color w:val="auto"/>
              </w:rPr>
            </w:pPr>
            <w:r>
              <w:rPr>
                <w:rFonts w:ascii="Arial" w:cs="Arial" w:eastAsia="Arial" w:hAnsi="Arial"/>
                <w:sz w:val="14"/>
                <w:szCs w:val="14"/>
                <w:color w:val="auto"/>
              </w:rPr>
              <w:t>Business combination transaction and integration costs</w:t>
            </w:r>
          </w:p>
        </w:tc>
        <w:tc>
          <w:tcPr>
            <w:tcW w:w="180" w:type="dxa"/>
            <w:vAlign w:val="bottom"/>
          </w:tcPr>
          <w:p>
            <w:pPr>
              <w:spacing w:after="0"/>
              <w:rPr>
                <w:sz w:val="23"/>
                <w:szCs w:val="23"/>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6.3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270"/>
        </w:trPr>
        <w:tc>
          <w:tcPr>
            <w:tcW w:w="4040" w:type="dxa"/>
            <w:vAlign w:val="bottom"/>
          </w:tcPr>
          <w:p>
            <w:pPr>
              <w:ind w:left="240"/>
              <w:spacing w:after="0"/>
              <w:rPr>
                <w:sz w:val="20"/>
                <w:szCs w:val="20"/>
                <w:color w:val="auto"/>
              </w:rPr>
            </w:pPr>
            <w:r>
              <w:rPr>
                <w:rFonts w:ascii="Arial" w:cs="Arial" w:eastAsia="Arial" w:hAnsi="Arial"/>
                <w:sz w:val="14"/>
                <w:szCs w:val="14"/>
                <w:color w:val="auto"/>
              </w:rPr>
              <w:t>Gain on divestitures</w:t>
            </w:r>
          </w:p>
        </w:tc>
        <w:tc>
          <w:tcPr>
            <w:tcW w:w="180" w:type="dxa"/>
            <w:vAlign w:val="bottom"/>
          </w:tcPr>
          <w:p>
            <w:pPr>
              <w:spacing w:after="0"/>
              <w:rPr>
                <w:sz w:val="23"/>
                <w:szCs w:val="23"/>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(28.3)</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(31.6)</w:t>
            </w:r>
          </w:p>
        </w:tc>
        <w:tc>
          <w:tcPr>
            <w:tcW w:w="0" w:type="dxa"/>
            <w:vAlign w:val="bottom"/>
          </w:tcPr>
          <w:p>
            <w:pPr>
              <w:spacing w:after="0"/>
              <w:rPr>
                <w:sz w:val="1"/>
                <w:szCs w:val="1"/>
                <w:color w:val="auto"/>
              </w:rPr>
            </w:pPr>
          </w:p>
        </w:tc>
      </w:tr>
      <w:tr>
        <w:trPr>
          <w:trHeight w:val="169"/>
        </w:trPr>
        <w:tc>
          <w:tcPr>
            <w:tcW w:w="4040" w:type="dxa"/>
            <w:vAlign w:val="bottom"/>
          </w:tcPr>
          <w:p>
            <w:pPr>
              <w:ind w:left="240"/>
              <w:spacing w:after="0"/>
              <w:rPr>
                <w:sz w:val="20"/>
                <w:szCs w:val="20"/>
                <w:color w:val="auto"/>
              </w:rPr>
            </w:pPr>
            <w:r>
              <w:rPr>
                <w:rFonts w:ascii="Arial" w:cs="Arial" w:eastAsia="Arial" w:hAnsi="Arial"/>
                <w:sz w:val="14"/>
                <w:szCs w:val="14"/>
                <w:color w:val="auto"/>
              </w:rPr>
              <w:t>Purchase price accounting adjustments - non-amortization</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4040" w:type="dxa"/>
            <w:vAlign w:val="bottom"/>
          </w:tcPr>
          <w:p>
            <w:pPr>
              <w:ind w:left="240"/>
              <w:spacing w:after="0"/>
              <w:rPr>
                <w:sz w:val="20"/>
                <w:szCs w:val="20"/>
                <w:color w:val="auto"/>
              </w:rPr>
            </w:pPr>
            <w:r>
              <w:rPr>
                <w:rFonts w:ascii="Arial" w:cs="Arial" w:eastAsia="Arial" w:hAnsi="Arial"/>
                <w:sz w:val="14"/>
                <w:szCs w:val="14"/>
                <w:color w:val="auto"/>
              </w:rPr>
              <w:t>related</w:t>
            </w:r>
          </w:p>
        </w:tc>
        <w:tc>
          <w:tcPr>
            <w:tcW w:w="180" w:type="dxa"/>
            <w:vAlign w:val="bottom"/>
          </w:tcPr>
          <w:p>
            <w:pPr>
              <w:spacing w:after="0"/>
              <w:rPr>
                <w:sz w:val="15"/>
                <w:szCs w:val="15"/>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0.9</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276"/>
        </w:trPr>
        <w:tc>
          <w:tcPr>
            <w:tcW w:w="4040" w:type="dxa"/>
            <w:vAlign w:val="bottom"/>
          </w:tcPr>
          <w:p>
            <w:pPr>
              <w:ind w:left="240"/>
              <w:spacing w:after="0"/>
              <w:rPr>
                <w:sz w:val="20"/>
                <w:szCs w:val="20"/>
                <w:color w:val="auto"/>
              </w:rPr>
            </w:pPr>
            <w:r>
              <w:rPr>
                <w:rFonts w:ascii="Arial" w:cs="Arial" w:eastAsia="Arial" w:hAnsi="Arial"/>
                <w:sz w:val="14"/>
                <w:szCs w:val="14"/>
                <w:color w:val="auto"/>
                <w:w w:val="99"/>
              </w:rPr>
              <w:t>Purchase price accounting adjustments - amortization related</w:t>
            </w:r>
          </w:p>
        </w:tc>
        <w:tc>
          <w:tcPr>
            <w:tcW w:w="180" w:type="dxa"/>
            <w:vAlign w:val="bottom"/>
          </w:tcPr>
          <w:p>
            <w:pPr>
              <w:spacing w:after="0"/>
              <w:rPr>
                <w:sz w:val="24"/>
                <w:szCs w:val="24"/>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23.4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23.3</w:t>
            </w:r>
          </w:p>
        </w:tc>
        <w:tc>
          <w:tcPr>
            <w:tcW w:w="0" w:type="dxa"/>
            <w:vAlign w:val="bottom"/>
          </w:tcPr>
          <w:p>
            <w:pPr>
              <w:spacing w:after="0"/>
              <w:rPr>
                <w:sz w:val="1"/>
                <w:szCs w:val="1"/>
                <w:color w:val="auto"/>
              </w:rPr>
            </w:pPr>
          </w:p>
        </w:tc>
      </w:tr>
      <w:tr>
        <w:trPr>
          <w:trHeight w:val="244"/>
        </w:trPr>
        <w:tc>
          <w:tcPr>
            <w:tcW w:w="4040" w:type="dxa"/>
            <w:vAlign w:val="bottom"/>
          </w:tcPr>
          <w:p>
            <w:pPr>
              <w:ind w:left="460"/>
              <w:spacing w:after="0"/>
              <w:rPr>
                <w:sz w:val="20"/>
                <w:szCs w:val="20"/>
                <w:color w:val="auto"/>
              </w:rPr>
            </w:pPr>
            <w:r>
              <w:rPr>
                <w:rFonts w:ascii="Arial" w:cs="Arial" w:eastAsia="Arial" w:hAnsi="Arial"/>
                <w:sz w:val="14"/>
                <w:szCs w:val="14"/>
                <w:color w:val="auto"/>
              </w:rPr>
              <w:t>Subtotal</w:t>
            </w:r>
          </w:p>
        </w:tc>
        <w:tc>
          <w:tcPr>
            <w:tcW w:w="18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21.6</w:t>
            </w: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(28.5)</w:t>
            </w:r>
          </w:p>
        </w:tc>
        <w:tc>
          <w:tcPr>
            <w:tcW w:w="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9.7</w:t>
            </w: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228"/>
        </w:trPr>
        <w:tc>
          <w:tcPr>
            <w:tcW w:w="40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040" w:type="dxa"/>
            <w:vAlign w:val="bottom"/>
          </w:tcPr>
          <w:p>
            <w:pPr>
              <w:spacing w:after="0"/>
              <w:rPr>
                <w:sz w:val="20"/>
                <w:szCs w:val="20"/>
                <w:color w:val="auto"/>
              </w:rPr>
            </w:pPr>
            <w:r>
              <w:rPr>
                <w:rFonts w:ascii="Arial" w:cs="Arial" w:eastAsia="Arial" w:hAnsi="Arial"/>
                <w:sz w:val="14"/>
                <w:szCs w:val="14"/>
                <w:color w:val="auto"/>
              </w:rPr>
              <w:t>Adjusted Operating profit (loss)</w:t>
            </w:r>
          </w:p>
        </w:tc>
        <w:tc>
          <w:tcPr>
            <w:tcW w:w="1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101.3</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214.9</w:t>
            </w:r>
          </w:p>
        </w:tc>
        <w:tc>
          <w:tcPr>
            <w:tcW w:w="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54.0</w:t>
            </w: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(58.4)</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311.8</w:t>
            </w:r>
          </w:p>
        </w:tc>
        <w:tc>
          <w:tcPr>
            <w:tcW w:w="0" w:type="dxa"/>
            <w:vAlign w:val="bottom"/>
          </w:tcPr>
          <w:p>
            <w:pPr>
              <w:spacing w:after="0"/>
              <w:rPr>
                <w:sz w:val="1"/>
                <w:szCs w:val="1"/>
                <w:color w:val="auto"/>
              </w:rPr>
            </w:pPr>
          </w:p>
        </w:tc>
      </w:tr>
      <w:tr>
        <w:trPr>
          <w:trHeight w:val="474"/>
        </w:trPr>
        <w:tc>
          <w:tcPr>
            <w:tcW w:w="4040" w:type="dxa"/>
            <w:vAlign w:val="bottom"/>
          </w:tcPr>
          <w:p>
            <w:pPr>
              <w:spacing w:after="0"/>
              <w:rPr>
                <w:sz w:val="20"/>
                <w:szCs w:val="20"/>
                <w:color w:val="auto"/>
              </w:rPr>
            </w:pPr>
            <w:r>
              <w:rPr>
                <w:rFonts w:ascii="Arial" w:cs="Arial" w:eastAsia="Arial" w:hAnsi="Arial"/>
                <w:sz w:val="14"/>
                <w:szCs w:val="14"/>
                <w:color w:val="auto"/>
              </w:rPr>
              <w:t>Adjusted Depreciation and amortization</w:t>
            </w:r>
          </w:p>
        </w:tc>
        <w:tc>
          <w:tcPr>
            <w:tcW w:w="180" w:type="dxa"/>
            <w:vAlign w:val="bottom"/>
          </w:tcPr>
          <w:p>
            <w:pPr>
              <w:spacing w:after="0"/>
              <w:rPr>
                <w:sz w:val="24"/>
                <w:szCs w:val="24"/>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87.2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12.4</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18.5</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118.7</w:t>
            </w:r>
          </w:p>
        </w:tc>
        <w:tc>
          <w:tcPr>
            <w:tcW w:w="0" w:type="dxa"/>
            <w:vAlign w:val="bottom"/>
          </w:tcPr>
          <w:p>
            <w:pPr>
              <w:spacing w:after="0"/>
              <w:rPr>
                <w:sz w:val="1"/>
                <w:szCs w:val="1"/>
                <w:color w:val="auto"/>
              </w:rPr>
            </w:pPr>
          </w:p>
        </w:tc>
      </w:tr>
      <w:tr>
        <w:trPr>
          <w:trHeight w:val="228"/>
        </w:trPr>
        <w:tc>
          <w:tcPr>
            <w:tcW w:w="40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40" w:type="dxa"/>
            <w:vAlign w:val="bottom"/>
          </w:tcPr>
          <w:p>
            <w:pPr>
              <w:spacing w:after="0"/>
              <w:rPr>
                <w:sz w:val="20"/>
                <w:szCs w:val="20"/>
                <w:color w:val="auto"/>
              </w:rPr>
            </w:pPr>
            <w:r>
              <w:rPr>
                <w:rFonts w:ascii="Arial" w:cs="Arial" w:eastAsia="Arial" w:hAnsi="Arial"/>
                <w:sz w:val="14"/>
                <w:szCs w:val="14"/>
                <w:color w:val="auto"/>
              </w:rPr>
              <w:t>Adjusted EBITDA</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188.5</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227.3</w:t>
            </w:r>
          </w:p>
        </w:tc>
        <w:tc>
          <w:tcPr>
            <w:tcW w:w="300" w:type="dxa"/>
            <w:vAlign w:val="bottom"/>
            <w:gridSpan w:val="3"/>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72.5</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(57.8)</w:t>
            </w:r>
          </w:p>
        </w:tc>
        <w:tc>
          <w:tcPr>
            <w:tcW w:w="100" w:type="dxa"/>
            <w:vAlign w:val="bottom"/>
          </w:tcPr>
          <w:p>
            <w:pPr>
              <w:spacing w:after="0"/>
              <w:rPr>
                <w:sz w:val="20"/>
                <w:szCs w:val="20"/>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430.5</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5"/>
        </w:trPr>
        <w:tc>
          <w:tcPr>
            <w:tcW w:w="4040" w:type="dxa"/>
            <w:vAlign w:val="bottom"/>
          </w:tcPr>
          <w:p>
            <w:pPr>
              <w:spacing w:after="0"/>
              <w:rPr>
                <w:sz w:val="20"/>
                <w:szCs w:val="20"/>
                <w:color w:val="auto"/>
              </w:rPr>
            </w:pPr>
            <w:r>
              <w:rPr>
                <w:rFonts w:ascii="Arial" w:cs="Arial" w:eastAsia="Arial" w:hAnsi="Arial"/>
                <w:sz w:val="14"/>
                <w:szCs w:val="14"/>
                <w:color w:val="auto"/>
              </w:rPr>
              <w:t>Operating profit margin, as reported</w:t>
            </w:r>
          </w:p>
        </w:tc>
        <w:tc>
          <w:tcPr>
            <w:tcW w:w="1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6.6%</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15.9%</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12.9%</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9.8%</w:t>
            </w:r>
          </w:p>
        </w:tc>
        <w:tc>
          <w:tcPr>
            <w:tcW w:w="0" w:type="dxa"/>
            <w:vAlign w:val="bottom"/>
          </w:tcPr>
          <w:p>
            <w:pPr>
              <w:spacing w:after="0"/>
              <w:rPr>
                <w:sz w:val="1"/>
                <w:szCs w:val="1"/>
                <w:color w:val="auto"/>
              </w:rPr>
            </w:pPr>
          </w:p>
        </w:tc>
      </w:tr>
      <w:tr>
        <w:trPr>
          <w:trHeight w:val="486"/>
        </w:trPr>
        <w:tc>
          <w:tcPr>
            <w:tcW w:w="4040" w:type="dxa"/>
            <w:vAlign w:val="bottom"/>
          </w:tcPr>
          <w:p>
            <w:pPr>
              <w:spacing w:after="0"/>
              <w:rPr>
                <w:sz w:val="20"/>
                <w:szCs w:val="20"/>
                <w:color w:val="auto"/>
              </w:rPr>
            </w:pPr>
            <w:r>
              <w:rPr>
                <w:rFonts w:ascii="Arial" w:cs="Arial" w:eastAsia="Arial" w:hAnsi="Arial"/>
                <w:sz w:val="14"/>
                <w:szCs w:val="14"/>
                <w:color w:val="auto"/>
              </w:rPr>
              <w:t>Adjusted Operating profit margin</w:t>
            </w:r>
          </w:p>
        </w:tc>
        <w:tc>
          <w:tcPr>
            <w:tcW w:w="1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14.0%</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13.4%</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260"/>
          </w:cols>
          <w:pgMar w:left="1400" w:top="526" w:right="239" w:bottom="0" w:gutter="0" w:footer="0" w:header="0"/>
        </w:sectPr>
      </w:pPr>
    </w:p>
    <w:p>
      <w:pPr>
        <w:spacing w:after="0" w:line="104" w:lineRule="exact"/>
        <w:rPr>
          <w:sz w:val="20"/>
          <w:szCs w:val="20"/>
          <w:color w:val="auto"/>
        </w:rPr>
      </w:pPr>
    </w:p>
    <w:p>
      <w:pPr>
        <w:spacing w:after="0"/>
        <w:tabs>
          <w:tab w:leader="none" w:pos="4560" w:val="left"/>
          <w:tab w:leader="none" w:pos="5600" w:val="left"/>
          <w:tab w:leader="none" w:pos="6660" w:val="left"/>
          <w:tab w:leader="none" w:pos="8720" w:val="left"/>
        </w:tabs>
        <w:rPr>
          <w:sz w:val="20"/>
          <w:szCs w:val="20"/>
          <w:color w:val="auto"/>
        </w:rPr>
      </w:pPr>
      <w:r>
        <w:rPr>
          <w:rFonts w:ascii="Arial" w:cs="Arial" w:eastAsia="Arial" w:hAnsi="Arial"/>
          <w:sz w:val="14"/>
          <w:szCs w:val="14"/>
          <w:color w:val="auto"/>
        </w:rPr>
        <w:t>Adjusted EBITDA margin</w:t>
      </w:r>
      <w:r>
        <w:rPr>
          <w:sz w:val="20"/>
          <w:szCs w:val="20"/>
          <w:color w:val="auto"/>
        </w:rPr>
        <w:tab/>
      </w:r>
      <w:r>
        <w:rPr>
          <w:rFonts w:ascii="Arial" w:cs="Arial" w:eastAsia="Arial" w:hAnsi="Arial"/>
          <w:sz w:val="14"/>
          <w:szCs w:val="14"/>
          <w:color w:val="auto"/>
        </w:rPr>
        <w:t>15.6%</w:t>
      </w:r>
      <w:r>
        <w:rPr>
          <w:sz w:val="20"/>
          <w:szCs w:val="20"/>
          <w:color w:val="auto"/>
        </w:rPr>
        <w:tab/>
      </w:r>
      <w:r>
        <w:rPr>
          <w:rFonts w:ascii="Arial" w:cs="Arial" w:eastAsia="Arial" w:hAnsi="Arial"/>
          <w:sz w:val="14"/>
          <w:szCs w:val="14"/>
          <w:color w:val="auto"/>
        </w:rPr>
        <w:t>14.8%</w:t>
      </w:r>
      <w:r>
        <w:rPr>
          <w:sz w:val="20"/>
          <w:szCs w:val="20"/>
          <w:color w:val="auto"/>
        </w:rPr>
        <w:tab/>
      </w:r>
      <w:r>
        <w:rPr>
          <w:rFonts w:ascii="Arial" w:cs="Arial" w:eastAsia="Arial" w:hAnsi="Arial"/>
          <w:sz w:val="14"/>
          <w:szCs w:val="14"/>
          <w:color w:val="auto"/>
        </w:rPr>
        <w:t>18.0%</w:t>
      </w:r>
      <w:r>
        <w:rPr>
          <w:sz w:val="20"/>
          <w:szCs w:val="20"/>
          <w:color w:val="auto"/>
        </w:rPr>
        <w:tab/>
      </w:r>
      <w:r>
        <w:rPr>
          <w:rFonts w:ascii="Arial" w:cs="Arial" w:eastAsia="Arial" w:hAnsi="Arial"/>
          <w:sz w:val="12"/>
          <w:szCs w:val="12"/>
          <w:color w:val="auto"/>
        </w:rPr>
        <w:t>13.7%</w:t>
      </w:r>
    </w:p>
    <w:p>
      <w:pPr>
        <w:sectPr>
          <w:pgSz w:w="11900" w:h="16838" w:orient="portrait"/>
          <w:cols w:equalWidth="0" w:num="1">
            <w:col w:w="10260"/>
          </w:cols>
          <w:pgMar w:left="1400" w:top="526" w:right="239" w:bottom="0" w:gutter="0" w:footer="0" w:header="0"/>
          <w:type w:val="continuous"/>
        </w:sectPr>
      </w:pPr>
    </w:p>
    <w:bookmarkStart w:id="26" w:name="page27"/>
    <w:bookmarkEnd w:id="26"/>
    <w:p>
      <w:pPr>
        <w:ind w:left="3980"/>
        <w:spacing w:after="0"/>
        <w:tabs>
          <w:tab w:leader="none" w:pos="9220" w:val="left"/>
        </w:tabs>
        <w:rPr>
          <w:rFonts w:ascii="Arial" w:cs="Arial" w:eastAsia="Arial" w:hAnsi="Arial"/>
          <w:sz w:val="14"/>
          <w:szCs w:val="14"/>
          <w:b w:val="1"/>
          <w:bCs w:val="1"/>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 xml:space="preserve">Page 22 of </w:t>
      </w:r>
      <w:hyperlink w:anchor="page29">
        <w:r>
          <w:rPr>
            <w:rFonts w:ascii="Arial" w:cs="Arial" w:eastAsia="Arial" w:hAnsi="Arial"/>
            <w:sz w:val="14"/>
            <w:szCs w:val="14"/>
            <w:b w:val="1"/>
            <w:bCs w:val="1"/>
            <w:color w:val="auto"/>
          </w:rPr>
          <w:t>24</w:t>
        </w:r>
      </w:hyperlink>
    </w:p>
    <w:p>
      <w:pPr>
        <w:sectPr>
          <w:pgSz w:w="11900" w:h="16838" w:orient="portrait"/>
          <w:cols w:equalWidth="0" w:num="1">
            <w:col w:w="10160"/>
          </w:cols>
          <w:pgMar w:left="1440" w:top="585" w:right="299" w:bottom="1440" w:gutter="0" w:footer="0" w:header="0"/>
        </w:sectPr>
      </w:pPr>
    </w:p>
    <w:bookmarkStart w:id="27" w:name="page28"/>
    <w:bookmarkEnd w:id="27"/>
    <w:p>
      <w:pPr>
        <w:spacing w:after="0" w:line="31"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Exhibit 10</w:t>
      </w:r>
    </w:p>
    <w:p>
      <w:pPr>
        <w:spacing w:after="0" w:line="161" w:lineRule="exact"/>
        <w:rPr>
          <w:sz w:val="20"/>
          <w:szCs w:val="20"/>
          <w:color w:val="auto"/>
        </w:rPr>
      </w:pPr>
    </w:p>
    <w:p>
      <w:pPr>
        <w:jc w:val="center"/>
        <w:ind w:right="1160"/>
        <w:spacing w:after="0" w:line="266" w:lineRule="auto"/>
        <w:rPr>
          <w:sz w:val="20"/>
          <w:szCs w:val="20"/>
          <w:color w:val="auto"/>
        </w:rPr>
      </w:pPr>
      <w:r>
        <w:rPr>
          <w:rFonts w:ascii="Arial" w:cs="Arial" w:eastAsia="Arial" w:hAnsi="Arial"/>
          <w:sz w:val="18"/>
          <w:szCs w:val="18"/>
          <w:b w:val="1"/>
          <w:bCs w:val="1"/>
          <w:u w:val="single" w:color="auto"/>
          <w:color w:val="auto"/>
        </w:rPr>
        <w:t xml:space="preserve">TECHNIPFMC PLC AND CONSOLIDATED SUBSIDIARIES RECONCILIATION OF GAAP TO NON-GAAP FINANCIAL MEASURES </w:t>
      </w:r>
      <w:r>
        <w:rPr>
          <w:rFonts w:ascii="Arial" w:cs="Arial" w:eastAsia="Arial" w:hAnsi="Arial"/>
          <w:sz w:val="18"/>
          <w:szCs w:val="18"/>
          <w:b w:val="1"/>
          <w:bCs w:val="1"/>
          <w:color w:val="auto"/>
        </w:rPr>
        <w:t>(In millions,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2570480</wp:posOffset>
            </wp:positionH>
            <wp:positionV relativeFrom="paragraph">
              <wp:posOffset>71755</wp:posOffset>
            </wp:positionV>
            <wp:extent cx="323278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232785" cy="8890"/>
                    </a:xfrm>
                    <a:prstGeom prst="rect">
                      <a:avLst/>
                    </a:prstGeom>
                    <a:noFill/>
                  </pic:spPr>
                </pic:pic>
              </a:graphicData>
            </a:graphic>
          </wp:anchor>
        </w:drawing>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40" w:type="dxa"/>
            <w:vAlign w:val="bottom"/>
            <w:gridSpan w:val="6"/>
          </w:tcPr>
          <w:p>
            <w:pPr>
              <w:jc w:val="center"/>
              <w:spacing w:after="0"/>
              <w:rPr>
                <w:sz w:val="20"/>
                <w:szCs w:val="20"/>
                <w:color w:val="auto"/>
              </w:rPr>
            </w:pPr>
            <w:r>
              <w:rPr>
                <w:rFonts w:ascii="Arial" w:cs="Arial" w:eastAsia="Arial" w:hAnsi="Arial"/>
                <w:sz w:val="14"/>
                <w:szCs w:val="14"/>
                <w:b w:val="1"/>
                <w:bCs w:val="1"/>
                <w:color w:val="auto"/>
                <w:w w:val="94"/>
              </w:rPr>
              <w:t>Nine Months Ended</w:t>
            </w: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40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40" w:type="dxa"/>
            <w:vAlign w:val="bottom"/>
            <w:gridSpan w:val="6"/>
          </w:tcPr>
          <w:p>
            <w:pPr>
              <w:jc w:val="center"/>
              <w:spacing w:after="0"/>
              <w:rPr>
                <w:sz w:val="20"/>
                <w:szCs w:val="20"/>
                <w:color w:val="auto"/>
              </w:rPr>
            </w:pPr>
            <w:r>
              <w:rPr>
                <w:rFonts w:ascii="Arial" w:cs="Arial" w:eastAsia="Arial" w:hAnsi="Arial"/>
                <w:sz w:val="14"/>
                <w:szCs w:val="14"/>
                <w:b w:val="1"/>
                <w:bCs w:val="1"/>
                <w:color w:val="auto"/>
                <w:w w:val="91"/>
              </w:rPr>
              <w:t>September 30, 2019</w:t>
            </w:r>
          </w:p>
        </w:tc>
        <w:tc>
          <w:tcPr>
            <w:tcW w:w="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3"/>
        </w:trPr>
        <w:tc>
          <w:tcPr>
            <w:tcW w:w="404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gridSpan w:val="3"/>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gridSpan w:val="2"/>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6"/>
        </w:trPr>
        <w:tc>
          <w:tcPr>
            <w:tcW w:w="4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w w:val="96"/>
              </w:rPr>
              <w:t>Subsea</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ind w:left="40"/>
              <w:spacing w:after="0" w:line="147" w:lineRule="exact"/>
              <w:rPr>
                <w:sz w:val="20"/>
                <w:szCs w:val="20"/>
                <w:color w:val="auto"/>
              </w:rPr>
            </w:pPr>
            <w:r>
              <w:rPr>
                <w:rFonts w:ascii="Arial" w:cs="Arial" w:eastAsia="Arial" w:hAnsi="Arial"/>
                <w:sz w:val="14"/>
                <w:szCs w:val="14"/>
                <w:b w:val="1"/>
                <w:bCs w:val="1"/>
                <w:color w:val="auto"/>
              </w:rPr>
              <w:t>Onshore/</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3"/>
          </w:tcPr>
          <w:p>
            <w:pPr>
              <w:jc w:val="center"/>
              <w:ind w:right="320"/>
              <w:spacing w:after="0" w:line="147" w:lineRule="exact"/>
              <w:rPr>
                <w:sz w:val="20"/>
                <w:szCs w:val="20"/>
                <w:color w:val="auto"/>
              </w:rPr>
            </w:pPr>
            <w:r>
              <w:rPr>
                <w:rFonts w:ascii="Arial" w:cs="Arial" w:eastAsia="Arial" w:hAnsi="Arial"/>
                <w:sz w:val="14"/>
                <w:szCs w:val="14"/>
                <w:b w:val="1"/>
                <w:bCs w:val="1"/>
                <w:color w:val="auto"/>
                <w:w w:val="93"/>
              </w:rPr>
              <w:t>Surface</w:t>
            </w:r>
          </w:p>
        </w:tc>
        <w:tc>
          <w:tcPr>
            <w:tcW w:w="80" w:type="dxa"/>
            <w:vAlign w:val="bottom"/>
          </w:tcPr>
          <w:p>
            <w:pPr>
              <w:spacing w:after="0"/>
              <w:rPr>
                <w:sz w:val="12"/>
                <w:szCs w:val="12"/>
                <w:color w:val="auto"/>
              </w:rPr>
            </w:pPr>
          </w:p>
        </w:tc>
        <w:tc>
          <w:tcPr>
            <w:tcW w:w="900" w:type="dxa"/>
            <w:vAlign w:val="bottom"/>
            <w:gridSpan w:val="2"/>
          </w:tcPr>
          <w:p>
            <w:pPr>
              <w:ind w:left="20"/>
              <w:spacing w:after="0" w:line="147" w:lineRule="exact"/>
              <w:rPr>
                <w:sz w:val="20"/>
                <w:szCs w:val="20"/>
                <w:color w:val="auto"/>
              </w:rPr>
            </w:pPr>
            <w:r>
              <w:rPr>
                <w:rFonts w:ascii="Arial" w:cs="Arial" w:eastAsia="Arial" w:hAnsi="Arial"/>
                <w:sz w:val="14"/>
                <w:szCs w:val="14"/>
                <w:b w:val="1"/>
                <w:bCs w:val="1"/>
                <w:color w:val="auto"/>
              </w:rPr>
              <w:t>Corporate</w:t>
            </w:r>
          </w:p>
        </w:tc>
        <w:tc>
          <w:tcPr>
            <w:tcW w:w="200" w:type="dxa"/>
            <w:vAlign w:val="bottom"/>
          </w:tcPr>
          <w:p>
            <w:pPr>
              <w:spacing w:after="0"/>
              <w:rPr>
                <w:sz w:val="12"/>
                <w:szCs w:val="12"/>
                <w:color w:val="auto"/>
              </w:rPr>
            </w:pPr>
          </w:p>
        </w:tc>
        <w:tc>
          <w:tcPr>
            <w:tcW w:w="74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0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Offshore</w:t>
            </w:r>
          </w:p>
        </w:tc>
        <w:tc>
          <w:tcPr>
            <w:tcW w:w="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Technologies</w:t>
            </w: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96"/>
              </w:rPr>
              <w:t>and Other</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4040" w:type="dxa"/>
            <w:vAlign w:val="bottom"/>
          </w:tcPr>
          <w:p>
            <w:pPr>
              <w:spacing w:after="0"/>
              <w:rPr>
                <w:sz w:val="20"/>
                <w:szCs w:val="20"/>
                <w:color w:val="auto"/>
              </w:rPr>
            </w:pPr>
            <w:r>
              <w:rPr>
                <w:rFonts w:ascii="Arial" w:cs="Arial" w:eastAsia="Arial" w:hAnsi="Arial"/>
                <w:sz w:val="14"/>
                <w:szCs w:val="14"/>
                <w:color w:val="auto"/>
              </w:rPr>
              <w:t>Revenue</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4,036.2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4,436.4</w:t>
            </w:r>
          </w:p>
        </w:tc>
        <w:tc>
          <w:tcPr>
            <w:tcW w:w="320" w:type="dxa"/>
            <w:vAlign w:val="bottom"/>
            <w:gridSpan w:val="3"/>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1,209.7</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9,682.3</w:t>
            </w:r>
          </w:p>
        </w:tc>
        <w:tc>
          <w:tcPr>
            <w:tcW w:w="0" w:type="dxa"/>
            <w:vAlign w:val="bottom"/>
          </w:tcPr>
          <w:p>
            <w:pPr>
              <w:spacing w:after="0"/>
              <w:rPr>
                <w:sz w:val="1"/>
                <w:szCs w:val="1"/>
                <w:color w:val="auto"/>
              </w:rPr>
            </w:pPr>
          </w:p>
        </w:tc>
      </w:tr>
      <w:tr>
        <w:trPr>
          <w:trHeight w:val="459"/>
        </w:trPr>
        <w:tc>
          <w:tcPr>
            <w:tcW w:w="4040" w:type="dxa"/>
            <w:vAlign w:val="bottom"/>
          </w:tcPr>
          <w:p>
            <w:pPr>
              <w:spacing w:after="0"/>
              <w:rPr>
                <w:sz w:val="20"/>
                <w:szCs w:val="20"/>
                <w:color w:val="auto"/>
              </w:rPr>
            </w:pPr>
            <w:r>
              <w:rPr>
                <w:rFonts w:ascii="Arial" w:cs="Arial" w:eastAsia="Arial" w:hAnsi="Arial"/>
                <w:sz w:val="14"/>
                <w:szCs w:val="14"/>
                <w:color w:val="auto"/>
              </w:rPr>
              <w:t>Operating profit (loss), as reported (pre-tax)</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190.1</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714.3</w:t>
            </w:r>
          </w:p>
        </w:tc>
        <w:tc>
          <w:tcPr>
            <w:tcW w:w="320" w:type="dxa"/>
            <w:vAlign w:val="bottom"/>
            <w:gridSpan w:val="3"/>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42.1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(361.4)</w:t>
            </w:r>
          </w:p>
        </w:tc>
        <w:tc>
          <w:tcPr>
            <w:tcW w:w="100" w:type="dxa"/>
            <w:vAlign w:val="bottom"/>
          </w:tcPr>
          <w:p>
            <w:pPr>
              <w:spacing w:after="0"/>
              <w:rPr>
                <w:sz w:val="24"/>
                <w:szCs w:val="24"/>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585.1</w:t>
            </w:r>
          </w:p>
        </w:tc>
        <w:tc>
          <w:tcPr>
            <w:tcW w:w="0" w:type="dxa"/>
            <w:vAlign w:val="bottom"/>
          </w:tcPr>
          <w:p>
            <w:pPr>
              <w:spacing w:after="0"/>
              <w:rPr>
                <w:sz w:val="1"/>
                <w:szCs w:val="1"/>
                <w:color w:val="auto"/>
              </w:rPr>
            </w:pPr>
          </w:p>
        </w:tc>
      </w:tr>
      <w:tr>
        <w:trPr>
          <w:trHeight w:val="459"/>
        </w:trPr>
        <w:tc>
          <w:tcPr>
            <w:tcW w:w="4040" w:type="dxa"/>
            <w:vAlign w:val="bottom"/>
          </w:tcPr>
          <w:p>
            <w:pPr>
              <w:spacing w:after="0"/>
              <w:rPr>
                <w:sz w:val="20"/>
                <w:szCs w:val="20"/>
                <w:color w:val="auto"/>
              </w:rPr>
            </w:pPr>
            <w:r>
              <w:rPr>
                <w:rFonts w:ascii="Arial" w:cs="Arial" w:eastAsia="Arial" w:hAnsi="Arial"/>
                <w:sz w:val="14"/>
                <w:szCs w:val="14"/>
                <w:color w:val="auto"/>
              </w:rPr>
              <w:t>Charges and (credits):</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40" w:type="dxa"/>
            <w:vAlign w:val="bottom"/>
          </w:tcPr>
          <w:p>
            <w:pPr>
              <w:ind w:left="240"/>
              <w:spacing w:after="0"/>
              <w:rPr>
                <w:sz w:val="20"/>
                <w:szCs w:val="20"/>
                <w:color w:val="auto"/>
              </w:rPr>
            </w:pPr>
            <w:r>
              <w:rPr>
                <w:rFonts w:ascii="Arial" w:cs="Arial" w:eastAsia="Arial" w:hAnsi="Arial"/>
                <w:sz w:val="14"/>
                <w:szCs w:val="14"/>
                <w:color w:val="auto"/>
              </w:rPr>
              <w:t>Impairment and other charges</w:t>
            </w:r>
          </w:p>
        </w:tc>
        <w:tc>
          <w:tcPr>
            <w:tcW w:w="180" w:type="dxa"/>
            <w:vAlign w:val="bottom"/>
          </w:tcPr>
          <w:p>
            <w:pPr>
              <w:spacing w:after="0"/>
              <w:rPr>
                <w:sz w:val="23"/>
                <w:szCs w:val="23"/>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0.6</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270"/>
        </w:trPr>
        <w:tc>
          <w:tcPr>
            <w:tcW w:w="4040" w:type="dxa"/>
            <w:vAlign w:val="bottom"/>
          </w:tcPr>
          <w:p>
            <w:pPr>
              <w:ind w:left="240"/>
              <w:spacing w:after="0"/>
              <w:rPr>
                <w:sz w:val="20"/>
                <w:szCs w:val="20"/>
                <w:color w:val="auto"/>
              </w:rPr>
            </w:pPr>
            <w:r>
              <w:rPr>
                <w:rFonts w:ascii="Arial" w:cs="Arial" w:eastAsia="Arial" w:hAnsi="Arial"/>
                <w:sz w:val="14"/>
                <w:szCs w:val="14"/>
                <w:color w:val="auto"/>
              </w:rPr>
              <w:t>Restructuring and other severance charges</w:t>
            </w:r>
          </w:p>
        </w:tc>
        <w:tc>
          <w:tcPr>
            <w:tcW w:w="180" w:type="dxa"/>
            <w:vAlign w:val="bottom"/>
          </w:tcPr>
          <w:p>
            <w:pPr>
              <w:spacing w:after="0"/>
              <w:rPr>
                <w:sz w:val="23"/>
                <w:szCs w:val="23"/>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11.1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11.1</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2.8</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13.5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38.5</w:t>
            </w:r>
          </w:p>
        </w:tc>
        <w:tc>
          <w:tcPr>
            <w:tcW w:w="0" w:type="dxa"/>
            <w:vAlign w:val="bottom"/>
          </w:tcPr>
          <w:p>
            <w:pPr>
              <w:spacing w:after="0"/>
              <w:rPr>
                <w:sz w:val="1"/>
                <w:szCs w:val="1"/>
                <w:color w:val="auto"/>
              </w:rPr>
            </w:pPr>
          </w:p>
        </w:tc>
      </w:tr>
      <w:tr>
        <w:trPr>
          <w:trHeight w:val="270"/>
        </w:trPr>
        <w:tc>
          <w:tcPr>
            <w:tcW w:w="4040" w:type="dxa"/>
            <w:vAlign w:val="bottom"/>
          </w:tcPr>
          <w:p>
            <w:pPr>
              <w:ind w:left="240"/>
              <w:spacing w:after="0"/>
              <w:rPr>
                <w:sz w:val="20"/>
                <w:szCs w:val="20"/>
                <w:color w:val="auto"/>
              </w:rPr>
            </w:pPr>
            <w:r>
              <w:rPr>
                <w:rFonts w:ascii="Arial" w:cs="Arial" w:eastAsia="Arial" w:hAnsi="Arial"/>
                <w:sz w:val="14"/>
                <w:szCs w:val="14"/>
                <w:color w:val="auto"/>
              </w:rPr>
              <w:t>Business combination transaction and integration costs</w:t>
            </w:r>
          </w:p>
        </w:tc>
        <w:tc>
          <w:tcPr>
            <w:tcW w:w="180" w:type="dxa"/>
            <w:vAlign w:val="bottom"/>
          </w:tcPr>
          <w:p>
            <w:pPr>
              <w:spacing w:after="0"/>
              <w:rPr>
                <w:sz w:val="23"/>
                <w:szCs w:val="23"/>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31.2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31.2</w:t>
            </w:r>
          </w:p>
        </w:tc>
        <w:tc>
          <w:tcPr>
            <w:tcW w:w="0" w:type="dxa"/>
            <w:vAlign w:val="bottom"/>
          </w:tcPr>
          <w:p>
            <w:pPr>
              <w:spacing w:after="0"/>
              <w:rPr>
                <w:sz w:val="1"/>
                <w:szCs w:val="1"/>
                <w:color w:val="auto"/>
              </w:rPr>
            </w:pPr>
          </w:p>
        </w:tc>
      </w:tr>
      <w:tr>
        <w:trPr>
          <w:trHeight w:val="216"/>
        </w:trPr>
        <w:tc>
          <w:tcPr>
            <w:tcW w:w="4040" w:type="dxa"/>
            <w:vAlign w:val="bottom"/>
          </w:tcPr>
          <w:p>
            <w:pPr>
              <w:ind w:left="240"/>
              <w:spacing w:after="0"/>
              <w:rPr>
                <w:sz w:val="20"/>
                <w:szCs w:val="20"/>
                <w:color w:val="auto"/>
              </w:rPr>
            </w:pPr>
            <w:r>
              <w:rPr>
                <w:rFonts w:ascii="Arial" w:cs="Arial" w:eastAsia="Arial" w:hAnsi="Arial"/>
                <w:sz w:val="14"/>
                <w:szCs w:val="14"/>
                <w:color w:val="auto"/>
              </w:rPr>
              <w:t>Separation costs</w:t>
            </w:r>
          </w:p>
        </w:tc>
        <w:tc>
          <w:tcPr>
            <w:tcW w:w="18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9.4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9.4</w:t>
            </w:r>
          </w:p>
        </w:tc>
        <w:tc>
          <w:tcPr>
            <w:tcW w:w="0" w:type="dxa"/>
            <w:vAlign w:val="bottom"/>
          </w:tcPr>
          <w:p>
            <w:pPr>
              <w:spacing w:after="0"/>
              <w:rPr>
                <w:sz w:val="1"/>
                <w:szCs w:val="1"/>
                <w:color w:val="auto"/>
              </w:rPr>
            </w:pPr>
          </w:p>
        </w:tc>
      </w:tr>
      <w:tr>
        <w:trPr>
          <w:trHeight w:val="270"/>
        </w:trPr>
        <w:tc>
          <w:tcPr>
            <w:tcW w:w="4040" w:type="dxa"/>
            <w:vAlign w:val="bottom"/>
          </w:tcPr>
          <w:p>
            <w:pPr>
              <w:ind w:left="240"/>
              <w:spacing w:after="0"/>
              <w:rPr>
                <w:sz w:val="20"/>
                <w:szCs w:val="20"/>
                <w:color w:val="auto"/>
              </w:rPr>
            </w:pPr>
            <w:r>
              <w:rPr>
                <w:rFonts w:ascii="Arial" w:cs="Arial" w:eastAsia="Arial" w:hAnsi="Arial"/>
                <w:sz w:val="14"/>
                <w:szCs w:val="14"/>
                <w:color w:val="auto"/>
              </w:rPr>
              <w:t>Reorganization</w:t>
            </w:r>
          </w:p>
        </w:tc>
        <w:tc>
          <w:tcPr>
            <w:tcW w:w="180" w:type="dxa"/>
            <w:vAlign w:val="bottom"/>
          </w:tcPr>
          <w:p>
            <w:pPr>
              <w:spacing w:after="0"/>
              <w:rPr>
                <w:sz w:val="23"/>
                <w:szCs w:val="23"/>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25.3</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25.3</w:t>
            </w:r>
          </w:p>
        </w:tc>
        <w:tc>
          <w:tcPr>
            <w:tcW w:w="0" w:type="dxa"/>
            <w:vAlign w:val="bottom"/>
          </w:tcPr>
          <w:p>
            <w:pPr>
              <w:spacing w:after="0"/>
              <w:rPr>
                <w:sz w:val="1"/>
                <w:szCs w:val="1"/>
                <w:color w:val="auto"/>
              </w:rPr>
            </w:pPr>
          </w:p>
        </w:tc>
      </w:tr>
      <w:tr>
        <w:trPr>
          <w:trHeight w:val="270"/>
        </w:trPr>
        <w:tc>
          <w:tcPr>
            <w:tcW w:w="4040" w:type="dxa"/>
            <w:vAlign w:val="bottom"/>
          </w:tcPr>
          <w:p>
            <w:pPr>
              <w:ind w:left="240"/>
              <w:spacing w:after="0"/>
              <w:rPr>
                <w:sz w:val="20"/>
                <w:szCs w:val="20"/>
                <w:color w:val="auto"/>
              </w:rPr>
            </w:pPr>
            <w:r>
              <w:rPr>
                <w:rFonts w:ascii="Arial" w:cs="Arial" w:eastAsia="Arial" w:hAnsi="Arial"/>
                <w:sz w:val="14"/>
                <w:szCs w:val="14"/>
                <w:color w:val="auto"/>
              </w:rPr>
              <w:t>Legal provision, net</w:t>
            </w:r>
          </w:p>
        </w:tc>
        <w:tc>
          <w:tcPr>
            <w:tcW w:w="180" w:type="dxa"/>
            <w:vAlign w:val="bottom"/>
          </w:tcPr>
          <w:p>
            <w:pPr>
              <w:spacing w:after="0"/>
              <w:rPr>
                <w:sz w:val="23"/>
                <w:szCs w:val="23"/>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54.6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54.6</w:t>
            </w:r>
          </w:p>
        </w:tc>
        <w:tc>
          <w:tcPr>
            <w:tcW w:w="0" w:type="dxa"/>
            <w:vAlign w:val="bottom"/>
          </w:tcPr>
          <w:p>
            <w:pPr>
              <w:spacing w:after="0"/>
              <w:rPr>
                <w:sz w:val="1"/>
                <w:szCs w:val="1"/>
                <w:color w:val="auto"/>
              </w:rPr>
            </w:pPr>
          </w:p>
        </w:tc>
      </w:tr>
      <w:tr>
        <w:trPr>
          <w:trHeight w:val="276"/>
        </w:trPr>
        <w:tc>
          <w:tcPr>
            <w:tcW w:w="4040" w:type="dxa"/>
            <w:vAlign w:val="bottom"/>
          </w:tcPr>
          <w:p>
            <w:pPr>
              <w:ind w:left="240"/>
              <w:spacing w:after="0"/>
              <w:rPr>
                <w:sz w:val="20"/>
                <w:szCs w:val="20"/>
                <w:color w:val="auto"/>
              </w:rPr>
            </w:pPr>
            <w:r>
              <w:rPr>
                <w:rFonts w:ascii="Arial" w:cs="Arial" w:eastAsia="Arial" w:hAnsi="Arial"/>
                <w:sz w:val="14"/>
                <w:szCs w:val="14"/>
                <w:color w:val="auto"/>
                <w:w w:val="99"/>
              </w:rPr>
              <w:t>Purchase price accounting adjustments - amortization related</w:t>
            </w:r>
          </w:p>
        </w:tc>
        <w:tc>
          <w:tcPr>
            <w:tcW w:w="180" w:type="dxa"/>
            <w:vAlign w:val="bottom"/>
          </w:tcPr>
          <w:p>
            <w:pPr>
              <w:spacing w:after="0"/>
              <w:rPr>
                <w:sz w:val="24"/>
                <w:szCs w:val="24"/>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25.5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25.5</w:t>
            </w:r>
          </w:p>
        </w:tc>
        <w:tc>
          <w:tcPr>
            <w:tcW w:w="0" w:type="dxa"/>
            <w:vAlign w:val="bottom"/>
          </w:tcPr>
          <w:p>
            <w:pPr>
              <w:spacing w:after="0"/>
              <w:rPr>
                <w:sz w:val="1"/>
                <w:szCs w:val="1"/>
                <w:color w:val="auto"/>
              </w:rPr>
            </w:pPr>
          </w:p>
        </w:tc>
      </w:tr>
      <w:tr>
        <w:trPr>
          <w:trHeight w:val="244"/>
        </w:trPr>
        <w:tc>
          <w:tcPr>
            <w:tcW w:w="4040" w:type="dxa"/>
            <w:vAlign w:val="bottom"/>
          </w:tcPr>
          <w:p>
            <w:pPr>
              <w:ind w:left="460"/>
              <w:spacing w:after="0"/>
              <w:rPr>
                <w:sz w:val="20"/>
                <w:szCs w:val="20"/>
                <w:color w:val="auto"/>
              </w:rPr>
            </w:pPr>
            <w:r>
              <w:rPr>
                <w:rFonts w:ascii="Arial" w:cs="Arial" w:eastAsia="Arial" w:hAnsi="Arial"/>
                <w:sz w:val="14"/>
                <w:szCs w:val="14"/>
                <w:color w:val="auto"/>
              </w:rPr>
              <w:t>Subtotal</w:t>
            </w:r>
          </w:p>
        </w:tc>
        <w:tc>
          <w:tcPr>
            <w:tcW w:w="18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38.4</w:t>
            </w: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36.4</w:t>
            </w:r>
          </w:p>
        </w:tc>
        <w:tc>
          <w:tcPr>
            <w:tcW w:w="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3.4</w:t>
            </w:r>
          </w:p>
        </w:tc>
        <w:tc>
          <w:tcPr>
            <w:tcW w:w="12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108.7</w:t>
            </w: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186.9</w:t>
            </w:r>
          </w:p>
        </w:tc>
        <w:tc>
          <w:tcPr>
            <w:tcW w:w="0" w:type="dxa"/>
            <w:vAlign w:val="bottom"/>
          </w:tcPr>
          <w:p>
            <w:pPr>
              <w:spacing w:after="0"/>
              <w:rPr>
                <w:sz w:val="1"/>
                <w:szCs w:val="1"/>
                <w:color w:val="auto"/>
              </w:rPr>
            </w:pPr>
          </w:p>
        </w:tc>
      </w:tr>
      <w:tr>
        <w:trPr>
          <w:trHeight w:val="201"/>
        </w:trPr>
        <w:tc>
          <w:tcPr>
            <w:tcW w:w="40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4040" w:type="dxa"/>
            <w:vAlign w:val="bottom"/>
          </w:tcPr>
          <w:p>
            <w:pPr>
              <w:spacing w:after="0"/>
              <w:rPr>
                <w:sz w:val="20"/>
                <w:szCs w:val="20"/>
                <w:color w:val="auto"/>
              </w:rPr>
            </w:pPr>
            <w:r>
              <w:rPr>
                <w:rFonts w:ascii="Arial" w:cs="Arial" w:eastAsia="Arial" w:hAnsi="Arial"/>
                <w:sz w:val="14"/>
                <w:szCs w:val="14"/>
                <w:color w:val="auto"/>
              </w:rPr>
              <w:t>Adjusted Operating profit (loss)</w:t>
            </w:r>
          </w:p>
        </w:tc>
        <w:tc>
          <w:tcPr>
            <w:tcW w:w="1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228.5</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750.7</w:t>
            </w:r>
          </w:p>
        </w:tc>
        <w:tc>
          <w:tcPr>
            <w:tcW w:w="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45.5</w:t>
            </w:r>
          </w:p>
        </w:tc>
        <w:tc>
          <w:tcPr>
            <w:tcW w:w="1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(252.7)</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772.0</w:t>
            </w:r>
          </w:p>
        </w:tc>
        <w:tc>
          <w:tcPr>
            <w:tcW w:w="0" w:type="dxa"/>
            <w:vAlign w:val="bottom"/>
          </w:tcPr>
          <w:p>
            <w:pPr>
              <w:spacing w:after="0"/>
              <w:rPr>
                <w:sz w:val="1"/>
                <w:szCs w:val="1"/>
                <w:color w:val="auto"/>
              </w:rPr>
            </w:pPr>
          </w:p>
        </w:tc>
      </w:tr>
      <w:tr>
        <w:trPr>
          <w:trHeight w:val="447"/>
        </w:trPr>
        <w:tc>
          <w:tcPr>
            <w:tcW w:w="4040" w:type="dxa"/>
            <w:vAlign w:val="bottom"/>
          </w:tcPr>
          <w:p>
            <w:pPr>
              <w:spacing w:after="0"/>
              <w:rPr>
                <w:sz w:val="20"/>
                <w:szCs w:val="20"/>
                <w:color w:val="auto"/>
              </w:rPr>
            </w:pPr>
            <w:r>
              <w:rPr>
                <w:rFonts w:ascii="Arial" w:cs="Arial" w:eastAsia="Arial" w:hAnsi="Arial"/>
                <w:sz w:val="14"/>
                <w:szCs w:val="14"/>
                <w:color w:val="auto"/>
              </w:rPr>
              <w:t>Adjusted Depreciation and amortization</w:t>
            </w:r>
          </w:p>
        </w:tc>
        <w:tc>
          <w:tcPr>
            <w:tcW w:w="180" w:type="dxa"/>
            <w:vAlign w:val="bottom"/>
          </w:tcPr>
          <w:p>
            <w:pPr>
              <w:spacing w:after="0"/>
              <w:rPr>
                <w:sz w:val="24"/>
                <w:szCs w:val="24"/>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236.6</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30.2</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75.7</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10.5</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353.0</w:t>
            </w:r>
          </w:p>
        </w:tc>
        <w:tc>
          <w:tcPr>
            <w:tcW w:w="0" w:type="dxa"/>
            <w:vAlign w:val="bottom"/>
          </w:tcPr>
          <w:p>
            <w:pPr>
              <w:spacing w:after="0"/>
              <w:rPr>
                <w:sz w:val="1"/>
                <w:szCs w:val="1"/>
                <w:color w:val="auto"/>
              </w:rPr>
            </w:pPr>
          </w:p>
        </w:tc>
      </w:tr>
      <w:tr>
        <w:trPr>
          <w:trHeight w:val="201"/>
        </w:trPr>
        <w:tc>
          <w:tcPr>
            <w:tcW w:w="40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040" w:type="dxa"/>
            <w:vAlign w:val="bottom"/>
          </w:tcPr>
          <w:p>
            <w:pPr>
              <w:spacing w:after="0"/>
              <w:rPr>
                <w:sz w:val="20"/>
                <w:szCs w:val="20"/>
                <w:color w:val="auto"/>
              </w:rPr>
            </w:pPr>
            <w:r>
              <w:rPr>
                <w:rFonts w:ascii="Arial" w:cs="Arial" w:eastAsia="Arial" w:hAnsi="Arial"/>
                <w:sz w:val="14"/>
                <w:szCs w:val="14"/>
                <w:color w:val="auto"/>
              </w:rPr>
              <w:t>Adjusted EBITDA</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465.1</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780.9</w:t>
            </w:r>
          </w:p>
        </w:tc>
        <w:tc>
          <w:tcPr>
            <w:tcW w:w="320" w:type="dxa"/>
            <w:vAlign w:val="bottom"/>
            <w:gridSpan w:val="3"/>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121.2</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(242.2)</w:t>
            </w:r>
          </w:p>
        </w:tc>
        <w:tc>
          <w:tcPr>
            <w:tcW w:w="100" w:type="dxa"/>
            <w:vAlign w:val="bottom"/>
          </w:tcPr>
          <w:p>
            <w:pPr>
              <w:spacing w:after="0"/>
              <w:rPr>
                <w:sz w:val="20"/>
                <w:szCs w:val="20"/>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1,125.0</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8"/>
        </w:trPr>
        <w:tc>
          <w:tcPr>
            <w:tcW w:w="4040" w:type="dxa"/>
            <w:vAlign w:val="bottom"/>
          </w:tcPr>
          <w:p>
            <w:pPr>
              <w:spacing w:after="0"/>
              <w:rPr>
                <w:sz w:val="20"/>
                <w:szCs w:val="20"/>
                <w:color w:val="auto"/>
              </w:rPr>
            </w:pPr>
            <w:r>
              <w:rPr>
                <w:rFonts w:ascii="Arial" w:cs="Arial" w:eastAsia="Arial" w:hAnsi="Arial"/>
                <w:sz w:val="14"/>
                <w:szCs w:val="14"/>
                <w:color w:val="auto"/>
              </w:rPr>
              <w:t>Operating profit margin, as reported</w:t>
            </w:r>
          </w:p>
        </w:tc>
        <w:tc>
          <w:tcPr>
            <w:tcW w:w="1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4.7%</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16.1%</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459"/>
        </w:trPr>
        <w:tc>
          <w:tcPr>
            <w:tcW w:w="4040" w:type="dxa"/>
            <w:vAlign w:val="bottom"/>
          </w:tcPr>
          <w:p>
            <w:pPr>
              <w:spacing w:after="0"/>
              <w:rPr>
                <w:sz w:val="20"/>
                <w:szCs w:val="20"/>
                <w:color w:val="auto"/>
              </w:rPr>
            </w:pPr>
            <w:r>
              <w:rPr>
                <w:rFonts w:ascii="Arial" w:cs="Arial" w:eastAsia="Arial" w:hAnsi="Arial"/>
                <w:sz w:val="14"/>
                <w:szCs w:val="14"/>
                <w:color w:val="auto"/>
              </w:rPr>
              <w:t>Adjusted Operating profit margin</w:t>
            </w:r>
          </w:p>
        </w:tc>
        <w:tc>
          <w:tcPr>
            <w:tcW w:w="1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5.7%</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16.9%</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3.8%</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459"/>
        </w:trPr>
        <w:tc>
          <w:tcPr>
            <w:tcW w:w="4040" w:type="dxa"/>
            <w:vAlign w:val="bottom"/>
          </w:tcPr>
          <w:p>
            <w:pPr>
              <w:spacing w:after="0"/>
              <w:rPr>
                <w:sz w:val="20"/>
                <w:szCs w:val="20"/>
                <w:color w:val="auto"/>
              </w:rPr>
            </w:pPr>
            <w:r>
              <w:rPr>
                <w:rFonts w:ascii="Arial" w:cs="Arial" w:eastAsia="Arial" w:hAnsi="Arial"/>
                <w:sz w:val="14"/>
                <w:szCs w:val="14"/>
                <w:color w:val="auto"/>
              </w:rPr>
              <w:t>Adjusted EBITDA margin</w:t>
            </w:r>
          </w:p>
        </w:tc>
        <w:tc>
          <w:tcPr>
            <w:tcW w:w="1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17.6%</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10.0%</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11.6%</w:t>
            </w:r>
          </w:p>
        </w:tc>
        <w:tc>
          <w:tcPr>
            <w:tcW w:w="0" w:type="dxa"/>
            <w:vAlign w:val="bottom"/>
          </w:tcPr>
          <w:p>
            <w:pPr>
              <w:spacing w:after="0"/>
              <w:rPr>
                <w:sz w:val="1"/>
                <w:szCs w:val="1"/>
                <w:color w:val="auto"/>
              </w:rPr>
            </w:pPr>
          </w:p>
        </w:tc>
      </w:tr>
      <w:tr>
        <w:trPr>
          <w:trHeight w:val="579"/>
        </w:trPr>
        <w:tc>
          <w:tcPr>
            <w:tcW w:w="40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6"/>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4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40" w:type="dxa"/>
            <w:vAlign w:val="bottom"/>
            <w:gridSpan w:val="6"/>
          </w:tcPr>
          <w:p>
            <w:pPr>
              <w:jc w:val="center"/>
              <w:spacing w:after="0"/>
              <w:rPr>
                <w:sz w:val="20"/>
                <w:szCs w:val="20"/>
                <w:color w:val="auto"/>
              </w:rPr>
            </w:pPr>
            <w:r>
              <w:rPr>
                <w:rFonts w:ascii="Arial" w:cs="Arial" w:eastAsia="Arial" w:hAnsi="Arial"/>
                <w:sz w:val="14"/>
                <w:szCs w:val="14"/>
                <w:b w:val="1"/>
                <w:bCs w:val="1"/>
                <w:color w:val="auto"/>
                <w:w w:val="94"/>
              </w:rPr>
              <w:t>Nine Months Ended</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40" w:type="dxa"/>
            <w:vAlign w:val="bottom"/>
            <w:gridSpan w:val="6"/>
          </w:tcPr>
          <w:p>
            <w:pPr>
              <w:jc w:val="center"/>
              <w:spacing w:after="0"/>
              <w:rPr>
                <w:sz w:val="20"/>
                <w:szCs w:val="20"/>
                <w:color w:val="auto"/>
              </w:rPr>
            </w:pPr>
            <w:r>
              <w:rPr>
                <w:rFonts w:ascii="Arial" w:cs="Arial" w:eastAsia="Arial" w:hAnsi="Arial"/>
                <w:sz w:val="14"/>
                <w:szCs w:val="14"/>
                <w:b w:val="1"/>
                <w:bCs w:val="1"/>
                <w:color w:val="auto"/>
                <w:w w:val="91"/>
              </w:rPr>
              <w:t>September 30, 2018</w:t>
            </w:r>
          </w:p>
        </w:tc>
        <w:tc>
          <w:tcPr>
            <w:tcW w:w="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3"/>
        </w:trPr>
        <w:tc>
          <w:tcPr>
            <w:tcW w:w="404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gridSpan w:val="3"/>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gridSpan w:val="2"/>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6"/>
        </w:trPr>
        <w:tc>
          <w:tcPr>
            <w:tcW w:w="4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w w:val="96"/>
              </w:rPr>
              <w:t>Subsea</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ind w:left="40"/>
              <w:spacing w:after="0" w:line="147" w:lineRule="exact"/>
              <w:rPr>
                <w:sz w:val="20"/>
                <w:szCs w:val="20"/>
                <w:color w:val="auto"/>
              </w:rPr>
            </w:pPr>
            <w:r>
              <w:rPr>
                <w:rFonts w:ascii="Arial" w:cs="Arial" w:eastAsia="Arial" w:hAnsi="Arial"/>
                <w:sz w:val="14"/>
                <w:szCs w:val="14"/>
                <w:b w:val="1"/>
                <w:bCs w:val="1"/>
                <w:color w:val="auto"/>
              </w:rPr>
              <w:t>Onshore/</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3"/>
          </w:tcPr>
          <w:p>
            <w:pPr>
              <w:jc w:val="center"/>
              <w:ind w:right="320"/>
              <w:spacing w:after="0" w:line="147" w:lineRule="exact"/>
              <w:rPr>
                <w:sz w:val="20"/>
                <w:szCs w:val="20"/>
                <w:color w:val="auto"/>
              </w:rPr>
            </w:pPr>
            <w:r>
              <w:rPr>
                <w:rFonts w:ascii="Arial" w:cs="Arial" w:eastAsia="Arial" w:hAnsi="Arial"/>
                <w:sz w:val="14"/>
                <w:szCs w:val="14"/>
                <w:b w:val="1"/>
                <w:bCs w:val="1"/>
                <w:color w:val="auto"/>
                <w:w w:val="93"/>
              </w:rPr>
              <w:t>Surface</w:t>
            </w:r>
          </w:p>
        </w:tc>
        <w:tc>
          <w:tcPr>
            <w:tcW w:w="80" w:type="dxa"/>
            <w:vAlign w:val="bottom"/>
          </w:tcPr>
          <w:p>
            <w:pPr>
              <w:spacing w:after="0"/>
              <w:rPr>
                <w:sz w:val="12"/>
                <w:szCs w:val="12"/>
                <w:color w:val="auto"/>
              </w:rPr>
            </w:pPr>
          </w:p>
        </w:tc>
        <w:tc>
          <w:tcPr>
            <w:tcW w:w="900" w:type="dxa"/>
            <w:vAlign w:val="bottom"/>
            <w:gridSpan w:val="2"/>
          </w:tcPr>
          <w:p>
            <w:pPr>
              <w:jc w:val="right"/>
              <w:ind w:right="240"/>
              <w:spacing w:after="0" w:line="147" w:lineRule="exact"/>
              <w:rPr>
                <w:sz w:val="20"/>
                <w:szCs w:val="20"/>
                <w:color w:val="auto"/>
              </w:rPr>
            </w:pPr>
            <w:r>
              <w:rPr>
                <w:rFonts w:ascii="Arial" w:cs="Arial" w:eastAsia="Arial" w:hAnsi="Arial"/>
                <w:sz w:val="14"/>
                <w:szCs w:val="14"/>
                <w:b w:val="1"/>
                <w:bCs w:val="1"/>
                <w:color w:val="auto"/>
                <w:w w:val="95"/>
              </w:rPr>
              <w:t>Corporate</w:t>
            </w:r>
          </w:p>
        </w:tc>
        <w:tc>
          <w:tcPr>
            <w:tcW w:w="200" w:type="dxa"/>
            <w:vAlign w:val="bottom"/>
          </w:tcPr>
          <w:p>
            <w:pPr>
              <w:spacing w:after="0"/>
              <w:rPr>
                <w:sz w:val="12"/>
                <w:szCs w:val="12"/>
                <w:color w:val="auto"/>
              </w:rPr>
            </w:pPr>
          </w:p>
        </w:tc>
        <w:tc>
          <w:tcPr>
            <w:tcW w:w="74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0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Offshore</w:t>
            </w:r>
          </w:p>
        </w:tc>
        <w:tc>
          <w:tcPr>
            <w:tcW w:w="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Technologies</w:t>
            </w: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96"/>
              </w:rPr>
              <w:t>and Other</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4040" w:type="dxa"/>
            <w:vAlign w:val="bottom"/>
          </w:tcPr>
          <w:p>
            <w:pPr>
              <w:spacing w:after="0"/>
              <w:rPr>
                <w:sz w:val="20"/>
                <w:szCs w:val="20"/>
                <w:color w:val="auto"/>
              </w:rPr>
            </w:pPr>
            <w:r>
              <w:rPr>
                <w:rFonts w:ascii="Arial" w:cs="Arial" w:eastAsia="Arial" w:hAnsi="Arial"/>
                <w:sz w:val="14"/>
                <w:szCs w:val="14"/>
                <w:color w:val="auto"/>
              </w:rPr>
              <w:t>Revenue</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3,606.7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4,448.3</w:t>
            </w:r>
          </w:p>
        </w:tc>
        <w:tc>
          <w:tcPr>
            <w:tcW w:w="320" w:type="dxa"/>
            <w:vAlign w:val="bottom"/>
            <w:gridSpan w:val="3"/>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1,174.9</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9,229.9</w:t>
            </w:r>
          </w:p>
        </w:tc>
        <w:tc>
          <w:tcPr>
            <w:tcW w:w="0" w:type="dxa"/>
            <w:vAlign w:val="bottom"/>
          </w:tcPr>
          <w:p>
            <w:pPr>
              <w:spacing w:after="0"/>
              <w:rPr>
                <w:sz w:val="1"/>
                <w:szCs w:val="1"/>
                <w:color w:val="auto"/>
              </w:rPr>
            </w:pPr>
          </w:p>
        </w:tc>
      </w:tr>
      <w:tr>
        <w:trPr>
          <w:trHeight w:val="459"/>
        </w:trPr>
        <w:tc>
          <w:tcPr>
            <w:tcW w:w="4040" w:type="dxa"/>
            <w:vAlign w:val="bottom"/>
          </w:tcPr>
          <w:p>
            <w:pPr>
              <w:spacing w:after="0"/>
              <w:rPr>
                <w:sz w:val="20"/>
                <w:szCs w:val="20"/>
                <w:color w:val="auto"/>
              </w:rPr>
            </w:pPr>
            <w:r>
              <w:rPr>
                <w:rFonts w:ascii="Arial" w:cs="Arial" w:eastAsia="Arial" w:hAnsi="Arial"/>
                <w:sz w:val="14"/>
                <w:szCs w:val="14"/>
                <w:color w:val="auto"/>
              </w:rPr>
              <w:t>Operating profit (loss), as reported (pre-tax)</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210.0</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617.6</w:t>
            </w:r>
          </w:p>
        </w:tc>
        <w:tc>
          <w:tcPr>
            <w:tcW w:w="320" w:type="dxa"/>
            <w:vAlign w:val="bottom"/>
            <w:gridSpan w:val="3"/>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134.0</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(200.9)</w:t>
            </w:r>
          </w:p>
        </w:tc>
        <w:tc>
          <w:tcPr>
            <w:tcW w:w="100" w:type="dxa"/>
            <w:vAlign w:val="bottom"/>
          </w:tcPr>
          <w:p>
            <w:pPr>
              <w:spacing w:after="0"/>
              <w:rPr>
                <w:sz w:val="24"/>
                <w:szCs w:val="24"/>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760.7</w:t>
            </w:r>
          </w:p>
        </w:tc>
        <w:tc>
          <w:tcPr>
            <w:tcW w:w="0" w:type="dxa"/>
            <w:vAlign w:val="bottom"/>
          </w:tcPr>
          <w:p>
            <w:pPr>
              <w:spacing w:after="0"/>
              <w:rPr>
                <w:sz w:val="1"/>
                <w:szCs w:val="1"/>
                <w:color w:val="auto"/>
              </w:rPr>
            </w:pPr>
          </w:p>
        </w:tc>
      </w:tr>
      <w:tr>
        <w:trPr>
          <w:trHeight w:val="459"/>
        </w:trPr>
        <w:tc>
          <w:tcPr>
            <w:tcW w:w="4040" w:type="dxa"/>
            <w:vAlign w:val="bottom"/>
          </w:tcPr>
          <w:p>
            <w:pPr>
              <w:spacing w:after="0"/>
              <w:rPr>
                <w:sz w:val="20"/>
                <w:szCs w:val="20"/>
                <w:color w:val="auto"/>
              </w:rPr>
            </w:pPr>
            <w:r>
              <w:rPr>
                <w:rFonts w:ascii="Arial" w:cs="Arial" w:eastAsia="Arial" w:hAnsi="Arial"/>
                <w:sz w:val="14"/>
                <w:szCs w:val="14"/>
                <w:color w:val="auto"/>
              </w:rPr>
              <w:t>Charges and (credits):</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40" w:type="dxa"/>
            <w:vAlign w:val="bottom"/>
          </w:tcPr>
          <w:p>
            <w:pPr>
              <w:ind w:left="240"/>
              <w:spacing w:after="0"/>
              <w:rPr>
                <w:sz w:val="20"/>
                <w:szCs w:val="20"/>
                <w:color w:val="auto"/>
              </w:rPr>
            </w:pPr>
            <w:r>
              <w:rPr>
                <w:rFonts w:ascii="Arial" w:cs="Arial" w:eastAsia="Arial" w:hAnsi="Arial"/>
                <w:sz w:val="14"/>
                <w:szCs w:val="14"/>
                <w:color w:val="auto"/>
              </w:rPr>
              <w:t>Impairment and other charges</w:t>
            </w:r>
          </w:p>
        </w:tc>
        <w:tc>
          <w:tcPr>
            <w:tcW w:w="180" w:type="dxa"/>
            <w:vAlign w:val="bottom"/>
          </w:tcPr>
          <w:p>
            <w:pPr>
              <w:spacing w:after="0"/>
              <w:rPr>
                <w:sz w:val="23"/>
                <w:szCs w:val="23"/>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8.6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14.1</w:t>
            </w:r>
          </w:p>
        </w:tc>
        <w:tc>
          <w:tcPr>
            <w:tcW w:w="0" w:type="dxa"/>
            <w:vAlign w:val="bottom"/>
          </w:tcPr>
          <w:p>
            <w:pPr>
              <w:spacing w:after="0"/>
              <w:rPr>
                <w:sz w:val="1"/>
                <w:szCs w:val="1"/>
                <w:color w:val="auto"/>
              </w:rPr>
            </w:pPr>
          </w:p>
        </w:tc>
      </w:tr>
      <w:tr>
        <w:trPr>
          <w:trHeight w:val="270"/>
        </w:trPr>
        <w:tc>
          <w:tcPr>
            <w:tcW w:w="4040" w:type="dxa"/>
            <w:vAlign w:val="bottom"/>
          </w:tcPr>
          <w:p>
            <w:pPr>
              <w:ind w:left="240"/>
              <w:spacing w:after="0"/>
              <w:rPr>
                <w:sz w:val="20"/>
                <w:szCs w:val="20"/>
                <w:color w:val="auto"/>
              </w:rPr>
            </w:pPr>
            <w:r>
              <w:rPr>
                <w:rFonts w:ascii="Arial" w:cs="Arial" w:eastAsia="Arial" w:hAnsi="Arial"/>
                <w:sz w:val="14"/>
                <w:szCs w:val="14"/>
                <w:color w:val="auto"/>
              </w:rPr>
              <w:t>Restructuring and other severance charges</w:t>
            </w:r>
          </w:p>
        </w:tc>
        <w:tc>
          <w:tcPr>
            <w:tcW w:w="180" w:type="dxa"/>
            <w:vAlign w:val="bottom"/>
          </w:tcPr>
          <w:p>
            <w:pPr>
              <w:spacing w:after="0"/>
              <w:rPr>
                <w:sz w:val="23"/>
                <w:szCs w:val="23"/>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10.5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(5.8)</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6.4</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7.4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18.5</w:t>
            </w:r>
          </w:p>
        </w:tc>
        <w:tc>
          <w:tcPr>
            <w:tcW w:w="0" w:type="dxa"/>
            <w:vAlign w:val="bottom"/>
          </w:tcPr>
          <w:p>
            <w:pPr>
              <w:spacing w:after="0"/>
              <w:rPr>
                <w:sz w:val="1"/>
                <w:szCs w:val="1"/>
                <w:color w:val="auto"/>
              </w:rPr>
            </w:pPr>
          </w:p>
        </w:tc>
      </w:tr>
      <w:tr>
        <w:trPr>
          <w:trHeight w:val="270"/>
        </w:trPr>
        <w:tc>
          <w:tcPr>
            <w:tcW w:w="4040" w:type="dxa"/>
            <w:vAlign w:val="bottom"/>
          </w:tcPr>
          <w:p>
            <w:pPr>
              <w:ind w:left="240"/>
              <w:spacing w:after="0"/>
              <w:rPr>
                <w:sz w:val="20"/>
                <w:szCs w:val="20"/>
                <w:color w:val="auto"/>
              </w:rPr>
            </w:pPr>
            <w:r>
              <w:rPr>
                <w:rFonts w:ascii="Arial" w:cs="Arial" w:eastAsia="Arial" w:hAnsi="Arial"/>
                <w:sz w:val="14"/>
                <w:szCs w:val="14"/>
                <w:color w:val="auto"/>
              </w:rPr>
              <w:t>Business combination transaction and integration costs</w:t>
            </w:r>
          </w:p>
        </w:tc>
        <w:tc>
          <w:tcPr>
            <w:tcW w:w="180" w:type="dxa"/>
            <w:vAlign w:val="bottom"/>
          </w:tcPr>
          <w:p>
            <w:pPr>
              <w:spacing w:after="0"/>
              <w:rPr>
                <w:sz w:val="23"/>
                <w:szCs w:val="23"/>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20.9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20.9</w:t>
            </w:r>
          </w:p>
        </w:tc>
        <w:tc>
          <w:tcPr>
            <w:tcW w:w="0" w:type="dxa"/>
            <w:vAlign w:val="bottom"/>
          </w:tcPr>
          <w:p>
            <w:pPr>
              <w:spacing w:after="0"/>
              <w:rPr>
                <w:sz w:val="1"/>
                <w:szCs w:val="1"/>
                <w:color w:val="auto"/>
              </w:rPr>
            </w:pPr>
          </w:p>
        </w:tc>
      </w:tr>
      <w:tr>
        <w:trPr>
          <w:trHeight w:val="270"/>
        </w:trPr>
        <w:tc>
          <w:tcPr>
            <w:tcW w:w="4040" w:type="dxa"/>
            <w:vAlign w:val="bottom"/>
          </w:tcPr>
          <w:p>
            <w:pPr>
              <w:ind w:left="240"/>
              <w:spacing w:after="0"/>
              <w:rPr>
                <w:sz w:val="20"/>
                <w:szCs w:val="20"/>
                <w:color w:val="auto"/>
              </w:rPr>
            </w:pPr>
            <w:r>
              <w:rPr>
                <w:rFonts w:ascii="Arial" w:cs="Arial" w:eastAsia="Arial" w:hAnsi="Arial"/>
                <w:sz w:val="14"/>
                <w:szCs w:val="14"/>
                <w:color w:val="auto"/>
              </w:rPr>
              <w:t>Gain on divestitures</w:t>
            </w:r>
          </w:p>
        </w:tc>
        <w:tc>
          <w:tcPr>
            <w:tcW w:w="180" w:type="dxa"/>
            <w:vAlign w:val="bottom"/>
          </w:tcPr>
          <w:p>
            <w:pPr>
              <w:spacing w:after="0"/>
              <w:rPr>
                <w:sz w:val="23"/>
                <w:szCs w:val="23"/>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(28.3)</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(31.6)</w:t>
            </w:r>
          </w:p>
        </w:tc>
        <w:tc>
          <w:tcPr>
            <w:tcW w:w="0" w:type="dxa"/>
            <w:vAlign w:val="bottom"/>
          </w:tcPr>
          <w:p>
            <w:pPr>
              <w:spacing w:after="0"/>
              <w:rPr>
                <w:sz w:val="1"/>
                <w:szCs w:val="1"/>
                <w:color w:val="auto"/>
              </w:rPr>
            </w:pPr>
          </w:p>
        </w:tc>
      </w:tr>
      <w:tr>
        <w:trPr>
          <w:trHeight w:val="169"/>
        </w:trPr>
        <w:tc>
          <w:tcPr>
            <w:tcW w:w="4040" w:type="dxa"/>
            <w:vAlign w:val="bottom"/>
          </w:tcPr>
          <w:p>
            <w:pPr>
              <w:ind w:left="240"/>
              <w:spacing w:after="0"/>
              <w:rPr>
                <w:sz w:val="20"/>
                <w:szCs w:val="20"/>
                <w:color w:val="auto"/>
              </w:rPr>
            </w:pPr>
            <w:r>
              <w:rPr>
                <w:rFonts w:ascii="Arial" w:cs="Arial" w:eastAsia="Arial" w:hAnsi="Arial"/>
                <w:sz w:val="14"/>
                <w:szCs w:val="14"/>
                <w:color w:val="auto"/>
              </w:rPr>
              <w:t>Purchase price accounting adjustments - non-amortization</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4040" w:type="dxa"/>
            <w:vAlign w:val="bottom"/>
          </w:tcPr>
          <w:p>
            <w:pPr>
              <w:ind w:left="240"/>
              <w:spacing w:after="0"/>
              <w:rPr>
                <w:sz w:val="20"/>
                <w:szCs w:val="20"/>
                <w:color w:val="auto"/>
              </w:rPr>
            </w:pPr>
            <w:r>
              <w:rPr>
                <w:rFonts w:ascii="Arial" w:cs="Arial" w:eastAsia="Arial" w:hAnsi="Arial"/>
                <w:sz w:val="14"/>
                <w:szCs w:val="14"/>
                <w:color w:val="auto"/>
              </w:rPr>
              <w:t>related</w:t>
            </w:r>
          </w:p>
        </w:tc>
        <w:tc>
          <w:tcPr>
            <w:tcW w:w="180" w:type="dxa"/>
            <w:vAlign w:val="bottom"/>
          </w:tcPr>
          <w:p>
            <w:pPr>
              <w:spacing w:after="0"/>
              <w:rPr>
                <w:sz w:val="15"/>
                <w:szCs w:val="15"/>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(6.1)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5.7</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276"/>
        </w:trPr>
        <w:tc>
          <w:tcPr>
            <w:tcW w:w="4040" w:type="dxa"/>
            <w:vAlign w:val="bottom"/>
          </w:tcPr>
          <w:p>
            <w:pPr>
              <w:ind w:left="240"/>
              <w:spacing w:after="0"/>
              <w:rPr>
                <w:sz w:val="20"/>
                <w:szCs w:val="20"/>
                <w:color w:val="auto"/>
              </w:rPr>
            </w:pPr>
            <w:r>
              <w:rPr>
                <w:rFonts w:ascii="Arial" w:cs="Arial" w:eastAsia="Arial" w:hAnsi="Arial"/>
                <w:sz w:val="14"/>
                <w:szCs w:val="14"/>
                <w:color w:val="auto"/>
                <w:w w:val="99"/>
              </w:rPr>
              <w:t>Purchase price accounting adjustments - amortization related</w:t>
            </w:r>
          </w:p>
        </w:tc>
        <w:tc>
          <w:tcPr>
            <w:tcW w:w="180" w:type="dxa"/>
            <w:vAlign w:val="bottom"/>
          </w:tcPr>
          <w:p>
            <w:pPr>
              <w:spacing w:after="0"/>
              <w:rPr>
                <w:sz w:val="24"/>
                <w:szCs w:val="24"/>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67.7</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(0.4)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67.3</w:t>
            </w:r>
          </w:p>
        </w:tc>
        <w:tc>
          <w:tcPr>
            <w:tcW w:w="0" w:type="dxa"/>
            <w:vAlign w:val="bottom"/>
          </w:tcPr>
          <w:p>
            <w:pPr>
              <w:spacing w:after="0"/>
              <w:rPr>
                <w:sz w:val="1"/>
                <w:szCs w:val="1"/>
                <w:color w:val="auto"/>
              </w:rPr>
            </w:pPr>
          </w:p>
        </w:tc>
      </w:tr>
      <w:tr>
        <w:trPr>
          <w:trHeight w:val="244"/>
        </w:trPr>
        <w:tc>
          <w:tcPr>
            <w:tcW w:w="4040" w:type="dxa"/>
            <w:vAlign w:val="bottom"/>
          </w:tcPr>
          <w:p>
            <w:pPr>
              <w:ind w:left="460"/>
              <w:spacing w:after="0"/>
              <w:rPr>
                <w:sz w:val="20"/>
                <w:szCs w:val="20"/>
                <w:color w:val="auto"/>
              </w:rPr>
            </w:pPr>
            <w:r>
              <w:rPr>
                <w:rFonts w:ascii="Arial" w:cs="Arial" w:eastAsia="Arial" w:hAnsi="Arial"/>
                <w:sz w:val="14"/>
                <w:szCs w:val="14"/>
                <w:color w:val="auto"/>
              </w:rPr>
              <w:t>Subtotal</w:t>
            </w:r>
          </w:p>
        </w:tc>
        <w:tc>
          <w:tcPr>
            <w:tcW w:w="18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77.4</w:t>
            </w: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(34.1)</w:t>
            </w:r>
          </w:p>
        </w:tc>
        <w:tc>
          <w:tcPr>
            <w:tcW w:w="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13.3</w:t>
            </w:r>
          </w:p>
        </w:tc>
        <w:tc>
          <w:tcPr>
            <w:tcW w:w="12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31.8</w:t>
            </w: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88.4</w:t>
            </w:r>
          </w:p>
        </w:tc>
        <w:tc>
          <w:tcPr>
            <w:tcW w:w="0" w:type="dxa"/>
            <w:vAlign w:val="bottom"/>
          </w:tcPr>
          <w:p>
            <w:pPr>
              <w:spacing w:after="0"/>
              <w:rPr>
                <w:sz w:val="1"/>
                <w:szCs w:val="1"/>
                <w:color w:val="auto"/>
              </w:rPr>
            </w:pPr>
          </w:p>
        </w:tc>
      </w:tr>
      <w:tr>
        <w:trPr>
          <w:trHeight w:val="201"/>
        </w:trPr>
        <w:tc>
          <w:tcPr>
            <w:tcW w:w="40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4040" w:type="dxa"/>
            <w:vAlign w:val="bottom"/>
          </w:tcPr>
          <w:p>
            <w:pPr>
              <w:spacing w:after="0"/>
              <w:rPr>
                <w:sz w:val="20"/>
                <w:szCs w:val="20"/>
                <w:color w:val="auto"/>
              </w:rPr>
            </w:pPr>
            <w:r>
              <w:rPr>
                <w:rFonts w:ascii="Arial" w:cs="Arial" w:eastAsia="Arial" w:hAnsi="Arial"/>
                <w:sz w:val="14"/>
                <w:szCs w:val="14"/>
                <w:color w:val="auto"/>
              </w:rPr>
              <w:t>Adjusted Operating profit (loss)</w:t>
            </w:r>
          </w:p>
        </w:tc>
        <w:tc>
          <w:tcPr>
            <w:tcW w:w="1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287.4</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583.5</w:t>
            </w:r>
          </w:p>
        </w:tc>
        <w:tc>
          <w:tcPr>
            <w:tcW w:w="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147.3</w:t>
            </w:r>
          </w:p>
        </w:tc>
        <w:tc>
          <w:tcPr>
            <w:tcW w:w="1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(169.1)</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849.1</w:t>
            </w:r>
          </w:p>
        </w:tc>
        <w:tc>
          <w:tcPr>
            <w:tcW w:w="0" w:type="dxa"/>
            <w:vAlign w:val="bottom"/>
          </w:tcPr>
          <w:p>
            <w:pPr>
              <w:spacing w:after="0"/>
              <w:rPr>
                <w:sz w:val="1"/>
                <w:szCs w:val="1"/>
                <w:color w:val="auto"/>
              </w:rPr>
            </w:pPr>
          </w:p>
        </w:tc>
      </w:tr>
      <w:tr>
        <w:trPr>
          <w:trHeight w:val="447"/>
        </w:trPr>
        <w:tc>
          <w:tcPr>
            <w:tcW w:w="4040" w:type="dxa"/>
            <w:vAlign w:val="bottom"/>
          </w:tcPr>
          <w:p>
            <w:pPr>
              <w:spacing w:after="0"/>
              <w:rPr>
                <w:sz w:val="20"/>
                <w:szCs w:val="20"/>
                <w:color w:val="auto"/>
              </w:rPr>
            </w:pPr>
            <w:r>
              <w:rPr>
                <w:rFonts w:ascii="Arial" w:cs="Arial" w:eastAsia="Arial" w:hAnsi="Arial"/>
                <w:sz w:val="14"/>
                <w:szCs w:val="14"/>
                <w:color w:val="auto"/>
              </w:rPr>
              <w:t>Adjusted Depreciation and amortization</w:t>
            </w:r>
          </w:p>
        </w:tc>
        <w:tc>
          <w:tcPr>
            <w:tcW w:w="180" w:type="dxa"/>
            <w:vAlign w:val="bottom"/>
          </w:tcPr>
          <w:p>
            <w:pPr>
              <w:spacing w:after="0"/>
              <w:rPr>
                <w:sz w:val="24"/>
                <w:szCs w:val="24"/>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264.3</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29.7</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48.1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345.2</w:t>
            </w:r>
          </w:p>
        </w:tc>
        <w:tc>
          <w:tcPr>
            <w:tcW w:w="0" w:type="dxa"/>
            <w:vAlign w:val="bottom"/>
          </w:tcPr>
          <w:p>
            <w:pPr>
              <w:spacing w:after="0"/>
              <w:rPr>
                <w:sz w:val="1"/>
                <w:szCs w:val="1"/>
                <w:color w:val="auto"/>
              </w:rPr>
            </w:pPr>
          </w:p>
        </w:tc>
      </w:tr>
      <w:tr>
        <w:trPr>
          <w:trHeight w:val="201"/>
        </w:trPr>
        <w:tc>
          <w:tcPr>
            <w:tcW w:w="40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040" w:type="dxa"/>
            <w:vAlign w:val="bottom"/>
          </w:tcPr>
          <w:p>
            <w:pPr>
              <w:spacing w:after="0"/>
              <w:rPr>
                <w:sz w:val="20"/>
                <w:szCs w:val="20"/>
                <w:color w:val="auto"/>
              </w:rPr>
            </w:pPr>
            <w:r>
              <w:rPr>
                <w:rFonts w:ascii="Arial" w:cs="Arial" w:eastAsia="Arial" w:hAnsi="Arial"/>
                <w:sz w:val="14"/>
                <w:szCs w:val="14"/>
                <w:color w:val="auto"/>
              </w:rPr>
              <w:t>Adjusted EBITDA</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551.7</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613.2</w:t>
            </w:r>
          </w:p>
        </w:tc>
        <w:tc>
          <w:tcPr>
            <w:tcW w:w="320" w:type="dxa"/>
            <w:vAlign w:val="bottom"/>
            <w:gridSpan w:val="3"/>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195.4</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(166.0)</w:t>
            </w:r>
          </w:p>
        </w:tc>
        <w:tc>
          <w:tcPr>
            <w:tcW w:w="100" w:type="dxa"/>
            <w:vAlign w:val="bottom"/>
          </w:tcPr>
          <w:p>
            <w:pPr>
              <w:spacing w:after="0"/>
              <w:rPr>
                <w:sz w:val="20"/>
                <w:szCs w:val="20"/>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1,194.3</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8"/>
        </w:trPr>
        <w:tc>
          <w:tcPr>
            <w:tcW w:w="4040" w:type="dxa"/>
            <w:vAlign w:val="bottom"/>
          </w:tcPr>
          <w:p>
            <w:pPr>
              <w:spacing w:after="0"/>
              <w:rPr>
                <w:sz w:val="20"/>
                <w:szCs w:val="20"/>
                <w:color w:val="auto"/>
              </w:rPr>
            </w:pPr>
            <w:r>
              <w:rPr>
                <w:rFonts w:ascii="Arial" w:cs="Arial" w:eastAsia="Arial" w:hAnsi="Arial"/>
                <w:sz w:val="14"/>
                <w:szCs w:val="14"/>
                <w:color w:val="auto"/>
              </w:rPr>
              <w:t>Operating profit margin, as reported</w:t>
            </w:r>
          </w:p>
        </w:tc>
        <w:tc>
          <w:tcPr>
            <w:tcW w:w="1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5.8%</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13.9%</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459"/>
        </w:trPr>
        <w:tc>
          <w:tcPr>
            <w:tcW w:w="4040" w:type="dxa"/>
            <w:vAlign w:val="bottom"/>
          </w:tcPr>
          <w:p>
            <w:pPr>
              <w:spacing w:after="0"/>
              <w:rPr>
                <w:sz w:val="20"/>
                <w:szCs w:val="20"/>
                <w:color w:val="auto"/>
              </w:rPr>
            </w:pPr>
            <w:r>
              <w:rPr>
                <w:rFonts w:ascii="Arial" w:cs="Arial" w:eastAsia="Arial" w:hAnsi="Arial"/>
                <w:sz w:val="14"/>
                <w:szCs w:val="14"/>
                <w:color w:val="auto"/>
              </w:rPr>
              <w:t>Adjusted Operating profit margin</w:t>
            </w:r>
          </w:p>
        </w:tc>
        <w:tc>
          <w:tcPr>
            <w:tcW w:w="1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13.1%</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12.5%</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9.2%</w:t>
            </w:r>
          </w:p>
        </w:tc>
        <w:tc>
          <w:tcPr>
            <w:tcW w:w="0" w:type="dxa"/>
            <w:vAlign w:val="bottom"/>
          </w:tcPr>
          <w:p>
            <w:pPr>
              <w:spacing w:after="0"/>
              <w:rPr>
                <w:sz w:val="1"/>
                <w:szCs w:val="1"/>
                <w:color w:val="auto"/>
              </w:rPr>
            </w:pPr>
          </w:p>
        </w:tc>
      </w:tr>
      <w:tr>
        <w:trPr>
          <w:trHeight w:val="459"/>
        </w:trPr>
        <w:tc>
          <w:tcPr>
            <w:tcW w:w="4040" w:type="dxa"/>
            <w:vAlign w:val="bottom"/>
          </w:tcPr>
          <w:p>
            <w:pPr>
              <w:spacing w:after="0"/>
              <w:rPr>
                <w:sz w:val="20"/>
                <w:szCs w:val="20"/>
                <w:color w:val="auto"/>
              </w:rPr>
            </w:pPr>
            <w:r>
              <w:rPr>
                <w:rFonts w:ascii="Arial" w:cs="Arial" w:eastAsia="Arial" w:hAnsi="Arial"/>
                <w:sz w:val="14"/>
                <w:szCs w:val="14"/>
                <w:color w:val="auto"/>
              </w:rPr>
              <w:t>Adjusted EBITDA margin</w:t>
            </w:r>
          </w:p>
        </w:tc>
        <w:tc>
          <w:tcPr>
            <w:tcW w:w="1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15.3%</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13.8%</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16.6%</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12.9%</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70" w:orient="portrait"/>
          <w:cols w:equalWidth="0" w:num="1">
            <w:col w:w="10260"/>
          </w:cols>
          <w:pgMar w:left="1400" w:top="526" w:right="239" w:bottom="0" w:gutter="0" w:footer="0" w:header="0"/>
        </w:sectPr>
      </w:pPr>
    </w:p>
    <w:p>
      <w:pPr>
        <w:spacing w:after="0" w:line="258" w:lineRule="exact"/>
        <w:rPr>
          <w:sz w:val="20"/>
          <w:szCs w:val="20"/>
          <w:color w:val="auto"/>
        </w:rPr>
      </w:pPr>
    </w:p>
    <w:p>
      <w:pPr>
        <w:ind w:left="4020"/>
        <w:spacing w:after="0"/>
        <w:tabs>
          <w:tab w:leader="none" w:pos="9260" w:val="left"/>
        </w:tabs>
        <w:rPr>
          <w:rFonts w:ascii="Arial" w:cs="Arial" w:eastAsia="Arial" w:hAnsi="Arial"/>
          <w:sz w:val="14"/>
          <w:szCs w:val="14"/>
          <w:b w:val="1"/>
          <w:bCs w:val="1"/>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 xml:space="preserve">Page 23 of </w:t>
      </w:r>
      <w:hyperlink w:anchor="page29">
        <w:r>
          <w:rPr>
            <w:rFonts w:ascii="Arial" w:cs="Arial" w:eastAsia="Arial" w:hAnsi="Arial"/>
            <w:sz w:val="14"/>
            <w:szCs w:val="14"/>
            <w:b w:val="1"/>
            <w:bCs w:val="1"/>
            <w:color w:val="auto"/>
          </w:rPr>
          <w:t>24</w:t>
        </w:r>
      </w:hyperlink>
    </w:p>
    <w:p>
      <w:pPr>
        <w:sectPr>
          <w:pgSz w:w="11900" w:h="16870" w:orient="portrait"/>
          <w:cols w:equalWidth="0" w:num="1">
            <w:col w:w="10260"/>
          </w:cols>
          <w:pgMar w:left="1400" w:top="526" w:right="239" w:bottom="0" w:gutter="0" w:footer="0" w:header="0"/>
          <w:type w:val="continuous"/>
        </w:sectPr>
      </w:pPr>
    </w:p>
    <w:bookmarkStart w:id="28" w:name="page29"/>
    <w:bookmarkEnd w:id="28"/>
    <w:p>
      <w:pPr>
        <w:jc w:val="right"/>
        <w:spacing w:after="0"/>
        <w:rPr>
          <w:sz w:val="20"/>
          <w:szCs w:val="20"/>
          <w:color w:val="auto"/>
        </w:rPr>
      </w:pPr>
      <w:r>
        <w:rPr>
          <w:rFonts w:ascii="Arial" w:cs="Arial" w:eastAsia="Arial" w:hAnsi="Arial"/>
          <w:sz w:val="13"/>
          <w:szCs w:val="13"/>
          <w:b w:val="1"/>
          <w:bCs w:val="1"/>
          <w:color w:val="auto"/>
        </w:rPr>
        <w:t>Exhibit 11</w:t>
      </w:r>
    </w:p>
    <w:p>
      <w:pPr>
        <w:spacing w:after="0" w:line="161"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u w:val="single" w:color="auto"/>
          <w:color w:val="auto"/>
        </w:rPr>
        <w:t xml:space="preserve">TECHNIPFMC PLC AND CONSOLIDATED SUBSIDIARIES RECONCILIATION OF GAAP TO NON-GAAP FINANCIAL MEASURES </w:t>
      </w:r>
      <w:r>
        <w:rPr>
          <w:rFonts w:ascii="Arial" w:cs="Arial" w:eastAsia="Arial" w:hAnsi="Arial"/>
          <w:sz w:val="18"/>
          <w:szCs w:val="18"/>
          <w:b w:val="1"/>
          <w:bCs w:val="1"/>
          <w:color w:val="auto"/>
        </w:rPr>
        <w:t>(In millions, unaudited)</w:t>
      </w:r>
    </w:p>
    <w:p>
      <w:pPr>
        <w:spacing w:after="0" w:line="343" w:lineRule="exact"/>
        <w:rPr>
          <w:sz w:val="20"/>
          <w:szCs w:val="20"/>
          <w:color w:val="auto"/>
        </w:rPr>
      </w:pPr>
    </w:p>
    <w:tbl>
      <w:tblPr>
        <w:tblLayout w:type="fixed"/>
        <w:tblInd w:w="1140" w:type="dxa"/>
        <w:tblCellMar>
          <w:top w:w="0" w:type="dxa"/>
          <w:left w:w="0" w:type="dxa"/>
          <w:bottom w:w="0" w:type="dxa"/>
          <w:right w:w="0" w:type="dxa"/>
        </w:tblCellMar>
      </w:tblPr>
      <w:tr>
        <w:trPr>
          <w:trHeight w:val="203"/>
        </w:trPr>
        <w:tc>
          <w:tcPr>
            <w:tcW w:w="6680" w:type="dxa"/>
            <w:vAlign w:val="bottom"/>
          </w:tcPr>
          <w:p>
            <w:pPr>
              <w:spacing w:after="0"/>
              <w:rPr>
                <w:sz w:val="17"/>
                <w:szCs w:val="17"/>
                <w:color w:val="auto"/>
              </w:rPr>
            </w:pPr>
          </w:p>
        </w:tc>
        <w:tc>
          <w:tcPr>
            <w:tcW w:w="1300" w:type="dxa"/>
            <w:vAlign w:val="bottom"/>
            <w:gridSpan w:val="3"/>
          </w:tcPr>
          <w:p>
            <w:pPr>
              <w:ind w:left="80"/>
              <w:spacing w:after="0"/>
              <w:rPr>
                <w:sz w:val="20"/>
                <w:szCs w:val="20"/>
                <w:color w:val="auto"/>
              </w:rPr>
            </w:pPr>
            <w:r>
              <w:rPr>
                <w:rFonts w:ascii="Arial" w:cs="Arial" w:eastAsia="Arial" w:hAnsi="Arial"/>
                <w:sz w:val="16"/>
                <w:szCs w:val="16"/>
                <w:b w:val="1"/>
                <w:bCs w:val="1"/>
                <w:color w:val="auto"/>
              </w:rPr>
              <w:t>September 30,</w:t>
            </w:r>
          </w:p>
        </w:tc>
        <w:tc>
          <w:tcPr>
            <w:tcW w:w="1200" w:type="dxa"/>
            <w:vAlign w:val="bottom"/>
            <w:gridSpan w:val="2"/>
          </w:tcPr>
          <w:p>
            <w:pPr>
              <w:jc w:val="right"/>
              <w:ind w:right="72"/>
              <w:spacing w:after="0"/>
              <w:rPr>
                <w:sz w:val="20"/>
                <w:szCs w:val="20"/>
                <w:color w:val="auto"/>
              </w:rPr>
            </w:pPr>
            <w:r>
              <w:rPr>
                <w:rFonts w:ascii="Arial" w:cs="Arial" w:eastAsia="Arial" w:hAnsi="Arial"/>
                <w:sz w:val="16"/>
                <w:szCs w:val="16"/>
                <w:b w:val="1"/>
                <w:bCs w:val="1"/>
                <w:color w:val="auto"/>
                <w:w w:val="97"/>
              </w:rPr>
              <w:t>December 31,</w:t>
            </w:r>
          </w:p>
        </w:tc>
      </w:tr>
      <w:tr>
        <w:trPr>
          <w:trHeight w:val="210"/>
        </w:trPr>
        <w:tc>
          <w:tcPr>
            <w:tcW w:w="6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352"/>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352"/>
              <w:spacing w:after="0"/>
              <w:rPr>
                <w:sz w:val="20"/>
                <w:szCs w:val="20"/>
                <w:color w:val="auto"/>
              </w:rPr>
            </w:pPr>
            <w:r>
              <w:rPr>
                <w:rFonts w:ascii="Arial" w:cs="Arial" w:eastAsia="Arial" w:hAnsi="Arial"/>
                <w:sz w:val="16"/>
                <w:szCs w:val="16"/>
                <w:b w:val="1"/>
                <w:bCs w:val="1"/>
                <w:color w:val="auto"/>
              </w:rPr>
              <w:t>2018</w:t>
            </w:r>
          </w:p>
        </w:tc>
      </w:tr>
      <w:tr>
        <w:trPr>
          <w:trHeight w:val="33"/>
        </w:trPr>
        <w:tc>
          <w:tcPr>
            <w:tcW w:w="66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66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jc w:val="right"/>
              <w:ind w:right="73"/>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4,504.4</w:t>
            </w:r>
          </w:p>
        </w:tc>
        <w:tc>
          <w:tcPr>
            <w:tcW w:w="100" w:type="dxa"/>
            <w:vAlign w:val="bottom"/>
          </w:tcPr>
          <w:p>
            <w:pPr>
              <w:spacing w:after="0"/>
              <w:rPr>
                <w:sz w:val="20"/>
                <w:szCs w:val="20"/>
                <w:color w:val="auto"/>
              </w:rPr>
            </w:pPr>
          </w:p>
        </w:tc>
        <w:tc>
          <w:tcPr>
            <w:tcW w:w="280" w:type="dxa"/>
            <w:vAlign w:val="bottom"/>
          </w:tcPr>
          <w:p>
            <w:pPr>
              <w:jc w:val="right"/>
              <w:ind w:right="73"/>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5,540.0</w:t>
            </w:r>
          </w:p>
        </w:tc>
      </w:tr>
      <w:tr>
        <w:trPr>
          <w:trHeight w:val="270"/>
        </w:trPr>
        <w:tc>
          <w:tcPr>
            <w:tcW w:w="6680" w:type="dxa"/>
            <w:vAlign w:val="bottom"/>
          </w:tcPr>
          <w:p>
            <w:pPr>
              <w:spacing w:after="0"/>
              <w:rPr>
                <w:sz w:val="20"/>
                <w:szCs w:val="20"/>
                <w:color w:val="auto"/>
              </w:rPr>
            </w:pPr>
            <w:r>
              <w:rPr>
                <w:rFonts w:ascii="Arial" w:cs="Arial" w:eastAsia="Arial" w:hAnsi="Arial"/>
                <w:sz w:val="18"/>
                <w:szCs w:val="18"/>
                <w:color w:val="auto"/>
              </w:rPr>
              <w:t>Short-term debt and current portion of long-term debt</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(299.4)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(67.4)</w:t>
            </w:r>
          </w:p>
        </w:tc>
      </w:tr>
      <w:tr>
        <w:trPr>
          <w:trHeight w:val="270"/>
        </w:trPr>
        <w:tc>
          <w:tcPr>
            <w:tcW w:w="6680" w:type="dxa"/>
            <w:vAlign w:val="bottom"/>
          </w:tcPr>
          <w:p>
            <w:pPr>
              <w:spacing w:after="0"/>
              <w:rPr>
                <w:sz w:val="20"/>
                <w:szCs w:val="20"/>
                <w:color w:val="auto"/>
              </w:rPr>
            </w:pPr>
            <w:r>
              <w:rPr>
                <w:rFonts w:ascii="Arial" w:cs="Arial" w:eastAsia="Arial" w:hAnsi="Arial"/>
                <w:sz w:val="18"/>
                <w:szCs w:val="18"/>
                <w:color w:val="auto"/>
              </w:rPr>
              <w:t>Long-term debt, less current portion</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(3,608.8)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(4,124.3)</w:t>
            </w:r>
          </w:p>
        </w:tc>
      </w:tr>
      <w:tr>
        <w:trPr>
          <w:trHeight w:val="27"/>
        </w:trPr>
        <w:tc>
          <w:tcPr>
            <w:tcW w:w="66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7"/>
        </w:trPr>
        <w:tc>
          <w:tcPr>
            <w:tcW w:w="6680" w:type="dxa"/>
            <w:vAlign w:val="bottom"/>
          </w:tcPr>
          <w:p>
            <w:pPr>
              <w:spacing w:after="0"/>
              <w:rPr>
                <w:sz w:val="20"/>
                <w:szCs w:val="20"/>
                <w:color w:val="auto"/>
              </w:rPr>
            </w:pPr>
            <w:r>
              <w:rPr>
                <w:rFonts w:ascii="Arial" w:cs="Arial" w:eastAsia="Arial" w:hAnsi="Arial"/>
                <w:sz w:val="18"/>
                <w:szCs w:val="18"/>
                <w:color w:val="auto"/>
              </w:rPr>
              <w:t>Net cash</w:t>
            </w:r>
          </w:p>
        </w:tc>
        <w:tc>
          <w:tcPr>
            <w:tcW w:w="28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596.2</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1,348.3</w:t>
            </w:r>
          </w:p>
        </w:tc>
      </w:tr>
      <w:tr>
        <w:trPr>
          <w:trHeight w:val="20"/>
        </w:trPr>
        <w:tc>
          <w:tcPr>
            <w:tcW w:w="6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Net (debt) cash, is a non-GAAP financial measure reflecting cash and cash equivalents, net of debt. Management uses this non-GAAP financial measure to evaluate our capital structure and financial leverage. We believe net debt, or net cash, is a meaningful financial measure that may assist investors in understanding our financial condition and recognizing underlying trends in our capital structure. Net (debt) cash should not be considered an alternative to, or more meaningful than, cash and cash equivalents as determined in accordance with U.S. GAAP or as an indicator of our operating performance or liquidity.</w:t>
      </w:r>
    </w:p>
    <w:p>
      <w:pPr>
        <w:spacing w:after="0" w:line="399" w:lineRule="exact"/>
        <w:rPr>
          <w:sz w:val="20"/>
          <w:szCs w:val="20"/>
          <w:color w:val="auto"/>
        </w:rPr>
      </w:pPr>
    </w:p>
    <w:p>
      <w:pPr>
        <w:ind w:left="5180"/>
        <w:spacing w:after="0"/>
        <w:tabs>
          <w:tab w:leader="none" w:pos="10420" w:val="left"/>
        </w:tabs>
        <w:rPr>
          <w:rFonts w:ascii="Arial" w:cs="Arial" w:eastAsia="Arial" w:hAnsi="Arial"/>
          <w:sz w:val="14"/>
          <w:szCs w:val="14"/>
          <w:b w:val="1"/>
          <w:bCs w:val="1"/>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 xml:space="preserve">Page 24 of </w:t>
      </w:r>
      <w:hyperlink w:anchor="page29">
        <w:r>
          <w:rPr>
            <w:rFonts w:ascii="Arial" w:cs="Arial" w:eastAsia="Arial" w:hAnsi="Arial"/>
            <w:sz w:val="14"/>
            <w:szCs w:val="14"/>
            <w:b w:val="1"/>
            <w:bCs w:val="1"/>
            <w:color w:val="auto"/>
          </w:rPr>
          <w:t>24</w:t>
        </w:r>
      </w:hyperlink>
    </w:p>
    <w:sectPr>
      <w:pgSz w:w="11900" w:h="16838" w:orient="portrait"/>
      <w:cols w:equalWidth="0" w:num="1">
        <w:col w:w="11420"/>
      </w:cols>
      <w:pgMar w:left="240" w:top="52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
      <w:numFmt w:val="bullet"/>
      <w:start w:val="1"/>
    </w:lvl>
    <w:lvl w:ilvl="1">
      <w:lvlJc w:val="left"/>
      <w:lvlText w:val="*"/>
      <w:numFmt w:val="bullet"/>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1"/>
      <w:numFmt w:val="bullet"/>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
      <w:numFmt w:val="bullet"/>
      <w:start w:val="1"/>
    </w:lvl>
  </w:abstractNum>
  <w:abstractNum w:abstractNumId="15">
    <w:nsid w:val="25E45D32"/>
    <w:multiLevelType w:val="hybridMultilevel"/>
    <w:lvl w:ilvl="0">
      <w:lvlJc w:val="left"/>
      <w:lvlText w:val="•"/>
      <w:numFmt w:val="bullet"/>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2019-12-28T05:12:30Z</dcterms:created>
  <dcterms:modified xsi:type="dcterms:W3CDTF">2019-12-28T05:12:30Z</dcterms:modified>
</cp:coreProperties>
</file>