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9,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TechnipFMC plc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2"/>
              <w:spacing w:after="0"/>
              <w:rPr>
                <w:sz w:val="20"/>
                <w:szCs w:val="20"/>
                <w:color w:val="auto"/>
              </w:rPr>
            </w:pPr>
            <w:r>
              <w:rPr>
                <w:rFonts w:ascii="Arial" w:cs="Arial" w:eastAsia="Arial" w:hAnsi="Arial"/>
                <w:sz w:val="18"/>
                <w:szCs w:val="18"/>
                <w:b w:val="1"/>
                <w:bCs w:val="1"/>
                <w:color w:val="auto"/>
                <w:w w:val="90"/>
              </w:rPr>
              <w:t>001-37983</w:t>
            </w:r>
          </w:p>
        </w:tc>
        <w:tc>
          <w:tcPr>
            <w:tcW w:w="2620" w:type="dxa"/>
            <w:vAlign w:val="bottom"/>
          </w:tcPr>
          <w:p>
            <w:pPr>
              <w:jc w:val="right"/>
              <w:ind w:right="519"/>
              <w:spacing w:after="0"/>
              <w:rPr>
                <w:sz w:val="20"/>
                <w:szCs w:val="20"/>
                <w:color w:val="auto"/>
              </w:rPr>
            </w:pPr>
            <w:r>
              <w:rPr>
                <w:rFonts w:ascii="Arial" w:cs="Arial" w:eastAsia="Arial" w:hAnsi="Arial"/>
                <w:sz w:val="18"/>
                <w:szCs w:val="18"/>
                <w:b w:val="1"/>
                <w:bCs w:val="1"/>
                <w:color w:val="auto"/>
              </w:rPr>
              <w:t>98-1283037</w:t>
            </w:r>
          </w:p>
        </w:tc>
      </w:tr>
      <w:tr>
        <w:trPr>
          <w:trHeight w:val="285"/>
        </w:trPr>
        <w:tc>
          <w:tcPr>
            <w:tcW w:w="2940" w:type="dxa"/>
            <w:vAlign w:val="bottom"/>
          </w:tcPr>
          <w:p>
            <w:pPr>
              <w:jc w:val="center"/>
              <w:ind w:right="337"/>
              <w:spacing w:after="0"/>
              <w:rPr>
                <w:sz w:val="20"/>
                <w:szCs w:val="20"/>
                <w:color w:val="auto"/>
              </w:rPr>
            </w:pPr>
            <w:r>
              <w:rPr>
                <w:rFonts w:ascii="Arial" w:cs="Arial" w:eastAsia="Arial" w:hAnsi="Arial"/>
                <w:sz w:val="14"/>
                <w:szCs w:val="14"/>
                <w:color w:val="auto"/>
                <w:w w:val="95"/>
              </w:rPr>
              <w:t>(State or other jurisdiction of incorporation)</w:t>
            </w:r>
          </w:p>
        </w:tc>
        <w:tc>
          <w:tcPr>
            <w:tcW w:w="4500" w:type="dxa"/>
            <w:vAlign w:val="bottom"/>
          </w:tcPr>
          <w:p>
            <w:pPr>
              <w:jc w:val="center"/>
              <w:ind w:right="2"/>
              <w:spacing w:after="0"/>
              <w:rPr>
                <w:sz w:val="20"/>
                <w:szCs w:val="20"/>
                <w:color w:val="auto"/>
              </w:rPr>
            </w:pPr>
            <w:r>
              <w:rPr>
                <w:rFonts w:ascii="Arial" w:cs="Arial" w:eastAsia="Arial" w:hAnsi="Arial"/>
                <w:sz w:val="14"/>
                <w:szCs w:val="14"/>
                <w:color w:val="auto"/>
                <w:w w:val="94"/>
              </w:rPr>
              <w:t>(Commission File Number)</w:t>
            </w:r>
          </w:p>
        </w:tc>
        <w:tc>
          <w:tcPr>
            <w:tcW w:w="2620" w:type="dxa"/>
            <w:vAlign w:val="bottom"/>
          </w:tcPr>
          <w:p>
            <w:pPr>
              <w:jc w:val="center"/>
              <w:ind w:left="459"/>
              <w:spacing w:after="0"/>
              <w:rPr>
                <w:sz w:val="20"/>
                <w:szCs w:val="20"/>
                <w:color w:val="auto"/>
              </w:rPr>
            </w:pPr>
            <w:r>
              <w:rPr>
                <w:rFonts w:ascii="Arial" w:cs="Arial" w:eastAsia="Arial" w:hAnsi="Arial"/>
                <w:sz w:val="14"/>
                <w:szCs w:val="14"/>
                <w:color w:val="auto"/>
                <w:w w:val="96"/>
              </w:rPr>
              <w:t>(I.R.S. Employer Identification No.)</w:t>
            </w:r>
          </w:p>
        </w:tc>
      </w:tr>
      <w:tr>
        <w:trPr>
          <w:trHeight w:val="588"/>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One St. Paul’s Churchyard</w:t>
            </w:r>
          </w:p>
        </w:tc>
        <w:tc>
          <w:tcPr>
            <w:tcW w:w="45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4"/>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London, United Kingdom</w:t>
            </w:r>
          </w:p>
        </w:tc>
        <w:tc>
          <w:tcPr>
            <w:tcW w:w="4500" w:type="dxa"/>
            <w:vAlign w:val="bottom"/>
          </w:tcPr>
          <w:p>
            <w:pPr>
              <w:spacing w:after="0"/>
              <w:rPr>
                <w:sz w:val="20"/>
                <w:szCs w:val="20"/>
                <w:color w:val="auto"/>
              </w:rPr>
            </w:pPr>
          </w:p>
        </w:tc>
        <w:tc>
          <w:tcPr>
            <w:tcW w:w="2620" w:type="dxa"/>
            <w:vAlign w:val="bottom"/>
          </w:tcPr>
          <w:p>
            <w:pPr>
              <w:jc w:val="center"/>
              <w:ind w:left="459"/>
              <w:spacing w:after="0"/>
              <w:rPr>
                <w:sz w:val="20"/>
                <w:szCs w:val="20"/>
                <w:color w:val="auto"/>
              </w:rPr>
            </w:pPr>
            <w:r>
              <w:rPr>
                <w:rFonts w:ascii="Arial" w:cs="Arial" w:eastAsia="Arial" w:hAnsi="Arial"/>
                <w:sz w:val="18"/>
                <w:szCs w:val="18"/>
                <w:b w:val="1"/>
                <w:bCs w:val="1"/>
                <w:color w:val="auto"/>
                <w:w w:val="97"/>
              </w:rPr>
              <w:t>EC4M 8AP</w:t>
            </w:r>
          </w:p>
        </w:tc>
      </w:tr>
      <w:tr>
        <w:trPr>
          <w:trHeight w:val="285"/>
        </w:trPr>
        <w:tc>
          <w:tcPr>
            <w:tcW w:w="2940" w:type="dxa"/>
            <w:vAlign w:val="bottom"/>
          </w:tcPr>
          <w:p>
            <w:pPr>
              <w:jc w:val="center"/>
              <w:ind w:right="337"/>
              <w:spacing w:after="0"/>
              <w:rPr>
                <w:sz w:val="20"/>
                <w:szCs w:val="20"/>
                <w:color w:val="auto"/>
              </w:rPr>
            </w:pPr>
            <w:r>
              <w:rPr>
                <w:rFonts w:ascii="Arial" w:cs="Arial" w:eastAsia="Arial" w:hAnsi="Arial"/>
                <w:sz w:val="14"/>
                <w:szCs w:val="14"/>
                <w:color w:val="auto"/>
                <w:w w:val="95"/>
              </w:rPr>
              <w:t>(Address of principal executive offices)</w:t>
            </w:r>
          </w:p>
        </w:tc>
        <w:tc>
          <w:tcPr>
            <w:tcW w:w="4500" w:type="dxa"/>
            <w:vAlign w:val="bottom"/>
          </w:tcPr>
          <w:p>
            <w:pPr>
              <w:spacing w:after="0"/>
              <w:rPr>
                <w:sz w:val="24"/>
                <w:szCs w:val="24"/>
                <w:color w:val="auto"/>
              </w:rPr>
            </w:pPr>
          </w:p>
        </w:tc>
        <w:tc>
          <w:tcPr>
            <w:tcW w:w="2620" w:type="dxa"/>
            <w:vAlign w:val="bottom"/>
          </w:tcPr>
          <w:p>
            <w:pPr>
              <w:jc w:val="center"/>
              <w:ind w:left="459"/>
              <w:spacing w:after="0"/>
              <w:rPr>
                <w:sz w:val="20"/>
                <w:szCs w:val="20"/>
                <w:color w:val="auto"/>
              </w:rPr>
            </w:pPr>
            <w:r>
              <w:rPr>
                <w:rFonts w:ascii="Arial" w:cs="Arial" w:eastAsia="Arial" w:hAnsi="Arial"/>
                <w:sz w:val="14"/>
                <w:szCs w:val="14"/>
                <w:color w:val="auto"/>
                <w:w w:val="96"/>
              </w:rPr>
              <w:t>(Zip Code)</w:t>
            </w:r>
          </w:p>
        </w:tc>
      </w:tr>
      <w:tr>
        <w:trPr>
          <w:trHeight w:val="284"/>
        </w:trPr>
        <w:tc>
          <w:tcPr>
            <w:tcW w:w="2940" w:type="dxa"/>
            <w:vAlign w:val="bottom"/>
          </w:tcPr>
          <w:p>
            <w:pPr>
              <w:spacing w:after="0"/>
              <w:rPr>
                <w:sz w:val="24"/>
                <w:szCs w:val="24"/>
                <w:color w:val="auto"/>
              </w:rPr>
            </w:pPr>
          </w:p>
        </w:tc>
        <w:tc>
          <w:tcPr>
            <w:tcW w:w="450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+44 203-429-3950</w:t>
            </w:r>
          </w:p>
        </w:tc>
        <w:tc>
          <w:tcPr>
            <w:tcW w:w="2620" w:type="dxa"/>
            <w:vAlign w:val="bottom"/>
          </w:tcPr>
          <w:p>
            <w:pPr>
              <w:spacing w:after="0"/>
              <w:rPr>
                <w:sz w:val="24"/>
                <w:szCs w:val="24"/>
                <w:color w:val="auto"/>
              </w:rPr>
            </w:pPr>
          </w:p>
        </w:tc>
      </w:tr>
      <w:tr>
        <w:trPr>
          <w:trHeight w:val="203"/>
        </w:trPr>
        <w:tc>
          <w:tcPr>
            <w:tcW w:w="2940" w:type="dxa"/>
            <w:vAlign w:val="bottom"/>
          </w:tcPr>
          <w:p>
            <w:pPr>
              <w:spacing w:after="0"/>
              <w:rPr>
                <w:sz w:val="17"/>
                <w:szCs w:val="17"/>
                <w:color w:val="auto"/>
              </w:rPr>
            </w:pPr>
          </w:p>
        </w:tc>
        <w:tc>
          <w:tcPr>
            <w:tcW w:w="4500" w:type="dxa"/>
            <w:vAlign w:val="bottom"/>
          </w:tcPr>
          <w:p>
            <w:pPr>
              <w:jc w:val="center"/>
              <w:ind w:right="22"/>
              <w:spacing w:after="0"/>
              <w:rPr>
                <w:sz w:val="20"/>
                <w:szCs w:val="20"/>
                <w:color w:val="auto"/>
              </w:rPr>
            </w:pPr>
            <w:r>
              <w:rPr>
                <w:rFonts w:ascii="Arial" w:cs="Arial" w:eastAsia="Arial" w:hAnsi="Arial"/>
                <w:sz w:val="14"/>
                <w:szCs w:val="14"/>
                <w:color w:val="auto"/>
                <w:w w:val="92"/>
              </w:rPr>
              <w:t>(Registrant's telephone number, including area code)</w:t>
            </w:r>
          </w:p>
        </w:tc>
        <w:tc>
          <w:tcPr>
            <w:tcW w:w="2620" w:type="dxa"/>
            <w:vAlign w:val="bottom"/>
          </w:tcPr>
          <w:p>
            <w:pPr>
              <w:spacing w:after="0"/>
              <w:rPr>
                <w:sz w:val="17"/>
                <w:szCs w:val="17"/>
                <w:color w:val="auto"/>
              </w:rPr>
            </w:pPr>
          </w:p>
        </w:tc>
      </w:tr>
      <w:tr>
        <w:trPr>
          <w:trHeight w:val="358"/>
        </w:trPr>
        <w:tc>
          <w:tcPr>
            <w:tcW w:w="2940" w:type="dxa"/>
            <w:vAlign w:val="bottom"/>
          </w:tcPr>
          <w:p>
            <w:pPr>
              <w:spacing w:after="0"/>
              <w:rPr>
                <w:sz w:val="24"/>
                <w:szCs w:val="24"/>
                <w:color w:val="auto"/>
              </w:rPr>
            </w:pPr>
          </w:p>
        </w:tc>
        <w:tc>
          <w:tcPr>
            <w:tcW w:w="4500" w:type="dxa"/>
            <w:vAlign w:val="bottom"/>
          </w:tcPr>
          <w:p>
            <w:pPr>
              <w:jc w:val="center"/>
              <w:ind w:right="22"/>
              <w:spacing w:after="0"/>
              <w:rPr>
                <w:sz w:val="20"/>
                <w:szCs w:val="20"/>
                <w:color w:val="auto"/>
              </w:rPr>
            </w:pPr>
            <w:r>
              <w:rPr>
                <w:rFonts w:ascii="Arial" w:cs="Arial" w:eastAsia="Arial" w:hAnsi="Arial"/>
                <w:sz w:val="18"/>
                <w:szCs w:val="18"/>
                <w:b w:val="1"/>
                <w:bCs w:val="1"/>
                <w:color w:val="auto"/>
                <w:w w:val="92"/>
              </w:rPr>
              <w:t>Not Applicable</w:t>
            </w:r>
          </w:p>
        </w:tc>
        <w:tc>
          <w:tcPr>
            <w:tcW w:w="2620" w:type="dxa"/>
            <w:vAlign w:val="bottom"/>
          </w:tcPr>
          <w:p>
            <w:pPr>
              <w:spacing w:after="0"/>
              <w:rPr>
                <w:sz w:val="24"/>
                <w:szCs w:val="24"/>
                <w:color w:val="auto"/>
              </w:rPr>
            </w:pPr>
          </w:p>
        </w:tc>
      </w:tr>
      <w:tr>
        <w:trPr>
          <w:trHeight w:val="182"/>
        </w:trPr>
        <w:tc>
          <w:tcPr>
            <w:tcW w:w="2940" w:type="dxa"/>
            <w:vAlign w:val="bottom"/>
          </w:tcPr>
          <w:p>
            <w:pPr>
              <w:spacing w:after="0"/>
              <w:rPr>
                <w:sz w:val="15"/>
                <w:szCs w:val="15"/>
                <w:color w:val="auto"/>
              </w:rPr>
            </w:pPr>
          </w:p>
        </w:tc>
        <w:tc>
          <w:tcPr>
            <w:tcW w:w="4500" w:type="dxa"/>
            <w:vAlign w:val="bottom"/>
          </w:tcPr>
          <w:p>
            <w:pPr>
              <w:jc w:val="center"/>
              <w:ind w:right="42"/>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2620" w:type="dxa"/>
            <w:vAlign w:val="bottom"/>
          </w:tcPr>
          <w:p>
            <w:pPr>
              <w:spacing w:after="0"/>
              <w:rPr>
                <w:sz w:val="15"/>
                <w:szCs w:val="15"/>
                <w:color w:val="auto"/>
              </w:rPr>
            </w:pPr>
          </w:p>
        </w:tc>
      </w:tr>
    </w:tbl>
    <w:p>
      <w:pPr>
        <w:spacing w:after="0" w:line="20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79" w:right="2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9, 2018, TechnipFMC plc ("TechnipFMC") issued a news release announcing its financial results for the fiscal quarter ended March 31, 2018. A copy of the news release is furnished as Exhibit 99.1 to this report and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3"/>
        </w:trPr>
        <w:tc>
          <w:tcPr>
            <w:tcW w:w="13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44"/>
        </w:trPr>
        <w:tc>
          <w:tcPr>
            <w:tcW w:w="130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414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w w:val="89"/>
              </w:rPr>
              <w:t>News Release issued by TechnipFMC dated May 9, 2018</w:t>
            </w:r>
          </w:p>
        </w:tc>
      </w:tr>
    </w:tbl>
    <w:p>
      <w:pPr>
        <w:sectPr>
          <w:pgSz w:w="11900" w:h="16838" w:orient="portrait"/>
          <w:cols w:equalWidth="0" w:num="1">
            <w:col w:w="11400"/>
          </w:cols>
          <w:pgMar w:left="240" w:top="580"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60" w:type="dxa"/>
            <w:vAlign w:val="bottom"/>
            <w:gridSpan w:val="2"/>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30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512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5120" w:type="dxa"/>
            <w:vAlign w:val="bottom"/>
            <w:gridSpan w:val="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News Release issued by TechnipFMC plc dated May 9, 2018</w:t>
              </w:r>
            </w:hyperlink>
          </w:p>
        </w:tc>
      </w:tr>
      <w:tr>
        <w:trPr>
          <w:trHeight w:val="20"/>
        </w:trPr>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ectPr>
          <w:pgSz w:w="11900" w:h="16838" w:orient="portrait"/>
          <w:cols w:equalWidth="0" w:num="1">
            <w:col w:w="10219"/>
          </w:cols>
          <w:pgMar w:left="240" w:top="580"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31750</wp:posOffset>
            </wp:positionV>
            <wp:extent cx="2958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Dated:  May 9, 2018</w:t>
      </w:r>
      <w:r>
        <w:rPr>
          <w:sz w:val="20"/>
          <w:szCs w:val="20"/>
          <w:color w:val="auto"/>
        </w:rPr>
        <w:tab/>
      </w:r>
      <w:r>
        <w:rPr>
          <w:rFonts w:ascii="Arial" w:cs="Arial" w:eastAsia="Arial" w:hAnsi="Arial"/>
          <w:sz w:val="16"/>
          <w:szCs w:val="16"/>
          <w:color w:val="auto"/>
        </w:rPr>
        <w:t>Name: Maryann T. Mannen</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25"/>
          <w:szCs w:val="25"/>
          <w:color w:val="A6A6A6"/>
        </w:rPr>
        <w:drawing>
          <wp:anchor simplePos="0" relativeHeight="251657728" behindDoc="1" locked="0" layoutInCell="0" allowOverlap="1">
            <wp:simplePos x="0" y="0"/>
            <wp:positionH relativeFrom="page">
              <wp:posOffset>157480</wp:posOffset>
            </wp:positionH>
            <wp:positionV relativeFrom="page">
              <wp:posOffset>243205</wp:posOffset>
            </wp:positionV>
            <wp:extent cx="264160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t>Press Release</w:t>
      </w:r>
    </w:p>
    <w:p>
      <w:pPr>
        <w:spacing w:after="0" w:line="166"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First Quarter 2018 Results</w:t>
      </w:r>
    </w:p>
    <w:p>
      <w:pPr>
        <w:spacing w:after="0" w:line="14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Net income of $95.1 million and adjusted EBITDA of $386.6 million</w:t>
      </w:r>
    </w:p>
    <w:p>
      <w:pPr>
        <w:spacing w:after="0" w:line="53"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Inbound orders of $3.5 billion; orders exceeded revenues in all segments</w:t>
      </w:r>
    </w:p>
    <w:p>
      <w:pPr>
        <w:spacing w:after="0" w:line="53"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Integrated model leadership; three iEPCI™ projects awarded</w:t>
      </w:r>
    </w:p>
    <w:p>
      <w:pPr>
        <w:spacing w:after="0" w:line="53"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Strategic technology investments drive differentiation</w:t>
      </w:r>
    </w:p>
    <w:p>
      <w:pPr>
        <w:spacing w:after="0" w:line="53" w:lineRule="exact"/>
        <w:rPr>
          <w:rFonts w:ascii="Arial" w:cs="Arial" w:eastAsia="Arial" w:hAnsi="Arial"/>
          <w:sz w:val="20"/>
          <w:szCs w:val="20"/>
          <w:b w:val="1"/>
          <w:bCs w:val="1"/>
          <w:color w:val="auto"/>
        </w:rPr>
      </w:pPr>
    </w:p>
    <w:p>
      <w:pPr>
        <w:ind w:left="660" w:hanging="328"/>
        <w:spacing w:after="0"/>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Onshore/Offshore guidance for 2018 increased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LONDON, PARIS, HOUSTON, May 9, 2018 - </w:t>
      </w:r>
      <w:r>
        <w:rPr>
          <w:rFonts w:ascii="Arial" w:cs="Arial" w:eastAsia="Arial" w:hAnsi="Arial"/>
          <w:sz w:val="20"/>
          <w:szCs w:val="20"/>
          <w:color w:val="auto"/>
        </w:rPr>
        <w:t>TechnipFMC plc (NYSE: FTI) (Paris: FTI) today reported first quarter 2018 results.</w:t>
      </w:r>
    </w:p>
    <w:p>
      <w:pPr>
        <w:spacing w:after="0" w:line="186" w:lineRule="exact"/>
        <w:rPr>
          <w:sz w:val="20"/>
          <w:szCs w:val="20"/>
          <w:color w:val="auto"/>
        </w:rPr>
      </w:pPr>
    </w:p>
    <w:p>
      <w:pPr>
        <w:jc w:val="both"/>
        <w:ind w:right="40"/>
        <w:spacing w:after="0" w:line="247" w:lineRule="auto"/>
        <w:rPr>
          <w:sz w:val="20"/>
          <w:szCs w:val="20"/>
          <w:color w:val="auto"/>
        </w:rPr>
      </w:pPr>
      <w:r>
        <w:rPr>
          <w:rFonts w:ascii="Arial" w:cs="Arial" w:eastAsia="Arial" w:hAnsi="Arial"/>
          <w:sz w:val="20"/>
          <w:szCs w:val="20"/>
          <w:color w:val="auto"/>
        </w:rPr>
        <w:t>Total Company net income was $95.1 million, or $0.20 per diluted share. These results included after-tax charges and credits of $36.4 million, or $0.08 per diluted share as detailed in the financial schedules. Adjusted diluted earnings per share were $0.28.</w:t>
      </w:r>
    </w:p>
    <w:p>
      <w:pPr>
        <w:spacing w:after="0" w:line="148"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Total Company revenue of $3,125.2 million declined 7.8 percent from the prior-year quarter. Adjusted EBITDA, which excludes charges and credits, was $386.6 million, a decrease of 8 percent from the prior year; adjusted EBITDA margin was unchanged from the prior-year results at 12.4 percent.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6480" w:type="dxa"/>
            <w:vAlign w:val="bottom"/>
            <w:tcBorders>
              <w:top w:val="single" w:sz="8" w:color="BFE4FF"/>
              <w:left w:val="single" w:sz="8" w:color="BFE4FF"/>
              <w:right w:val="single" w:sz="8" w:color="BFE4FF"/>
            </w:tcBorders>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700" w:type="dxa"/>
            <w:vAlign w:val="bottom"/>
            <w:tcBorders>
              <w:top w:val="single" w:sz="8" w:color="BFE4FF"/>
              <w:right w:val="single" w:sz="8" w:color="BFE4FF"/>
            </w:tcBorders>
          </w:tcPr>
          <w:p>
            <w:pPr>
              <w:jc w:val="right"/>
              <w:ind w:right="66"/>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top w:val="single" w:sz="8" w:color="BFE4FF"/>
              <w:right w:val="single" w:sz="8" w:color="BFE4FF"/>
            </w:tcBorders>
          </w:tcPr>
          <w:p>
            <w:pPr>
              <w:jc w:val="right"/>
              <w:ind w:right="46"/>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Borders>
              <w:top w:val="single" w:sz="8" w:color="BFE4FF"/>
              <w:right w:val="single" w:sz="8" w:color="BFE4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480" w:type="dxa"/>
            <w:vAlign w:val="bottom"/>
            <w:tcBorders>
              <w:left w:val="single" w:sz="8" w:color="BFE4FF"/>
              <w:right w:val="single" w:sz="8" w:color="BFE4FF"/>
            </w:tcBorders>
            <w:vMerge w:val="continue"/>
          </w:tcPr>
          <w:p>
            <w:pPr>
              <w:spacing w:after="0"/>
              <w:rPr>
                <w:sz w:val="15"/>
                <w:szCs w:val="15"/>
                <w:color w:val="auto"/>
              </w:rPr>
            </w:pPr>
          </w:p>
        </w:tc>
        <w:tc>
          <w:tcPr>
            <w:tcW w:w="1700" w:type="dxa"/>
            <w:vAlign w:val="bottom"/>
            <w:tcBorders>
              <w:right w:val="single" w:sz="8" w:color="BFE4FF"/>
            </w:tcBorders>
          </w:tcPr>
          <w:p>
            <w:pPr>
              <w:spacing w:after="0"/>
              <w:rPr>
                <w:sz w:val="15"/>
                <w:szCs w:val="15"/>
                <w:color w:val="auto"/>
              </w:rPr>
            </w:pPr>
          </w:p>
        </w:tc>
        <w:tc>
          <w:tcPr>
            <w:tcW w:w="1680" w:type="dxa"/>
            <w:vAlign w:val="bottom"/>
            <w:tcBorders>
              <w:right w:val="single" w:sz="8" w:color="BFE4FF"/>
            </w:tcBorders>
          </w:tcPr>
          <w:p>
            <w:pPr>
              <w:spacing w:after="0"/>
              <w:rPr>
                <w:sz w:val="15"/>
                <w:szCs w:val="15"/>
                <w:color w:val="auto"/>
              </w:rPr>
            </w:pPr>
          </w:p>
        </w:tc>
        <w:tc>
          <w:tcPr>
            <w:tcW w:w="1580" w:type="dxa"/>
            <w:vAlign w:val="bottom"/>
            <w:tcBorders>
              <w:right w:val="single" w:sz="8" w:color="BFE4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80" w:type="dxa"/>
            <w:vAlign w:val="bottom"/>
            <w:tcBorders>
              <w:left w:val="single" w:sz="8" w:color="BFE4FF"/>
              <w:right w:val="single" w:sz="8" w:color="BFE4FF"/>
            </w:tcBorders>
          </w:tcPr>
          <w:p>
            <w:pPr>
              <w:spacing w:after="0"/>
              <w:rPr>
                <w:sz w:val="18"/>
                <w:szCs w:val="18"/>
                <w:color w:val="auto"/>
              </w:rPr>
            </w:pPr>
          </w:p>
        </w:tc>
        <w:tc>
          <w:tcPr>
            <w:tcW w:w="1700" w:type="dxa"/>
            <w:vAlign w:val="bottom"/>
            <w:tcBorders>
              <w:right w:val="single" w:sz="8" w:color="BFE4FF"/>
            </w:tcBorders>
          </w:tcPr>
          <w:p>
            <w:pPr>
              <w:jc w:val="right"/>
              <w:ind w:right="266"/>
              <w:spacing w:after="0"/>
              <w:rPr>
                <w:sz w:val="20"/>
                <w:szCs w:val="20"/>
                <w:color w:val="auto"/>
              </w:rPr>
            </w:pPr>
            <w:r>
              <w:rPr>
                <w:rFonts w:ascii="Arial" w:cs="Arial" w:eastAsia="Arial" w:hAnsi="Arial"/>
                <w:sz w:val="14"/>
                <w:szCs w:val="14"/>
                <w:b w:val="1"/>
                <w:bCs w:val="1"/>
                <w:color w:val="auto"/>
              </w:rPr>
              <w:t>March 31, 2018</w:t>
            </w:r>
          </w:p>
        </w:tc>
        <w:tc>
          <w:tcPr>
            <w:tcW w:w="1680" w:type="dxa"/>
            <w:vAlign w:val="bottom"/>
            <w:tcBorders>
              <w:right w:val="single" w:sz="8" w:color="BFE4FF"/>
            </w:tcBorders>
          </w:tcPr>
          <w:p>
            <w:pPr>
              <w:jc w:val="right"/>
              <w:ind w:right="246"/>
              <w:spacing w:after="0"/>
              <w:rPr>
                <w:sz w:val="20"/>
                <w:szCs w:val="20"/>
                <w:color w:val="auto"/>
              </w:rPr>
            </w:pPr>
            <w:r>
              <w:rPr>
                <w:rFonts w:ascii="Arial" w:cs="Arial" w:eastAsia="Arial" w:hAnsi="Arial"/>
                <w:sz w:val="14"/>
                <w:szCs w:val="14"/>
                <w:b w:val="1"/>
                <w:bCs w:val="1"/>
                <w:color w:val="auto"/>
              </w:rPr>
              <w:t>March 31, 2017</w:t>
            </w:r>
          </w:p>
        </w:tc>
        <w:tc>
          <w:tcPr>
            <w:tcW w:w="1580" w:type="dxa"/>
            <w:vAlign w:val="bottom"/>
            <w:tcBorders>
              <w:right w:val="single" w:sz="8" w:color="BFE4FF"/>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6480" w:type="dxa"/>
            <w:vAlign w:val="bottom"/>
            <w:tcBorders>
              <w:left w:val="single" w:sz="8" w:color="BFE4FF"/>
              <w:bottom w:val="single" w:sz="8" w:color="BFE4FF"/>
              <w:right w:val="single" w:sz="8" w:color="BFE4FF"/>
            </w:tcBorders>
          </w:tcPr>
          <w:p>
            <w:pPr>
              <w:spacing w:after="0"/>
              <w:rPr>
                <w:sz w:val="16"/>
                <w:szCs w:val="16"/>
                <w:color w:val="auto"/>
              </w:rPr>
            </w:pPr>
          </w:p>
        </w:tc>
        <w:tc>
          <w:tcPr>
            <w:tcW w:w="1700" w:type="dxa"/>
            <w:vAlign w:val="bottom"/>
            <w:tcBorders>
              <w:bottom w:val="single" w:sz="8" w:color="BFE4FF"/>
              <w:right w:val="single" w:sz="8" w:color="BFE4FF"/>
            </w:tcBorders>
          </w:tcPr>
          <w:p>
            <w:pPr>
              <w:spacing w:after="0"/>
              <w:rPr>
                <w:sz w:val="16"/>
                <w:szCs w:val="16"/>
                <w:color w:val="auto"/>
              </w:rPr>
            </w:pPr>
          </w:p>
        </w:tc>
        <w:tc>
          <w:tcPr>
            <w:tcW w:w="1680" w:type="dxa"/>
            <w:vAlign w:val="bottom"/>
            <w:tcBorders>
              <w:bottom w:val="single" w:sz="8" w:color="BFE4FF"/>
              <w:right w:val="single" w:sz="8" w:color="BFE4FF"/>
            </w:tcBorders>
          </w:tcPr>
          <w:p>
            <w:pPr>
              <w:spacing w:after="0"/>
              <w:rPr>
                <w:sz w:val="16"/>
                <w:szCs w:val="16"/>
                <w:color w:val="auto"/>
              </w:rPr>
            </w:pPr>
          </w:p>
        </w:tc>
        <w:tc>
          <w:tcPr>
            <w:tcW w:w="1580" w:type="dxa"/>
            <w:vAlign w:val="bottom"/>
            <w:tcBorders>
              <w:bottom w:val="single" w:sz="8" w:color="BFE4FF"/>
              <w:right w:val="single" w:sz="8" w:color="BFE4FF"/>
            </w:tcBorders>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64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0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$3,125.2</w:t>
            </w:r>
          </w:p>
        </w:tc>
        <w:tc>
          <w:tcPr>
            <w:tcW w:w="168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$3,388.0</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(7.8)%</w:t>
            </w:r>
          </w:p>
        </w:tc>
        <w:tc>
          <w:tcPr>
            <w:tcW w:w="0" w:type="dxa"/>
            <w:vAlign w:val="bottom"/>
          </w:tcPr>
          <w:p>
            <w:pPr>
              <w:spacing w:after="0"/>
              <w:rPr>
                <w:sz w:val="1"/>
                <w:szCs w:val="1"/>
                <w:color w:val="auto"/>
              </w:rPr>
            </w:pPr>
          </w:p>
        </w:tc>
      </w:tr>
      <w:tr>
        <w:trPr>
          <w:trHeight w:val="264"/>
        </w:trPr>
        <w:tc>
          <w:tcPr>
            <w:tcW w:w="64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Net income (loss)</w:t>
            </w:r>
          </w:p>
        </w:tc>
        <w:tc>
          <w:tcPr>
            <w:tcW w:w="170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$95.1</w:t>
            </w:r>
          </w:p>
        </w:tc>
        <w:tc>
          <w:tcPr>
            <w:tcW w:w="1680" w:type="dxa"/>
            <w:vAlign w:val="bottom"/>
            <w:tcBorders>
              <w:bottom w:val="single" w:sz="8" w:color="BFE4FF"/>
              <w:right w:val="single" w:sz="8" w:color="BFE4FF"/>
            </w:tcBorders>
          </w:tcPr>
          <w:p>
            <w:pPr>
              <w:jc w:val="right"/>
              <w:ind w:right="86"/>
              <w:spacing w:after="0"/>
              <w:rPr>
                <w:sz w:val="20"/>
                <w:szCs w:val="20"/>
                <w:color w:val="auto"/>
              </w:rPr>
            </w:pPr>
            <w:r>
              <w:rPr>
                <w:rFonts w:ascii="Arial" w:cs="Arial" w:eastAsia="Arial" w:hAnsi="Arial"/>
                <w:sz w:val="20"/>
                <w:szCs w:val="20"/>
                <w:color w:val="auto"/>
              </w:rPr>
              <w:t>($18.7)</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264"/>
        </w:trPr>
        <w:tc>
          <w:tcPr>
            <w:tcW w:w="64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Diluted EPS (loss)</w:t>
            </w:r>
          </w:p>
        </w:tc>
        <w:tc>
          <w:tcPr>
            <w:tcW w:w="170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$0.20</w:t>
            </w:r>
          </w:p>
        </w:tc>
        <w:tc>
          <w:tcPr>
            <w:tcW w:w="1680" w:type="dxa"/>
            <w:vAlign w:val="bottom"/>
            <w:tcBorders>
              <w:bottom w:val="single" w:sz="8" w:color="BFE4FF"/>
              <w:right w:val="single" w:sz="8" w:color="BFE4FF"/>
            </w:tcBorders>
          </w:tcPr>
          <w:p>
            <w:pPr>
              <w:jc w:val="right"/>
              <w:ind w:right="86"/>
              <w:spacing w:after="0"/>
              <w:rPr>
                <w:sz w:val="20"/>
                <w:szCs w:val="20"/>
                <w:color w:val="auto"/>
              </w:rPr>
            </w:pPr>
            <w:r>
              <w:rPr>
                <w:rFonts w:ascii="Arial" w:cs="Arial" w:eastAsia="Arial" w:hAnsi="Arial"/>
                <w:sz w:val="20"/>
                <w:szCs w:val="20"/>
                <w:color w:val="auto"/>
              </w:rPr>
              <w:t>($0.04)</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322"/>
        </w:trPr>
        <w:tc>
          <w:tcPr>
            <w:tcW w:w="6480" w:type="dxa"/>
            <w:vAlign w:val="bottom"/>
            <w:tcBorders>
              <w:left w:val="single" w:sz="8" w:color="BFE4FF"/>
              <w:bottom w:val="single" w:sz="8" w:color="BFE4FF"/>
              <w:right w:val="single" w:sz="8" w:color="BFE4FF"/>
            </w:tcBorders>
          </w:tcPr>
          <w:p>
            <w:pPr>
              <w:spacing w:after="0"/>
              <w:rPr>
                <w:sz w:val="24"/>
                <w:szCs w:val="24"/>
                <w:color w:val="auto"/>
              </w:rPr>
            </w:pPr>
          </w:p>
        </w:tc>
        <w:tc>
          <w:tcPr>
            <w:tcW w:w="1700" w:type="dxa"/>
            <w:vAlign w:val="bottom"/>
            <w:tcBorders>
              <w:bottom w:val="single" w:sz="8" w:color="BFE4FF"/>
              <w:right w:val="single" w:sz="8" w:color="BFE4FF"/>
            </w:tcBorders>
          </w:tcPr>
          <w:p>
            <w:pPr>
              <w:spacing w:after="0"/>
              <w:rPr>
                <w:sz w:val="24"/>
                <w:szCs w:val="24"/>
                <w:color w:val="auto"/>
              </w:rPr>
            </w:pPr>
          </w:p>
        </w:tc>
        <w:tc>
          <w:tcPr>
            <w:tcW w:w="1680" w:type="dxa"/>
            <w:vAlign w:val="bottom"/>
            <w:tcBorders>
              <w:bottom w:val="single" w:sz="8" w:color="BFE4FF"/>
              <w:right w:val="single" w:sz="8" w:color="BFE4FF"/>
            </w:tcBorders>
          </w:tcPr>
          <w:p>
            <w:pPr>
              <w:spacing w:after="0"/>
              <w:rPr>
                <w:sz w:val="24"/>
                <w:szCs w:val="24"/>
                <w:color w:val="auto"/>
              </w:rPr>
            </w:pPr>
          </w:p>
        </w:tc>
        <w:tc>
          <w:tcPr>
            <w:tcW w:w="1580" w:type="dxa"/>
            <w:vAlign w:val="bottom"/>
            <w:tcBorders>
              <w:bottom w:val="single" w:sz="8" w:color="BFE4FF"/>
              <w:right w:val="single" w:sz="8" w:color="BFE4F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4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0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$386.6</w:t>
            </w:r>
          </w:p>
        </w:tc>
        <w:tc>
          <w:tcPr>
            <w:tcW w:w="168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$420.4</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(8.0)%</w:t>
            </w:r>
          </w:p>
        </w:tc>
        <w:tc>
          <w:tcPr>
            <w:tcW w:w="0" w:type="dxa"/>
            <w:vAlign w:val="bottom"/>
          </w:tcPr>
          <w:p>
            <w:pPr>
              <w:spacing w:after="0"/>
              <w:rPr>
                <w:sz w:val="1"/>
                <w:szCs w:val="1"/>
                <w:color w:val="auto"/>
              </w:rPr>
            </w:pPr>
          </w:p>
        </w:tc>
      </w:tr>
      <w:tr>
        <w:trPr>
          <w:trHeight w:val="264"/>
        </w:trPr>
        <w:tc>
          <w:tcPr>
            <w:tcW w:w="64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00" w:type="dxa"/>
            <w:vAlign w:val="bottom"/>
            <w:tcBorders>
              <w:bottom w:val="single" w:sz="8" w:color="BFE4FF"/>
              <w:right w:val="single" w:sz="8" w:color="BFE4FF"/>
            </w:tcBorders>
          </w:tcPr>
          <w:p>
            <w:pPr>
              <w:jc w:val="right"/>
              <w:spacing w:after="0"/>
              <w:rPr>
                <w:sz w:val="20"/>
                <w:szCs w:val="20"/>
                <w:color w:val="auto"/>
              </w:rPr>
            </w:pPr>
            <w:r>
              <w:rPr>
                <w:rFonts w:ascii="Arial" w:cs="Arial" w:eastAsia="Arial" w:hAnsi="Arial"/>
                <w:sz w:val="20"/>
                <w:szCs w:val="20"/>
                <w:color w:val="auto"/>
              </w:rPr>
              <w:t>12.4%</w:t>
            </w:r>
          </w:p>
        </w:tc>
        <w:tc>
          <w:tcPr>
            <w:tcW w:w="1680" w:type="dxa"/>
            <w:vAlign w:val="bottom"/>
            <w:tcBorders>
              <w:bottom w:val="single" w:sz="8" w:color="BFE4FF"/>
              <w:right w:val="single" w:sz="8" w:color="BFE4FF"/>
            </w:tcBorders>
          </w:tcPr>
          <w:p>
            <w:pPr>
              <w:jc w:val="right"/>
              <w:spacing w:after="0"/>
              <w:rPr>
                <w:sz w:val="20"/>
                <w:szCs w:val="20"/>
                <w:color w:val="auto"/>
              </w:rPr>
            </w:pPr>
            <w:r>
              <w:rPr>
                <w:rFonts w:ascii="Arial" w:cs="Arial" w:eastAsia="Arial" w:hAnsi="Arial"/>
                <w:sz w:val="20"/>
                <w:szCs w:val="20"/>
                <w:color w:val="auto"/>
              </w:rPr>
              <w:t>12.4%</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n/c</w:t>
            </w:r>
          </w:p>
        </w:tc>
        <w:tc>
          <w:tcPr>
            <w:tcW w:w="0" w:type="dxa"/>
            <w:vAlign w:val="bottom"/>
          </w:tcPr>
          <w:p>
            <w:pPr>
              <w:spacing w:after="0"/>
              <w:rPr>
                <w:sz w:val="1"/>
                <w:szCs w:val="1"/>
                <w:color w:val="auto"/>
              </w:rPr>
            </w:pPr>
          </w:p>
        </w:tc>
      </w:tr>
      <w:tr>
        <w:trPr>
          <w:trHeight w:val="264"/>
        </w:trPr>
        <w:tc>
          <w:tcPr>
            <w:tcW w:w="64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Net income, excluding charges and credits</w:t>
            </w:r>
          </w:p>
        </w:tc>
        <w:tc>
          <w:tcPr>
            <w:tcW w:w="170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$131.5</w:t>
            </w:r>
          </w:p>
        </w:tc>
        <w:tc>
          <w:tcPr>
            <w:tcW w:w="168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$121.3</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6"/>
              </w:rPr>
              <w:t>8.4%</w:t>
            </w:r>
          </w:p>
        </w:tc>
        <w:tc>
          <w:tcPr>
            <w:tcW w:w="0" w:type="dxa"/>
            <w:vAlign w:val="bottom"/>
          </w:tcPr>
          <w:p>
            <w:pPr>
              <w:spacing w:after="0"/>
              <w:rPr>
                <w:sz w:val="1"/>
                <w:szCs w:val="1"/>
                <w:color w:val="auto"/>
              </w:rPr>
            </w:pPr>
          </w:p>
        </w:tc>
      </w:tr>
      <w:tr>
        <w:trPr>
          <w:trHeight w:val="264"/>
        </w:trPr>
        <w:tc>
          <w:tcPr>
            <w:tcW w:w="64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Diluted EPS, excluding charges and credits</w:t>
            </w:r>
          </w:p>
        </w:tc>
        <w:tc>
          <w:tcPr>
            <w:tcW w:w="170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$0.28</w:t>
            </w:r>
          </w:p>
        </w:tc>
        <w:tc>
          <w:tcPr>
            <w:tcW w:w="168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$0.26</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6"/>
              </w:rPr>
              <w:t>7.7%</w:t>
            </w:r>
          </w:p>
        </w:tc>
        <w:tc>
          <w:tcPr>
            <w:tcW w:w="0" w:type="dxa"/>
            <w:vAlign w:val="bottom"/>
          </w:tcPr>
          <w:p>
            <w:pPr>
              <w:spacing w:after="0"/>
              <w:rPr>
                <w:sz w:val="1"/>
                <w:szCs w:val="1"/>
                <w:color w:val="auto"/>
              </w:rPr>
            </w:pPr>
          </w:p>
        </w:tc>
      </w:tr>
      <w:tr>
        <w:trPr>
          <w:trHeight w:val="322"/>
        </w:trPr>
        <w:tc>
          <w:tcPr>
            <w:tcW w:w="6480" w:type="dxa"/>
            <w:vAlign w:val="bottom"/>
            <w:tcBorders>
              <w:left w:val="single" w:sz="8" w:color="BFE4FF"/>
              <w:bottom w:val="single" w:sz="8" w:color="BFE4FF"/>
              <w:right w:val="single" w:sz="8" w:color="BFE4FF"/>
            </w:tcBorders>
          </w:tcPr>
          <w:p>
            <w:pPr>
              <w:spacing w:after="0"/>
              <w:rPr>
                <w:sz w:val="24"/>
                <w:szCs w:val="24"/>
                <w:color w:val="auto"/>
              </w:rPr>
            </w:pPr>
          </w:p>
        </w:tc>
        <w:tc>
          <w:tcPr>
            <w:tcW w:w="1700" w:type="dxa"/>
            <w:vAlign w:val="bottom"/>
            <w:tcBorders>
              <w:bottom w:val="single" w:sz="8" w:color="BFE4FF"/>
              <w:right w:val="single" w:sz="8" w:color="BFE4FF"/>
            </w:tcBorders>
          </w:tcPr>
          <w:p>
            <w:pPr>
              <w:spacing w:after="0"/>
              <w:rPr>
                <w:sz w:val="24"/>
                <w:szCs w:val="24"/>
                <w:color w:val="auto"/>
              </w:rPr>
            </w:pPr>
          </w:p>
        </w:tc>
        <w:tc>
          <w:tcPr>
            <w:tcW w:w="1680" w:type="dxa"/>
            <w:vAlign w:val="bottom"/>
            <w:tcBorders>
              <w:bottom w:val="single" w:sz="8" w:color="BFE4FF"/>
              <w:right w:val="single" w:sz="8" w:color="BFE4FF"/>
            </w:tcBorders>
          </w:tcPr>
          <w:p>
            <w:pPr>
              <w:spacing w:after="0"/>
              <w:rPr>
                <w:sz w:val="24"/>
                <w:szCs w:val="24"/>
                <w:color w:val="auto"/>
              </w:rPr>
            </w:pPr>
          </w:p>
        </w:tc>
        <w:tc>
          <w:tcPr>
            <w:tcW w:w="1580" w:type="dxa"/>
            <w:vAlign w:val="bottom"/>
            <w:tcBorders>
              <w:bottom w:val="single" w:sz="8" w:color="BFE4FF"/>
              <w:right w:val="single" w:sz="8" w:color="BFE4F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4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0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$3,487.0</w:t>
            </w:r>
          </w:p>
        </w:tc>
        <w:tc>
          <w:tcPr>
            <w:tcW w:w="168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$1,589.5</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rPr>
              <w:t>119.4%</w:t>
            </w:r>
          </w:p>
        </w:tc>
        <w:tc>
          <w:tcPr>
            <w:tcW w:w="0" w:type="dxa"/>
            <w:vAlign w:val="bottom"/>
          </w:tcPr>
          <w:p>
            <w:pPr>
              <w:spacing w:after="0"/>
              <w:rPr>
                <w:sz w:val="1"/>
                <w:szCs w:val="1"/>
                <w:color w:val="auto"/>
              </w:rPr>
            </w:pPr>
          </w:p>
        </w:tc>
      </w:tr>
      <w:tr>
        <w:trPr>
          <w:trHeight w:val="264"/>
        </w:trPr>
        <w:tc>
          <w:tcPr>
            <w:tcW w:w="64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0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$14,012.0</w:t>
            </w:r>
          </w:p>
        </w:tc>
        <w:tc>
          <w:tcPr>
            <w:tcW w:w="1680" w:type="dxa"/>
            <w:vAlign w:val="bottom"/>
            <w:tcBorders>
              <w:bottom w:val="single" w:sz="8" w:color="BFE4FF"/>
              <w:right w:val="single" w:sz="8" w:color="BFE4FF"/>
            </w:tcBorders>
          </w:tcPr>
          <w:p>
            <w:pPr>
              <w:jc w:val="right"/>
              <w:ind w:right="146"/>
              <w:spacing w:after="0"/>
              <w:rPr>
                <w:sz w:val="20"/>
                <w:szCs w:val="20"/>
                <w:color w:val="auto"/>
              </w:rPr>
            </w:pPr>
            <w:r>
              <w:rPr>
                <w:rFonts w:ascii="Arial" w:cs="Arial" w:eastAsia="Arial" w:hAnsi="Arial"/>
                <w:sz w:val="20"/>
                <w:szCs w:val="20"/>
                <w:color w:val="auto"/>
              </w:rPr>
              <w:t>$16,056.2</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(12.7)%</w:t>
            </w:r>
          </w:p>
        </w:tc>
        <w:tc>
          <w:tcPr>
            <w:tcW w:w="0" w:type="dxa"/>
            <w:vAlign w:val="bottom"/>
          </w:tcPr>
          <w:p>
            <w:pPr>
              <w:spacing w:after="0"/>
              <w:rPr>
                <w:sz w:val="1"/>
                <w:szCs w:val="1"/>
                <w:color w:val="auto"/>
              </w:rPr>
            </w:pPr>
          </w:p>
        </w:tc>
      </w:tr>
    </w:tbl>
    <w:p>
      <w:pPr>
        <w:sectPr>
          <w:pgSz w:w="11900" w:h="16838" w:orient="portrait"/>
          <w:cols w:equalWidth="0" w:num="1">
            <w:col w:w="11440"/>
          </w:cols>
          <w:pgMar w:left="240" w:top="1370" w:right="219" w:bottom="1440" w:gutter="0" w:footer="0" w:header="0"/>
        </w:sectPr>
      </w:pPr>
    </w:p>
    <w:bookmarkStart w:id="5" w:name="page6"/>
    <w:bookmarkEnd w:id="5"/>
    <w:p>
      <w:pPr>
        <w:ind w:right="100"/>
        <w:spacing w:after="0" w:line="24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Doug Pferdehirt, CEO of TechnipFMC, stated, “Our solid first quarter results reflect continued strength in operational execution as well as the benefits of merger synergies. Despite lower revenue, total Company adjusted EBITDA margin was unchanged year-over-year. Market conditions for key businesses also continue to improve.”</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“Total inbound orders for the quarter were $3.5 billion, including $1.2 billion for Subsea. Subsea orders have now exceeded revenues in three of the last four quarters. Market penetration of our integrated business model continues to gain momentum as evidenced by the award of three integrated (iEPCI™) projects in the quarter. One of these awards - for Energean’s Karish and Tanin development - is our largest and most comprehensive integrated award to date. The project fully integrates the entire subsea scope with that of the host production facility, leveraging the unique capabilities we have across our portfolio.”</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“Inbound orders for Onshore/Offshore were very strong in the quarter. Orders of $1.8 billion reflect both end-market and geographic diversity. New awards were secured across multiple downstream markets, from gas processing to petrochemicals and refining, as well as offshore-related work, including the floating production, storage, and offloading (FPSO) unit of the Karish iEPCI™ award.”</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20"/>
          <w:szCs w:val="20"/>
          <w:color w:val="auto"/>
        </w:rPr>
        <w:t>Pferdehirt continued, “We also see good growth opportunities through investments that expand our portfolio of differentiated services and technologies. During the quarter, we further strengthened our subsea services growth platform through the formation of TechnipFMC Island Offshore Subsea (TIOS) - a new company focused on vessel-based well intervention services. In addition, we introduced our next generation Control and Automation System to the Subsea 2.0 product platform. We also announced a strategic collaboration with Magma Global to further develop composite technologies and accelerate delivery of Hybrid Flexible Pipe. This new product will complete our Subsea 2.0 offering, providing a flexible pipe solution with reduced weight, lower cost, and higher corrosion tolerance.”</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“Looking forward, FEED activity was also robust in the period and points to an inflection in the downstream market. In particular, increased front-end and commercial activity in the LNG market is providing greater visibility into new project sanctioning. This market dynamic is very compelling for TechnipFMC given our leadership positions in both onshore and offshore liquefaction.”</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“Market adoption of the integrated model continues to improve, and we remain confident that iEPCI™ will represent as much as 25 percent of our Subsea inbound orders in the current year. We have experienced strong customer interest in our Subsea 2.0 platform, with these new technologies being incorporated in more than half of all FEED studies awarded since the start of the year. We remain confident Subsea orders will grow in 2018.”</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Pferdehirt concluded, “The success of all these initiatives and the continued improvements in the major markets we serve give us further confidence that we will deliver on our financial objectives for the current year.”</w:t>
      </w:r>
    </w:p>
    <w:p>
      <w:pPr>
        <w:sectPr>
          <w:pgSz w:w="11900" w:h="16838" w:orient="portrait"/>
          <w:cols w:equalWidth="0" w:num="1">
            <w:col w:w="11420"/>
          </w:cols>
          <w:pgMar w:left="240" w:top="1027"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Operational and Financial Highlights - First Quarter 2018</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862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295"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6520" w:type="dxa"/>
            <w:vAlign w:val="bottom"/>
            <w:tcBorders>
              <w:top w:val="single" w:sz="8" w:color="BFE4FF"/>
              <w:left w:val="single" w:sz="8" w:color="BFE4FF"/>
              <w:right w:val="single" w:sz="8" w:color="BFE4FF"/>
            </w:tcBorders>
          </w:tcPr>
          <w:p>
            <w:pPr>
              <w:spacing w:after="0"/>
              <w:rPr>
                <w:sz w:val="21"/>
                <w:szCs w:val="21"/>
                <w:color w:val="auto"/>
              </w:rPr>
            </w:pPr>
          </w:p>
        </w:tc>
        <w:tc>
          <w:tcPr>
            <w:tcW w:w="1660" w:type="dxa"/>
            <w:vAlign w:val="bottom"/>
            <w:tcBorders>
              <w:top w:val="single" w:sz="8" w:color="BFE4FF"/>
              <w:right w:val="single" w:sz="8" w:color="BFE4FF"/>
            </w:tcBorders>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top w:val="single" w:sz="8" w:color="BFE4FF"/>
              <w:right w:val="single" w:sz="8" w:color="BFE4FF"/>
            </w:tcBorders>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Borders>
              <w:top w:val="single" w:sz="8" w:color="BFE4FF"/>
              <w:right w:val="single" w:sz="8" w:color="BFE4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Borders>
              <w:left w:val="single" w:sz="8" w:color="BFE4FF"/>
              <w:right w:val="single" w:sz="8" w:color="BFE4FF"/>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60" w:type="dxa"/>
            <w:vAlign w:val="bottom"/>
            <w:tcBorders>
              <w:right w:val="single" w:sz="8" w:color="BFE4FF"/>
            </w:tcBorders>
          </w:tcPr>
          <w:p>
            <w:pPr>
              <w:jc w:val="right"/>
              <w:ind w:right="248"/>
              <w:spacing w:after="0"/>
              <w:rPr>
                <w:sz w:val="20"/>
                <w:szCs w:val="20"/>
                <w:color w:val="auto"/>
              </w:rPr>
            </w:pPr>
            <w:r>
              <w:rPr>
                <w:rFonts w:ascii="Arial" w:cs="Arial" w:eastAsia="Arial" w:hAnsi="Arial"/>
                <w:sz w:val="14"/>
                <w:szCs w:val="14"/>
                <w:b w:val="1"/>
                <w:bCs w:val="1"/>
                <w:color w:val="auto"/>
              </w:rPr>
              <w:t>March 31, 2018</w:t>
            </w:r>
          </w:p>
        </w:tc>
        <w:tc>
          <w:tcPr>
            <w:tcW w:w="1680" w:type="dxa"/>
            <w:vAlign w:val="bottom"/>
            <w:tcBorders>
              <w:right w:val="single" w:sz="8" w:color="BFE4FF"/>
            </w:tcBorders>
          </w:tcPr>
          <w:p>
            <w:pPr>
              <w:jc w:val="right"/>
              <w:ind w:right="248"/>
              <w:spacing w:after="0"/>
              <w:rPr>
                <w:sz w:val="20"/>
                <w:szCs w:val="20"/>
                <w:color w:val="auto"/>
              </w:rPr>
            </w:pPr>
            <w:r>
              <w:rPr>
                <w:rFonts w:ascii="Arial" w:cs="Arial" w:eastAsia="Arial" w:hAnsi="Arial"/>
                <w:sz w:val="14"/>
                <w:szCs w:val="14"/>
                <w:b w:val="1"/>
                <w:bCs w:val="1"/>
                <w:color w:val="auto"/>
              </w:rPr>
              <w:t>March 31, 2017</w:t>
            </w:r>
          </w:p>
        </w:tc>
        <w:tc>
          <w:tcPr>
            <w:tcW w:w="1580" w:type="dxa"/>
            <w:vAlign w:val="bottom"/>
            <w:tcBorders>
              <w:right w:val="single" w:sz="8" w:color="BFE4FF"/>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1"/>
        </w:trPr>
        <w:tc>
          <w:tcPr>
            <w:tcW w:w="6520" w:type="dxa"/>
            <w:vAlign w:val="bottom"/>
            <w:tcBorders>
              <w:left w:val="single" w:sz="8" w:color="BFE4FF"/>
              <w:right w:val="single" w:sz="8" w:color="BFE4FF"/>
            </w:tcBorders>
            <w:vMerge w:val="continue"/>
          </w:tcPr>
          <w:p>
            <w:pPr>
              <w:spacing w:after="0"/>
              <w:rPr>
                <w:sz w:val="7"/>
                <w:szCs w:val="7"/>
                <w:color w:val="auto"/>
              </w:rPr>
            </w:pPr>
          </w:p>
        </w:tc>
        <w:tc>
          <w:tcPr>
            <w:tcW w:w="1660" w:type="dxa"/>
            <w:vAlign w:val="bottom"/>
            <w:tcBorders>
              <w:right w:val="single" w:sz="8" w:color="BFE4FF"/>
            </w:tcBorders>
          </w:tcPr>
          <w:p>
            <w:pPr>
              <w:spacing w:after="0"/>
              <w:rPr>
                <w:sz w:val="7"/>
                <w:szCs w:val="7"/>
                <w:color w:val="auto"/>
              </w:rPr>
            </w:pPr>
          </w:p>
        </w:tc>
        <w:tc>
          <w:tcPr>
            <w:tcW w:w="1680" w:type="dxa"/>
            <w:vAlign w:val="bottom"/>
            <w:tcBorders>
              <w:right w:val="single" w:sz="8" w:color="BFE4FF"/>
            </w:tcBorders>
          </w:tcPr>
          <w:p>
            <w:pPr>
              <w:spacing w:after="0"/>
              <w:rPr>
                <w:sz w:val="7"/>
                <w:szCs w:val="7"/>
                <w:color w:val="auto"/>
              </w:rPr>
            </w:pPr>
          </w:p>
        </w:tc>
        <w:tc>
          <w:tcPr>
            <w:tcW w:w="1580" w:type="dxa"/>
            <w:vAlign w:val="bottom"/>
            <w:tcBorders>
              <w:right w:val="single" w:sz="8" w:color="BFE4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6520" w:type="dxa"/>
            <w:vAlign w:val="bottom"/>
            <w:tcBorders>
              <w:left w:val="single" w:sz="8" w:color="BFE4FF"/>
              <w:bottom w:val="single" w:sz="8" w:color="BFE4FF"/>
              <w:right w:val="single" w:sz="8" w:color="BFE4FF"/>
            </w:tcBorders>
          </w:tcPr>
          <w:p>
            <w:pPr>
              <w:spacing w:after="0"/>
              <w:rPr>
                <w:sz w:val="9"/>
                <w:szCs w:val="9"/>
                <w:color w:val="auto"/>
              </w:rPr>
            </w:pPr>
          </w:p>
        </w:tc>
        <w:tc>
          <w:tcPr>
            <w:tcW w:w="1660" w:type="dxa"/>
            <w:vAlign w:val="bottom"/>
            <w:tcBorders>
              <w:bottom w:val="single" w:sz="8" w:color="BFE4FF"/>
              <w:right w:val="single" w:sz="8" w:color="BFE4FF"/>
            </w:tcBorders>
          </w:tcPr>
          <w:p>
            <w:pPr>
              <w:spacing w:after="0"/>
              <w:rPr>
                <w:sz w:val="9"/>
                <w:szCs w:val="9"/>
                <w:color w:val="auto"/>
              </w:rPr>
            </w:pPr>
          </w:p>
        </w:tc>
        <w:tc>
          <w:tcPr>
            <w:tcW w:w="1680" w:type="dxa"/>
            <w:vAlign w:val="bottom"/>
            <w:tcBorders>
              <w:bottom w:val="single" w:sz="8" w:color="BFE4FF"/>
              <w:right w:val="single" w:sz="8" w:color="BFE4FF"/>
            </w:tcBorders>
          </w:tcPr>
          <w:p>
            <w:pPr>
              <w:spacing w:after="0"/>
              <w:rPr>
                <w:sz w:val="9"/>
                <w:szCs w:val="9"/>
                <w:color w:val="auto"/>
              </w:rPr>
            </w:pPr>
          </w:p>
        </w:tc>
        <w:tc>
          <w:tcPr>
            <w:tcW w:w="1580" w:type="dxa"/>
            <w:vAlign w:val="bottom"/>
            <w:tcBorders>
              <w:bottom w:val="single" w:sz="8" w:color="BFE4FF"/>
              <w:right w:val="single" w:sz="8" w:color="BFE4FF"/>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$1,180.2</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$1,376.7</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(14.3)%</w:t>
            </w:r>
          </w:p>
        </w:tc>
        <w:tc>
          <w:tcPr>
            <w:tcW w:w="0" w:type="dxa"/>
            <w:vAlign w:val="bottom"/>
          </w:tcPr>
          <w:p>
            <w:pPr>
              <w:spacing w:after="0"/>
              <w:rPr>
                <w:sz w:val="1"/>
                <w:szCs w:val="1"/>
                <w:color w:val="auto"/>
              </w:rPr>
            </w:pPr>
          </w:p>
        </w:tc>
      </w:tr>
      <w:tr>
        <w:trPr>
          <w:trHeight w:val="264"/>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$54.4</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$54.2</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6"/>
              </w:rPr>
              <w:t>0.4%</w:t>
            </w:r>
          </w:p>
        </w:tc>
        <w:tc>
          <w:tcPr>
            <w:tcW w:w="0" w:type="dxa"/>
            <w:vAlign w:val="bottom"/>
          </w:tcPr>
          <w:p>
            <w:pPr>
              <w:spacing w:after="0"/>
              <w:rPr>
                <w:sz w:val="1"/>
                <w:szCs w:val="1"/>
                <w:color w:val="auto"/>
              </w:rPr>
            </w:pPr>
          </w:p>
        </w:tc>
      </w:tr>
      <w:tr>
        <w:trPr>
          <w:trHeight w:val="264"/>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$172.0</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$238.6</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(27.9)%</w:t>
            </w:r>
          </w:p>
        </w:tc>
        <w:tc>
          <w:tcPr>
            <w:tcW w:w="0" w:type="dxa"/>
            <w:vAlign w:val="bottom"/>
          </w:tcPr>
          <w:p>
            <w:pPr>
              <w:spacing w:after="0"/>
              <w:rPr>
                <w:sz w:val="1"/>
                <w:szCs w:val="1"/>
                <w:color w:val="auto"/>
              </w:rPr>
            </w:pPr>
          </w:p>
        </w:tc>
      </w:tr>
      <w:tr>
        <w:trPr>
          <w:trHeight w:val="264"/>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660" w:type="dxa"/>
            <w:vAlign w:val="bottom"/>
            <w:tcBorders>
              <w:bottom w:val="single" w:sz="8" w:color="BFE4FF"/>
              <w:right w:val="single" w:sz="8" w:color="BFE4FF"/>
            </w:tcBorders>
          </w:tcPr>
          <w:p>
            <w:pPr>
              <w:jc w:val="right"/>
              <w:spacing w:after="0"/>
              <w:rPr>
                <w:sz w:val="20"/>
                <w:szCs w:val="20"/>
                <w:color w:val="auto"/>
              </w:rPr>
            </w:pPr>
            <w:r>
              <w:rPr>
                <w:rFonts w:ascii="Arial" w:cs="Arial" w:eastAsia="Arial" w:hAnsi="Arial"/>
                <w:sz w:val="20"/>
                <w:szCs w:val="20"/>
                <w:color w:val="auto"/>
              </w:rPr>
              <w:t>14.6%</w:t>
            </w:r>
          </w:p>
        </w:tc>
        <w:tc>
          <w:tcPr>
            <w:tcW w:w="1680" w:type="dxa"/>
            <w:vAlign w:val="bottom"/>
            <w:tcBorders>
              <w:bottom w:val="single" w:sz="8" w:color="BFE4FF"/>
              <w:right w:val="single" w:sz="8" w:color="BFE4FF"/>
            </w:tcBorders>
          </w:tcPr>
          <w:p>
            <w:pPr>
              <w:jc w:val="right"/>
              <w:spacing w:after="0"/>
              <w:rPr>
                <w:sz w:val="20"/>
                <w:szCs w:val="20"/>
                <w:color w:val="auto"/>
              </w:rPr>
            </w:pPr>
            <w:r>
              <w:rPr>
                <w:rFonts w:ascii="Arial" w:cs="Arial" w:eastAsia="Arial" w:hAnsi="Arial"/>
                <w:sz w:val="20"/>
                <w:szCs w:val="20"/>
                <w:color w:val="auto"/>
              </w:rPr>
              <w:t>17.3%</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9"/>
              </w:rPr>
              <w:t>(276) bps</w:t>
            </w:r>
          </w:p>
        </w:tc>
        <w:tc>
          <w:tcPr>
            <w:tcW w:w="0" w:type="dxa"/>
            <w:vAlign w:val="bottom"/>
          </w:tcPr>
          <w:p>
            <w:pPr>
              <w:spacing w:after="0"/>
              <w:rPr>
                <w:sz w:val="1"/>
                <w:szCs w:val="1"/>
                <w:color w:val="auto"/>
              </w:rPr>
            </w:pPr>
          </w:p>
        </w:tc>
      </w:tr>
      <w:tr>
        <w:trPr>
          <w:trHeight w:val="322"/>
        </w:trPr>
        <w:tc>
          <w:tcPr>
            <w:tcW w:w="6520" w:type="dxa"/>
            <w:vAlign w:val="bottom"/>
            <w:tcBorders>
              <w:left w:val="single" w:sz="8" w:color="BFE4FF"/>
              <w:bottom w:val="single" w:sz="8" w:color="BFE4FF"/>
              <w:right w:val="single" w:sz="8" w:color="BFE4FF"/>
            </w:tcBorders>
          </w:tcPr>
          <w:p>
            <w:pPr>
              <w:spacing w:after="0"/>
              <w:rPr>
                <w:sz w:val="24"/>
                <w:szCs w:val="24"/>
                <w:color w:val="auto"/>
              </w:rPr>
            </w:pPr>
          </w:p>
        </w:tc>
        <w:tc>
          <w:tcPr>
            <w:tcW w:w="1660" w:type="dxa"/>
            <w:vAlign w:val="bottom"/>
            <w:tcBorders>
              <w:bottom w:val="single" w:sz="8" w:color="BFE4FF"/>
              <w:right w:val="single" w:sz="8" w:color="BFE4FF"/>
            </w:tcBorders>
          </w:tcPr>
          <w:p>
            <w:pPr>
              <w:spacing w:after="0"/>
              <w:rPr>
                <w:sz w:val="24"/>
                <w:szCs w:val="24"/>
                <w:color w:val="auto"/>
              </w:rPr>
            </w:pPr>
          </w:p>
        </w:tc>
        <w:tc>
          <w:tcPr>
            <w:tcW w:w="1680" w:type="dxa"/>
            <w:vAlign w:val="bottom"/>
            <w:tcBorders>
              <w:bottom w:val="single" w:sz="8" w:color="BFE4FF"/>
              <w:right w:val="single" w:sz="8" w:color="BFE4FF"/>
            </w:tcBorders>
          </w:tcPr>
          <w:p>
            <w:pPr>
              <w:spacing w:after="0"/>
              <w:rPr>
                <w:sz w:val="24"/>
                <w:szCs w:val="24"/>
                <w:color w:val="auto"/>
              </w:rPr>
            </w:pPr>
          </w:p>
        </w:tc>
        <w:tc>
          <w:tcPr>
            <w:tcW w:w="1580" w:type="dxa"/>
            <w:vAlign w:val="bottom"/>
            <w:tcBorders>
              <w:bottom w:val="single" w:sz="8" w:color="BFE4FF"/>
              <w:right w:val="single" w:sz="8" w:color="BFE4F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$1,227.8</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$666.0</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84.4%</w:t>
            </w:r>
          </w:p>
        </w:tc>
        <w:tc>
          <w:tcPr>
            <w:tcW w:w="0" w:type="dxa"/>
            <w:vAlign w:val="bottom"/>
          </w:tcPr>
          <w:p>
            <w:pPr>
              <w:spacing w:after="0"/>
              <w:rPr>
                <w:sz w:val="1"/>
                <w:szCs w:val="1"/>
                <w:color w:val="auto"/>
              </w:rPr>
            </w:pPr>
          </w:p>
        </w:tc>
      </w:tr>
      <w:tr>
        <w:trPr>
          <w:trHeight w:val="264"/>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$6,110.9</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$6,558.2</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(6.8)%</w:t>
            </w:r>
          </w:p>
        </w:tc>
        <w:tc>
          <w:tcPr>
            <w:tcW w:w="0" w:type="dxa"/>
            <w:vAlign w:val="bottom"/>
          </w:tcPr>
          <w:p>
            <w:pPr>
              <w:spacing w:after="0"/>
              <w:rPr>
                <w:sz w:val="1"/>
                <w:szCs w:val="1"/>
                <w:color w:val="auto"/>
              </w:rPr>
            </w:pPr>
          </w:p>
        </w:tc>
      </w:tr>
    </w:tbl>
    <w:p>
      <w:pPr>
        <w:spacing w:after="0" w:line="375"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Subsea reported first quarter revenue of $1,180.2 million. Revenue was down 14.3 percent from the prior year as projects in Africa progressed towards completion, partially offset by higher activity in Europe. Subsea revenue continues to be negatively impacted by prior-period declines in inbound orders related to the market downturn.</w:t>
      </w:r>
    </w:p>
    <w:p>
      <w:pPr>
        <w:spacing w:after="0" w:line="152" w:lineRule="exact"/>
        <w:rPr>
          <w:sz w:val="20"/>
          <w:szCs w:val="20"/>
          <w:color w:val="auto"/>
        </w:rPr>
      </w:pPr>
    </w:p>
    <w:p>
      <w:pPr>
        <w:jc w:val="both"/>
        <w:ind w:right="40"/>
        <w:spacing w:after="0" w:line="247" w:lineRule="auto"/>
        <w:rPr>
          <w:sz w:val="20"/>
          <w:szCs w:val="20"/>
          <w:color w:val="auto"/>
        </w:rPr>
      </w:pPr>
      <w:r>
        <w:rPr>
          <w:rFonts w:ascii="Arial" w:cs="Arial" w:eastAsia="Arial" w:hAnsi="Arial"/>
          <w:sz w:val="20"/>
          <w:szCs w:val="20"/>
          <w:color w:val="auto"/>
        </w:rPr>
        <w:t>Subsea reported operating profit of $54.4 million. Despite the revenue decline, operating profit was unchanged from the prior year due in part to a reduction in merger-related charges and the benefit of synergies.</w:t>
      </w:r>
    </w:p>
    <w:p>
      <w:pPr>
        <w:spacing w:after="0" w:line="148"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Adjusted EBITDA was $172 million with a margin of 14.6 percent. Adjusted EBITDA and adjusted EBITDA margin decreased 27.9 percent and 276 basis points from the prior-year results, respectively. These results were negatively impacted by the revenue decline and lower vessel utilization, partially offset by merger synergies.</w:t>
      </w:r>
    </w:p>
    <w:p>
      <w:pPr>
        <w:spacing w:after="0" w:line="152"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Vessel utilization rate for the first quarter was 60 percent, down from 65 percent in the fourth quarter and from 68 percent in the prior-year quarter.</w:t>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First Quarter Subsea Highlights</w:t>
      </w:r>
    </w:p>
    <w:p>
      <w:pPr>
        <w:spacing w:after="0" w:line="20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Total Kaombo</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Completion of the spool campaign utilizing the Skandi Africa and North Sea Atlantic vessels.</w:t>
      </w:r>
    </w:p>
    <w:p>
      <w:pPr>
        <w:spacing w:after="0" w:line="20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Shell Kaikias iEPCI™</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Compact PLEM successfully installed by the Deep Blue vessel.</w:t>
      </w:r>
    </w:p>
    <w:p>
      <w:pPr>
        <w:spacing w:after="0" w:line="20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Statoil Peregrino</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Engineering deliverables progressing as per original plan.</w:t>
      </w:r>
    </w:p>
    <w:p>
      <w:pPr>
        <w:sectPr>
          <w:pgSz w:w="11900" w:h="16838" w:orient="portrait"/>
          <w:cols w:equalWidth="0" w:num="1">
            <w:col w:w="11440"/>
          </w:cols>
          <w:pgMar w:left="240" w:top="355" w:right="21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Subsea inbound orders for the quarter were $1,227.8 million. The following awards were announced in the period:</w:t>
      </w:r>
    </w:p>
    <w:p>
      <w:pPr>
        <w:spacing w:after="0" w:line="1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Energean Karish iEPCI™ Project offshore Israel</w:t>
      </w:r>
    </w:p>
    <w:p>
      <w:pPr>
        <w:spacing w:after="0" w:line="24" w:lineRule="exact"/>
        <w:rPr>
          <w:sz w:val="20"/>
          <w:szCs w:val="20"/>
          <w:color w:val="auto"/>
        </w:rPr>
      </w:pPr>
    </w:p>
    <w:p>
      <w:pPr>
        <w:ind w:left="660" w:right="20" w:firstLine="648"/>
        <w:spacing w:after="0" w:line="243" w:lineRule="auto"/>
        <w:rPr>
          <w:sz w:val="20"/>
          <w:szCs w:val="20"/>
          <w:color w:val="auto"/>
        </w:rPr>
      </w:pPr>
      <w:r>
        <w:rPr>
          <w:rFonts w:ascii="Arial" w:cs="Arial" w:eastAsia="Arial" w:hAnsi="Arial"/>
          <w:sz w:val="20"/>
          <w:szCs w:val="20"/>
          <w:color w:val="auto"/>
        </w:rPr>
        <w:t>Award for integrated engineering, procurement, construction, and installation (iEPCI™) of the Karish field which combines a fully integrated field development encompassing the entire subsea and FPSO scopes.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Note: Project inbound order was assigned to Subsea and Onshore/Offshore segments.</w:t>
      </w:r>
    </w:p>
    <w:p>
      <w:pPr>
        <w:spacing w:after="0" w:line="22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LLOG Who Dat iEPCI™ Project in the Gulf of Mexico</w:t>
      </w:r>
    </w:p>
    <w:p>
      <w:pPr>
        <w:spacing w:after="0" w:line="24" w:lineRule="exact"/>
        <w:rPr>
          <w:sz w:val="20"/>
          <w:szCs w:val="20"/>
          <w:color w:val="auto"/>
        </w:rPr>
      </w:pPr>
    </w:p>
    <w:p>
      <w:pPr>
        <w:ind w:left="660" w:right="20" w:firstLine="648"/>
        <w:spacing w:after="0" w:line="247" w:lineRule="auto"/>
        <w:rPr>
          <w:sz w:val="20"/>
          <w:szCs w:val="20"/>
          <w:color w:val="auto"/>
        </w:rPr>
      </w:pPr>
      <w:r>
        <w:rPr>
          <w:rFonts w:ascii="Arial" w:cs="Arial" w:eastAsia="Arial" w:hAnsi="Arial"/>
          <w:sz w:val="20"/>
          <w:szCs w:val="20"/>
          <w:color w:val="auto"/>
        </w:rPr>
        <w:t>Award for the iEPCI™ of the Who Dat field which covers the delivery and installation of a Multiphase Pumping System, including a manifold, umbilical termination assembly, power umbilical, jumper and topside control equipment.</w:t>
      </w:r>
    </w:p>
    <w:p>
      <w:pPr>
        <w:spacing w:after="0" w:line="19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Sabah Shell Petroleum Gumusut-Kakap iEPCI™ Project offshore Malaysia</w:t>
      </w:r>
    </w:p>
    <w:p>
      <w:pPr>
        <w:spacing w:after="0" w:line="24" w:lineRule="exact"/>
        <w:rPr>
          <w:sz w:val="20"/>
          <w:szCs w:val="20"/>
          <w:color w:val="auto"/>
        </w:rPr>
      </w:pPr>
    </w:p>
    <w:p>
      <w:pPr>
        <w:ind w:left="660" w:right="20" w:firstLine="648"/>
        <w:spacing w:after="0" w:line="247" w:lineRule="auto"/>
        <w:rPr>
          <w:sz w:val="20"/>
          <w:szCs w:val="20"/>
          <w:color w:val="auto"/>
        </w:rPr>
      </w:pPr>
      <w:r>
        <w:rPr>
          <w:rFonts w:ascii="Arial" w:cs="Arial" w:eastAsia="Arial" w:hAnsi="Arial"/>
          <w:sz w:val="20"/>
          <w:szCs w:val="20"/>
          <w:color w:val="auto"/>
        </w:rPr>
        <w:t>Award for the iEPCI™ which covers the delivery and installation of subsea equipment including umbilicals, flowlines and the subsea production system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54875" cy="127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12776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380" w:type="dxa"/>
            <w:vAlign w:val="bottom"/>
          </w:tcPr>
          <w:p>
            <w:pPr>
              <w:ind w:left="40"/>
              <w:spacing w:after="0"/>
              <w:rPr>
                <w:sz w:val="20"/>
                <w:szCs w:val="20"/>
                <w:color w:val="auto"/>
              </w:rPr>
            </w:pPr>
            <w:r>
              <w:rPr>
                <w:rFonts w:ascii="Arial" w:cs="Arial" w:eastAsia="Arial" w:hAnsi="Arial"/>
                <w:sz w:val="20"/>
                <w:szCs w:val="20"/>
                <w:b w:val="1"/>
                <w:bCs w:val="1"/>
                <w:color w:val="auto"/>
              </w:rPr>
              <w:t>Estimated Backlog Scheduling as of March 31, 2018</w:t>
            </w:r>
          </w:p>
        </w:tc>
        <w:tc>
          <w:tcPr>
            <w:tcW w:w="4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9"/>
        </w:trPr>
        <w:tc>
          <w:tcPr>
            <w:tcW w:w="73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060" w:type="dxa"/>
            <w:vAlign w:val="bottom"/>
            <w:vMerge w:val="restart"/>
          </w:tcPr>
          <w:p>
            <w:pPr>
              <w:jc w:val="right"/>
              <w:ind w:right="843"/>
              <w:spacing w:after="0"/>
              <w:rPr>
                <w:sz w:val="20"/>
                <w:szCs w:val="20"/>
                <w:color w:val="auto"/>
              </w:rPr>
            </w:pPr>
            <w:r>
              <w:rPr>
                <w:rFonts w:ascii="Arial" w:cs="Arial" w:eastAsia="Arial" w:hAnsi="Arial"/>
                <w:sz w:val="18"/>
                <w:szCs w:val="18"/>
                <w:b w:val="1"/>
                <w:bCs w:val="1"/>
                <w:color w:val="auto"/>
              </w:rPr>
              <w:t>Subsea</w:t>
            </w:r>
          </w:p>
        </w:tc>
        <w:tc>
          <w:tcPr>
            <w:tcW w:w="0" w:type="dxa"/>
            <w:vAlign w:val="bottom"/>
          </w:tcPr>
          <w:p>
            <w:pPr>
              <w:spacing w:after="0"/>
              <w:rPr>
                <w:sz w:val="1"/>
                <w:szCs w:val="1"/>
                <w:color w:val="auto"/>
              </w:rPr>
            </w:pPr>
          </w:p>
        </w:tc>
      </w:tr>
      <w:tr>
        <w:trPr>
          <w:trHeight w:val="195"/>
        </w:trPr>
        <w:tc>
          <w:tcPr>
            <w:tcW w:w="7380" w:type="dxa"/>
            <w:vAlign w:val="bottom"/>
            <w:tcBorders>
              <w:bottom w:val="single" w:sz="8" w:color="BFE4FF"/>
            </w:tcBorders>
          </w:tcPr>
          <w:p>
            <w:pPr>
              <w:spacing w:after="0"/>
              <w:rPr>
                <w:sz w:val="16"/>
                <w:szCs w:val="16"/>
                <w:color w:val="auto"/>
              </w:rPr>
            </w:pPr>
          </w:p>
        </w:tc>
        <w:tc>
          <w:tcPr>
            <w:tcW w:w="4060" w:type="dxa"/>
            <w:vAlign w:val="bottom"/>
            <w:tcBorders>
              <w:bottom w:val="single" w:sz="8" w:color="BFE4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738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2018 (9 months)</w:t>
            </w:r>
          </w:p>
        </w:tc>
        <w:tc>
          <w:tcPr>
            <w:tcW w:w="4060" w:type="dxa"/>
            <w:vAlign w:val="bottom"/>
            <w:tcBorders>
              <w:bottom w:val="single" w:sz="8" w:color="BFE4FF"/>
            </w:tcBorders>
          </w:tcPr>
          <w:p>
            <w:pPr>
              <w:jc w:val="right"/>
              <w:ind w:right="23"/>
              <w:spacing w:after="0"/>
              <w:rPr>
                <w:sz w:val="20"/>
                <w:szCs w:val="20"/>
                <w:color w:val="auto"/>
              </w:rPr>
            </w:pPr>
            <w:r>
              <w:rPr>
                <w:rFonts w:ascii="Arial" w:cs="Arial" w:eastAsia="Arial" w:hAnsi="Arial"/>
                <w:sz w:val="20"/>
                <w:szCs w:val="20"/>
                <w:color w:val="auto"/>
              </w:rPr>
              <w:t>$2,868.8</w:t>
            </w:r>
          </w:p>
        </w:tc>
        <w:tc>
          <w:tcPr>
            <w:tcW w:w="0" w:type="dxa"/>
            <w:vAlign w:val="bottom"/>
          </w:tcPr>
          <w:p>
            <w:pPr>
              <w:spacing w:after="0"/>
              <w:rPr>
                <w:sz w:val="1"/>
                <w:szCs w:val="1"/>
                <w:color w:val="auto"/>
              </w:rPr>
            </w:pPr>
          </w:p>
        </w:tc>
      </w:tr>
      <w:tr>
        <w:trPr>
          <w:trHeight w:val="264"/>
        </w:trPr>
        <w:tc>
          <w:tcPr>
            <w:tcW w:w="738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2019</w:t>
            </w:r>
          </w:p>
        </w:tc>
        <w:tc>
          <w:tcPr>
            <w:tcW w:w="4060" w:type="dxa"/>
            <w:vAlign w:val="bottom"/>
            <w:tcBorders>
              <w:bottom w:val="single" w:sz="8" w:color="BFE4FF"/>
            </w:tcBorders>
          </w:tcPr>
          <w:p>
            <w:pPr>
              <w:jc w:val="right"/>
              <w:ind w:right="23"/>
              <w:spacing w:after="0"/>
              <w:rPr>
                <w:sz w:val="20"/>
                <w:szCs w:val="20"/>
                <w:color w:val="auto"/>
              </w:rPr>
            </w:pPr>
            <w:r>
              <w:rPr>
                <w:rFonts w:ascii="Arial" w:cs="Arial" w:eastAsia="Arial" w:hAnsi="Arial"/>
                <w:sz w:val="20"/>
                <w:szCs w:val="20"/>
                <w:color w:val="auto"/>
              </w:rPr>
              <w:t>$1,665.5</w:t>
            </w:r>
          </w:p>
        </w:tc>
        <w:tc>
          <w:tcPr>
            <w:tcW w:w="0" w:type="dxa"/>
            <w:vAlign w:val="bottom"/>
          </w:tcPr>
          <w:p>
            <w:pPr>
              <w:spacing w:after="0"/>
              <w:rPr>
                <w:sz w:val="1"/>
                <w:szCs w:val="1"/>
                <w:color w:val="auto"/>
              </w:rPr>
            </w:pPr>
          </w:p>
        </w:tc>
      </w:tr>
      <w:tr>
        <w:trPr>
          <w:trHeight w:val="264"/>
        </w:trPr>
        <w:tc>
          <w:tcPr>
            <w:tcW w:w="738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2020 and beyond</w:t>
            </w:r>
          </w:p>
        </w:tc>
        <w:tc>
          <w:tcPr>
            <w:tcW w:w="4060" w:type="dxa"/>
            <w:vAlign w:val="bottom"/>
            <w:tcBorders>
              <w:bottom w:val="single" w:sz="8" w:color="BFE4FF"/>
            </w:tcBorders>
          </w:tcPr>
          <w:p>
            <w:pPr>
              <w:jc w:val="right"/>
              <w:ind w:right="23"/>
              <w:spacing w:after="0"/>
              <w:rPr>
                <w:sz w:val="20"/>
                <w:szCs w:val="20"/>
                <w:color w:val="auto"/>
              </w:rPr>
            </w:pPr>
            <w:r>
              <w:rPr>
                <w:rFonts w:ascii="Arial" w:cs="Arial" w:eastAsia="Arial" w:hAnsi="Arial"/>
                <w:sz w:val="20"/>
                <w:szCs w:val="20"/>
                <w:color w:val="auto"/>
              </w:rPr>
              <w:t>$1,576.6</w:t>
            </w:r>
          </w:p>
        </w:tc>
        <w:tc>
          <w:tcPr>
            <w:tcW w:w="0" w:type="dxa"/>
            <w:vAlign w:val="bottom"/>
          </w:tcPr>
          <w:p>
            <w:pPr>
              <w:spacing w:after="0"/>
              <w:rPr>
                <w:sz w:val="1"/>
                <w:szCs w:val="1"/>
                <w:color w:val="auto"/>
              </w:rPr>
            </w:pPr>
          </w:p>
        </w:tc>
      </w:tr>
      <w:tr>
        <w:trPr>
          <w:trHeight w:val="259"/>
        </w:trPr>
        <w:tc>
          <w:tcPr>
            <w:tcW w:w="7380" w:type="dxa"/>
            <w:vAlign w:val="bottom"/>
          </w:tcPr>
          <w:p>
            <w:pPr>
              <w:ind w:left="40"/>
              <w:spacing w:after="0"/>
              <w:rPr>
                <w:sz w:val="20"/>
                <w:szCs w:val="20"/>
                <w:color w:val="auto"/>
              </w:rPr>
            </w:pPr>
            <w:r>
              <w:rPr>
                <w:rFonts w:ascii="Arial" w:cs="Arial" w:eastAsia="Arial" w:hAnsi="Arial"/>
                <w:sz w:val="20"/>
                <w:szCs w:val="20"/>
                <w:b w:val="1"/>
                <w:bCs w:val="1"/>
                <w:color w:val="auto"/>
              </w:rPr>
              <w:t>Total</w:t>
            </w:r>
          </w:p>
        </w:tc>
        <w:tc>
          <w:tcPr>
            <w:tcW w:w="4060" w:type="dxa"/>
            <w:vAlign w:val="bottom"/>
          </w:tcPr>
          <w:p>
            <w:pPr>
              <w:jc w:val="right"/>
              <w:ind w:right="23"/>
              <w:spacing w:after="0"/>
              <w:rPr>
                <w:sz w:val="20"/>
                <w:szCs w:val="20"/>
                <w:color w:val="auto"/>
              </w:rPr>
            </w:pPr>
            <w:r>
              <w:rPr>
                <w:rFonts w:ascii="Arial" w:cs="Arial" w:eastAsia="Arial" w:hAnsi="Arial"/>
                <w:sz w:val="20"/>
                <w:szCs w:val="20"/>
                <w:b w:val="1"/>
                <w:bCs w:val="1"/>
                <w:color w:val="auto"/>
              </w:rPr>
              <w:t>$6,110.9</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Backlog does not capture all revenue potential for subsea services.</w:t>
      </w:r>
    </w:p>
    <w:p>
      <w:pPr>
        <w:sectPr>
          <w:pgSz w:w="11900" w:h="16838" w:orient="portrait"/>
          <w:cols w:equalWidth="0" w:num="1">
            <w:col w:w="11440"/>
          </w:cols>
          <w:pgMar w:left="240" w:top="379" w:right="219" w:bottom="1440" w:gutter="0" w:footer="0" w:header="0"/>
        </w:sectPr>
      </w:pPr>
    </w:p>
    <w:bookmarkStart w:id="8" w:name="page9"/>
    <w:bookmarkEnd w:id="8"/>
    <w:p>
      <w:pPr>
        <w:ind w:left="40"/>
        <w:spacing w:after="0"/>
        <w:rPr>
          <w:sz w:val="20"/>
          <w:szCs w:val="20"/>
          <w:color w:val="auto"/>
        </w:rPr>
      </w:pPr>
      <w:r>
        <w:rPr>
          <w:rFonts w:ascii="Arial" w:cs="Arial" w:eastAsia="Arial" w:hAnsi="Arial"/>
          <w:sz w:val="20"/>
          <w:szCs w:val="20"/>
          <w:b w:val="1"/>
          <w:bCs w:val="1"/>
          <w:color w:val="auto"/>
        </w:rPr>
        <w:t>Onshore/Offshore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862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295"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6520" w:type="dxa"/>
            <w:vAlign w:val="bottom"/>
            <w:tcBorders>
              <w:top w:val="single" w:sz="8" w:color="BFE4FF"/>
              <w:left w:val="single" w:sz="8" w:color="BFE4FF"/>
              <w:right w:val="single" w:sz="8" w:color="BFE4FF"/>
            </w:tcBorders>
          </w:tcPr>
          <w:p>
            <w:pPr>
              <w:spacing w:after="0"/>
              <w:rPr>
                <w:sz w:val="18"/>
                <w:szCs w:val="18"/>
                <w:color w:val="auto"/>
              </w:rPr>
            </w:pPr>
          </w:p>
        </w:tc>
        <w:tc>
          <w:tcPr>
            <w:tcW w:w="1660" w:type="dxa"/>
            <w:vAlign w:val="bottom"/>
            <w:tcBorders>
              <w:top w:val="single" w:sz="8" w:color="BFE4FF"/>
              <w:right w:val="single" w:sz="8" w:color="BFE4FF"/>
            </w:tcBorders>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top w:val="single" w:sz="8" w:color="BFE4FF"/>
              <w:right w:val="single" w:sz="8" w:color="BFE4FF"/>
            </w:tcBorders>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Borders>
              <w:top w:val="single" w:sz="8" w:color="BFE4FF"/>
              <w:right w:val="single" w:sz="8" w:color="BFE4FF"/>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520" w:type="dxa"/>
            <w:vAlign w:val="bottom"/>
            <w:tcBorders>
              <w:left w:val="single" w:sz="8" w:color="BFE4FF"/>
              <w:right w:val="single" w:sz="8" w:color="BFE4FF"/>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60" w:type="dxa"/>
            <w:vAlign w:val="bottom"/>
            <w:tcBorders>
              <w:right w:val="single" w:sz="8" w:color="BFE4FF"/>
            </w:tcBorders>
          </w:tcPr>
          <w:p>
            <w:pPr>
              <w:jc w:val="right"/>
              <w:ind w:right="248"/>
              <w:spacing w:after="0"/>
              <w:rPr>
                <w:sz w:val="20"/>
                <w:szCs w:val="20"/>
                <w:color w:val="auto"/>
              </w:rPr>
            </w:pPr>
            <w:r>
              <w:rPr>
                <w:rFonts w:ascii="Arial" w:cs="Arial" w:eastAsia="Arial" w:hAnsi="Arial"/>
                <w:sz w:val="14"/>
                <w:szCs w:val="14"/>
                <w:b w:val="1"/>
                <w:bCs w:val="1"/>
                <w:color w:val="auto"/>
              </w:rPr>
              <w:t>March 31, 2018</w:t>
            </w:r>
          </w:p>
        </w:tc>
        <w:tc>
          <w:tcPr>
            <w:tcW w:w="1680" w:type="dxa"/>
            <w:vAlign w:val="bottom"/>
            <w:tcBorders>
              <w:right w:val="single" w:sz="8" w:color="BFE4FF"/>
            </w:tcBorders>
          </w:tcPr>
          <w:p>
            <w:pPr>
              <w:jc w:val="right"/>
              <w:ind w:right="248"/>
              <w:spacing w:after="0"/>
              <w:rPr>
                <w:sz w:val="20"/>
                <w:szCs w:val="20"/>
                <w:color w:val="auto"/>
              </w:rPr>
            </w:pPr>
            <w:r>
              <w:rPr>
                <w:rFonts w:ascii="Arial" w:cs="Arial" w:eastAsia="Arial" w:hAnsi="Arial"/>
                <w:sz w:val="14"/>
                <w:szCs w:val="14"/>
                <w:b w:val="1"/>
                <w:bCs w:val="1"/>
                <w:color w:val="auto"/>
              </w:rPr>
              <w:t>March 31, 2017</w:t>
            </w:r>
          </w:p>
        </w:tc>
        <w:tc>
          <w:tcPr>
            <w:tcW w:w="1580" w:type="dxa"/>
            <w:vAlign w:val="bottom"/>
            <w:tcBorders>
              <w:right w:val="single" w:sz="8" w:color="BFE4FF"/>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6520" w:type="dxa"/>
            <w:vAlign w:val="bottom"/>
            <w:tcBorders>
              <w:left w:val="single" w:sz="8" w:color="BFE4FF"/>
              <w:bottom w:val="single" w:sz="8" w:color="BFE4FF"/>
              <w:right w:val="single" w:sz="8" w:color="BFE4FF"/>
            </w:tcBorders>
            <w:vMerge w:val="continue"/>
          </w:tcPr>
          <w:p>
            <w:pPr>
              <w:spacing w:after="0"/>
              <w:rPr>
                <w:sz w:val="16"/>
                <w:szCs w:val="16"/>
                <w:color w:val="auto"/>
              </w:rPr>
            </w:pPr>
          </w:p>
        </w:tc>
        <w:tc>
          <w:tcPr>
            <w:tcW w:w="1660" w:type="dxa"/>
            <w:vAlign w:val="bottom"/>
            <w:tcBorders>
              <w:bottom w:val="single" w:sz="8" w:color="BFE4FF"/>
              <w:right w:val="single" w:sz="8" w:color="BFE4FF"/>
            </w:tcBorders>
          </w:tcPr>
          <w:p>
            <w:pPr>
              <w:spacing w:after="0"/>
              <w:rPr>
                <w:sz w:val="16"/>
                <w:szCs w:val="16"/>
                <w:color w:val="auto"/>
              </w:rPr>
            </w:pPr>
          </w:p>
        </w:tc>
        <w:tc>
          <w:tcPr>
            <w:tcW w:w="1680" w:type="dxa"/>
            <w:vAlign w:val="bottom"/>
            <w:tcBorders>
              <w:bottom w:val="single" w:sz="8" w:color="BFE4FF"/>
              <w:right w:val="single" w:sz="8" w:color="BFE4FF"/>
            </w:tcBorders>
          </w:tcPr>
          <w:p>
            <w:pPr>
              <w:spacing w:after="0"/>
              <w:rPr>
                <w:sz w:val="16"/>
                <w:szCs w:val="16"/>
                <w:color w:val="auto"/>
              </w:rPr>
            </w:pPr>
          </w:p>
        </w:tc>
        <w:tc>
          <w:tcPr>
            <w:tcW w:w="1580" w:type="dxa"/>
            <w:vAlign w:val="bottom"/>
            <w:tcBorders>
              <w:bottom w:val="single" w:sz="8" w:color="BFE4FF"/>
              <w:right w:val="single" w:sz="8" w:color="BFE4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$1,573.4</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$1,764.0</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(10.8)%</w:t>
            </w:r>
          </w:p>
        </w:tc>
        <w:tc>
          <w:tcPr>
            <w:tcW w:w="0" w:type="dxa"/>
            <w:vAlign w:val="bottom"/>
          </w:tcPr>
          <w:p>
            <w:pPr>
              <w:spacing w:after="0"/>
              <w:rPr>
                <w:sz w:val="1"/>
                <w:szCs w:val="1"/>
                <w:color w:val="auto"/>
              </w:rPr>
            </w:pPr>
          </w:p>
        </w:tc>
      </w:tr>
      <w:tr>
        <w:trPr>
          <w:trHeight w:val="264"/>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$202.9</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$142.8</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42.1%</w:t>
            </w:r>
          </w:p>
        </w:tc>
        <w:tc>
          <w:tcPr>
            <w:tcW w:w="0" w:type="dxa"/>
            <w:vAlign w:val="bottom"/>
          </w:tcPr>
          <w:p>
            <w:pPr>
              <w:spacing w:after="0"/>
              <w:rPr>
                <w:sz w:val="1"/>
                <w:szCs w:val="1"/>
                <w:color w:val="auto"/>
              </w:rPr>
            </w:pPr>
          </w:p>
        </w:tc>
      </w:tr>
      <w:tr>
        <w:trPr>
          <w:trHeight w:val="264"/>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$215.0</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$152.2</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41.3%</w:t>
            </w:r>
          </w:p>
        </w:tc>
        <w:tc>
          <w:tcPr>
            <w:tcW w:w="0" w:type="dxa"/>
            <w:vAlign w:val="bottom"/>
          </w:tcPr>
          <w:p>
            <w:pPr>
              <w:spacing w:after="0"/>
              <w:rPr>
                <w:sz w:val="1"/>
                <w:szCs w:val="1"/>
                <w:color w:val="auto"/>
              </w:rPr>
            </w:pPr>
          </w:p>
        </w:tc>
      </w:tr>
      <w:tr>
        <w:trPr>
          <w:trHeight w:val="264"/>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660" w:type="dxa"/>
            <w:vAlign w:val="bottom"/>
            <w:tcBorders>
              <w:bottom w:val="single" w:sz="8" w:color="BFE4FF"/>
              <w:right w:val="single" w:sz="8" w:color="BFE4FF"/>
            </w:tcBorders>
          </w:tcPr>
          <w:p>
            <w:pPr>
              <w:jc w:val="right"/>
              <w:spacing w:after="0"/>
              <w:rPr>
                <w:sz w:val="20"/>
                <w:szCs w:val="20"/>
                <w:color w:val="auto"/>
              </w:rPr>
            </w:pPr>
            <w:r>
              <w:rPr>
                <w:rFonts w:ascii="Arial" w:cs="Arial" w:eastAsia="Arial" w:hAnsi="Arial"/>
                <w:sz w:val="20"/>
                <w:szCs w:val="20"/>
                <w:color w:val="auto"/>
              </w:rPr>
              <w:t>13.7%</w:t>
            </w:r>
          </w:p>
        </w:tc>
        <w:tc>
          <w:tcPr>
            <w:tcW w:w="1680" w:type="dxa"/>
            <w:vAlign w:val="bottom"/>
            <w:tcBorders>
              <w:bottom w:val="single" w:sz="8" w:color="BFE4FF"/>
              <w:right w:val="single" w:sz="8" w:color="BFE4FF"/>
            </w:tcBorders>
          </w:tcPr>
          <w:p>
            <w:pPr>
              <w:jc w:val="right"/>
              <w:spacing w:after="0"/>
              <w:rPr>
                <w:sz w:val="20"/>
                <w:szCs w:val="20"/>
                <w:color w:val="auto"/>
              </w:rPr>
            </w:pPr>
            <w:r>
              <w:rPr>
                <w:rFonts w:ascii="Arial" w:cs="Arial" w:eastAsia="Arial" w:hAnsi="Arial"/>
                <w:sz w:val="20"/>
                <w:szCs w:val="20"/>
                <w:color w:val="auto"/>
              </w:rPr>
              <w:t>8.6%</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504 bps</w:t>
            </w:r>
          </w:p>
        </w:tc>
        <w:tc>
          <w:tcPr>
            <w:tcW w:w="0" w:type="dxa"/>
            <w:vAlign w:val="bottom"/>
          </w:tcPr>
          <w:p>
            <w:pPr>
              <w:spacing w:after="0"/>
              <w:rPr>
                <w:sz w:val="1"/>
                <w:szCs w:val="1"/>
                <w:color w:val="auto"/>
              </w:rPr>
            </w:pPr>
          </w:p>
        </w:tc>
      </w:tr>
      <w:tr>
        <w:trPr>
          <w:trHeight w:val="322"/>
        </w:trPr>
        <w:tc>
          <w:tcPr>
            <w:tcW w:w="6520" w:type="dxa"/>
            <w:vAlign w:val="bottom"/>
            <w:tcBorders>
              <w:left w:val="single" w:sz="8" w:color="BFE4FF"/>
              <w:bottom w:val="single" w:sz="8" w:color="BFE4FF"/>
              <w:right w:val="single" w:sz="8" w:color="BFE4FF"/>
            </w:tcBorders>
          </w:tcPr>
          <w:p>
            <w:pPr>
              <w:spacing w:after="0"/>
              <w:rPr>
                <w:sz w:val="24"/>
                <w:szCs w:val="24"/>
                <w:color w:val="auto"/>
              </w:rPr>
            </w:pPr>
          </w:p>
        </w:tc>
        <w:tc>
          <w:tcPr>
            <w:tcW w:w="1660" w:type="dxa"/>
            <w:vAlign w:val="bottom"/>
            <w:tcBorders>
              <w:bottom w:val="single" w:sz="8" w:color="BFE4FF"/>
              <w:right w:val="single" w:sz="8" w:color="BFE4FF"/>
            </w:tcBorders>
          </w:tcPr>
          <w:p>
            <w:pPr>
              <w:spacing w:after="0"/>
              <w:rPr>
                <w:sz w:val="24"/>
                <w:szCs w:val="24"/>
                <w:color w:val="auto"/>
              </w:rPr>
            </w:pPr>
          </w:p>
        </w:tc>
        <w:tc>
          <w:tcPr>
            <w:tcW w:w="1680" w:type="dxa"/>
            <w:vAlign w:val="bottom"/>
            <w:tcBorders>
              <w:bottom w:val="single" w:sz="8" w:color="BFE4FF"/>
              <w:right w:val="single" w:sz="8" w:color="BFE4FF"/>
            </w:tcBorders>
          </w:tcPr>
          <w:p>
            <w:pPr>
              <w:spacing w:after="0"/>
              <w:rPr>
                <w:sz w:val="24"/>
                <w:szCs w:val="24"/>
                <w:color w:val="auto"/>
              </w:rPr>
            </w:pPr>
          </w:p>
        </w:tc>
        <w:tc>
          <w:tcPr>
            <w:tcW w:w="1580" w:type="dxa"/>
            <w:vAlign w:val="bottom"/>
            <w:tcBorders>
              <w:bottom w:val="single" w:sz="8" w:color="BFE4FF"/>
              <w:right w:val="single" w:sz="8" w:color="BFE4F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$1,849.6</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$682.0</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rPr>
              <w:t>171.2%</w:t>
            </w:r>
          </w:p>
        </w:tc>
        <w:tc>
          <w:tcPr>
            <w:tcW w:w="0" w:type="dxa"/>
            <w:vAlign w:val="bottom"/>
          </w:tcPr>
          <w:p>
            <w:pPr>
              <w:spacing w:after="0"/>
              <w:rPr>
                <w:sz w:val="1"/>
                <w:szCs w:val="1"/>
                <w:color w:val="auto"/>
              </w:rPr>
            </w:pPr>
          </w:p>
        </w:tc>
      </w:tr>
      <w:tr>
        <w:trPr>
          <w:trHeight w:val="264"/>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$7,491.6</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$9,066.0</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(17.4)%</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Onshore/Offshore reported first quarter revenue of $1,573.4 million. Revenue declined 10.8 percent from the prior-year quarter. Revenue was lower as we moved closer to completion on major projects, including Yamal LNG. This was partially offset by increased project activity in both the Europe, Middle East, India and Africa (EMIA) and Asia Pacific regions.</w:t>
      </w:r>
    </w:p>
    <w:p>
      <w:pPr>
        <w:spacing w:after="0" w:line="152"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Onshore/Offshore reported operating profit of $202.9 million; adjusted EBITDA was $215 million with a margin of 13.7 percent. Operating profit improved significantly versus the prior-year quarter due to increased activity beyond Yamal and strong project execution across many portfolio projects. These same factors drove the significant year-over-year improvement in adjusted EBITDA; adjusted EBITDA margin increased 504 basis points from the prior-year results.</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First Quarter Onshore/Offshore Highlights</w:t>
      </w:r>
    </w:p>
    <w:p>
      <w:pPr>
        <w:spacing w:after="0" w:line="36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Yamal LNG</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Construction and commissioning of Trains 2 and 3 progressing well; Train 2 on track for start-up before year-end.</w:t>
      </w:r>
    </w:p>
    <w:p>
      <w:pPr>
        <w:spacing w:after="0" w:line="205" w:lineRule="exact"/>
        <w:rPr>
          <w:rFonts w:ascii="Arial" w:cs="Arial" w:eastAsia="Arial" w:hAnsi="Arial"/>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Statoil Martin Linge</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Arrival of all modules in Norway; offshore campaign to start in second half of 2018.</w:t>
      </w:r>
    </w:p>
    <w:p>
      <w:pPr>
        <w:spacing w:after="0" w:line="205" w:lineRule="exact"/>
        <w:rPr>
          <w:rFonts w:ascii="Arial" w:cs="Arial" w:eastAsia="Arial" w:hAnsi="Arial"/>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ENI Coral FLNG</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First steel cut for the turret in Singapore; procurement of main equipment progressing well.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Onshore/Offshore inbound orders for the quarter were $1,849.6 million. The following award was announced in the period:</w:t>
      </w:r>
    </w:p>
    <w:p>
      <w:pPr>
        <w:spacing w:after="0" w:line="20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Energean Karish iEPCI™ Project offshore Israel</w:t>
      </w:r>
    </w:p>
    <w:p>
      <w:pPr>
        <w:spacing w:after="0" w:line="23" w:lineRule="exact"/>
        <w:rPr>
          <w:rFonts w:ascii="Arial" w:cs="Arial" w:eastAsia="Arial" w:hAnsi="Arial"/>
          <w:sz w:val="20"/>
          <w:szCs w:val="20"/>
          <w:b w:val="1"/>
          <w:bCs w:val="1"/>
          <w:color w:val="auto"/>
        </w:rPr>
      </w:pPr>
    </w:p>
    <w:p>
      <w:pPr>
        <w:ind w:left="660" w:right="40"/>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Award for the iEPCI™ of the Karish field which combines a fully integrated field development encompassing the entire subsea and FPSO scopes.</w:t>
      </w:r>
    </w:p>
    <w:p>
      <w:pPr>
        <w:ind w:left="66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Note: Project inbound order was assigned to Subsea and Onshore/Offshore segments.</w:t>
      </w:r>
    </w:p>
    <w:p>
      <w:pPr>
        <w:sectPr>
          <w:pgSz w:w="11900" w:h="16838" w:orient="portrait"/>
          <w:cols w:equalWidth="0" w:num="1">
            <w:col w:w="11440"/>
          </w:cols>
          <w:pgMar w:left="240" w:top="517" w:right="21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75"/>
        </w:trPr>
        <w:tc>
          <w:tcPr>
            <w:tcW w:w="8260" w:type="dxa"/>
            <w:vAlign w:val="bottom"/>
            <w:tcBorders>
              <w:top w:val="single" w:sz="8" w:color="BFE4FF"/>
              <w:left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Estimated Backlog Scheduling as of March 31, 2018</w:t>
            </w:r>
          </w:p>
        </w:tc>
        <w:tc>
          <w:tcPr>
            <w:tcW w:w="3180" w:type="dxa"/>
            <w:vAlign w:val="bottom"/>
            <w:tcBorders>
              <w:top w:val="single" w:sz="8" w:color="BFE4FF"/>
              <w:right w:val="single" w:sz="8" w:color="BFE4FF"/>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260" w:type="dxa"/>
            <w:vAlign w:val="bottom"/>
            <w:tcBorders>
              <w:left w:val="single" w:sz="8" w:color="BFE4FF"/>
              <w:right w:val="single" w:sz="8" w:color="BFE4FF"/>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180" w:type="dxa"/>
            <w:vAlign w:val="bottom"/>
            <w:tcBorders>
              <w:right w:val="single" w:sz="8" w:color="BFE4FF"/>
            </w:tcBorders>
          </w:tcPr>
          <w:p>
            <w:pPr>
              <w:jc w:val="right"/>
              <w:ind w:right="661"/>
              <w:spacing w:after="0"/>
              <w:rPr>
                <w:sz w:val="20"/>
                <w:szCs w:val="20"/>
                <w:color w:val="auto"/>
              </w:rPr>
            </w:pPr>
            <w:r>
              <w:rPr>
                <w:rFonts w:ascii="Arial" w:cs="Arial" w:eastAsia="Arial" w:hAnsi="Arial"/>
                <w:sz w:val="20"/>
                <w:szCs w:val="20"/>
                <w:b w:val="1"/>
                <w:bCs w:val="1"/>
                <w:color w:val="auto"/>
              </w:rPr>
              <w:t>Onshore/Offshore</w:t>
            </w:r>
          </w:p>
        </w:tc>
        <w:tc>
          <w:tcPr>
            <w:tcW w:w="0" w:type="dxa"/>
            <w:vAlign w:val="bottom"/>
          </w:tcPr>
          <w:p>
            <w:pPr>
              <w:spacing w:after="0"/>
              <w:rPr>
                <w:sz w:val="1"/>
                <w:szCs w:val="1"/>
                <w:color w:val="auto"/>
              </w:rPr>
            </w:pPr>
          </w:p>
        </w:tc>
      </w:tr>
      <w:tr>
        <w:trPr>
          <w:trHeight w:val="106"/>
        </w:trPr>
        <w:tc>
          <w:tcPr>
            <w:tcW w:w="8260" w:type="dxa"/>
            <w:vAlign w:val="bottom"/>
            <w:tcBorders>
              <w:left w:val="single" w:sz="8" w:color="BFE4FF"/>
              <w:right w:val="single" w:sz="8" w:color="BFE4FF"/>
            </w:tcBorders>
            <w:vMerge w:val="continue"/>
          </w:tcPr>
          <w:p>
            <w:pPr>
              <w:spacing w:after="0"/>
              <w:rPr>
                <w:sz w:val="9"/>
                <w:szCs w:val="9"/>
                <w:color w:val="auto"/>
              </w:rPr>
            </w:pPr>
          </w:p>
        </w:tc>
        <w:tc>
          <w:tcPr>
            <w:tcW w:w="3180" w:type="dxa"/>
            <w:vAlign w:val="bottom"/>
            <w:tcBorders>
              <w:right w:val="single" w:sz="8" w:color="BFE4FF"/>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8260" w:type="dxa"/>
            <w:vAlign w:val="bottom"/>
            <w:tcBorders>
              <w:left w:val="single" w:sz="8" w:color="BFE4FF"/>
              <w:bottom w:val="single" w:sz="8" w:color="BFE4FF"/>
              <w:right w:val="single" w:sz="8" w:color="BFE4FF"/>
            </w:tcBorders>
          </w:tcPr>
          <w:p>
            <w:pPr>
              <w:spacing w:after="0"/>
              <w:rPr>
                <w:sz w:val="16"/>
                <w:szCs w:val="16"/>
                <w:color w:val="auto"/>
              </w:rPr>
            </w:pPr>
          </w:p>
        </w:tc>
        <w:tc>
          <w:tcPr>
            <w:tcW w:w="3180" w:type="dxa"/>
            <w:vAlign w:val="bottom"/>
            <w:tcBorders>
              <w:bottom w:val="single" w:sz="8" w:color="BFE4FF"/>
              <w:right w:val="single" w:sz="8" w:color="BFE4FF"/>
            </w:tcBorders>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2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2018 (9 months)</w:t>
            </w:r>
          </w:p>
        </w:tc>
        <w:tc>
          <w:tcPr>
            <w:tcW w:w="3180" w:type="dxa"/>
            <w:vAlign w:val="bottom"/>
            <w:tcBorders>
              <w:bottom w:val="single" w:sz="8" w:color="BFE4FF"/>
              <w:right w:val="single" w:sz="8" w:color="BFE4FF"/>
            </w:tcBorders>
          </w:tcPr>
          <w:p>
            <w:pPr>
              <w:jc w:val="right"/>
              <w:ind w:right="21"/>
              <w:spacing w:after="0"/>
              <w:rPr>
                <w:sz w:val="20"/>
                <w:szCs w:val="20"/>
                <w:color w:val="auto"/>
              </w:rPr>
            </w:pPr>
            <w:r>
              <w:rPr>
                <w:rFonts w:ascii="Arial" w:cs="Arial" w:eastAsia="Arial" w:hAnsi="Arial"/>
                <w:sz w:val="20"/>
                <w:szCs w:val="20"/>
                <w:color w:val="auto"/>
              </w:rPr>
              <w:t>$3,918.2</w:t>
            </w:r>
          </w:p>
        </w:tc>
        <w:tc>
          <w:tcPr>
            <w:tcW w:w="0" w:type="dxa"/>
            <w:vAlign w:val="bottom"/>
          </w:tcPr>
          <w:p>
            <w:pPr>
              <w:spacing w:after="0"/>
              <w:rPr>
                <w:sz w:val="1"/>
                <w:szCs w:val="1"/>
                <w:color w:val="auto"/>
              </w:rPr>
            </w:pPr>
          </w:p>
        </w:tc>
      </w:tr>
      <w:tr>
        <w:trPr>
          <w:trHeight w:val="264"/>
        </w:trPr>
        <w:tc>
          <w:tcPr>
            <w:tcW w:w="82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2019</w:t>
            </w:r>
          </w:p>
        </w:tc>
        <w:tc>
          <w:tcPr>
            <w:tcW w:w="3180" w:type="dxa"/>
            <w:vAlign w:val="bottom"/>
            <w:tcBorders>
              <w:bottom w:val="single" w:sz="8" w:color="BFE4FF"/>
              <w:right w:val="single" w:sz="8" w:color="BFE4FF"/>
            </w:tcBorders>
          </w:tcPr>
          <w:p>
            <w:pPr>
              <w:jc w:val="right"/>
              <w:ind w:right="21"/>
              <w:spacing w:after="0"/>
              <w:rPr>
                <w:sz w:val="20"/>
                <w:szCs w:val="20"/>
                <w:color w:val="auto"/>
              </w:rPr>
            </w:pPr>
            <w:r>
              <w:rPr>
                <w:rFonts w:ascii="Arial" w:cs="Arial" w:eastAsia="Arial" w:hAnsi="Arial"/>
                <w:sz w:val="20"/>
                <w:szCs w:val="20"/>
                <w:color w:val="auto"/>
              </w:rPr>
              <w:t>$2,501.1</w:t>
            </w:r>
          </w:p>
        </w:tc>
        <w:tc>
          <w:tcPr>
            <w:tcW w:w="0" w:type="dxa"/>
            <w:vAlign w:val="bottom"/>
          </w:tcPr>
          <w:p>
            <w:pPr>
              <w:spacing w:after="0"/>
              <w:rPr>
                <w:sz w:val="1"/>
                <w:szCs w:val="1"/>
                <w:color w:val="auto"/>
              </w:rPr>
            </w:pPr>
          </w:p>
        </w:tc>
      </w:tr>
      <w:tr>
        <w:trPr>
          <w:trHeight w:val="264"/>
        </w:trPr>
        <w:tc>
          <w:tcPr>
            <w:tcW w:w="82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2020 and beyond</w:t>
            </w:r>
          </w:p>
        </w:tc>
        <w:tc>
          <w:tcPr>
            <w:tcW w:w="3180" w:type="dxa"/>
            <w:vAlign w:val="bottom"/>
            <w:tcBorders>
              <w:bottom w:val="single" w:sz="8" w:color="BFE4FF"/>
              <w:right w:val="single" w:sz="8" w:color="BFE4FF"/>
            </w:tcBorders>
          </w:tcPr>
          <w:p>
            <w:pPr>
              <w:jc w:val="right"/>
              <w:ind w:right="21"/>
              <w:spacing w:after="0"/>
              <w:rPr>
                <w:sz w:val="20"/>
                <w:szCs w:val="20"/>
                <w:color w:val="auto"/>
              </w:rPr>
            </w:pPr>
            <w:r>
              <w:rPr>
                <w:rFonts w:ascii="Arial" w:cs="Arial" w:eastAsia="Arial" w:hAnsi="Arial"/>
                <w:sz w:val="20"/>
                <w:szCs w:val="20"/>
                <w:color w:val="auto"/>
              </w:rPr>
              <w:t>$1,072.3</w:t>
            </w:r>
          </w:p>
        </w:tc>
        <w:tc>
          <w:tcPr>
            <w:tcW w:w="0" w:type="dxa"/>
            <w:vAlign w:val="bottom"/>
          </w:tcPr>
          <w:p>
            <w:pPr>
              <w:spacing w:after="0"/>
              <w:rPr>
                <w:sz w:val="1"/>
                <w:szCs w:val="1"/>
                <w:color w:val="auto"/>
              </w:rPr>
            </w:pPr>
          </w:p>
        </w:tc>
      </w:tr>
      <w:tr>
        <w:trPr>
          <w:trHeight w:val="264"/>
        </w:trPr>
        <w:tc>
          <w:tcPr>
            <w:tcW w:w="82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Total</w:t>
            </w:r>
          </w:p>
        </w:tc>
        <w:tc>
          <w:tcPr>
            <w:tcW w:w="3180" w:type="dxa"/>
            <w:vAlign w:val="bottom"/>
            <w:tcBorders>
              <w:bottom w:val="single" w:sz="8" w:color="BFE4FF"/>
              <w:right w:val="single" w:sz="8" w:color="BFE4FF"/>
            </w:tcBorders>
          </w:tcPr>
          <w:p>
            <w:pPr>
              <w:jc w:val="right"/>
              <w:ind w:right="21"/>
              <w:spacing w:after="0"/>
              <w:rPr>
                <w:sz w:val="20"/>
                <w:szCs w:val="20"/>
                <w:color w:val="auto"/>
              </w:rPr>
            </w:pPr>
            <w:r>
              <w:rPr>
                <w:rFonts w:ascii="Arial" w:cs="Arial" w:eastAsia="Arial" w:hAnsi="Arial"/>
                <w:sz w:val="20"/>
                <w:szCs w:val="20"/>
                <w:b w:val="1"/>
                <w:bCs w:val="1"/>
                <w:color w:val="auto"/>
              </w:rPr>
              <w:t>$7,491.6</w:t>
            </w:r>
          </w:p>
        </w:tc>
        <w:tc>
          <w:tcPr>
            <w:tcW w:w="0" w:type="dxa"/>
            <w:vAlign w:val="bottom"/>
          </w:tcPr>
          <w:p>
            <w:pPr>
              <w:spacing w:after="0"/>
              <w:rPr>
                <w:sz w:val="1"/>
                <w:szCs w:val="1"/>
                <w:color w:val="auto"/>
              </w:rPr>
            </w:pPr>
          </w:p>
        </w:tc>
      </w:tr>
    </w:tbl>
    <w:p>
      <w:pPr>
        <w:sectPr>
          <w:pgSz w:w="11900" w:h="16838" w:orient="portrait"/>
          <w:cols w:equalWidth="0" w:num="1">
            <w:col w:w="11440"/>
          </w:cols>
          <w:pgMar w:left="240" w:top="498" w:right="219" w:bottom="1440" w:gutter="0" w:footer="0" w:header="0"/>
        </w:sectPr>
      </w:pPr>
    </w:p>
    <w:bookmarkStart w:id="10" w:name="page11"/>
    <w:bookmarkEnd w:id="10"/>
    <w:p>
      <w:pPr>
        <w:ind w:left="40"/>
        <w:spacing w:after="0"/>
        <w:rPr>
          <w:sz w:val="20"/>
          <w:szCs w:val="20"/>
          <w:color w:val="auto"/>
        </w:rPr>
      </w:pPr>
      <w:r>
        <w:rPr>
          <w:rFonts w:ascii="Arial" w:cs="Arial" w:eastAsia="Arial" w:hAnsi="Arial"/>
          <w:sz w:val="20"/>
          <w:szCs w:val="20"/>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862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295"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6520" w:type="dxa"/>
            <w:vAlign w:val="bottom"/>
            <w:tcBorders>
              <w:top w:val="single" w:sz="8" w:color="BFE4FF"/>
              <w:left w:val="single" w:sz="8" w:color="BFE4FF"/>
              <w:right w:val="single" w:sz="8" w:color="BFE4FF"/>
            </w:tcBorders>
          </w:tcPr>
          <w:p>
            <w:pPr>
              <w:spacing w:after="0"/>
              <w:rPr>
                <w:sz w:val="18"/>
                <w:szCs w:val="18"/>
                <w:color w:val="auto"/>
              </w:rPr>
            </w:pPr>
          </w:p>
        </w:tc>
        <w:tc>
          <w:tcPr>
            <w:tcW w:w="1660" w:type="dxa"/>
            <w:vAlign w:val="bottom"/>
            <w:tcBorders>
              <w:top w:val="single" w:sz="8" w:color="BFE4FF"/>
              <w:right w:val="single" w:sz="8" w:color="BFE4FF"/>
            </w:tcBorders>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top w:val="single" w:sz="8" w:color="BFE4FF"/>
              <w:right w:val="single" w:sz="8" w:color="BFE4FF"/>
            </w:tcBorders>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Borders>
              <w:top w:val="single" w:sz="8" w:color="BFE4FF"/>
              <w:right w:val="single" w:sz="8" w:color="BFE4FF"/>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520" w:type="dxa"/>
            <w:vAlign w:val="bottom"/>
            <w:tcBorders>
              <w:left w:val="single" w:sz="8" w:color="BFE4FF"/>
              <w:right w:val="single" w:sz="8" w:color="BFE4FF"/>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60" w:type="dxa"/>
            <w:vAlign w:val="bottom"/>
            <w:tcBorders>
              <w:right w:val="single" w:sz="8" w:color="BFE4FF"/>
            </w:tcBorders>
          </w:tcPr>
          <w:p>
            <w:pPr>
              <w:jc w:val="right"/>
              <w:ind w:right="248"/>
              <w:spacing w:after="0"/>
              <w:rPr>
                <w:sz w:val="20"/>
                <w:szCs w:val="20"/>
                <w:color w:val="auto"/>
              </w:rPr>
            </w:pPr>
            <w:r>
              <w:rPr>
                <w:rFonts w:ascii="Arial" w:cs="Arial" w:eastAsia="Arial" w:hAnsi="Arial"/>
                <w:sz w:val="14"/>
                <w:szCs w:val="14"/>
                <w:b w:val="1"/>
                <w:bCs w:val="1"/>
                <w:color w:val="auto"/>
              </w:rPr>
              <w:t>March 31, 2018</w:t>
            </w:r>
          </w:p>
        </w:tc>
        <w:tc>
          <w:tcPr>
            <w:tcW w:w="1680" w:type="dxa"/>
            <w:vAlign w:val="bottom"/>
            <w:tcBorders>
              <w:right w:val="single" w:sz="8" w:color="BFE4FF"/>
            </w:tcBorders>
          </w:tcPr>
          <w:p>
            <w:pPr>
              <w:jc w:val="right"/>
              <w:ind w:right="248"/>
              <w:spacing w:after="0"/>
              <w:rPr>
                <w:sz w:val="20"/>
                <w:szCs w:val="20"/>
                <w:color w:val="auto"/>
              </w:rPr>
            </w:pPr>
            <w:r>
              <w:rPr>
                <w:rFonts w:ascii="Arial" w:cs="Arial" w:eastAsia="Arial" w:hAnsi="Arial"/>
                <w:sz w:val="14"/>
                <w:szCs w:val="14"/>
                <w:b w:val="1"/>
                <w:bCs w:val="1"/>
                <w:color w:val="auto"/>
              </w:rPr>
              <w:t>March 31, 2017</w:t>
            </w:r>
          </w:p>
        </w:tc>
        <w:tc>
          <w:tcPr>
            <w:tcW w:w="1580" w:type="dxa"/>
            <w:vAlign w:val="bottom"/>
            <w:tcBorders>
              <w:right w:val="single" w:sz="8" w:color="BFE4FF"/>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1"/>
        </w:trPr>
        <w:tc>
          <w:tcPr>
            <w:tcW w:w="6520" w:type="dxa"/>
            <w:vAlign w:val="bottom"/>
            <w:tcBorders>
              <w:left w:val="single" w:sz="8" w:color="BFE4FF"/>
              <w:right w:val="single" w:sz="8" w:color="BFE4FF"/>
            </w:tcBorders>
            <w:vMerge w:val="continue"/>
          </w:tcPr>
          <w:p>
            <w:pPr>
              <w:spacing w:after="0"/>
              <w:rPr>
                <w:sz w:val="7"/>
                <w:szCs w:val="7"/>
                <w:color w:val="auto"/>
              </w:rPr>
            </w:pPr>
          </w:p>
        </w:tc>
        <w:tc>
          <w:tcPr>
            <w:tcW w:w="1660" w:type="dxa"/>
            <w:vAlign w:val="bottom"/>
            <w:tcBorders>
              <w:right w:val="single" w:sz="8" w:color="BFE4FF"/>
            </w:tcBorders>
          </w:tcPr>
          <w:p>
            <w:pPr>
              <w:spacing w:after="0"/>
              <w:rPr>
                <w:sz w:val="7"/>
                <w:szCs w:val="7"/>
                <w:color w:val="auto"/>
              </w:rPr>
            </w:pPr>
          </w:p>
        </w:tc>
        <w:tc>
          <w:tcPr>
            <w:tcW w:w="1680" w:type="dxa"/>
            <w:vAlign w:val="bottom"/>
            <w:tcBorders>
              <w:right w:val="single" w:sz="8" w:color="BFE4FF"/>
            </w:tcBorders>
          </w:tcPr>
          <w:p>
            <w:pPr>
              <w:spacing w:after="0"/>
              <w:rPr>
                <w:sz w:val="7"/>
                <w:szCs w:val="7"/>
                <w:color w:val="auto"/>
              </w:rPr>
            </w:pPr>
          </w:p>
        </w:tc>
        <w:tc>
          <w:tcPr>
            <w:tcW w:w="1580" w:type="dxa"/>
            <w:vAlign w:val="bottom"/>
            <w:tcBorders>
              <w:right w:val="single" w:sz="8" w:color="BFE4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6520" w:type="dxa"/>
            <w:vAlign w:val="bottom"/>
            <w:tcBorders>
              <w:left w:val="single" w:sz="8" w:color="BFE4FF"/>
              <w:bottom w:val="single" w:sz="8" w:color="BFE4FF"/>
              <w:right w:val="single" w:sz="8" w:color="BFE4FF"/>
            </w:tcBorders>
          </w:tcPr>
          <w:p>
            <w:pPr>
              <w:spacing w:after="0"/>
              <w:rPr>
                <w:sz w:val="9"/>
                <w:szCs w:val="9"/>
                <w:color w:val="auto"/>
              </w:rPr>
            </w:pPr>
          </w:p>
        </w:tc>
        <w:tc>
          <w:tcPr>
            <w:tcW w:w="1660" w:type="dxa"/>
            <w:vAlign w:val="bottom"/>
            <w:tcBorders>
              <w:bottom w:val="single" w:sz="8" w:color="BFE4FF"/>
              <w:right w:val="single" w:sz="8" w:color="BFE4FF"/>
            </w:tcBorders>
          </w:tcPr>
          <w:p>
            <w:pPr>
              <w:spacing w:after="0"/>
              <w:rPr>
                <w:sz w:val="9"/>
                <w:szCs w:val="9"/>
                <w:color w:val="auto"/>
              </w:rPr>
            </w:pPr>
          </w:p>
        </w:tc>
        <w:tc>
          <w:tcPr>
            <w:tcW w:w="1680" w:type="dxa"/>
            <w:vAlign w:val="bottom"/>
            <w:tcBorders>
              <w:bottom w:val="single" w:sz="8" w:color="BFE4FF"/>
              <w:right w:val="single" w:sz="8" w:color="BFE4FF"/>
            </w:tcBorders>
          </w:tcPr>
          <w:p>
            <w:pPr>
              <w:spacing w:after="0"/>
              <w:rPr>
                <w:sz w:val="9"/>
                <w:szCs w:val="9"/>
                <w:color w:val="auto"/>
              </w:rPr>
            </w:pPr>
          </w:p>
        </w:tc>
        <w:tc>
          <w:tcPr>
            <w:tcW w:w="1580" w:type="dxa"/>
            <w:vAlign w:val="bottom"/>
            <w:tcBorders>
              <w:bottom w:val="single" w:sz="8" w:color="BFE4FF"/>
              <w:right w:val="single" w:sz="8" w:color="BFE4FF"/>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$371.6</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$248.4</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49.6%</w:t>
            </w:r>
          </w:p>
        </w:tc>
        <w:tc>
          <w:tcPr>
            <w:tcW w:w="0" w:type="dxa"/>
            <w:vAlign w:val="bottom"/>
          </w:tcPr>
          <w:p>
            <w:pPr>
              <w:spacing w:after="0"/>
              <w:rPr>
                <w:sz w:val="1"/>
                <w:szCs w:val="1"/>
                <w:color w:val="auto"/>
              </w:rPr>
            </w:pPr>
          </w:p>
        </w:tc>
      </w:tr>
      <w:tr>
        <w:trPr>
          <w:trHeight w:val="264"/>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$30.6</w:t>
            </w:r>
          </w:p>
        </w:tc>
        <w:tc>
          <w:tcPr>
            <w:tcW w:w="1680" w:type="dxa"/>
            <w:vAlign w:val="bottom"/>
            <w:tcBorders>
              <w:bottom w:val="single" w:sz="8" w:color="BFE4FF"/>
              <w:right w:val="single" w:sz="8" w:color="BFE4FF"/>
            </w:tcBorders>
          </w:tcPr>
          <w:p>
            <w:pPr>
              <w:jc w:val="right"/>
              <w:ind w:right="88"/>
              <w:spacing w:after="0"/>
              <w:rPr>
                <w:sz w:val="20"/>
                <w:szCs w:val="20"/>
                <w:color w:val="auto"/>
              </w:rPr>
            </w:pPr>
            <w:r>
              <w:rPr>
                <w:rFonts w:ascii="Arial" w:cs="Arial" w:eastAsia="Arial" w:hAnsi="Arial"/>
                <w:sz w:val="20"/>
                <w:szCs w:val="20"/>
                <w:color w:val="auto"/>
              </w:rPr>
              <w:t>($18.6)</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264"/>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$50.3</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$36.0</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39.7%</w:t>
            </w:r>
          </w:p>
        </w:tc>
        <w:tc>
          <w:tcPr>
            <w:tcW w:w="0" w:type="dxa"/>
            <w:vAlign w:val="bottom"/>
          </w:tcPr>
          <w:p>
            <w:pPr>
              <w:spacing w:after="0"/>
              <w:rPr>
                <w:sz w:val="1"/>
                <w:szCs w:val="1"/>
                <w:color w:val="auto"/>
              </w:rPr>
            </w:pPr>
          </w:p>
        </w:tc>
      </w:tr>
      <w:tr>
        <w:trPr>
          <w:trHeight w:val="264"/>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660" w:type="dxa"/>
            <w:vAlign w:val="bottom"/>
            <w:tcBorders>
              <w:bottom w:val="single" w:sz="8" w:color="BFE4FF"/>
              <w:right w:val="single" w:sz="8" w:color="BFE4FF"/>
            </w:tcBorders>
          </w:tcPr>
          <w:p>
            <w:pPr>
              <w:jc w:val="right"/>
              <w:spacing w:after="0"/>
              <w:rPr>
                <w:sz w:val="20"/>
                <w:szCs w:val="20"/>
                <w:color w:val="auto"/>
              </w:rPr>
            </w:pPr>
            <w:r>
              <w:rPr>
                <w:rFonts w:ascii="Arial" w:cs="Arial" w:eastAsia="Arial" w:hAnsi="Arial"/>
                <w:sz w:val="20"/>
                <w:szCs w:val="20"/>
                <w:color w:val="auto"/>
              </w:rPr>
              <w:t>13.5%</w:t>
            </w:r>
          </w:p>
        </w:tc>
        <w:tc>
          <w:tcPr>
            <w:tcW w:w="1680" w:type="dxa"/>
            <w:vAlign w:val="bottom"/>
            <w:tcBorders>
              <w:bottom w:val="single" w:sz="8" w:color="BFE4FF"/>
              <w:right w:val="single" w:sz="8" w:color="BFE4FF"/>
            </w:tcBorders>
          </w:tcPr>
          <w:p>
            <w:pPr>
              <w:jc w:val="right"/>
              <w:spacing w:after="0"/>
              <w:rPr>
                <w:sz w:val="20"/>
                <w:szCs w:val="20"/>
                <w:color w:val="auto"/>
              </w:rPr>
            </w:pPr>
            <w:r>
              <w:rPr>
                <w:rFonts w:ascii="Arial" w:cs="Arial" w:eastAsia="Arial" w:hAnsi="Arial"/>
                <w:sz w:val="20"/>
                <w:szCs w:val="20"/>
                <w:color w:val="auto"/>
              </w:rPr>
              <w:t>14.5%</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(96) bps</w:t>
            </w:r>
          </w:p>
        </w:tc>
        <w:tc>
          <w:tcPr>
            <w:tcW w:w="0" w:type="dxa"/>
            <w:vAlign w:val="bottom"/>
          </w:tcPr>
          <w:p>
            <w:pPr>
              <w:spacing w:after="0"/>
              <w:rPr>
                <w:sz w:val="1"/>
                <w:szCs w:val="1"/>
                <w:color w:val="auto"/>
              </w:rPr>
            </w:pPr>
          </w:p>
        </w:tc>
      </w:tr>
      <w:tr>
        <w:trPr>
          <w:trHeight w:val="322"/>
        </w:trPr>
        <w:tc>
          <w:tcPr>
            <w:tcW w:w="6520" w:type="dxa"/>
            <w:vAlign w:val="bottom"/>
            <w:tcBorders>
              <w:left w:val="single" w:sz="8" w:color="BFE4FF"/>
              <w:bottom w:val="single" w:sz="8" w:color="BFE4FF"/>
              <w:right w:val="single" w:sz="8" w:color="BFE4FF"/>
            </w:tcBorders>
          </w:tcPr>
          <w:p>
            <w:pPr>
              <w:spacing w:after="0"/>
              <w:rPr>
                <w:sz w:val="24"/>
                <w:szCs w:val="24"/>
                <w:color w:val="auto"/>
              </w:rPr>
            </w:pPr>
          </w:p>
        </w:tc>
        <w:tc>
          <w:tcPr>
            <w:tcW w:w="1660" w:type="dxa"/>
            <w:vAlign w:val="bottom"/>
            <w:tcBorders>
              <w:bottom w:val="single" w:sz="8" w:color="BFE4FF"/>
              <w:right w:val="single" w:sz="8" w:color="BFE4FF"/>
            </w:tcBorders>
          </w:tcPr>
          <w:p>
            <w:pPr>
              <w:spacing w:after="0"/>
              <w:rPr>
                <w:sz w:val="24"/>
                <w:szCs w:val="24"/>
                <w:color w:val="auto"/>
              </w:rPr>
            </w:pPr>
          </w:p>
        </w:tc>
        <w:tc>
          <w:tcPr>
            <w:tcW w:w="1680" w:type="dxa"/>
            <w:vAlign w:val="bottom"/>
            <w:tcBorders>
              <w:bottom w:val="single" w:sz="8" w:color="BFE4FF"/>
              <w:right w:val="single" w:sz="8" w:color="BFE4FF"/>
            </w:tcBorders>
          </w:tcPr>
          <w:p>
            <w:pPr>
              <w:spacing w:after="0"/>
              <w:rPr>
                <w:sz w:val="24"/>
                <w:szCs w:val="24"/>
                <w:color w:val="auto"/>
              </w:rPr>
            </w:pPr>
          </w:p>
        </w:tc>
        <w:tc>
          <w:tcPr>
            <w:tcW w:w="1580" w:type="dxa"/>
            <w:vAlign w:val="bottom"/>
            <w:tcBorders>
              <w:bottom w:val="single" w:sz="8" w:color="BFE4FF"/>
              <w:right w:val="single" w:sz="8" w:color="BFE4F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$409.6</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$241.5</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69.6%</w:t>
            </w:r>
          </w:p>
        </w:tc>
        <w:tc>
          <w:tcPr>
            <w:tcW w:w="0" w:type="dxa"/>
            <w:vAlign w:val="bottom"/>
          </w:tcPr>
          <w:p>
            <w:pPr>
              <w:spacing w:after="0"/>
              <w:rPr>
                <w:sz w:val="1"/>
                <w:szCs w:val="1"/>
                <w:color w:val="auto"/>
              </w:rPr>
            </w:pPr>
          </w:p>
        </w:tc>
      </w:tr>
      <w:tr>
        <w:trPr>
          <w:trHeight w:val="264"/>
        </w:trPr>
        <w:tc>
          <w:tcPr>
            <w:tcW w:w="65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66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$409.5</w:t>
            </w:r>
          </w:p>
        </w:tc>
        <w:tc>
          <w:tcPr>
            <w:tcW w:w="1680" w:type="dxa"/>
            <w:vAlign w:val="bottom"/>
            <w:tcBorders>
              <w:bottom w:val="single" w:sz="8" w:color="BFE4FF"/>
              <w:right w:val="single" w:sz="8" w:color="BFE4FF"/>
            </w:tcBorders>
          </w:tcPr>
          <w:p>
            <w:pPr>
              <w:jc w:val="right"/>
              <w:ind w:right="148"/>
              <w:spacing w:after="0"/>
              <w:rPr>
                <w:sz w:val="20"/>
                <w:szCs w:val="20"/>
                <w:color w:val="auto"/>
              </w:rPr>
            </w:pPr>
            <w:r>
              <w:rPr>
                <w:rFonts w:ascii="Arial" w:cs="Arial" w:eastAsia="Arial" w:hAnsi="Arial"/>
                <w:sz w:val="20"/>
                <w:szCs w:val="20"/>
                <w:color w:val="auto"/>
              </w:rPr>
              <w:t>$432.0</w:t>
            </w:r>
          </w:p>
        </w:tc>
        <w:tc>
          <w:tcPr>
            <w:tcW w:w="158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(5.2)%</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Surface Technologies reported first quarter revenue of $371.6 million. Revenue increased 49.6 percent from the prior-year quarter, driven primarily by increased activity in the North American market. Revenue growth reflected the strong increase in demand for hydraulic fracturing, wellhead, and flow metering equipment. International revenues also increased versus the prior-year quarter, although at a more moderate pace.</w:t>
      </w:r>
    </w:p>
    <w:p>
      <w:pPr>
        <w:spacing w:after="0" w:line="15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Surface Technologies reported operating profit of $30.6 million. Operating profit improved significantly year-over-year, driven by higher global activity levels as well as improved pricing in North America; international pricing continues to negatively impact results. Adjusted EBITDA was impacted by these same factors, driving a 39.7 percent improvement to $50.3 million.</w:t>
      </w:r>
    </w:p>
    <w:p>
      <w:pPr>
        <w:spacing w:after="0" w:line="152" w:lineRule="exact"/>
        <w:rPr>
          <w:sz w:val="20"/>
          <w:szCs w:val="20"/>
          <w:color w:val="auto"/>
        </w:rPr>
      </w:pPr>
    </w:p>
    <w:p>
      <w:pPr>
        <w:ind w:right="300"/>
        <w:spacing w:after="0" w:line="242" w:lineRule="auto"/>
        <w:rPr>
          <w:sz w:val="20"/>
          <w:szCs w:val="20"/>
          <w:color w:val="auto"/>
        </w:rPr>
      </w:pPr>
      <w:r>
        <w:rPr>
          <w:rFonts w:ascii="Arial" w:cs="Arial" w:eastAsia="Arial" w:hAnsi="Arial"/>
          <w:sz w:val="20"/>
          <w:szCs w:val="20"/>
          <w:color w:val="auto"/>
        </w:rPr>
        <w:t>Operating margin declined versus the prior-year quarter in part due to lower-priced backlog and project award deferrals in international markets. Activity growth in North America was also negatively impacted by weather and other transitory issues. Results were further impacted by the costs associated with the reactivation of frac assets. These same factors led to a 96 basis point decline in adjusted EBITDA margin to 13.5 percent.</w:t>
      </w:r>
    </w:p>
    <w:p>
      <w:pPr>
        <w:spacing w:after="0" w:line="15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We continue to expect North American activity to improve over the remainder of the year. Additionally, we are experiencing increased demand for our integrated pad offering in the North American shale market. Targeted business investment should also benefit near-term results.</w:t>
      </w:r>
    </w:p>
    <w:p>
      <w:pPr>
        <w:spacing w:after="0" w:line="152"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Inbound orders for the quarter of $409.6 million improved 4 percent sequentially and by 69.6 percent over the prior year. Backlog was $409.5 million. Given the short-cycle nature of the business, most orders are quickly converted into sales revenue; longer contracts are typically converted within twelve months.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Items</w:t>
      </w:r>
    </w:p>
    <w:p>
      <w:pPr>
        <w:spacing w:after="0" w:line="186"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Corporate expense in the first quarter was $59.8 million. Excluding charges and credits of $8 million associated with the merger as well as restructuring and other severance charges, corporate expense was $51.8 million. Also included in corporate expense was $19 million of foreign exchange losses.</w:t>
      </w:r>
    </w:p>
    <w:p>
      <w:pPr>
        <w:spacing w:after="0" w:line="152"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Net interest expense was $87.4 million in the quarter, which included an increase in the liability payable to joint venture partners of $71.2 million.</w:t>
      </w:r>
    </w:p>
    <w:p>
      <w:pPr>
        <w:sectPr>
          <w:pgSz w:w="11900" w:h="16838" w:orient="portrait"/>
          <w:cols w:equalWidth="0" w:num="1">
            <w:col w:w="11440"/>
          </w:cols>
          <w:pgMar w:left="240" w:top="517" w:right="219" w:bottom="1440" w:gutter="0" w:footer="0" w:header="0"/>
        </w:sectPr>
      </w:pPr>
    </w:p>
    <w:bookmarkStart w:id="11" w:name="page12"/>
    <w:bookmarkEnd w:id="11"/>
    <w:p>
      <w:pPr>
        <w:jc w:val="both"/>
        <w:spacing w:after="0" w:line="243" w:lineRule="auto"/>
        <w:rPr>
          <w:sz w:val="20"/>
          <w:szCs w:val="20"/>
          <w:color w:val="auto"/>
        </w:rPr>
      </w:pPr>
      <w:r>
        <w:rPr>
          <w:rFonts w:ascii="Arial" w:cs="Arial" w:eastAsia="Arial" w:hAnsi="Arial"/>
          <w:sz w:val="20"/>
          <w:szCs w:val="20"/>
          <w:color w:val="auto"/>
        </w:rPr>
        <w:t>The Company recorded a tax provision during the first quarter of $49.3 million. The quarterly rate reflects a discrete withholding tax and an increase in valuation allowances in certain jurisdictions for which no future profitability is expected. Excluding the impact of these discrete items, the effective tax rate in the quarter was 26.9 percent.</w:t>
      </w:r>
    </w:p>
    <w:p>
      <w:pPr>
        <w:spacing w:after="0" w:line="152"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Total depreciation and amortization for the first quarter was $131.8 million, including depreciation and amortization related to purchase price accounting for the merger of $21.7 million.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Capital expenditures were $53.2 million during the first quarter.</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repurchased 3 million shares during the quarter for total consideration of $92.6 million. Since inception of the repurchase program in 2017, the Company has repurchased 5.1 million shares for total consideration of $151.1 million. The Company remains committed to repurchasing the full authorization of up to $500 million in ordinary shares no later than the end of 2018.</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Accounting Items</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On January 1, 2018, we adopted Accounting Standards Codification (ASC) Topic 606, Revenue from Contracts with Customers, using the modified retrospective method applied to those contracts that were not completed as of January 1, 2018. Results for reporting periods beginning after January 1, 2018 are presented under Topic 606, while prior-period amounts are not adjusted and continue to be reported in accordance with our historic accounting under Topic 605.</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Revenue from prior periods totaling $114.8 million will now be recognized in future periods. Since there is no change in the timing of project costs and expenses, most of this revenue will be realized as pre-tax income. The majority of this income statement effect will occur in our Onshore/Offshore segment over the course of 2018.</w:t>
      </w:r>
    </w:p>
    <w:p>
      <w:pPr>
        <w:spacing w:after="0" w:line="15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Additionally, a net favorable adjustment of approximately $712.1 million was made to project backlog. Under the new guidelines, certain reimbursable scope work is now included in backlog when the probability of revenue is largely secured. The majority of this adjustment impacted our Onshore/Offshore segment.</w:t>
      </w:r>
    </w:p>
    <w:p>
      <w:pPr>
        <w:sectPr>
          <w:pgSz w:w="11900" w:h="16838" w:orient="portrait"/>
          <w:cols w:equalWidth="0" w:num="1">
            <w:col w:w="11420"/>
          </w:cols>
          <w:pgMar w:left="240" w:top="379"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Guidance</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The Company’s full-year guidance for 2018 is provided below. The following update is reflected in the outlook:</w:t>
      </w:r>
    </w:p>
    <w:p>
      <w:pPr>
        <w:spacing w:after="0" w:line="105" w:lineRule="exact"/>
        <w:rPr>
          <w:sz w:val="20"/>
          <w:szCs w:val="20"/>
          <w:color w:val="auto"/>
        </w:rPr>
      </w:pPr>
    </w:p>
    <w:p>
      <w:pPr>
        <w:ind w:left="660" w:hanging="328"/>
        <w:spacing w:after="0" w:line="21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color w:val="auto"/>
        </w:rPr>
        <w:t>Onshore/Offshore EBITDA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at least 11.5% (excluding charges and credits); EBITDA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guidance has been increased from the previous guidance of at least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229870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2018 Guidance </w:t>
      </w:r>
      <w:r>
        <w:rPr>
          <w:rFonts w:ascii="Arial" w:cs="Arial" w:eastAsia="Arial" w:hAnsi="Arial"/>
          <w:sz w:val="14"/>
          <w:szCs w:val="14"/>
          <w:i w:val="1"/>
          <w:iCs w:val="1"/>
          <w:u w:val="single" w:color="auto"/>
          <w:color w:val="auto"/>
        </w:rPr>
        <w:t>Updated May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7246620" cy="1037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037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p>
      <w:pPr>
        <w:spacing w:after="0" w:line="391"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FFFFFF"/>
        </w:rPr>
        <w:t>Subsea</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20"/>
          <w:szCs w:val="20"/>
          <w:color w:val="auto"/>
        </w:rPr>
        <w:t>Revenue in a range of $5.0 - 5.3 billion</w:t>
      </w:r>
    </w:p>
    <w:p>
      <w:pPr>
        <w:spacing w:after="0" w:line="173" w:lineRule="exact"/>
        <w:rPr>
          <w:sz w:val="20"/>
          <w:szCs w:val="20"/>
          <w:color w:val="auto"/>
        </w:rPr>
      </w:pPr>
    </w:p>
    <w:p>
      <w:pPr>
        <w:jc w:val="both"/>
        <w:ind w:left="60"/>
        <w:spacing w:after="0" w:line="217" w:lineRule="auto"/>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at least 14% (excluding amortization related impact of purchase price accounting, and other charges and credits)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left="-39"/>
        <w:spacing w:after="0"/>
        <w:rPr>
          <w:sz w:val="20"/>
          <w:szCs w:val="20"/>
          <w:color w:val="auto"/>
        </w:rPr>
      </w:pPr>
      <w:r>
        <w:rPr>
          <w:rFonts w:ascii="Arial" w:cs="Arial" w:eastAsia="Arial" w:hAnsi="Arial"/>
          <w:sz w:val="20"/>
          <w:szCs w:val="20"/>
          <w:b w:val="1"/>
          <w:bCs w:val="1"/>
          <w:color w:val="FFFFFF"/>
        </w:rPr>
        <w:t>Onshore/Offshore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Revenue in a range of $5.3 - 5.7 billion</w:t>
      </w:r>
    </w:p>
    <w:p>
      <w:pPr>
        <w:spacing w:after="0" w:line="173" w:lineRule="exact"/>
        <w:rPr>
          <w:sz w:val="20"/>
          <w:szCs w:val="20"/>
          <w:color w:val="auto"/>
        </w:rPr>
      </w:pPr>
    </w:p>
    <w:p>
      <w:pPr>
        <w:spacing w:after="0" w:line="217" w:lineRule="auto"/>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at least 11.5%* (excluding amortization related impact of purchase price accounting, and other charges and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222885</wp:posOffset>
            </wp:positionV>
            <wp:extent cx="7246620" cy="2058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8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FFFFFF"/>
        </w:rPr>
        <w:t>Surface Technologies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Revenue in a range of $1.5 - 1.6 billion</w:t>
      </w:r>
    </w:p>
    <w:p>
      <w:pPr>
        <w:spacing w:after="0" w:line="173" w:lineRule="exact"/>
        <w:rPr>
          <w:sz w:val="20"/>
          <w:szCs w:val="20"/>
          <w:color w:val="auto"/>
        </w:rPr>
      </w:pPr>
    </w:p>
    <w:p>
      <w:pPr>
        <w:ind w:right="60"/>
        <w:spacing w:after="0" w:line="217" w:lineRule="auto"/>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at least 17.5% (excluding amortization related impact of purchase price accounting, and other charges and credits)</w:t>
      </w:r>
    </w:p>
    <w:p>
      <w:pPr>
        <w:spacing w:after="0" w:line="200" w:lineRule="exact"/>
        <w:rPr>
          <w:sz w:val="20"/>
          <w:szCs w:val="20"/>
          <w:color w:val="auto"/>
        </w:rPr>
      </w:pPr>
    </w:p>
    <w:p>
      <w:pPr>
        <w:sectPr>
          <w:pgSz w:w="11900" w:h="16838" w:orient="portrait"/>
          <w:cols w:equalWidth="0" w:num="3">
            <w:col w:w="3600" w:space="340"/>
            <w:col w:w="3560" w:space="300"/>
            <w:col w:w="3620"/>
          </w:cols>
          <w:pgMar w:left="240" w:top="355" w:right="2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FFFFFF"/>
        </w:rPr>
        <w:t>TechnipFMC</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Corporate expense, net</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w:t>
      </w:r>
      <w:r>
        <w:rPr>
          <w:rFonts w:ascii="Arial" w:cs="Arial" w:eastAsia="Arial" w:hAnsi="Arial"/>
          <w:sz w:val="20"/>
          <w:szCs w:val="20"/>
          <w:color w:val="auto"/>
        </w:rPr>
        <w:t>$40 - 45 million per quarter (excluding the impact of foreign currency fluctuations)</w:t>
      </w:r>
    </w:p>
    <w:p>
      <w:pPr>
        <w:spacing w:after="0" w:line="158" w:lineRule="exact"/>
        <w:rPr>
          <w:sz w:val="20"/>
          <w:szCs w:val="20"/>
          <w:color w:val="auto"/>
        </w:rPr>
      </w:pPr>
    </w:p>
    <w:p>
      <w:pPr>
        <w:ind w:left="60" w:right="40"/>
        <w:spacing w:after="0" w:line="221" w:lineRule="auto"/>
        <w:rPr>
          <w:sz w:val="20"/>
          <w:szCs w:val="20"/>
          <w:color w:val="auto"/>
        </w:rPr>
      </w:pPr>
      <w:r>
        <w:rPr>
          <w:rFonts w:ascii="Arial" w:cs="Arial" w:eastAsia="Arial" w:hAnsi="Arial"/>
          <w:sz w:val="20"/>
          <w:szCs w:val="20"/>
          <w:b w:val="1"/>
          <w:bCs w:val="1"/>
          <w:color w:val="auto"/>
        </w:rPr>
        <w:t>Net interest expense</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w:t>
      </w:r>
      <w:r>
        <w:rPr>
          <w:rFonts w:ascii="Arial" w:cs="Arial" w:eastAsia="Arial" w:hAnsi="Arial"/>
          <w:sz w:val="20"/>
          <w:szCs w:val="20"/>
          <w:color w:val="auto"/>
        </w:rPr>
        <w:t>approximately $20 - 22 million per quarter (excluding the impact of revaluation of partners’ redeemable</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liability)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Tax rate</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w:t>
      </w:r>
      <w:r>
        <w:rPr>
          <w:rFonts w:ascii="Arial" w:cs="Arial" w:eastAsia="Arial" w:hAnsi="Arial"/>
          <w:sz w:val="20"/>
          <w:szCs w:val="20"/>
          <w:color w:val="auto"/>
        </w:rPr>
        <w:t>28 - 32% for the full year (excluding the impact of discrete items)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$300 million for the full year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 xml:space="preserve">Merger integration and restructuring costs </w:t>
      </w:r>
      <w:r>
        <w:rPr>
          <w:rFonts w:ascii="Arial" w:cs="Arial" w:eastAsia="Arial" w:hAnsi="Arial"/>
          <w:sz w:val="20"/>
          <w:szCs w:val="20"/>
          <w:color w:val="auto"/>
        </w:rPr>
        <w:t>approximately $100 million for the full year</w:t>
      </w:r>
    </w:p>
    <w:p>
      <w:pPr>
        <w:spacing w:after="0" w:line="229" w:lineRule="exact"/>
        <w:rPr>
          <w:sz w:val="20"/>
          <w:szCs w:val="20"/>
          <w:color w:val="auto"/>
        </w:rPr>
      </w:pPr>
    </w:p>
    <w:p>
      <w:pPr>
        <w:ind w:left="60" w:right="40"/>
        <w:spacing w:after="0" w:line="258" w:lineRule="auto"/>
        <w:rPr>
          <w:sz w:val="20"/>
          <w:szCs w:val="20"/>
          <w:color w:val="auto"/>
        </w:rPr>
      </w:pPr>
      <w:r>
        <w:rPr>
          <w:rFonts w:ascii="Arial" w:cs="Arial" w:eastAsia="Arial" w:hAnsi="Arial"/>
          <w:sz w:val="20"/>
          <w:szCs w:val="20"/>
          <w:b w:val="1"/>
          <w:bCs w:val="1"/>
          <w:color w:val="auto"/>
        </w:rPr>
        <w:t xml:space="preserve">Cost synergies </w:t>
      </w:r>
      <w:r>
        <w:rPr>
          <w:rFonts w:ascii="Arial" w:cs="Arial" w:eastAsia="Arial" w:hAnsi="Arial"/>
          <w:sz w:val="20"/>
          <w:szCs w:val="20"/>
          <w:color w:val="auto"/>
        </w:rPr>
        <w:t>$450 million annual savings ($200 million exit run-rate 12/31/17, $400 million exit run-rate 12/31/18, $450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exit run-rate 12/31/19)</w:t>
      </w:r>
    </w:p>
    <w:p>
      <w:pPr>
        <w:spacing w:after="0" w:line="170" w:lineRule="exact"/>
        <w:rPr>
          <w:sz w:val="20"/>
          <w:szCs w:val="20"/>
          <w:color w:val="auto"/>
        </w:rPr>
      </w:pPr>
    </w:p>
    <w:p>
      <w:pPr>
        <w:jc w:val="both"/>
        <w:ind w:left="180" w:hanging="10"/>
        <w:spacing w:after="0" w:line="230" w:lineRule="auto"/>
        <w:tabs>
          <w:tab w:leader="none" w:pos="316"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Our guidance measures adjusted EBITDA margin, corporate expense,net excluding the impact of foreign currency fluctuations, net interest expense excluding the impact of revaluation of partners’ redeemable financial liability, and tax rate excluding the impact of discrete items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ectPr>
          <w:pgSz w:w="11900" w:h="16838" w:orient="portrait"/>
          <w:cols w:equalWidth="0" w:num="1">
            <w:col w:w="11420"/>
          </w:cols>
          <w:pgMar w:left="240" w:top="355"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Teleconference</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May 10, 2018 to discuss the first quarter 2018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000000"/>
        </w:rPr>
        <w:t>.</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ectPr>
          <w:pgSz w:w="11900" w:h="16838" w:orient="portrait"/>
          <w:cols w:equalWidth="0" w:num="1">
            <w:col w:w="11420"/>
          </w:cols>
          <w:pgMar w:left="240" w:top="747"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20"/>
          <w:szCs w:val="20"/>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166" w:lineRule="exact"/>
        <w:rPr>
          <w:sz w:val="20"/>
          <w:szCs w:val="20"/>
          <w:color w:val="auto"/>
        </w:rPr>
      </w:pPr>
    </w:p>
    <w:p>
      <w:pPr>
        <w:ind w:right="580"/>
        <w:spacing w:after="0" w:line="294" w:lineRule="auto"/>
        <w:rPr>
          <w:sz w:val="20"/>
          <w:szCs w:val="20"/>
          <w:color w:val="auto"/>
        </w:rPr>
      </w:pPr>
      <w:r>
        <w:rPr>
          <w:rFonts w:ascii="Arial" w:cs="Arial" w:eastAsia="Arial" w:hAnsi="Arial"/>
          <w:sz w:val="19"/>
          <w:szCs w:val="19"/>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24"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i w:val="1"/>
          <w:iCs w:val="1"/>
          <w:color w:val="808080"/>
        </w:rPr>
        <w:t>Each of our more than 37,000 employees is driven by a steady commitment to clients and a culture of purposeful innovation, challenging industry conventions, and rethinking how the best results are achieved.</w:t>
      </w:r>
    </w:p>
    <w:p>
      <w:pPr>
        <w:spacing w:after="0" w:line="110"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i w:val="1"/>
          <w:iCs w:val="1"/>
          <w:color w:val="808080"/>
        </w:rPr>
        <w:t>To learn more about us and how we are enhancing the performance of the world’s energy industry, go to TechnipFMC.com and follow us on Twitter @TechnipFMC.</w:t>
      </w:r>
    </w:p>
    <w:p>
      <w:pPr>
        <w:spacing w:after="0" w:line="1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“believe,” “expect,” “anticipate,” “plan,” “intend,” “foresee,” “should,” “would,” “could,” “may,”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29" w:lineRule="exact"/>
        <w:rPr>
          <w:sz w:val="20"/>
          <w:szCs w:val="20"/>
          <w:color w:val="auto"/>
        </w:rPr>
      </w:pPr>
    </w:p>
    <w:p>
      <w:pPr>
        <w:ind w:left="6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the remedial measures to address our material weaknesses could be insufficient or additional issues relating to disclosure controls and procedures or internal control over financial reporting could be identified;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unanticipated changes relating to competitive factors in our industry;</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right="2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cost overruns related to our fixed price contracts or asset construction projects that may affect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our ability to timely deliver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our reliance on subcontractors, suppliers and joint venture partners in the performance of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our 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the potential impacts of seasonal and weather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the cumulative loss of major contracts or alliances;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U.S. and international laws and regulations, including environmental laws and regulations, that may increase our costs, limit the demand for our products and services or restrict our operations;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disruptions in the political, regulatory, economic and social conditions of the countries in which we conduct business;</w:t>
      </w:r>
    </w:p>
    <w:p>
      <w:pPr>
        <w:spacing w:after="0" w:line="9" w:lineRule="exact"/>
        <w:rPr>
          <w:rFonts w:ascii="Arial" w:cs="Arial" w:eastAsia="Arial" w:hAnsi="Arial"/>
          <w:sz w:val="18"/>
          <w:szCs w:val="18"/>
          <w:color w:val="auto"/>
        </w:rPr>
      </w:pPr>
    </w:p>
    <w:p>
      <w:pPr>
        <w:ind w:left="660" w:right="7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results of the United Kingdom’s referendum on withdrawal from the European Union;</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risks associated with being an English public limited company, including the need for court approval of “distributable profits” and stockholder approval of certain capital structure decisions;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our ability to pay dividends or repurchase shares in accordance with our announced capital allocation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compliance with covenants under our debt instruments and conditions in the credit markets;</w:t>
      </w:r>
    </w:p>
    <w:p>
      <w:pPr>
        <w:sectPr>
          <w:pgSz w:w="11900" w:h="16838" w:orient="portrait"/>
          <w:cols w:equalWidth="0" w:num="1">
            <w:col w:w="11380"/>
          </w:cols>
          <w:pgMar w:left="240" w:top="355" w:right="279" w:bottom="1440" w:gutter="0" w:footer="0" w:header="0"/>
        </w:sectPr>
      </w:pPr>
    </w:p>
    <w:bookmarkStart w:id="15" w:name="page16"/>
    <w:bookmarkEnd w:id="15"/>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unanticipated merger-related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failure of our information technology infrastructure or any significant breach of security, including related to cyber 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risks associated with tax liabilities, changes in U.S. federal or international tax laws or interpretations to which they are subject; and</w:t>
      </w:r>
    </w:p>
    <w:p>
      <w:pPr>
        <w:spacing w:after="0" w:line="9"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such other risk factors set forth in our filings with the United States Securities and Exchange Commission and in our filings with the Autorité des marchés financiers or the U.K. Financial Conduct Authority.</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20" w:type="dxa"/>
            <w:vAlign w:val="bottom"/>
            <w:gridSpan w:val="4"/>
          </w:tcPr>
          <w:p>
            <w:pPr>
              <w:spacing w:after="0"/>
              <w:rPr>
                <w:sz w:val="20"/>
                <w:szCs w:val="20"/>
                <w:color w:val="auto"/>
              </w:rPr>
            </w:pPr>
            <w:r>
              <w:rPr>
                <w:rFonts w:ascii="Arial" w:cs="Arial" w:eastAsia="Arial" w:hAnsi="Arial"/>
                <w:sz w:val="20"/>
                <w:szCs w:val="20"/>
                <w:b w:val="1"/>
                <w:bCs w:val="1"/>
                <w:color w:val="auto"/>
              </w:rPr>
              <w:t>Contacts</w:t>
            </w:r>
          </w:p>
        </w:tc>
        <w:tc>
          <w:tcPr>
            <w:tcW w:w="1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635"/>
        </w:trPr>
        <w:tc>
          <w:tcPr>
            <w:tcW w:w="4220" w:type="dxa"/>
            <w:vAlign w:val="bottom"/>
            <w:gridSpan w:val="4"/>
          </w:tcPr>
          <w:p>
            <w:pPr>
              <w:ind w:left="40"/>
              <w:spacing w:after="0"/>
              <w:rPr>
                <w:sz w:val="20"/>
                <w:szCs w:val="20"/>
                <w:color w:val="auto"/>
              </w:rPr>
            </w:pPr>
            <w:r>
              <w:rPr>
                <w:rFonts w:ascii="Arial" w:cs="Arial" w:eastAsia="Arial" w:hAnsi="Arial"/>
                <w:sz w:val="20"/>
                <w:szCs w:val="20"/>
                <w:b w:val="1"/>
                <w:bCs w:val="1"/>
                <w:color w:val="auto"/>
              </w:rPr>
              <w:t>Investor relations</w:t>
            </w:r>
          </w:p>
        </w:tc>
        <w:tc>
          <w:tcPr>
            <w:tcW w:w="4760" w:type="dxa"/>
            <w:vAlign w:val="bottom"/>
            <w:gridSpan w:val="4"/>
          </w:tcPr>
          <w:p>
            <w:pPr>
              <w:ind w:left="1020"/>
              <w:spacing w:after="0"/>
              <w:rPr>
                <w:sz w:val="20"/>
                <w:szCs w:val="20"/>
                <w:color w:val="auto"/>
              </w:rPr>
            </w:pPr>
            <w:r>
              <w:rPr>
                <w:rFonts w:ascii="Arial" w:cs="Arial" w:eastAsia="Arial" w:hAnsi="Arial"/>
                <w:sz w:val="20"/>
                <w:szCs w:val="20"/>
                <w:b w:val="1"/>
                <w:bCs w:val="1"/>
                <w:color w:val="auto"/>
              </w:rPr>
              <w:t>Media relations</w:t>
            </w:r>
          </w:p>
        </w:tc>
      </w:tr>
      <w:tr>
        <w:trPr>
          <w:trHeight w:val="810"/>
        </w:trPr>
        <w:tc>
          <w:tcPr>
            <w:tcW w:w="4220" w:type="dxa"/>
            <w:vAlign w:val="bottom"/>
            <w:gridSpan w:val="4"/>
          </w:tcPr>
          <w:p>
            <w:pPr>
              <w:ind w:left="40"/>
              <w:spacing w:after="0"/>
              <w:rPr>
                <w:sz w:val="20"/>
                <w:szCs w:val="20"/>
                <w:color w:val="auto"/>
              </w:rPr>
            </w:pPr>
            <w:r>
              <w:rPr>
                <w:rFonts w:ascii="Arial" w:cs="Arial" w:eastAsia="Arial" w:hAnsi="Arial"/>
                <w:sz w:val="20"/>
                <w:szCs w:val="20"/>
                <w:color w:val="auto"/>
              </w:rPr>
              <w:t>Matt Seinsheimer</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Christophe Belorgeot</w:t>
            </w:r>
          </w:p>
        </w:tc>
      </w:tr>
      <w:tr>
        <w:trPr>
          <w:trHeight w:val="378"/>
        </w:trPr>
        <w:tc>
          <w:tcPr>
            <w:tcW w:w="4220" w:type="dxa"/>
            <w:vAlign w:val="bottom"/>
            <w:gridSpan w:val="4"/>
          </w:tcPr>
          <w:p>
            <w:pPr>
              <w:ind w:left="40"/>
              <w:spacing w:after="0"/>
              <w:rPr>
                <w:sz w:val="20"/>
                <w:szCs w:val="20"/>
                <w:color w:val="auto"/>
              </w:rPr>
            </w:pPr>
            <w:r>
              <w:rPr>
                <w:rFonts w:ascii="Arial" w:cs="Arial" w:eastAsia="Arial" w:hAnsi="Arial"/>
                <w:sz w:val="20"/>
                <w:szCs w:val="20"/>
                <w:color w:val="auto"/>
              </w:rPr>
              <w:t>Vice President Investor Relations</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w w:val="98"/>
              </w:rPr>
              <w:t>Vice President Corporate Communications</w:t>
            </w:r>
          </w:p>
        </w:tc>
      </w:tr>
      <w:tr>
        <w:trPr>
          <w:trHeight w:val="378"/>
        </w:trPr>
        <w:tc>
          <w:tcPr>
            <w:tcW w:w="4220" w:type="dxa"/>
            <w:vAlign w:val="bottom"/>
            <w:gridSpan w:val="4"/>
          </w:tcPr>
          <w:p>
            <w:pPr>
              <w:ind w:left="40"/>
              <w:spacing w:after="0"/>
              <w:rPr>
                <w:sz w:val="20"/>
                <w:szCs w:val="20"/>
                <w:color w:val="auto"/>
              </w:rPr>
            </w:pPr>
            <w:r>
              <w:rPr>
                <w:rFonts w:ascii="Arial" w:cs="Arial" w:eastAsia="Arial" w:hAnsi="Arial"/>
                <w:sz w:val="20"/>
                <w:szCs w:val="20"/>
                <w:color w:val="auto"/>
              </w:rPr>
              <w:t>Tel: +1 281 260 3665</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Tel: +33 1 47 78 39 92</w:t>
            </w:r>
          </w:p>
        </w:tc>
      </w:tr>
      <w:tr>
        <w:trPr>
          <w:trHeight w:val="334"/>
        </w:trPr>
        <w:tc>
          <w:tcPr>
            <w:tcW w:w="4220" w:type="dxa"/>
            <w:vAlign w:val="bottom"/>
            <w:gridSpan w:val="4"/>
          </w:tcPr>
          <w:p>
            <w:pPr>
              <w:ind w:left="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Matt Seinsheimer</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Christophe Belorgeot</w:t>
            </w: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781"/>
        </w:trPr>
        <w:tc>
          <w:tcPr>
            <w:tcW w:w="4220" w:type="dxa"/>
            <w:vAlign w:val="bottom"/>
            <w:gridSpan w:val="4"/>
          </w:tcPr>
          <w:p>
            <w:pPr>
              <w:ind w:left="40"/>
              <w:spacing w:after="0"/>
              <w:rPr>
                <w:sz w:val="20"/>
                <w:szCs w:val="20"/>
                <w:color w:val="auto"/>
              </w:rPr>
            </w:pPr>
            <w:r>
              <w:rPr>
                <w:rFonts w:ascii="Arial" w:cs="Arial" w:eastAsia="Arial" w:hAnsi="Arial"/>
                <w:sz w:val="20"/>
                <w:szCs w:val="20"/>
                <w:color w:val="auto"/>
              </w:rPr>
              <w:t>Phillip Lindsay</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Delphine Nayral</w:t>
            </w:r>
          </w:p>
        </w:tc>
      </w:tr>
      <w:tr>
        <w:trPr>
          <w:trHeight w:val="378"/>
        </w:trPr>
        <w:tc>
          <w:tcPr>
            <w:tcW w:w="4220" w:type="dxa"/>
            <w:vAlign w:val="bottom"/>
            <w:gridSpan w:val="4"/>
          </w:tcPr>
          <w:p>
            <w:pPr>
              <w:ind w:left="40"/>
              <w:spacing w:after="0"/>
              <w:rPr>
                <w:sz w:val="20"/>
                <w:szCs w:val="20"/>
                <w:color w:val="auto"/>
              </w:rPr>
            </w:pPr>
            <w:r>
              <w:rPr>
                <w:rFonts w:ascii="Arial" w:cs="Arial" w:eastAsia="Arial" w:hAnsi="Arial"/>
                <w:sz w:val="20"/>
                <w:szCs w:val="20"/>
                <w:color w:val="auto"/>
              </w:rPr>
              <w:t>Director Investor Relations (Europe)</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Senior Manager Public Relations</w:t>
            </w:r>
          </w:p>
        </w:tc>
      </w:tr>
      <w:tr>
        <w:trPr>
          <w:trHeight w:val="378"/>
        </w:trPr>
        <w:tc>
          <w:tcPr>
            <w:tcW w:w="4220" w:type="dxa"/>
            <w:vAlign w:val="bottom"/>
            <w:gridSpan w:val="4"/>
          </w:tcPr>
          <w:p>
            <w:pPr>
              <w:ind w:left="40"/>
              <w:spacing w:after="0"/>
              <w:rPr>
                <w:sz w:val="20"/>
                <w:szCs w:val="20"/>
                <w:color w:val="auto"/>
              </w:rPr>
            </w:pPr>
            <w:r>
              <w:rPr>
                <w:rFonts w:ascii="Arial" w:cs="Arial" w:eastAsia="Arial" w:hAnsi="Arial"/>
                <w:sz w:val="20"/>
                <w:szCs w:val="20"/>
                <w:color w:val="auto"/>
              </w:rPr>
              <w:t>Tel: +44 (0) 20 3429 3929</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Tel: +33 1 47 78 34 83</w:t>
            </w:r>
          </w:p>
        </w:tc>
      </w:tr>
      <w:tr>
        <w:trPr>
          <w:trHeight w:val="334"/>
        </w:trPr>
        <w:tc>
          <w:tcPr>
            <w:tcW w:w="4220" w:type="dxa"/>
            <w:vAlign w:val="bottom"/>
            <w:gridSpan w:val="4"/>
          </w:tcPr>
          <w:p>
            <w:pPr>
              <w:ind w:left="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Phillip Lindsay</w:t>
            </w:r>
          </w:p>
        </w:tc>
        <w:tc>
          <w:tcPr>
            <w:tcW w:w="4760" w:type="dxa"/>
            <w:vAlign w:val="bottom"/>
            <w:gridSpan w:val="4"/>
          </w:tcPr>
          <w:p>
            <w:pPr>
              <w:ind w:left="102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Delphine Nayral</w:t>
            </w: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16" w:name="page17"/>
    <w:bookmarkEnd w:id="16"/>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1600" cy="523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GAAP FINANCIAL STATEMENTS</w:t>
      </w:r>
    </w:p>
    <w:p>
      <w:pPr>
        <w:spacing w:after="0" w:line="39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U.S. GAAP financial statements for TechnipFMC plc and consolidated subsidiaries are provided on the following pages. The financial results reflect the following information:</w:t>
      </w:r>
    </w:p>
    <w:p>
      <w:pPr>
        <w:spacing w:after="0" w:line="148" w:lineRule="exact"/>
        <w:rPr>
          <w:sz w:val="20"/>
          <w:szCs w:val="20"/>
          <w:color w:val="auto"/>
        </w:rPr>
      </w:pPr>
    </w:p>
    <w:p>
      <w:pPr>
        <w:ind w:left="580" w:hanging="329"/>
        <w:spacing w:after="0" w:line="247" w:lineRule="auto"/>
        <w:tabs>
          <w:tab w:leader="none" w:pos="5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Therefore, the results for the three months ended March 31, 2017:</w:t>
      </w:r>
    </w:p>
    <w:p>
      <w:pPr>
        <w:spacing w:after="0" w:line="16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Include the results of Technip for the full period;</w:t>
      </w:r>
    </w:p>
    <w:p>
      <w:pPr>
        <w:jc w:val="both"/>
        <w:ind w:left="660" w:hanging="328"/>
        <w:spacing w:after="0" w:line="243"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March 31, 2017; revenue of $112.9 million during the period from January 1 to January 16, 2017 were excluded, of which approximately 70 percent was reported in Subsea and the remainder in Surface Technologies.</w:t>
      </w:r>
    </w:p>
    <w:p>
      <w:pPr>
        <w:spacing w:after="0" w:line="39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1440" w:right="239" w:bottom="1440" w:gutter="0" w:footer="0" w:header="0"/>
        </w:sectPr>
      </w:pPr>
    </w:p>
    <w:bookmarkStart w:id="17" w:name="page18"/>
    <w:bookmarkEnd w:id="17"/>
    <w:p>
      <w:pPr>
        <w:jc w:val="center"/>
        <w:ind w:right="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STATEMENTS OF INCOME </w:t>
      </w:r>
      <w:r>
        <w:rPr>
          <w:rFonts w:ascii="Arial" w:cs="Arial" w:eastAsia="Arial" w:hAnsi="Arial"/>
          <w:sz w:val="18"/>
          <w:szCs w:val="18"/>
          <w:b w:val="1"/>
          <w:bCs w:val="1"/>
          <w:color w:val="auto"/>
        </w:rPr>
        <w:t>(In millions,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1"/>
              </w:rPr>
              <w:t>(Unaudited)</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6"/>
              </w:rPr>
              <w:t>March 31,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650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3,125.2</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3,388.0</w:t>
            </w: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2,885.9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459"/>
        </w:trPr>
        <w:tc>
          <w:tcPr>
            <w:tcW w:w="65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6500" w:type="dxa"/>
            <w:vAlign w:val="bottom"/>
          </w:tcPr>
          <w:p>
            <w:pPr>
              <w:spacing w:after="0"/>
              <w:rPr>
                <w:sz w:val="20"/>
                <w:szCs w:val="20"/>
                <w:color w:val="auto"/>
              </w:rPr>
            </w:pPr>
            <w:r>
              <w:rPr>
                <w:rFonts w:ascii="Arial" w:cs="Arial" w:eastAsia="Arial" w:hAnsi="Arial"/>
                <w:sz w:val="18"/>
                <w:szCs w:val="18"/>
                <w:color w:val="auto"/>
              </w:rPr>
              <w:t>Income before net interest expense and income taxes</w:t>
            </w:r>
          </w:p>
        </w:tc>
        <w:tc>
          <w:tcPr>
            <w:tcW w:w="2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6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650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6500" w:type="dxa"/>
            <w:vAlign w:val="bottom"/>
          </w:tcPr>
          <w:p>
            <w:pPr>
              <w:spacing w:after="0"/>
              <w:rPr>
                <w:sz w:val="20"/>
                <w:szCs w:val="20"/>
                <w:color w:val="auto"/>
              </w:rPr>
            </w:pPr>
            <w:r>
              <w:rPr>
                <w:rFonts w:ascii="Arial" w:cs="Arial" w:eastAsia="Arial" w:hAnsi="Arial"/>
                <w:sz w:val="18"/>
                <w:szCs w:val="18"/>
                <w:color w:val="auto"/>
              </w:rPr>
              <w:t>Net income (loss) attributable to TechnipFMC plc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Earnings per share attributable to TechnipFMC plc:</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00" w:type="dxa"/>
            <w:vAlign w:val="bottom"/>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0"/>
        </w:trPr>
        <w:tc>
          <w:tcPr>
            <w:tcW w:w="6500" w:type="dxa"/>
            <w:vAlign w:val="bottom"/>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554"/>
        </w:trPr>
        <w:tc>
          <w:tcPr>
            <w:tcW w:w="65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00" w:type="dxa"/>
            <w:vAlign w:val="bottom"/>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70"/>
        </w:trPr>
        <w:tc>
          <w:tcPr>
            <w:tcW w:w="6500" w:type="dxa"/>
            <w:vAlign w:val="bottom"/>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554"/>
        </w:trPr>
        <w:tc>
          <w:tcPr>
            <w:tcW w:w="650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9180"/>
          </w:cols>
          <w:pgMar w:left="1380" w:top="526" w:right="1339" w:bottom="1440" w:gutter="0" w:footer="0" w:header="0"/>
        </w:sectPr>
      </w:pPr>
    </w:p>
    <w:bookmarkStart w:id="18" w:name="page19"/>
    <w:bookmarkEnd w:id="18"/>
    <w:p>
      <w:pPr>
        <w:jc w:val="center"/>
        <w:ind w:right="-651"/>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651"/>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651"/>
        <w:spacing w:after="0"/>
        <w:rPr>
          <w:sz w:val="20"/>
          <w:szCs w:val="20"/>
          <w:color w:val="auto"/>
        </w:rPr>
      </w:pPr>
      <w:r>
        <w:rPr>
          <w:rFonts w:ascii="Arial" w:cs="Arial" w:eastAsia="Arial" w:hAnsi="Arial"/>
          <w:sz w:val="18"/>
          <w:szCs w:val="18"/>
          <w:b w:val="1"/>
          <w:bCs w:val="1"/>
          <w:color w:val="auto"/>
        </w:rPr>
        <w:t>(In millions)</w:t>
      </w:r>
    </w:p>
    <w:p>
      <w:pPr>
        <w:spacing w:after="0" w:line="153" w:lineRule="exact"/>
        <w:rPr>
          <w:sz w:val="20"/>
          <w:szCs w:val="20"/>
          <w:color w:val="auto"/>
        </w:rPr>
      </w:pPr>
    </w:p>
    <w:tbl>
      <w:tblPr>
        <w:tblLayout w:type="fixed"/>
        <w:tblInd w:w="1132"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1"/>
              </w:rPr>
              <w:t>(Unaudited)</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6"/>
              </w:rPr>
              <w:t>March 31,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65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500" w:type="dxa"/>
            <w:vAlign w:val="bottom"/>
            <w:gridSpan w:val="5"/>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Subsea</w:t>
            </w:r>
          </w:p>
        </w:tc>
        <w:tc>
          <w:tcPr>
            <w:tcW w:w="5840" w:type="dxa"/>
            <w:vAlign w:val="bottom"/>
            <w:gridSpan w:val="4"/>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1,180.2</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1,376.7</w:t>
            </w:r>
          </w:p>
        </w:tc>
        <w:tc>
          <w:tcPr>
            <w:tcW w:w="0" w:type="dxa"/>
            <w:vAlign w:val="bottom"/>
          </w:tcPr>
          <w:p>
            <w:pPr>
              <w:spacing w:after="0"/>
              <w:rPr>
                <w:sz w:val="1"/>
                <w:szCs w:val="1"/>
                <w:color w:val="auto"/>
              </w:rPr>
            </w:pPr>
          </w:p>
        </w:tc>
      </w:tr>
      <w:tr>
        <w:trPr>
          <w:trHeight w:val="270"/>
        </w:trPr>
        <w:tc>
          <w:tcPr>
            <w:tcW w:w="650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1,573.4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1,764.0</w:t>
            </w:r>
          </w:p>
        </w:tc>
        <w:tc>
          <w:tcPr>
            <w:tcW w:w="0" w:type="dxa"/>
            <w:vAlign w:val="bottom"/>
          </w:tcPr>
          <w:p>
            <w:pPr>
              <w:spacing w:after="0"/>
              <w:rPr>
                <w:sz w:val="1"/>
                <w:szCs w:val="1"/>
                <w:color w:val="auto"/>
              </w:rPr>
            </w:pPr>
          </w:p>
        </w:tc>
      </w:tr>
      <w:tr>
        <w:trPr>
          <w:trHeight w:val="270"/>
        </w:trPr>
        <w:tc>
          <w:tcPr>
            <w:tcW w:w="650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70"/>
        </w:trPr>
        <w:tc>
          <w:tcPr>
            <w:tcW w:w="6500" w:type="dxa"/>
            <w:vAlign w:val="bottom"/>
            <w:gridSpan w:val="5"/>
          </w:tcPr>
          <w:p>
            <w:pPr>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3,125.2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3,388.0</w:t>
            </w:r>
          </w:p>
        </w:tc>
        <w:tc>
          <w:tcPr>
            <w:tcW w:w="0" w:type="dxa"/>
            <w:vAlign w:val="bottom"/>
          </w:tcPr>
          <w:p>
            <w:pPr>
              <w:spacing w:after="0"/>
              <w:rPr>
                <w:sz w:val="1"/>
                <w:szCs w:val="1"/>
                <w:color w:val="auto"/>
              </w:rPr>
            </w:pPr>
          </w:p>
        </w:tc>
      </w:tr>
      <w:tr>
        <w:trPr>
          <w:trHeight w:val="27"/>
        </w:trPr>
        <w:tc>
          <w:tcPr>
            <w:tcW w:w="65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gridSpan w:val="5"/>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50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2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Segment operating profit (loss)</w:t>
            </w: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500" w:type="dxa"/>
            <w:vAlign w:val="bottom"/>
            <w:gridSpan w:val="5"/>
          </w:tcPr>
          <w:p>
            <w:pPr>
              <w:spacing w:after="0"/>
              <w:rPr>
                <w:sz w:val="20"/>
                <w:szCs w:val="20"/>
                <w:color w:val="auto"/>
              </w:rPr>
            </w:pPr>
            <w:r>
              <w:rPr>
                <w:rFonts w:ascii="Arial" w:cs="Arial" w:eastAsia="Arial" w:hAnsi="Arial"/>
                <w:sz w:val="18"/>
                <w:szCs w:val="18"/>
                <w:color w:val="auto"/>
              </w:rPr>
              <w:t>Subsea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0"/>
        </w:trPr>
        <w:tc>
          <w:tcPr>
            <w:tcW w:w="650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70"/>
        </w:trPr>
        <w:tc>
          <w:tcPr>
            <w:tcW w:w="650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gridSpan w:val="5"/>
          </w:tcPr>
          <w:p>
            <w:pPr>
              <w:spacing w:after="0"/>
              <w:rPr>
                <w:sz w:val="20"/>
                <w:szCs w:val="20"/>
                <w:color w:val="auto"/>
              </w:rPr>
            </w:pPr>
            <w:r>
              <w:rPr>
                <w:rFonts w:ascii="Arial" w:cs="Arial" w:eastAsia="Arial" w:hAnsi="Arial"/>
                <w:sz w:val="18"/>
                <w:szCs w:val="18"/>
                <w:color w:val="auto"/>
              </w:rPr>
              <w:t>Total segment operating profit</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7"/>
        </w:trPr>
        <w:tc>
          <w:tcPr>
            <w:tcW w:w="6500" w:type="dxa"/>
            <w:vAlign w:val="bottom"/>
            <w:gridSpan w:val="5"/>
            <w:vMerge w:val="restart"/>
          </w:tcPr>
          <w:p>
            <w:pPr>
              <w:spacing w:after="0"/>
              <w:rPr>
                <w:sz w:val="20"/>
                <w:szCs w:val="20"/>
                <w:color w:val="auto"/>
              </w:rPr>
            </w:pPr>
            <w:r>
              <w:rPr>
                <w:rFonts w:ascii="Arial" w:cs="Arial" w:eastAsia="Arial" w:hAnsi="Arial"/>
                <w:sz w:val="18"/>
                <w:szCs w:val="18"/>
                <w:color w:val="auto"/>
              </w:rPr>
              <w:t>Corporate items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50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00" w:type="dxa"/>
            <w:vAlign w:val="bottom"/>
            <w:gridSpan w:val="5"/>
          </w:tcPr>
          <w:p>
            <w:pPr>
              <w:spacing w:after="0"/>
              <w:rPr>
                <w:sz w:val="20"/>
                <w:szCs w:val="20"/>
                <w:color w:val="auto"/>
              </w:rPr>
            </w:pPr>
            <w:r>
              <w:rPr>
                <w:rFonts w:ascii="Arial" w:cs="Arial" w:eastAsia="Arial" w:hAnsi="Arial"/>
                <w:sz w:val="18"/>
                <w:szCs w:val="18"/>
                <w:color w:val="auto"/>
              </w:rPr>
              <w:t>Corporate expense, net (1)</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0"/>
        </w:trPr>
        <w:tc>
          <w:tcPr>
            <w:tcW w:w="6500" w:type="dxa"/>
            <w:vAlign w:val="bottom"/>
            <w:gridSpan w:val="5"/>
          </w:tcPr>
          <w:p>
            <w:pPr>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1"/>
        </w:trPr>
        <w:tc>
          <w:tcPr>
            <w:tcW w:w="6500" w:type="dxa"/>
            <w:vAlign w:val="bottom"/>
            <w:gridSpan w:val="5"/>
          </w:tcPr>
          <w:p>
            <w:pPr>
              <w:spacing w:after="0"/>
              <w:rPr>
                <w:sz w:val="20"/>
                <w:szCs w:val="20"/>
                <w:color w:val="auto"/>
              </w:rPr>
            </w:pPr>
            <w:r>
              <w:rPr>
                <w:rFonts w:ascii="Arial" w:cs="Arial" w:eastAsia="Arial" w:hAnsi="Arial"/>
                <w:sz w:val="18"/>
                <w:szCs w:val="18"/>
                <w:color w:val="auto"/>
              </w:rPr>
              <w:t>Net Income before income taxes (2)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32" w:hanging="332"/>
        <w:spacing w:after="0" w:line="277" w:lineRule="auto"/>
        <w:tabs>
          <w:tab w:leader="none" w:pos="3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expense, net primarily includes corporate staff expenses, stock-based compensation expenses, other employee benefits, certain foreign exchange gains and losses, and merger-related transaction expenses.</w:t>
      </w:r>
    </w:p>
    <w:p>
      <w:pPr>
        <w:spacing w:after="0" w:line="116" w:lineRule="exact"/>
        <w:rPr>
          <w:rFonts w:ascii="Arial" w:cs="Arial" w:eastAsia="Arial" w:hAnsi="Arial"/>
          <w:sz w:val="18"/>
          <w:szCs w:val="18"/>
          <w:color w:val="auto"/>
        </w:rPr>
      </w:pPr>
    </w:p>
    <w:p>
      <w:pPr>
        <w:ind w:left="332" w:hanging="332"/>
        <w:spacing w:after="0"/>
        <w:tabs>
          <w:tab w:leader="none" w:pos="3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ectPr>
          <w:pgSz w:w="11900" w:h="16838" w:orient="portrait"/>
          <w:cols w:equalWidth="0" w:num="1">
            <w:col w:w="10772"/>
          </w:cols>
          <w:pgMar w:left="248" w:top="526" w:right="879" w:bottom="1440" w:gutter="0" w:footer="0" w:header="0"/>
        </w:sectPr>
      </w:pPr>
    </w:p>
    <w:bookmarkStart w:id="19" w:name="page20"/>
    <w:bookmarkEnd w:id="19"/>
    <w:p>
      <w:pPr>
        <w:jc w:val="center"/>
        <w:ind w:right="-1091"/>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091"/>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1091"/>
        <w:spacing w:after="0"/>
        <w:rPr>
          <w:sz w:val="20"/>
          <w:szCs w:val="20"/>
          <w:color w:val="auto"/>
        </w:rPr>
      </w:pPr>
      <w:r>
        <w:rPr>
          <w:rFonts w:ascii="Arial" w:cs="Arial" w:eastAsia="Arial" w:hAnsi="Arial"/>
          <w:sz w:val="18"/>
          <w:szCs w:val="18"/>
          <w:b w:val="1"/>
          <w:bCs w:val="1"/>
          <w:color w:val="auto"/>
        </w:rPr>
        <w:t>(In millions, unaudited)</w:t>
      </w:r>
    </w:p>
    <w:p>
      <w:pPr>
        <w:spacing w:after="0" w:line="153" w:lineRule="exact"/>
        <w:rPr>
          <w:sz w:val="20"/>
          <w:szCs w:val="20"/>
          <w:color w:val="auto"/>
        </w:rPr>
      </w:pPr>
    </w:p>
    <w:tbl>
      <w:tblPr>
        <w:tblLayout w:type="fixed"/>
        <w:tblInd w:w="1132"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Inbound Orders (1)</w:t>
            </w:r>
          </w:p>
        </w:tc>
        <w:tc>
          <w:tcPr>
            <w:tcW w:w="28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9"/>
                <w:szCs w:val="19"/>
                <w:color w:val="auto"/>
              </w:rPr>
            </w:pPr>
          </w:p>
        </w:tc>
      </w:tr>
      <w:tr>
        <w:trPr>
          <w:trHeight w:val="48"/>
        </w:trPr>
        <w:tc>
          <w:tcPr>
            <w:tcW w:w="1520" w:type="dxa"/>
            <w:vAlign w:val="bottom"/>
            <w:tcBorders>
              <w:top w:val="single" w:sz="8" w:color="auto"/>
            </w:tcBorders>
          </w:tcPr>
          <w:p>
            <w:pPr>
              <w:spacing w:after="0"/>
              <w:rPr>
                <w:sz w:val="4"/>
                <w:szCs w:val="4"/>
                <w:color w:val="auto"/>
              </w:rPr>
            </w:pPr>
          </w:p>
        </w:tc>
        <w:tc>
          <w:tcPr>
            <w:tcW w:w="50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7"/>
        </w:trPr>
        <w:tc>
          <w:tcPr>
            <w:tcW w:w="15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15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520"/>
        </w:trPr>
        <w:tc>
          <w:tcPr>
            <w:tcW w:w="658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1,227.8</w:t>
            </w:r>
          </w:p>
        </w:tc>
        <w:tc>
          <w:tcPr>
            <w:tcW w:w="1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666.0</w:t>
            </w:r>
          </w:p>
        </w:tc>
      </w:tr>
      <w:tr>
        <w:trPr>
          <w:trHeight w:val="270"/>
        </w:trPr>
        <w:tc>
          <w:tcPr>
            <w:tcW w:w="658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1,849.6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682.0</w:t>
            </w:r>
          </w:p>
        </w:tc>
      </w:tr>
      <w:tr>
        <w:trPr>
          <w:trHeight w:val="270"/>
        </w:trPr>
        <w:tc>
          <w:tcPr>
            <w:tcW w:w="658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241.5</w:t>
            </w:r>
          </w:p>
        </w:tc>
      </w:tr>
      <w:tr>
        <w:trPr>
          <w:trHeight w:val="27"/>
        </w:trPr>
        <w:tc>
          <w:tcPr>
            <w:tcW w:w="15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80" w:type="dxa"/>
            <w:vAlign w:val="bottom"/>
            <w:gridSpan w:val="2"/>
          </w:tcPr>
          <w:p>
            <w:pPr>
              <w:spacing w:after="0"/>
              <w:rPr>
                <w:sz w:val="20"/>
                <w:szCs w:val="20"/>
                <w:color w:val="auto"/>
              </w:rPr>
            </w:pPr>
            <w:r>
              <w:rPr>
                <w:rFonts w:ascii="Arial" w:cs="Arial" w:eastAsia="Arial" w:hAnsi="Arial"/>
                <w:sz w:val="18"/>
                <w:szCs w:val="18"/>
                <w:color w:val="auto"/>
              </w:rPr>
              <w:t>Total inbound orders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3,487.0</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1,589.5</w:t>
            </w:r>
          </w:p>
        </w:tc>
      </w:tr>
      <w:tr>
        <w:trPr>
          <w:trHeight w:val="20"/>
        </w:trPr>
        <w:tc>
          <w:tcPr>
            <w:tcW w:w="15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1132"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Order Backlog (2)</w:t>
            </w:r>
          </w:p>
        </w:tc>
        <w:tc>
          <w:tcPr>
            <w:tcW w:w="28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9"/>
                <w:szCs w:val="19"/>
                <w:color w:val="auto"/>
              </w:rPr>
            </w:pPr>
          </w:p>
        </w:tc>
      </w:tr>
      <w:tr>
        <w:trPr>
          <w:trHeight w:val="48"/>
        </w:trPr>
        <w:tc>
          <w:tcPr>
            <w:tcW w:w="1400" w:type="dxa"/>
            <w:vAlign w:val="bottom"/>
            <w:tcBorders>
              <w:top w:val="single" w:sz="8" w:color="auto"/>
            </w:tcBorders>
          </w:tcPr>
          <w:p>
            <w:pPr>
              <w:spacing w:after="0"/>
              <w:rPr>
                <w:sz w:val="4"/>
                <w:szCs w:val="4"/>
                <w:color w:val="auto"/>
              </w:rPr>
            </w:pPr>
          </w:p>
        </w:tc>
        <w:tc>
          <w:tcPr>
            <w:tcW w:w="51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7"/>
        </w:trPr>
        <w:tc>
          <w:tcPr>
            <w:tcW w:w="14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14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507"/>
        </w:trPr>
        <w:tc>
          <w:tcPr>
            <w:tcW w:w="658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6,110.9</w:t>
            </w:r>
          </w:p>
        </w:tc>
        <w:tc>
          <w:tcPr>
            <w:tcW w:w="1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6,558.2</w:t>
            </w:r>
          </w:p>
        </w:tc>
      </w:tr>
      <w:tr>
        <w:trPr>
          <w:trHeight w:val="270"/>
        </w:trPr>
        <w:tc>
          <w:tcPr>
            <w:tcW w:w="658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7,491.6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9,066.0</w:t>
            </w:r>
          </w:p>
        </w:tc>
      </w:tr>
      <w:tr>
        <w:trPr>
          <w:trHeight w:val="270"/>
        </w:trPr>
        <w:tc>
          <w:tcPr>
            <w:tcW w:w="658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432.0</w:t>
            </w:r>
          </w:p>
        </w:tc>
      </w:tr>
      <w:tr>
        <w:trPr>
          <w:trHeight w:val="27"/>
        </w:trPr>
        <w:tc>
          <w:tcPr>
            <w:tcW w:w="14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80" w:type="dxa"/>
            <w:vAlign w:val="bottom"/>
            <w:gridSpan w:val="2"/>
          </w:tcPr>
          <w:p>
            <w:pPr>
              <w:spacing w:after="0"/>
              <w:rPr>
                <w:sz w:val="20"/>
                <w:szCs w:val="20"/>
                <w:color w:val="auto"/>
              </w:rPr>
            </w:pPr>
            <w:r>
              <w:rPr>
                <w:rFonts w:ascii="Arial" w:cs="Arial" w:eastAsia="Arial" w:hAnsi="Arial"/>
                <w:sz w:val="18"/>
                <w:szCs w:val="18"/>
                <w:color w:val="auto"/>
              </w:rPr>
              <w:t>Total order backlog</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14,012.0</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16,056.2</w:t>
            </w:r>
          </w:p>
        </w:tc>
      </w:tr>
      <w:tr>
        <w:trPr>
          <w:trHeight w:val="20"/>
        </w:trPr>
        <w:tc>
          <w:tcPr>
            <w:tcW w:w="1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2" w:hanging="332"/>
        <w:spacing w:after="0"/>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Inbound orders represent the estimated sales value of confirmed customer orders received during the reporting period.</w:t>
      </w:r>
    </w:p>
    <w:p>
      <w:pPr>
        <w:spacing w:after="0" w:line="171" w:lineRule="exact"/>
        <w:rPr>
          <w:rFonts w:ascii="Arial" w:cs="Arial" w:eastAsia="Arial" w:hAnsi="Arial"/>
          <w:sz w:val="18"/>
          <w:szCs w:val="18"/>
          <w:color w:val="auto"/>
        </w:rPr>
      </w:pPr>
    </w:p>
    <w:p>
      <w:pPr>
        <w:ind w:left="332" w:hanging="332"/>
        <w:spacing w:after="0"/>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Order backlog is calculated as the estimated sales value of unfilled, confirmed customer orders at the reporting date.</w:t>
      </w:r>
    </w:p>
    <w:p>
      <w:pPr>
        <w:sectPr>
          <w:pgSz w:w="11900" w:h="16838" w:orient="portrait"/>
          <w:cols w:equalWidth="0" w:num="1">
            <w:col w:w="10312"/>
          </w:cols>
          <w:pgMar w:left="248" w:top="526" w:right="1339" w:bottom="1440" w:gutter="0" w:footer="0" w:header="0"/>
        </w:sectPr>
      </w:pPr>
    </w:p>
    <w:bookmarkStart w:id="20" w:name="page21"/>
    <w:bookmarkEnd w:id="20"/>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BALANCE SHEETS </w:t>
      </w:r>
      <w:r>
        <w:rPr>
          <w:rFonts w:ascii="Arial" w:cs="Arial" w:eastAsia="Arial" w:hAnsi="Arial"/>
          <w:sz w:val="18"/>
          <w:szCs w:val="18"/>
          <w:b w:val="1"/>
          <w:bCs w:val="1"/>
          <w:color w:val="auto"/>
        </w:rPr>
        <w:t>(In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18"/>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6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20"/>
        </w:trPr>
        <w:tc>
          <w:tcPr>
            <w:tcW w:w="6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6,220.6</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6,737.4</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Trade receivables, net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1,484.4</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Contract assets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1,755.5</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987.0</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2,012.8</w:t>
            </w:r>
          </w:p>
        </w:tc>
      </w:tr>
      <w:tr>
        <w:trPr>
          <w:trHeight w:val="27"/>
        </w:trPr>
        <w:tc>
          <w:tcPr>
            <w:tcW w:w="6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13,173.5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12,977.1</w:t>
            </w:r>
          </w:p>
        </w:tc>
      </w:tr>
      <w:tr>
        <w:trPr>
          <w:trHeight w:val="554"/>
        </w:trPr>
        <w:tc>
          <w:tcPr>
            <w:tcW w:w="6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3,900.3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3,871.5</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9,012.2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8,929.8</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1,333.8</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1,151.5</w:t>
            </w:r>
          </w:p>
        </w:tc>
      </w:tr>
      <w:tr>
        <w:trPr>
          <w:trHeight w:val="27"/>
        </w:trPr>
        <w:tc>
          <w:tcPr>
            <w:tcW w:w="6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58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28,527.8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28,263.7</w:t>
            </w: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14"/>
        </w:trPr>
        <w:tc>
          <w:tcPr>
            <w:tcW w:w="658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Accounts payable, trade</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3,958.7</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3,314.2</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2,479.4</w:t>
            </w:r>
          </w:p>
        </w:tc>
      </w:tr>
      <w:tr>
        <w:trPr>
          <w:trHeight w:val="27"/>
        </w:trPr>
        <w:tc>
          <w:tcPr>
            <w:tcW w:w="6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10,270.7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9,829.4</w:t>
            </w:r>
          </w:p>
        </w:tc>
      </w:tr>
      <w:tr>
        <w:trPr>
          <w:trHeight w:val="554"/>
        </w:trPr>
        <w:tc>
          <w:tcPr>
            <w:tcW w:w="65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3,735.8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3,777.9</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1,239.5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1,247.0</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TechnipFMC plc stockholders’ equity</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13,265.1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13,387.9</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6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5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28,527.8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28,263.7</w:t>
            </w: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180"/>
          </w:cols>
          <w:pgMar w:left="1380" w:top="526" w:right="1339" w:bottom="1440" w:gutter="0" w:footer="0" w:header="0"/>
        </w:sectPr>
      </w:pPr>
    </w:p>
    <w:bookmarkStart w:id="21" w:name="page22"/>
    <w:bookmarkEnd w:id="21"/>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STATEMENTS OF CASH FLOWS </w:t>
      </w:r>
      <w:r>
        <w:rPr>
          <w:rFonts w:ascii="Arial" w:cs="Arial" w:eastAsia="Arial" w:hAnsi="Arial"/>
          <w:sz w:val="18"/>
          <w:szCs w:val="18"/>
          <w:b w:val="1"/>
          <w:bCs w:val="1"/>
          <w:color w:val="auto"/>
        </w:rPr>
        <w:t>(In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1"/>
              </w:rPr>
              <w:t>(Unaudited)</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6"/>
              </w:rPr>
              <w:t>March 31,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6500" w:type="dxa"/>
            <w:vAlign w:val="bottom"/>
            <w:vMerge w:val="restart"/>
          </w:tcPr>
          <w:p>
            <w:pPr>
              <w:spacing w:after="0"/>
              <w:rPr>
                <w:sz w:val="20"/>
                <w:szCs w:val="20"/>
                <w:color w:val="auto"/>
              </w:rPr>
            </w:pPr>
            <w:r>
              <w:rPr>
                <w:rFonts w:ascii="Arial" w:cs="Arial" w:eastAsia="Arial" w:hAnsi="Arial"/>
                <w:sz w:val="18"/>
                <w:szCs w:val="18"/>
                <w:color w:val="auto"/>
              </w:rPr>
              <w:t>Cash provided (required) by operating activities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0"/>
        </w:trPr>
        <w:tc>
          <w:tcPr>
            <w:tcW w:w="65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70"/>
        </w:trPr>
        <w:tc>
          <w:tcPr>
            <w:tcW w:w="6500" w:type="dxa"/>
            <w:vAlign w:val="bottom"/>
          </w:tcPr>
          <w:p>
            <w:pPr>
              <w:ind w:left="360"/>
              <w:spacing w:after="0"/>
              <w:rPr>
                <w:sz w:val="20"/>
                <w:szCs w:val="20"/>
                <w:color w:val="auto"/>
              </w:rPr>
            </w:pPr>
            <w:r>
              <w:rPr>
                <w:rFonts w:ascii="Arial" w:cs="Arial" w:eastAsia="Arial" w:hAnsi="Arial"/>
                <w:sz w:val="18"/>
                <w:szCs w:val="18"/>
                <w:color w:val="auto"/>
              </w:rPr>
              <w:t>Trade receivables, net and contract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70"/>
        </w:trPr>
        <w:tc>
          <w:tcPr>
            <w:tcW w:w="650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70"/>
        </w:trPr>
        <w:tc>
          <w:tcPr>
            <w:tcW w:w="6500" w:type="dxa"/>
            <w:vAlign w:val="bottom"/>
          </w:tcPr>
          <w:p>
            <w:pPr>
              <w:ind w:left="360"/>
              <w:spacing w:after="0"/>
              <w:rPr>
                <w:sz w:val="20"/>
                <w:szCs w:val="20"/>
                <w:color w:val="auto"/>
              </w:rPr>
            </w:pPr>
            <w:r>
              <w:rPr>
                <w:rFonts w:ascii="Arial" w:cs="Arial" w:eastAsia="Arial" w:hAnsi="Arial"/>
                <w:sz w:val="18"/>
                <w:szCs w:val="18"/>
                <w:color w:val="auto"/>
              </w:rPr>
              <w:t>Accounts payable, trade</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70"/>
        </w:trPr>
        <w:tc>
          <w:tcPr>
            <w:tcW w:w="650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0"/>
        </w:trPr>
        <w:tc>
          <w:tcPr>
            <w:tcW w:w="650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554"/>
        </w:trPr>
        <w:tc>
          <w:tcPr>
            <w:tcW w:w="6500" w:type="dxa"/>
            <w:vAlign w:val="bottom"/>
          </w:tcPr>
          <w:p>
            <w:pPr>
              <w:spacing w:after="0"/>
              <w:rPr>
                <w:sz w:val="20"/>
                <w:szCs w:val="20"/>
                <w:color w:val="auto"/>
              </w:rPr>
            </w:pPr>
            <w:r>
              <w:rPr>
                <w:rFonts w:ascii="Arial" w:cs="Arial" w:eastAsia="Arial" w:hAnsi="Arial"/>
                <w:sz w:val="18"/>
                <w:szCs w:val="18"/>
                <w:color w:val="auto"/>
              </w:rPr>
              <w:t>Cash provided (required) by investing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0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0"/>
        </w:trPr>
        <w:tc>
          <w:tcPr>
            <w:tcW w:w="6500" w:type="dxa"/>
            <w:vAlign w:val="bottom"/>
          </w:tcPr>
          <w:p>
            <w:pPr>
              <w:ind w:left="360"/>
              <w:spacing w:after="0"/>
              <w:rPr>
                <w:sz w:val="20"/>
                <w:szCs w:val="20"/>
                <w:color w:val="auto"/>
              </w:rPr>
            </w:pPr>
            <w:r>
              <w:rPr>
                <w:rFonts w:ascii="Arial" w:cs="Arial" w:eastAsia="Arial" w:hAnsi="Arial"/>
                <w:sz w:val="18"/>
                <w:szCs w:val="18"/>
                <w:color w:val="auto"/>
              </w:rPr>
              <w:t>Cash acquired in merger of FMC Technologies, Inc. and Technip S.A.</w:t>
            </w:r>
          </w:p>
        </w:tc>
        <w:tc>
          <w:tcPr>
            <w:tcW w:w="28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70"/>
        </w:trPr>
        <w:tc>
          <w:tcPr>
            <w:tcW w:w="650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140"/>
              <w:spacing w:after="0"/>
              <w:rPr>
                <w:sz w:val="20"/>
                <w:szCs w:val="20"/>
                <w:color w:val="auto"/>
              </w:rPr>
            </w:pPr>
            <w:r>
              <w:rPr>
                <w:rFonts w:ascii="Arial" w:cs="Arial" w:eastAsia="Arial" w:hAnsi="Arial"/>
                <w:sz w:val="18"/>
                <w:szCs w:val="18"/>
                <w:color w:val="auto"/>
              </w:rPr>
              <w:t>Net cash provided (required) by investing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1,442.9</w:t>
            </w:r>
          </w:p>
        </w:tc>
        <w:tc>
          <w:tcPr>
            <w:tcW w:w="0" w:type="dxa"/>
            <w:vAlign w:val="bottom"/>
          </w:tcPr>
          <w:p>
            <w:pPr>
              <w:spacing w:after="0"/>
              <w:rPr>
                <w:sz w:val="1"/>
                <w:szCs w:val="1"/>
                <w:color w:val="auto"/>
              </w:rPr>
            </w:pPr>
          </w:p>
        </w:tc>
      </w:tr>
      <w:tr>
        <w:trPr>
          <w:trHeight w:val="554"/>
        </w:trPr>
        <w:tc>
          <w:tcPr>
            <w:tcW w:w="6500" w:type="dxa"/>
            <w:vAlign w:val="bottom"/>
          </w:tcPr>
          <w:p>
            <w:pPr>
              <w:spacing w:after="0"/>
              <w:rPr>
                <w:sz w:val="20"/>
                <w:szCs w:val="20"/>
                <w:color w:val="auto"/>
              </w:rPr>
            </w:pPr>
            <w:r>
              <w:rPr>
                <w:rFonts w:ascii="Arial" w:cs="Arial" w:eastAsia="Arial" w:hAnsi="Arial"/>
                <w:sz w:val="18"/>
                <w:szCs w:val="18"/>
                <w:color w:val="auto"/>
              </w:rPr>
              <w:t>Cash provided (required) by financing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00" w:type="dxa"/>
            <w:vAlign w:val="bottom"/>
          </w:tcPr>
          <w:p>
            <w:pPr>
              <w:ind w:left="360"/>
              <w:spacing w:after="0"/>
              <w:rPr>
                <w:sz w:val="20"/>
                <w:szCs w:val="20"/>
                <w:color w:val="auto"/>
              </w:rPr>
            </w:pPr>
            <w:r>
              <w:rPr>
                <w:rFonts w:ascii="Arial" w:cs="Arial" w:eastAsia="Arial" w:hAnsi="Arial"/>
                <w:sz w:val="18"/>
                <w:szCs w:val="18"/>
                <w:color w:val="auto"/>
              </w:rPr>
              <w:t>Net increase (decrease) in debt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(820.1)</w:t>
            </w:r>
          </w:p>
        </w:tc>
        <w:tc>
          <w:tcPr>
            <w:tcW w:w="0" w:type="dxa"/>
            <w:vAlign w:val="bottom"/>
          </w:tcPr>
          <w:p>
            <w:pPr>
              <w:spacing w:after="0"/>
              <w:rPr>
                <w:sz w:val="1"/>
                <w:szCs w:val="1"/>
                <w:color w:val="auto"/>
              </w:rPr>
            </w:pPr>
          </w:p>
        </w:tc>
      </w:tr>
      <w:tr>
        <w:trPr>
          <w:trHeight w:val="270"/>
        </w:trPr>
        <w:tc>
          <w:tcPr>
            <w:tcW w:w="650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140"/>
              <w:spacing w:after="0"/>
              <w:rPr>
                <w:sz w:val="20"/>
                <w:szCs w:val="20"/>
                <w:color w:val="auto"/>
              </w:rPr>
            </w:pPr>
            <w:r>
              <w:rPr>
                <w:rFonts w:ascii="Arial" w:cs="Arial" w:eastAsia="Arial" w:hAnsi="Arial"/>
                <w:sz w:val="18"/>
                <w:szCs w:val="18"/>
                <w:color w:val="auto"/>
              </w:rPr>
              <w:t>Net cash provided (required) by 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554"/>
        </w:trPr>
        <w:tc>
          <w:tcPr>
            <w:tcW w:w="6500" w:type="dxa"/>
            <w:vAlign w:val="bottom"/>
          </w:tcPr>
          <w:p>
            <w:pPr>
              <w:spacing w:after="0"/>
              <w:rPr>
                <w:sz w:val="20"/>
                <w:szCs w:val="20"/>
                <w:color w:val="auto"/>
              </w:rPr>
            </w:pPr>
            <w:r>
              <w:rPr>
                <w:rFonts w:ascii="Arial" w:cs="Arial" w:eastAsia="Arial" w:hAnsi="Arial"/>
                <w:sz w:val="18"/>
                <w:szCs w:val="18"/>
                <w:color w:val="auto"/>
              </w:rPr>
              <w:t>Effect of changes in foreign exchange rates on cash and cash equivalents</w:t>
            </w:r>
          </w:p>
        </w:tc>
        <w:tc>
          <w:tcPr>
            <w:tcW w:w="2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65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554"/>
        </w:trPr>
        <w:tc>
          <w:tcPr>
            <w:tcW w:w="65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6,737.4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6,269.3</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1"/>
        </w:trPr>
        <w:tc>
          <w:tcPr>
            <w:tcW w:w="65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6,220.6</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7,041.7</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180"/>
          </w:cols>
          <w:pgMar w:left="1380" w:top="526" w:right="1339" w:bottom="1440" w:gutter="0" w:footer="0" w:header="0"/>
        </w:sectPr>
      </w:pPr>
    </w:p>
    <w:bookmarkStart w:id="22" w:name="page23"/>
    <w:bookmarkEnd w:id="22"/>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1600" cy="523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200" w:lineRule="exact"/>
        <w:rPr>
          <w:sz w:val="20"/>
          <w:szCs w:val="20"/>
          <w:color w:val="auto"/>
        </w:rPr>
      </w:pPr>
    </w:p>
    <w:p>
      <w:pPr>
        <w:spacing w:after="0" w:line="20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Reconciliation of U.S. GAAP to non-GAAP financial measures for TechnipFMC plc and consolidated subsidiaries are provided on the following pages. The financial results reflect the following information:</w:t>
      </w:r>
    </w:p>
    <w:p>
      <w:pPr>
        <w:spacing w:after="0" w:line="161" w:lineRule="exact"/>
        <w:rPr>
          <w:sz w:val="20"/>
          <w:szCs w:val="20"/>
          <w:color w:val="auto"/>
        </w:rPr>
      </w:pPr>
    </w:p>
    <w:p>
      <w:pPr>
        <w:ind w:left="560" w:hanging="322"/>
        <w:spacing w:after="0" w:line="247" w:lineRule="auto"/>
        <w:tabs>
          <w:tab w:leader="none" w:pos="5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The Non-GAAP results for the three months ended March 31, 2017:</w:t>
      </w:r>
    </w:p>
    <w:p>
      <w:pPr>
        <w:spacing w:after="0" w:line="17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Include the results of Technip for the full period;</w:t>
      </w:r>
    </w:p>
    <w:p>
      <w:pPr>
        <w:jc w:val="both"/>
        <w:ind w:left="660" w:hanging="328"/>
        <w:spacing w:after="0" w:line="243"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March 31, 2017; revenue of $112.9 million during the period from January 1 to January 16, 2017 were excluded, of which approximately 70 percent was reported in Subsea and the remainder in Surface Technologies.</w:t>
      </w:r>
    </w:p>
    <w:p>
      <w:pPr>
        <w:spacing w:after="0" w:line="39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1440" w:right="239" w:bottom="1440" w:gutter="0" w:footer="0" w:header="0"/>
        </w:sectPr>
      </w:pPr>
    </w:p>
    <w:bookmarkStart w:id="23" w:name="page24"/>
    <w:bookmarkEnd w:id="23"/>
    <w:p>
      <w:pPr>
        <w:jc w:val="center"/>
        <w:ind w:left="260" w:right="27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Charges and Credits</w:t>
      </w:r>
    </w:p>
    <w:p>
      <w:pPr>
        <w:spacing w:after="0" w:line="12"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first quarter 2018 Earnings Release also includes non-GAAP financial measures (as defined in Item 10 of Regulation S-K of the Securities Exchange Act of 1934, as amended) and describes performance on a year-over-year basis against 2017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213360</wp:posOffset>
            </wp:positionV>
            <wp:extent cx="46736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left="1820"/>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820"/>
        <w:spacing w:after="0"/>
        <w:rPr>
          <w:sz w:val="20"/>
          <w:szCs w:val="20"/>
          <w:color w:val="auto"/>
        </w:rPr>
      </w:pPr>
      <w:r>
        <w:rPr>
          <w:rFonts w:ascii="Arial" w:cs="Arial" w:eastAsia="Arial" w:hAnsi="Arial"/>
          <w:sz w:val="13"/>
          <w:szCs w:val="13"/>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71120</wp:posOffset>
            </wp:positionV>
            <wp:extent cx="46736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Earnings before</w:t>
            </w: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Income before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78"/>
              </w:rPr>
              <w:t>expense,</w:t>
            </w: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income taxes,</w:t>
            </w: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Net loss (income)</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depreciation</w:t>
            </w:r>
          </w:p>
        </w:tc>
      </w:tr>
      <w:tr>
        <w:trPr>
          <w:trHeight w:val="135"/>
        </w:trPr>
        <w:tc>
          <w:tcPr>
            <w:tcW w:w="174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5"/>
              </w:rPr>
              <w:t>Net income (loss)</w:t>
            </w:r>
          </w:p>
        </w:tc>
        <w:tc>
          <w:tcPr>
            <w:tcW w:w="10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and</w:t>
            </w: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attributable to</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amortization</w:t>
            </w:r>
          </w:p>
        </w:tc>
      </w:tr>
      <w:tr>
        <w:trPr>
          <w:trHeight w:val="174"/>
        </w:trPr>
        <w:tc>
          <w:tcPr>
            <w:tcW w:w="1740" w:type="dxa"/>
            <w:vAlign w:val="bottom"/>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b w:val="1"/>
                <w:bCs w:val="1"/>
                <w:color w:val="auto"/>
              </w:rPr>
              <w:t>TechnipFMC plc</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expense</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profit)</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5"/>
                <w:szCs w:val="15"/>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(EBITDA)</w:t>
            </w:r>
          </w:p>
        </w:tc>
      </w:tr>
      <w:tr>
        <w:trPr>
          <w:trHeight w:val="241"/>
        </w:trPr>
        <w:tc>
          <w:tcPr>
            <w:tcW w:w="174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95.1</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(87.4)</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228.1</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131.8</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359.9</w:t>
            </w:r>
          </w:p>
        </w:tc>
      </w:tr>
      <w:tr>
        <w:trPr>
          <w:trHeight w:val="486"/>
        </w:trPr>
        <w:tc>
          <w:tcPr>
            <w:tcW w:w="174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174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740" w:type="dxa"/>
            <w:vAlign w:val="bottom"/>
          </w:tcPr>
          <w:p>
            <w:pPr>
              <w:ind w:left="240"/>
              <w:spacing w:after="0"/>
              <w:rPr>
                <w:sz w:val="20"/>
                <w:szCs w:val="20"/>
                <w:color w:val="auto"/>
              </w:rPr>
            </w:pPr>
            <w:r>
              <w:rPr>
                <w:rFonts w:ascii="Arial" w:cs="Arial" w:eastAsia="Arial" w:hAnsi="Arial"/>
                <w:sz w:val="13"/>
                <w:szCs w:val="13"/>
                <w:color w:val="auto"/>
              </w:rPr>
              <w:t>charges</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64"/>
        </w:trPr>
        <w:tc>
          <w:tcPr>
            <w:tcW w:w="1740" w:type="dxa"/>
            <w:vAlign w:val="bottom"/>
          </w:tcPr>
          <w:p>
            <w:pPr>
              <w:ind w:left="240"/>
              <w:spacing w:after="0"/>
              <w:rPr>
                <w:sz w:val="20"/>
                <w:szCs w:val="20"/>
                <w:color w:val="auto"/>
              </w:rPr>
            </w:pPr>
            <w:r>
              <w:rPr>
                <w:rFonts w:ascii="Arial" w:cs="Arial" w:eastAsia="Arial" w:hAnsi="Arial"/>
                <w:sz w:val="13"/>
                <w:szCs w:val="13"/>
                <w:color w:val="auto"/>
              </w:rPr>
              <w:t>Restructuring and other</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74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64"/>
        </w:trPr>
        <w:tc>
          <w:tcPr>
            <w:tcW w:w="174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35"/>
        </w:trPr>
        <w:tc>
          <w:tcPr>
            <w:tcW w:w="1740" w:type="dxa"/>
            <w:vAlign w:val="bottom"/>
          </w:tcPr>
          <w:p>
            <w:pPr>
              <w:ind w:left="240"/>
              <w:spacing w:after="0" w:line="135" w:lineRule="exact"/>
              <w:rPr>
                <w:sz w:val="20"/>
                <w:szCs w:val="20"/>
                <w:color w:val="auto"/>
              </w:rPr>
            </w:pPr>
            <w:r>
              <w:rPr>
                <w:rFonts w:ascii="Arial" w:cs="Arial" w:eastAsia="Arial" w:hAnsi="Arial"/>
                <w:sz w:val="13"/>
                <w:szCs w:val="13"/>
                <w:color w:val="auto"/>
                <w:w w:val="96"/>
              </w:rPr>
              <w:t>transaction and integration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0"/>
        </w:trPr>
        <w:tc>
          <w:tcPr>
            <w:tcW w:w="1740" w:type="dxa"/>
            <w:vAlign w:val="bottom"/>
          </w:tcPr>
          <w:p>
            <w:pPr>
              <w:ind w:left="240"/>
              <w:spacing w:after="0"/>
              <w:rPr>
                <w:sz w:val="20"/>
                <w:szCs w:val="20"/>
                <w:color w:val="auto"/>
              </w:rPr>
            </w:pPr>
            <w:r>
              <w:rPr>
                <w:rFonts w:ascii="Arial" w:cs="Arial" w:eastAsia="Arial" w:hAnsi="Arial"/>
                <w:sz w:val="13"/>
                <w:szCs w:val="13"/>
                <w:color w:val="auto"/>
              </w:rPr>
              <w:t>costs</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64"/>
        </w:trPr>
        <w:tc>
          <w:tcPr>
            <w:tcW w:w="1740" w:type="dxa"/>
            <w:vAlign w:val="bottom"/>
          </w:tcPr>
          <w:p>
            <w:pPr>
              <w:ind w:left="240"/>
              <w:spacing w:after="0"/>
              <w:rPr>
                <w:sz w:val="20"/>
                <w:szCs w:val="20"/>
                <w:color w:val="auto"/>
              </w:rPr>
            </w:pPr>
            <w:r>
              <w:rPr>
                <w:rFonts w:ascii="Arial" w:cs="Arial" w:eastAsia="Arial" w:hAnsi="Arial"/>
                <w:sz w:val="13"/>
                <w:szCs w:val="13"/>
                <w:color w:val="auto"/>
                <w:w w:val="96"/>
              </w:rPr>
              <w:t>Purchase price accounting</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1740" w:type="dxa"/>
            <w:vAlign w:val="bottom"/>
          </w:tcPr>
          <w:p>
            <w:pPr>
              <w:ind w:left="240"/>
              <w:spacing w:after="0"/>
              <w:rPr>
                <w:sz w:val="20"/>
                <w:szCs w:val="20"/>
                <w:color w:val="auto"/>
              </w:rPr>
            </w:pPr>
            <w:r>
              <w:rPr>
                <w:rFonts w:ascii="Arial" w:cs="Arial" w:eastAsia="Arial" w:hAnsi="Arial"/>
                <w:sz w:val="13"/>
                <w:szCs w:val="13"/>
                <w:color w:val="auto"/>
              </w:rPr>
              <w:t>adjustment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242"/>
        </w:trPr>
        <w:tc>
          <w:tcPr>
            <w:tcW w:w="174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(87.4)</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276.5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110.1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386.6</w:t>
            </w:r>
          </w:p>
        </w:tc>
      </w:tr>
      <w:tr>
        <w:trPr>
          <w:trHeight w:val="20"/>
        </w:trPr>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497205</wp:posOffset>
            </wp:positionV>
            <wp:extent cx="4759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680"/>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680"/>
        <w:spacing w:after="0"/>
        <w:rPr>
          <w:sz w:val="20"/>
          <w:szCs w:val="20"/>
          <w:color w:val="auto"/>
        </w:rPr>
      </w:pPr>
      <w:r>
        <w:rPr>
          <w:rFonts w:ascii="Arial" w:cs="Arial" w:eastAsia="Arial" w:hAnsi="Arial"/>
          <w:sz w:val="13"/>
          <w:szCs w:val="13"/>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71120</wp:posOffset>
            </wp:positionV>
            <wp:extent cx="4759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Earnings before</w:t>
            </w: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Income before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78"/>
              </w:rPr>
              <w:t>expense,</w:t>
            </w: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income taxes,</w:t>
            </w: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Net (income) loss</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1"/>
              </w:rPr>
              <w:t>expense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depreciation</w:t>
            </w:r>
          </w:p>
        </w:tc>
      </w:tr>
      <w:tr>
        <w:trPr>
          <w:trHeight w:val="135"/>
        </w:trPr>
        <w:tc>
          <w:tcPr>
            <w:tcW w:w="1620" w:type="dxa"/>
            <w:vAlign w:val="bottom"/>
          </w:tcPr>
          <w:p>
            <w:pPr>
              <w:spacing w:after="0"/>
              <w:rPr>
                <w:sz w:val="11"/>
                <w:szCs w:val="11"/>
                <w:color w:val="auto"/>
              </w:rPr>
            </w:pPr>
          </w:p>
        </w:tc>
        <w:tc>
          <w:tcPr>
            <w:tcW w:w="116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Net income (loss)</w:t>
            </w: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and</w:t>
            </w: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10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amortization</w:t>
            </w:r>
          </w:p>
        </w:tc>
      </w:tr>
      <w:tr>
        <w:trPr>
          <w:trHeight w:val="174"/>
        </w:trPr>
        <w:tc>
          <w:tcPr>
            <w:tcW w:w="1620" w:type="dxa"/>
            <w:vAlign w:val="bottom"/>
          </w:tcPr>
          <w:p>
            <w:pPr>
              <w:spacing w:after="0"/>
              <w:rPr>
                <w:sz w:val="15"/>
                <w:szCs w:val="15"/>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9"/>
              </w:rPr>
              <w:t>TechnipFMC plc</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expense</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profit)</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5"/>
                <w:szCs w:val="15"/>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(EBITDA)</w:t>
            </w:r>
          </w:p>
        </w:tc>
      </w:tr>
      <w:tr>
        <w:trPr>
          <w:trHeight w:val="241"/>
        </w:trPr>
        <w:tc>
          <w:tcPr>
            <w:tcW w:w="1620" w:type="dxa"/>
            <w:vAlign w:val="bottom"/>
          </w:tcPr>
          <w:p>
            <w:pPr>
              <w:spacing w:after="0"/>
              <w:rPr>
                <w:sz w:val="20"/>
                <w:szCs w:val="20"/>
                <w:color w:val="auto"/>
              </w:rPr>
            </w:pPr>
            <w:r>
              <w:rPr>
                <w:rFonts w:ascii="Arial" w:cs="Arial" w:eastAsia="Arial" w:hAnsi="Arial"/>
                <w:sz w:val="13"/>
                <w:szCs w:val="13"/>
                <w:color w:val="auto"/>
                <w:w w:val="95"/>
              </w:rPr>
              <w:t>TechnipFMC plc, as 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(18.7)</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(82.1)</w:t>
            </w:r>
          </w:p>
        </w:tc>
        <w:tc>
          <w:tcPr>
            <w:tcW w:w="10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151.2</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269.9</w:t>
            </w:r>
          </w:p>
        </w:tc>
      </w:tr>
      <w:tr>
        <w:trPr>
          <w:trHeight w:val="486"/>
        </w:trPr>
        <w:tc>
          <w:tcPr>
            <w:tcW w:w="162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620" w:type="dxa"/>
            <w:vAlign w:val="bottom"/>
          </w:tcPr>
          <w:p>
            <w:pPr>
              <w:ind w:left="240"/>
              <w:spacing w:after="0"/>
              <w:rPr>
                <w:sz w:val="20"/>
                <w:szCs w:val="20"/>
                <w:color w:val="auto"/>
              </w:rPr>
            </w:pPr>
            <w:r>
              <w:rPr>
                <w:rFonts w:ascii="Arial" w:cs="Arial" w:eastAsia="Arial" w:hAnsi="Arial"/>
                <w:sz w:val="13"/>
                <w:szCs w:val="13"/>
                <w:color w:val="auto"/>
              </w:rPr>
              <w:t>charges</w:t>
            </w:r>
          </w:p>
        </w:tc>
        <w:tc>
          <w:tcPr>
            <w:tcW w:w="10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rPr>
              <w:t>Restructuring and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62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35"/>
        </w:trPr>
        <w:tc>
          <w:tcPr>
            <w:tcW w:w="1620" w:type="dxa"/>
            <w:vAlign w:val="bottom"/>
          </w:tcPr>
          <w:p>
            <w:pPr>
              <w:ind w:left="240"/>
              <w:spacing w:after="0" w:line="135" w:lineRule="exact"/>
              <w:rPr>
                <w:sz w:val="20"/>
                <w:szCs w:val="20"/>
                <w:color w:val="auto"/>
              </w:rPr>
            </w:pPr>
            <w:r>
              <w:rPr>
                <w:rFonts w:ascii="Arial" w:cs="Arial" w:eastAsia="Arial" w:hAnsi="Arial"/>
                <w:sz w:val="13"/>
                <w:szCs w:val="13"/>
                <w:color w:val="auto"/>
              </w:rPr>
              <w:t>transaction and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0"/>
        </w:trPr>
        <w:tc>
          <w:tcPr>
            <w:tcW w:w="1620" w:type="dxa"/>
            <w:vAlign w:val="bottom"/>
          </w:tcPr>
          <w:p>
            <w:pPr>
              <w:ind w:left="24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38.7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54.6</w:t>
            </w: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w w:val="88"/>
              </w:rPr>
              <w:t>Purchase price accounting</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1620" w:type="dxa"/>
            <w:vAlign w:val="bottom"/>
          </w:tcPr>
          <w:p>
            <w:pPr>
              <w:ind w:left="240"/>
              <w:spacing w:after="0"/>
              <w:rPr>
                <w:sz w:val="20"/>
                <w:szCs w:val="20"/>
                <w:color w:val="auto"/>
              </w:rPr>
            </w:pPr>
            <w:r>
              <w:rPr>
                <w:rFonts w:ascii="Arial" w:cs="Arial" w:eastAsia="Arial" w:hAnsi="Arial"/>
                <w:sz w:val="13"/>
                <w:szCs w:val="13"/>
                <w:color w:val="auto"/>
              </w:rPr>
              <w:t>adjustments</w:t>
            </w:r>
          </w:p>
        </w:tc>
        <w:tc>
          <w:tcPr>
            <w:tcW w:w="10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94.5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86.2</w:t>
            </w:r>
          </w:p>
        </w:tc>
      </w:tr>
      <w:tr>
        <w:trPr>
          <w:trHeight w:val="242"/>
        </w:trPr>
        <w:tc>
          <w:tcPr>
            <w:tcW w:w="1620" w:type="dxa"/>
            <w:vAlign w:val="bottom"/>
          </w:tcPr>
          <w:p>
            <w:pPr>
              <w:spacing w:after="0"/>
              <w:rPr>
                <w:sz w:val="20"/>
                <w:szCs w:val="20"/>
                <w:color w:val="auto"/>
              </w:rPr>
            </w:pPr>
            <w:r>
              <w:rPr>
                <w:rFonts w:ascii="Arial" w:cs="Arial" w:eastAsia="Arial" w:hAnsi="Arial"/>
                <w:sz w:val="13"/>
                <w:szCs w:val="13"/>
                <w:color w:val="auto"/>
                <w:w w:val="98"/>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121.3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(81.8)</w:t>
            </w:r>
          </w:p>
        </w:tc>
        <w:tc>
          <w:tcPr>
            <w:tcW w:w="10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312.1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108.3</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420.4</w:t>
            </w:r>
          </w:p>
        </w:tc>
      </w:tr>
      <w:tr>
        <w:trPr>
          <w:trHeight w:val="20"/>
        </w:trPr>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526" w:right="259" w:bottom="1440" w:gutter="0" w:footer="0" w:header="0"/>
        </w:sectPr>
      </w:pPr>
    </w:p>
    <w:bookmarkStart w:id="24" w:name="page25"/>
    <w:bookmarkEnd w:id="24"/>
    <w:p>
      <w:pPr>
        <w:jc w:val="center"/>
        <w:ind w:left="1340" w:right="16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except per share amounts)</w:t>
      </w:r>
    </w:p>
    <w:p>
      <w:pPr>
        <w:spacing w:after="0" w:line="122" w:lineRule="exact"/>
        <w:rPr>
          <w:sz w:val="20"/>
          <w:szCs w:val="20"/>
          <w:color w:val="auto"/>
        </w:rPr>
      </w:pPr>
    </w:p>
    <w:tbl>
      <w:tblPr>
        <w:tblLayout w:type="fixed"/>
        <w:tblInd w:w="1132"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(after-tax)</w:t>
            </w: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4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sz w:val="20"/>
                <w:szCs w:val="20"/>
                <w:color w:val="auto"/>
              </w:rPr>
            </w:pPr>
            <w:r>
              <w:rPr>
                <w:rFonts w:ascii="Arial" w:cs="Arial" w:eastAsia="Arial" w:hAnsi="Arial"/>
                <w:sz w:val="18"/>
                <w:szCs w:val="18"/>
                <w:color w:val="auto"/>
              </w:rPr>
              <w:t>Net income (loss) attributable to TechnipFMC plc, as reported</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513"/>
        </w:trPr>
        <w:tc>
          <w:tcPr>
            <w:tcW w:w="6540" w:type="dxa"/>
            <w:vAlign w:val="bottom"/>
            <w:gridSpan w:val="2"/>
          </w:tcPr>
          <w:p>
            <w:pPr>
              <w:spacing w:after="0"/>
              <w:rPr>
                <w:sz w:val="20"/>
                <w:szCs w:val="20"/>
                <w:color w:val="auto"/>
              </w:rPr>
            </w:pPr>
            <w:r>
              <w:rPr>
                <w:rFonts w:ascii="Arial" w:cs="Arial" w:eastAsia="Arial" w:hAnsi="Arial"/>
                <w:sz w:val="18"/>
                <w:szCs w:val="18"/>
                <w:color w:val="auto"/>
              </w:rPr>
              <w:t>Charges and (credits):</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40" w:type="dxa"/>
            <w:vAlign w:val="bottom"/>
            <w:gridSpan w:val="2"/>
          </w:tcPr>
          <w:p>
            <w:pPr>
              <w:spacing w:after="0"/>
              <w:rPr>
                <w:sz w:val="20"/>
                <w:szCs w:val="20"/>
                <w:color w:val="auto"/>
              </w:rPr>
            </w:pPr>
            <w:r>
              <w:rPr>
                <w:rFonts w:ascii="Arial" w:cs="Arial" w:eastAsia="Arial" w:hAnsi="Arial"/>
                <w:sz w:val="18"/>
                <w:szCs w:val="18"/>
                <w:color w:val="auto"/>
              </w:rPr>
              <w:t>Impairment and other charges (1)</w:t>
            </w:r>
          </w:p>
        </w:tc>
        <w:tc>
          <w:tcPr>
            <w:tcW w:w="8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sz w:val="20"/>
                <w:szCs w:val="20"/>
                <w:color w:val="auto"/>
              </w:rPr>
            </w:pPr>
            <w:r>
              <w:rPr>
                <w:rFonts w:ascii="Arial" w:cs="Arial" w:eastAsia="Arial" w:hAnsi="Arial"/>
                <w:sz w:val="18"/>
                <w:szCs w:val="18"/>
                <w:color w:val="auto"/>
              </w:rPr>
              <w:t>Restructuring and other severance charges (2)</w:t>
            </w:r>
          </w:p>
        </w:tc>
        <w:tc>
          <w:tcPr>
            <w:tcW w:w="8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sz w:val="20"/>
                <w:szCs w:val="20"/>
                <w:color w:val="auto"/>
              </w:rPr>
            </w:pPr>
            <w:r>
              <w:rPr>
                <w:rFonts w:ascii="Arial" w:cs="Arial" w:eastAsia="Arial" w:hAnsi="Arial"/>
                <w:sz w:val="18"/>
                <w:szCs w:val="18"/>
                <w:color w:val="auto"/>
              </w:rPr>
              <w:t>Business combination transaction and integration costs (3)</w:t>
            </w:r>
          </w:p>
        </w:tc>
        <w:tc>
          <w:tcPr>
            <w:tcW w:w="8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sz w:val="20"/>
                <w:szCs w:val="20"/>
                <w:color w:val="auto"/>
              </w:rPr>
            </w:pPr>
            <w:r>
              <w:rPr>
                <w:rFonts w:ascii="Arial" w:cs="Arial" w:eastAsia="Arial" w:hAnsi="Arial"/>
                <w:sz w:val="18"/>
                <w:szCs w:val="18"/>
                <w:color w:val="auto"/>
              </w:rPr>
              <w:t>Purchase price accounting adjustments (4)</w:t>
            </w:r>
          </w:p>
        </w:tc>
        <w:tc>
          <w:tcPr>
            <w:tcW w:w="8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6540" w:type="dxa"/>
            <w:vAlign w:val="bottom"/>
            <w:gridSpan w:val="2"/>
          </w:tcPr>
          <w:p>
            <w:pPr>
              <w:spacing w:after="0"/>
              <w:rPr>
                <w:sz w:val="20"/>
                <w:szCs w:val="20"/>
                <w:color w:val="auto"/>
              </w:rPr>
            </w:pPr>
            <w:r>
              <w:rPr>
                <w:rFonts w:ascii="Arial" w:cs="Arial" w:eastAsia="Arial" w:hAnsi="Arial"/>
                <w:sz w:val="18"/>
                <w:szCs w:val="18"/>
                <w:color w:val="auto"/>
              </w:rPr>
              <w:t>Adjusted net income attributable to TechnipFMC plc</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540" w:type="dxa"/>
            <w:vAlign w:val="bottom"/>
            <w:gridSpan w:val="2"/>
          </w:tcPr>
          <w:p>
            <w:pPr>
              <w:spacing w:after="0"/>
              <w:rPr>
                <w:sz w:val="20"/>
                <w:szCs w:val="20"/>
                <w:color w:val="auto"/>
              </w:rPr>
            </w:pPr>
            <w:r>
              <w:rPr>
                <w:rFonts w:ascii="Arial" w:cs="Arial" w:eastAsia="Arial" w:hAnsi="Arial"/>
                <w:sz w:val="18"/>
                <w:szCs w:val="18"/>
                <w:color w:val="auto"/>
              </w:rPr>
              <w:t>Earnings (loss) per diluted EPS attributable to TechnipFMC plc, as reported</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0.20</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554"/>
        </w:trPr>
        <w:tc>
          <w:tcPr>
            <w:tcW w:w="6540" w:type="dxa"/>
            <w:vAlign w:val="bottom"/>
            <w:gridSpan w:val="2"/>
          </w:tcPr>
          <w:p>
            <w:pPr>
              <w:spacing w:after="0"/>
              <w:rPr>
                <w:sz w:val="20"/>
                <w:szCs w:val="20"/>
                <w:color w:val="auto"/>
              </w:rPr>
            </w:pPr>
            <w:r>
              <w:rPr>
                <w:rFonts w:ascii="Arial" w:cs="Arial" w:eastAsia="Arial" w:hAnsi="Arial"/>
                <w:sz w:val="18"/>
                <w:szCs w:val="18"/>
                <w:color w:val="auto"/>
              </w:rPr>
              <w:t>Adjusted diluted EPS attributable to TechnipFMC plc</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0.28</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32" w:hanging="332"/>
        <w:spacing w:after="0"/>
        <w:tabs>
          <w:tab w:leader="none" w:pos="3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effect of $1 million and nil during the three months ended March 31, 2018 and 2017, respectively.</w:t>
      </w:r>
    </w:p>
    <w:p>
      <w:pPr>
        <w:spacing w:after="0" w:line="171" w:lineRule="exact"/>
        <w:rPr>
          <w:rFonts w:ascii="Arial" w:cs="Arial" w:eastAsia="Arial" w:hAnsi="Arial"/>
          <w:sz w:val="18"/>
          <w:szCs w:val="18"/>
          <w:color w:val="auto"/>
        </w:rPr>
      </w:pPr>
    </w:p>
    <w:p>
      <w:pPr>
        <w:ind w:left="332" w:hanging="332"/>
        <w:spacing w:after="0"/>
        <w:tabs>
          <w:tab w:leader="none" w:pos="3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effect of $2 million and $3 million during the three months ended March 31, 2018 and 2017, respectively.</w:t>
      </w:r>
    </w:p>
    <w:p>
      <w:pPr>
        <w:spacing w:after="0" w:line="171" w:lineRule="exact"/>
        <w:rPr>
          <w:rFonts w:ascii="Arial" w:cs="Arial" w:eastAsia="Arial" w:hAnsi="Arial"/>
          <w:sz w:val="18"/>
          <w:szCs w:val="18"/>
          <w:color w:val="auto"/>
        </w:rPr>
      </w:pPr>
    </w:p>
    <w:p>
      <w:pPr>
        <w:ind w:left="332" w:hanging="332"/>
        <w:spacing w:after="0"/>
        <w:tabs>
          <w:tab w:leader="none" w:pos="3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effect of $2 million and $16 million during the three months ended March 31, 2018 and 2017, respectively.</w:t>
      </w:r>
    </w:p>
    <w:p>
      <w:pPr>
        <w:spacing w:after="0" w:line="171" w:lineRule="exact"/>
        <w:rPr>
          <w:rFonts w:ascii="Arial" w:cs="Arial" w:eastAsia="Arial" w:hAnsi="Arial"/>
          <w:sz w:val="18"/>
          <w:szCs w:val="18"/>
          <w:color w:val="auto"/>
        </w:rPr>
      </w:pPr>
    </w:p>
    <w:p>
      <w:pPr>
        <w:ind w:left="332" w:hanging="332"/>
        <w:spacing w:after="0"/>
        <w:tabs>
          <w:tab w:leader="none" w:pos="3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effect of $7 million and $35 million during the three months ended March 31, 2018 and 2017, respectively.</w:t>
      </w:r>
    </w:p>
    <w:p>
      <w:pPr>
        <w:sectPr>
          <w:pgSz w:w="11900" w:h="16838" w:orient="portrait"/>
          <w:cols w:equalWidth="0" w:num="1">
            <w:col w:w="10312"/>
          </w:cols>
          <w:pgMar w:left="248" w:top="526" w:right="1339" w:bottom="1440" w:gutter="0" w:footer="0" w:header="0"/>
        </w:sectPr>
      </w:pPr>
    </w:p>
    <w:bookmarkStart w:id="25" w:name="page26"/>
    <w:bookmarkEnd w:id="25"/>
    <w:p>
      <w:pPr>
        <w:jc w:val="center"/>
        <w:ind w:right="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71755</wp:posOffset>
            </wp:positionV>
            <wp:extent cx="3353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6"/>
          </w:tcPr>
          <w:p>
            <w:pPr>
              <w:jc w:val="center"/>
              <w:ind w:left="56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Onshore/Offshore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1,180.2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1,573.4</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3,125.2</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Operating profit, as reported (pre-tax)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202.9</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228.1</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Charges and (credits):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9"/>
        </w:trPr>
        <w:tc>
          <w:tcPr>
            <w:tcW w:w="386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non-amortization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4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76"/>
        </w:trPr>
        <w:tc>
          <w:tcPr>
            <w:tcW w:w="3860" w:type="dxa"/>
            <w:vAlign w:val="bottom"/>
          </w:tcPr>
          <w:p>
            <w:pPr>
              <w:ind w:left="240"/>
              <w:spacing w:after="0"/>
              <w:rPr>
                <w:sz w:val="20"/>
                <w:szCs w:val="20"/>
                <w:color w:val="auto"/>
              </w:rPr>
            </w:pPr>
            <w:r>
              <w:rPr>
                <w:rFonts w:ascii="Arial" w:cs="Arial" w:eastAsia="Arial" w:hAnsi="Arial"/>
                <w:sz w:val="14"/>
                <w:szCs w:val="14"/>
                <w:color w:val="auto"/>
                <w:w w:val="94"/>
              </w:rPr>
              <w:t>Purchase price accounting adjustments - amortization related</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4"/>
        </w:trPr>
        <w:tc>
          <w:tcPr>
            <w:tcW w:w="386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6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Adjusted Operating profit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206.4</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474"/>
        </w:trPr>
        <w:tc>
          <w:tcPr>
            <w:tcW w:w="38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172.0</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215.0</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386.6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8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504825</wp:posOffset>
            </wp:positionV>
            <wp:extent cx="3378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5"/>
          </w:tcPr>
          <w:p>
            <w:pPr>
              <w:jc w:val="center"/>
              <w:ind w:left="56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6"/>
              </w:rPr>
              <w:t>March 31, 2017</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Onshore/Offshore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1,376.7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1,764.0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248.4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3,388.0</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0"/>
                <w:szCs w:val="20"/>
                <w:color w:val="auto"/>
              </w:rPr>
            </w:pPr>
            <w:r>
              <w:rPr>
                <w:rFonts w:ascii="Arial" w:cs="Arial" w:eastAsia="Arial" w:hAnsi="Arial"/>
                <w:sz w:val="14"/>
                <w:szCs w:val="14"/>
                <w:color w:val="auto"/>
              </w:rPr>
              <w:t>Operating profit (pre-tax)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142.8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0"/>
                <w:szCs w:val="20"/>
                <w:color w:val="auto"/>
              </w:rPr>
            </w:pPr>
            <w:r>
              <w:rPr>
                <w:rFonts w:ascii="Arial" w:cs="Arial" w:eastAsia="Arial" w:hAnsi="Arial"/>
                <w:sz w:val="14"/>
                <w:szCs w:val="14"/>
                <w:color w:val="auto"/>
              </w:rPr>
              <w:t>Charges and (credits):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382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0"/>
        </w:trPr>
        <w:tc>
          <w:tcPr>
            <w:tcW w:w="382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69"/>
        </w:trPr>
        <w:tc>
          <w:tcPr>
            <w:tcW w:w="3820" w:type="dxa"/>
            <w:vAlign w:val="bottom"/>
          </w:tcPr>
          <w:p>
            <w:pPr>
              <w:ind w:left="240"/>
              <w:spacing w:after="0"/>
              <w:rPr>
                <w:sz w:val="20"/>
                <w:szCs w:val="20"/>
                <w:color w:val="auto"/>
              </w:rPr>
            </w:pPr>
            <w:r>
              <w:rPr>
                <w:rFonts w:ascii="Arial" w:cs="Arial" w:eastAsia="Arial" w:hAnsi="Arial"/>
                <w:sz w:val="14"/>
                <w:szCs w:val="14"/>
                <w:color w:val="auto"/>
                <w:w w:val="98"/>
              </w:rPr>
              <w:t>Purchase price accounting adjustments - non-amortization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24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276"/>
        </w:trPr>
        <w:tc>
          <w:tcPr>
            <w:tcW w:w="3820" w:type="dxa"/>
            <w:vAlign w:val="bottom"/>
          </w:tcPr>
          <w:p>
            <w:pPr>
              <w:ind w:left="240"/>
              <w:spacing w:after="0"/>
              <w:rPr>
                <w:sz w:val="20"/>
                <w:szCs w:val="20"/>
                <w:color w:val="auto"/>
              </w:rPr>
            </w:pPr>
            <w:r>
              <w:rPr>
                <w:rFonts w:ascii="Arial" w:cs="Arial" w:eastAsia="Arial" w:hAnsi="Arial"/>
                <w:sz w:val="14"/>
                <w:szCs w:val="14"/>
                <w:color w:val="auto"/>
                <w:w w:val="93"/>
              </w:rPr>
              <w:t>Purchase price accounting adjustments - amortization related</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04"/>
        </w:trPr>
        <w:tc>
          <w:tcPr>
            <w:tcW w:w="382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6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193.4</w:t>
            </w: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0"/>
                <w:szCs w:val="20"/>
                <w:color w:val="auto"/>
              </w:rPr>
            </w:pPr>
            <w:r>
              <w:rPr>
                <w:rFonts w:ascii="Arial" w:cs="Arial" w:eastAsia="Arial" w:hAnsi="Arial"/>
                <w:sz w:val="14"/>
                <w:szCs w:val="14"/>
                <w:color w:val="auto"/>
              </w:rPr>
              <w:t>Adjusted Operating profit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151.4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142.5</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312.1</w:t>
            </w:r>
          </w:p>
        </w:tc>
        <w:tc>
          <w:tcPr>
            <w:tcW w:w="0" w:type="dxa"/>
            <w:vAlign w:val="bottom"/>
          </w:tcPr>
          <w:p>
            <w:pPr>
              <w:spacing w:after="0"/>
              <w:rPr>
                <w:sz w:val="1"/>
                <w:szCs w:val="1"/>
                <w:color w:val="auto"/>
              </w:rPr>
            </w:pPr>
          </w:p>
        </w:tc>
      </w:tr>
      <w:tr>
        <w:trPr>
          <w:trHeight w:val="474"/>
        </w:trPr>
        <w:tc>
          <w:tcPr>
            <w:tcW w:w="382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238.6</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152.2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420.4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82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40"/>
          </w:cols>
          <w:pgMar w:left="1400" w:top="526" w:right="1359" w:bottom="663" w:gutter="0" w:footer="0" w:header="0"/>
        </w:sectPr>
      </w:pPr>
    </w:p>
    <w:p>
      <w:pPr>
        <w:spacing w:after="0" w:line="104" w:lineRule="exact"/>
        <w:rPr>
          <w:sz w:val="20"/>
          <w:szCs w:val="20"/>
          <w:color w:val="auto"/>
        </w:rPr>
      </w:pPr>
    </w:p>
    <w:p>
      <w:pPr>
        <w:spacing w:after="0"/>
        <w:tabs>
          <w:tab w:leader="none" w:pos="4300" w:val="left"/>
          <w:tab w:leader="none" w:pos="5520" w:val="left"/>
          <w:tab w:leader="none" w:pos="6640" w:val="left"/>
          <w:tab w:leader="none" w:pos="8720" w:val="left"/>
        </w:tabs>
        <w:rPr>
          <w:sz w:val="20"/>
          <w:szCs w:val="20"/>
          <w:color w:val="auto"/>
        </w:rPr>
      </w:pPr>
      <w:r>
        <w:rPr>
          <w:rFonts w:ascii="Arial" w:cs="Arial" w:eastAsia="Arial" w:hAnsi="Arial"/>
          <w:sz w:val="14"/>
          <w:szCs w:val="14"/>
          <w:color w:val="auto"/>
        </w:rPr>
        <w:t>Adjusted EBITDA margin</w:t>
      </w:r>
      <w:r>
        <w:rPr>
          <w:sz w:val="20"/>
          <w:szCs w:val="20"/>
          <w:color w:val="auto"/>
        </w:rPr>
        <w:tab/>
      </w:r>
      <w:r>
        <w:rPr>
          <w:rFonts w:ascii="Arial" w:cs="Arial" w:eastAsia="Arial" w:hAnsi="Arial"/>
          <w:sz w:val="14"/>
          <w:szCs w:val="14"/>
          <w:color w:val="auto"/>
        </w:rPr>
        <w:t>17.3%</w:t>
      </w:r>
      <w:r>
        <w:rPr>
          <w:sz w:val="20"/>
          <w:szCs w:val="20"/>
          <w:color w:val="auto"/>
        </w:rPr>
        <w:tab/>
      </w:r>
      <w:r>
        <w:rPr>
          <w:rFonts w:ascii="Arial" w:cs="Arial" w:eastAsia="Arial" w:hAnsi="Arial"/>
          <w:sz w:val="14"/>
          <w:szCs w:val="14"/>
          <w:color w:val="auto"/>
        </w:rPr>
        <w:t>8.6%</w:t>
      </w:r>
      <w:r>
        <w:rPr>
          <w:sz w:val="20"/>
          <w:szCs w:val="20"/>
          <w:color w:val="auto"/>
        </w:rPr>
        <w:tab/>
      </w:r>
      <w:r>
        <w:rPr>
          <w:rFonts w:ascii="Arial" w:cs="Arial" w:eastAsia="Arial" w:hAnsi="Arial"/>
          <w:sz w:val="14"/>
          <w:szCs w:val="14"/>
          <w:color w:val="auto"/>
        </w:rPr>
        <w:t>14.5 %</w:t>
      </w:r>
      <w:r>
        <w:rPr>
          <w:sz w:val="20"/>
          <w:szCs w:val="20"/>
          <w:color w:val="auto"/>
        </w:rPr>
        <w:tab/>
      </w:r>
      <w:r>
        <w:rPr>
          <w:rFonts w:ascii="Arial" w:cs="Arial" w:eastAsia="Arial" w:hAnsi="Arial"/>
          <w:sz w:val="12"/>
          <w:szCs w:val="12"/>
          <w:color w:val="auto"/>
        </w:rPr>
        <w:t>12.4%</w:t>
      </w:r>
    </w:p>
    <w:p>
      <w:pPr>
        <w:sectPr>
          <w:pgSz w:w="11900" w:h="16838" w:orient="portrait"/>
          <w:cols w:equalWidth="0" w:num="1">
            <w:col w:w="9140"/>
          </w:cols>
          <w:pgMar w:left="1400" w:top="526" w:right="1359" w:bottom="663" w:gutter="0" w:footer="0" w:header="0"/>
          <w:type w:val="continuous"/>
        </w:sectPr>
      </w:pPr>
    </w:p>
    <w:bookmarkStart w:id="26" w:name="page27"/>
    <w:bookmarkEnd w:id="26"/>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6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0"/>
        </w:trPr>
        <w:tc>
          <w:tcPr>
            <w:tcW w:w="6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6,220.6</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6,737.4</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(3,777.9)</w:t>
            </w:r>
          </w:p>
        </w:tc>
      </w:tr>
      <w:tr>
        <w:trPr>
          <w:trHeight w:val="27"/>
        </w:trPr>
        <w:tc>
          <w:tcPr>
            <w:tcW w:w="6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500" w:type="dxa"/>
            <w:vAlign w:val="bottom"/>
          </w:tcPr>
          <w:p>
            <w:pPr>
              <w:spacing w:after="0"/>
              <w:rPr>
                <w:sz w:val="20"/>
                <w:szCs w:val="20"/>
                <w:color w:val="auto"/>
              </w:rPr>
            </w:pPr>
            <w:r>
              <w:rPr>
                <w:rFonts w:ascii="Arial" w:cs="Arial" w:eastAsia="Arial" w:hAnsi="Arial"/>
                <w:sz w:val="18"/>
                <w:szCs w:val="18"/>
                <w:color w:val="auto"/>
              </w:rPr>
              <w:t>Net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2,397.6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2,882.4</w:t>
            </w:r>
          </w:p>
        </w:tc>
      </w:tr>
      <w:tr>
        <w:trPr>
          <w:trHeight w:val="20"/>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cash (debt) is a non-GAAP financial measure reflecting cash and cash equivalents, net of debt. Management uses this non-GAAP financial measure to evaluate TechnipFMC's capital structure and financial leverage. Management believes net cash (debt) is a meaningful financial measure that may also assist investors in understanding TechnipFMC's financial condition and underlying trends in its capital structure.</w:t>
      </w:r>
    </w:p>
    <w:sectPr>
      <w:pgSz w:w="11900" w:h="16838" w:orient="portrait"/>
      <w:cols w:equalWidth="0" w:num="1">
        <w:col w:w="11220"/>
      </w:cols>
      <w:pgMar w:left="240" w:top="5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2019-12-28T22:05:06Z</dcterms:created>
  <dcterms:modified xsi:type="dcterms:W3CDTF">2019-12-28T22:05:06Z</dcterms:modified>
</cp:coreProperties>
</file>