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December 21, 2016</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TechnipFMC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333-213067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w:t>
      </w:r>
    </w:p>
    <w:p>
      <w:pPr>
        <w:spacing w:after="0" w:line="8" w:lineRule="exact"/>
        <w:rPr>
          <w:sz w:val="24"/>
          <w:szCs w:val="24"/>
          <w:color w:val="auto"/>
        </w:rPr>
      </w:pPr>
    </w:p>
    <w:p>
      <w:pPr>
        <w:sectPr>
          <w:pgSz w:w="11900" w:h="16838" w:orient="portrait"/>
          <w:cols w:equalWidth="0" w:num="3">
            <w:col w:w="4680" w:space="720"/>
            <w:col w:w="3320" w:space="720"/>
            <w:col w:w="186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Legalinx Limited</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 Fetter Lane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EC4A 1BR</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+44 800 975 8080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21, 2016, FMC Technologies, Inc. (“FMCTI”) and Technip S.A. (“Technip”) issued a joint news release announcing that the Chancery Division of the High Court of Justice of England and Wales approved the European cross-border merger between Technip and TechnipFMC Limited (“Topco”) and set the date of completion of the merger for January 16, 2017. The parties also announced the filing of a Delaware certificate of merger pursuant to which FMCTI and a subsidiary of Topco will merge effective immediately after the merger between Technip and Topco on January 16, 2017, which will complete the business combination between FMCTI and Technip.</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Trading of the Topco shares is expected to begin on January 17, 2017, on Euronext Paris at 9:00 a.m. (Paris time) and on the NYSE at 9:30 a.m. (New York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joint news release is attached hereto as Exhibit 99.1 and is incorporated by reference herein.</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420"/>
          </w:cols>
          <w:pgMar w:left="240" w:top="270" w:right="23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126" w:lineRule="exact"/>
        <w:rPr>
          <w:sz w:val="20"/>
          <w:szCs w:val="20"/>
          <w:color w:val="auto"/>
        </w:rPr>
      </w:pPr>
    </w:p>
    <w:p>
      <w:pPr>
        <w:sectPr>
          <w:pgSz w:w="11900" w:h="16838" w:orient="portrait"/>
          <w:cols w:equalWidth="0" w:num="2">
            <w:col w:w="780" w:space="720"/>
            <w:col w:w="992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News release jointly issued by FMC Technologies, Inc. and Technip S.A. on December 21, 2016</w:t>
      </w:r>
    </w:p>
    <w:p>
      <w:pPr>
        <w:sectPr>
          <w:pgSz w:w="11900" w:h="16838" w:orient="portrait"/>
          <w:cols w:equalWidth="0" w:num="2">
            <w:col w:w="780" w:space="720"/>
            <w:col w:w="9920"/>
          </w:cols>
          <w:pgMar w:left="240" w:top="270"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TECHNIPFMC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ind w:left="5240"/>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Tore Halvorsen</w:t>
            </w: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Dated: December 21, 2016</w:t>
            </w:r>
          </w:p>
        </w:tc>
        <w:tc>
          <w:tcPr>
            <w:tcW w:w="5600" w:type="dxa"/>
            <w:vAlign w:val="bottom"/>
          </w:tcPr>
          <w:p>
            <w:pPr>
              <w:spacing w:after="0"/>
              <w:rPr>
                <w:sz w:val="20"/>
                <w:szCs w:val="20"/>
                <w:color w:val="auto"/>
              </w:rPr>
            </w:pPr>
            <w:r>
              <w:rPr>
                <w:rFonts w:ascii="Arial" w:cs="Arial" w:eastAsia="Arial" w:hAnsi="Arial"/>
                <w:sz w:val="18"/>
                <w:szCs w:val="18"/>
                <w:color w:val="auto"/>
              </w:rPr>
              <w:t>Name:  Tore Halvorsen</w:t>
            </w:r>
          </w:p>
        </w:tc>
      </w:tr>
      <w:tr>
        <w:trPr>
          <w:trHeight w:val="230"/>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Title:   Director</w:t>
            </w:r>
          </w:p>
        </w:tc>
      </w:tr>
    </w:tbl>
    <w:p>
      <w:pPr>
        <w:sectPr>
          <w:pgSz w:w="11900" w:h="16838" w:orient="portrait"/>
          <w:cols w:equalWidth="0" w:num="1">
            <w:col w:w="11420"/>
          </w:cols>
          <w:pgMar w:left="240" w:top="270"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0219"/>
          </w:cols>
          <w:pgMar w:left="240" w:top="270"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126" w:lineRule="exact"/>
        <w:rPr>
          <w:sz w:val="20"/>
          <w:szCs w:val="20"/>
          <w:color w:val="auto"/>
        </w:rPr>
      </w:pPr>
    </w:p>
    <w:p>
      <w:pPr>
        <w:sectPr>
          <w:pgSz w:w="11900" w:h="16838" w:orient="portrait"/>
          <w:cols w:equalWidth="0" w:num="2">
            <w:col w:w="780" w:space="720"/>
            <w:col w:w="8719"/>
          </w:cols>
          <w:pgMar w:left="2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News release jointly issued by FMC Technologies, Inc. and Technip S.A. on December 21, 2016</w:t>
      </w:r>
    </w:p>
    <w:p>
      <w:pPr>
        <w:sectPr>
          <w:pgSz w:w="11900" w:h="16838" w:orient="portrait"/>
          <w:cols w:equalWidth="0" w:num="2">
            <w:col w:w="780" w:space="720"/>
            <w:col w:w="8719"/>
          </w:cols>
          <w:pgMar w:left="240" w:top="270" w:right="1440"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492250"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2250" cy="56578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343535</wp:posOffset>
            </wp:positionV>
            <wp:extent cx="230695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069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FMC Technologies and Technip Combination: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High Court of Justice Approves Cross-Border Merger and Sets Closing for January 16, 2017</w:t>
      </w:r>
    </w:p>
    <w:p>
      <w:pPr>
        <w:spacing w:after="0" w:line="20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Paris and Houston – December 21, 2016 </w:t>
      </w:r>
      <w:r>
        <w:rPr>
          <w:rFonts w:ascii="Arial" w:cs="Arial" w:eastAsia="Arial" w:hAnsi="Arial"/>
          <w:sz w:val="18"/>
          <w:szCs w:val="18"/>
          <w:color w:val="auto"/>
        </w:rPr>
        <w:t>– Technip S.A. (Euronext: TEC) and FMC Technologies, Inc. (NYSE: FTI) announced today that the Chancery</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 of the High Court of Justice of England and Wales approved the European cross-border merger between Technip and TechnipFMC and set the date of completion for January 16, 2017, after close of business.</w:t>
      </w:r>
    </w:p>
    <w:p>
      <w:pPr>
        <w:spacing w:after="0" w:line="1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parties also announced the filing of a Delaware certificate of merger pursuant to which FMC Technologies and a subsidiary of TechnipFMC will merge effective immediately after the merger between Technip and TechnipFMC on January 16, 2017, which will complete the business combination between FMC Technologies and Technip.</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Trading of the TechnipFMC shares is expected to begin on January 17, 2017, on Euronext Paris at 9:00 a.m. (Paris time) and on the NYSE at 9:30 a.m. (New York time).</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This approval by the High Court of Justice is subject to the Business Combination Agreement not having been terminated by the parties, the approval by the AMF of the prospectus regarding the listing of the TechnipFMC shares on Euronext Paris and the TechnipFMC shares having been authorized for listing and trading on Euronext Paris.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Technip</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Technip is a world leader in project management, engineering and construction for the energy industry. From the deepest Subsea oil &amp; gas developments to the largest and most complex Offshore and Onshore infrastructures, our close to 31,000 people are constantly offering the best solutions and most innovative technologies to meet the world’s energy challenges. Present in 45 countries, Technip has state-of-the-art industrial assets on all continents and operates a fleet of specialized vessels for pipeline installation and subsea construction. Technip shares are listed on the Euronext Paris exchange, and its ADR is traded in the US on the OTCQX marketplace as an American Depositary Receipt (OTCQX: TKPPY). Visit us at www.technip.com.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FMC Technologies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FMC Technologies, Inc. (NYSE: FTI) is the global market leader in subsea systems and a leading provider of technologies and services to the oil and gas industry. We help our customers overcome their most difficult challenges, such as improving shale and subsea infrastructures and operations to reduce cost, maintain uptime, and maximize oil and gas recovery. The company has approximately 14,500 employees and operates 29 major production facilities and services bases in 18 countries. Visit www.fmctechnologies.com or follow us on Twitter @FMC_Tech for more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This communication contains “forward-looking statements.” All statements other than statements of historical fact contained in this report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Factors that could cause actual results to differ materially from those in the forward-looking statements include failure to satisfy certain closing conditions to the proposed transactions; failure to obtain favorable opinions from counsel for each company to the effect of how TechnipFMC Limited (to be renamed TechnipFMC plc) should be treated for U.S. tax purposes as a result of the proposed transaction; risks associated with tax liabilities, or changes in U.S. federal or international tax laws or interpretations to which they are subject, including the risk that the Internal Revenue Service disagrees that TechnipFMC is a foreign corporation for U.S. federal tax purposes; risks that the new businesses will not be integrated successfully or that the combined companies will not realize estimated cost savings, value of certain tax assets, synergies and growth or that such benefits may take longer to realize than expected; failure to realize anticipated benefits of the combined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6" w:name="page7"/>
    <w:bookmarkEnd w:id="6"/>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operations; risks relating to unanticipated costs of integration; reductions in client spending or a slowdown in client payments; unanticipated changes relating to competitive factors in the companies’ industries; ability to hire and retain key personnel; ability to successfully integrate the companies’ businesses; the potential impact of announcement or consummation of the proposed transaction on relationships with third parties, including clients, employees and competitors; ability to attract new clients and retain existing clients in the manner anticipated; reliance on and integration of information technology systems; changes in legislation or governmental regulations affecting the companies; international, national or local economic, social or political conditions that could adversely affect the companies or their clients; conditions in the credit markets; risks associated with assumptions the parties make in connection with the parties’ critical accounting estimates and legal proceedings; and the parties’ international operations, which are subject to the risks of currency fluctuations and foreign exchange controls.</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You should carefully consider the foregoing factors and the other risks and uncertainties that affect the parties’ businesses, including those described in FMC Technologies’ Annual Report on Form 10-K, Quarterly Reports on Form 10-Q, Current Reports on Form 8-K and other documents filed from time to time by FMC Technologies and TechnipFMC with the United States Securities and Exchange Commission and those described in Technip S.A.’s annual reports, registration documents and other documents filed from time to time with the French financial markets regulator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We wish to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For more information, contact</w:t>
            </w:r>
          </w:p>
        </w:tc>
        <w:tc>
          <w:tcPr>
            <w:tcW w:w="20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9"/>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For Technip</w:t>
            </w:r>
          </w:p>
        </w:tc>
        <w:tc>
          <w:tcPr>
            <w:tcW w:w="206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For FMC Technologies</w:t>
            </w:r>
          </w:p>
        </w:tc>
      </w:tr>
      <w:tr>
        <w:trPr>
          <w:trHeight w:val="222"/>
        </w:trPr>
        <w:tc>
          <w:tcPr>
            <w:tcW w:w="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Investors</w:t>
            </w:r>
          </w:p>
        </w:tc>
        <w:tc>
          <w:tcPr>
            <w:tcW w:w="3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Investors</w:t>
            </w:r>
          </w:p>
        </w:tc>
        <w:tc>
          <w:tcPr>
            <w:tcW w:w="340" w:type="dxa"/>
            <w:vAlign w:val="bottom"/>
          </w:tcPr>
          <w:p>
            <w:pPr>
              <w:spacing w:after="0"/>
              <w:rPr>
                <w:sz w:val="19"/>
                <w:szCs w:val="19"/>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Aurélia Baudey-Vignaud</w:t>
            </w:r>
          </w:p>
        </w:tc>
        <w:tc>
          <w:tcPr>
            <w:tcW w:w="206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Matt Seinsheimer</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 +33 1 85 67 43 81</w:t>
            </w:r>
          </w:p>
        </w:tc>
        <w:tc>
          <w:tcPr>
            <w:tcW w:w="206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P: +1 281.260.3665</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abaudeyvignaud@technip.com</w:t>
            </w:r>
          </w:p>
        </w:tc>
        <w:tc>
          <w:tcPr>
            <w:tcW w:w="20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w w:val="91"/>
              </w:rPr>
              <w:t>investorrelations@fmcti.com</w:t>
            </w:r>
          </w:p>
        </w:tc>
      </w:tr>
      <w:tr>
        <w:trPr>
          <w:trHeight w:val="445"/>
        </w:trPr>
        <w:tc>
          <w:tcPr>
            <w:tcW w:w="4000" w:type="dxa"/>
            <w:vAlign w:val="bottom"/>
            <w:gridSpan w:val="2"/>
          </w:tcPr>
          <w:p>
            <w:pPr>
              <w:spacing w:after="0"/>
              <w:rPr>
                <w:sz w:val="20"/>
                <w:szCs w:val="20"/>
                <w:color w:val="auto"/>
              </w:rPr>
            </w:pPr>
            <w:r>
              <w:rPr>
                <w:rFonts w:ascii="Arial" w:cs="Arial" w:eastAsia="Arial" w:hAnsi="Arial"/>
                <w:sz w:val="18"/>
                <w:szCs w:val="18"/>
                <w:color w:val="auto"/>
              </w:rPr>
              <w:t>Elodie Robbe-Mouillot</w:t>
            </w:r>
          </w:p>
        </w:tc>
        <w:tc>
          <w:tcPr>
            <w:tcW w:w="2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 +33 1 85 67 43 86</w:t>
            </w:r>
          </w:p>
        </w:tc>
        <w:tc>
          <w:tcPr>
            <w:tcW w:w="2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erobbemouillot@technip.com</w:t>
            </w:r>
          </w:p>
        </w:tc>
        <w:tc>
          <w:tcPr>
            <w:tcW w:w="20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1"/>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Media</w:t>
            </w:r>
          </w:p>
        </w:tc>
        <w:tc>
          <w:tcPr>
            <w:tcW w:w="206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Media</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Christophe Bélorgeot</w:t>
            </w:r>
          </w:p>
        </w:tc>
        <w:tc>
          <w:tcPr>
            <w:tcW w:w="206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Lisa Albiston</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 +33 1 47 78 39 92</w:t>
            </w:r>
          </w:p>
        </w:tc>
        <w:tc>
          <w:tcPr>
            <w:tcW w:w="206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P: +1 281.610-9076</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cbelorgeot@technip.com</w:t>
            </w:r>
          </w:p>
        </w:tc>
        <w:tc>
          <w:tcPr>
            <w:tcW w:w="20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w w:val="99"/>
              </w:rPr>
              <w:t>media.request@fmcti.com</w:t>
            </w:r>
          </w:p>
        </w:tc>
      </w:tr>
      <w:tr>
        <w:trPr>
          <w:trHeight w:val="445"/>
        </w:trPr>
        <w:tc>
          <w:tcPr>
            <w:tcW w:w="4000" w:type="dxa"/>
            <w:vAlign w:val="bottom"/>
            <w:gridSpan w:val="2"/>
          </w:tcPr>
          <w:p>
            <w:pPr>
              <w:spacing w:after="0"/>
              <w:rPr>
                <w:sz w:val="20"/>
                <w:szCs w:val="20"/>
                <w:color w:val="auto"/>
              </w:rPr>
            </w:pPr>
            <w:r>
              <w:rPr>
                <w:rFonts w:ascii="Arial" w:cs="Arial" w:eastAsia="Arial" w:hAnsi="Arial"/>
                <w:sz w:val="18"/>
                <w:szCs w:val="18"/>
                <w:color w:val="auto"/>
              </w:rPr>
              <w:t>Laure Montcel</w:t>
            </w:r>
          </w:p>
        </w:tc>
        <w:tc>
          <w:tcPr>
            <w:tcW w:w="206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Lisa Adams</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P: +33 1 49 01 87 81</w:t>
            </w:r>
          </w:p>
        </w:tc>
        <w:tc>
          <w:tcPr>
            <w:tcW w:w="206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P: +1 281.405.4659</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lmontcel@technip.com</w:t>
            </w:r>
          </w:p>
        </w:tc>
        <w:tc>
          <w:tcPr>
            <w:tcW w:w="20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w w:val="99"/>
              </w:rPr>
              <w:t>media.request@fmcti.com</w:t>
            </w:r>
          </w:p>
        </w:tc>
      </w:tr>
      <w:tr>
        <w:trPr>
          <w:trHeight w:val="378"/>
        </w:trPr>
        <w:tc>
          <w:tcPr>
            <w:tcW w:w="9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2019-12-09T02:14:24Z</dcterms:created>
  <dcterms:modified xsi:type="dcterms:W3CDTF">2019-12-09T02:14:24Z</dcterms:modified>
</cp:coreProperties>
</file>