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33" w:lineRule="exact"/>
        <w:rPr>
          <w:sz w:val="24"/>
          <w:szCs w:val="24"/>
          <w:color w:val="auto"/>
        </w:rPr>
      </w:pPr>
    </w:p>
    <w:p>
      <w:pPr>
        <w:ind w:left="3940" w:right="1280" w:hanging="2655"/>
        <w:spacing w:after="0" w:line="282" w:lineRule="auto"/>
        <w:tabs>
          <w:tab w:leader="none" w:pos="1646"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80" w:lineRule="exact"/>
        <w:rPr>
          <w:sz w:val="24"/>
          <w:szCs w:val="24"/>
          <w:color w:val="auto"/>
        </w:rPr>
      </w:pPr>
    </w:p>
    <w:p>
      <w:pPr>
        <w:ind w:left="3960" w:right="1280" w:hanging="2673"/>
        <w:spacing w:after="0" w:line="253" w:lineRule="auto"/>
        <w:tabs>
          <w:tab w:leader="none" w:pos="1662"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3" w:lineRule="exact"/>
        <w:rPr>
          <w:rFonts w:ascii="MS PGothic" w:cs="MS PGothic" w:eastAsia="MS PGothic" w:hAnsi="MS PGothic"/>
          <w:sz w:val="22"/>
          <w:szCs w:val="22"/>
          <w:color w:val="auto"/>
        </w:rPr>
      </w:pPr>
    </w:p>
    <w:p>
      <w:pPr>
        <w:ind w:left="4280"/>
        <w:spacing w:after="0"/>
        <w:rPr>
          <w:rFonts w:ascii="MS PGothic" w:cs="MS PGothic" w:eastAsia="MS PGothic" w:hAnsi="MS PGothic"/>
          <w:sz w:val="22"/>
          <w:szCs w:val="22"/>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65"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United Kingdom</w:t>
            </w:r>
          </w:p>
        </w:tc>
        <w:tc>
          <w:tcPr>
            <w:tcW w:w="3440" w:type="dxa"/>
            <w:vAlign w:val="bottom"/>
          </w:tcPr>
          <w:p>
            <w:pPr>
              <w:jc w:val="right"/>
              <w:ind w:right="448"/>
              <w:spacing w:after="0"/>
              <w:rPr>
                <w:sz w:val="20"/>
                <w:szCs w:val="20"/>
                <w:color w:val="auto"/>
              </w:rPr>
            </w:pPr>
            <w:r>
              <w:rPr>
                <w:rFonts w:ascii="Arial" w:cs="Arial" w:eastAsia="Arial" w:hAnsi="Arial"/>
                <w:sz w:val="16"/>
                <w:szCs w:val="16"/>
                <w:b w:val="1"/>
                <w:bCs w:val="1"/>
                <w:color w:val="auto"/>
              </w:rPr>
              <w:t>98-1283037</w:t>
            </w:r>
          </w:p>
        </w:tc>
      </w:tr>
      <w:tr>
        <w:trPr>
          <w:trHeight w:val="166"/>
        </w:trPr>
        <w:tc>
          <w:tcPr>
            <w:tcW w:w="4740" w:type="dxa"/>
            <w:vAlign w:val="bottom"/>
          </w:tcPr>
          <w:p>
            <w:pPr>
              <w:jc w:val="center"/>
              <w:ind w:right="1425"/>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440" w:type="dxa"/>
            <w:vAlign w:val="bottom"/>
          </w:tcPr>
          <w:p>
            <w:pPr>
              <w:jc w:val="center"/>
              <w:ind w:left="1428"/>
              <w:spacing w:after="0"/>
              <w:rPr>
                <w:sz w:val="20"/>
                <w:szCs w:val="20"/>
                <w:color w:val="auto"/>
              </w:rPr>
            </w:pPr>
            <w:r>
              <w:rPr>
                <w:rFonts w:ascii="Arial" w:cs="Arial" w:eastAsia="Arial" w:hAnsi="Arial"/>
                <w:sz w:val="13"/>
                <w:szCs w:val="13"/>
                <w:color w:val="auto"/>
                <w:w w:val="96"/>
              </w:rPr>
              <w:t>(I.R.S. Employer Identification No.)</w:t>
            </w:r>
          </w:p>
        </w:tc>
      </w:tr>
      <w:tr>
        <w:trPr>
          <w:trHeight w:val="388"/>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One St. Paul’s Churchyard</w:t>
            </w:r>
          </w:p>
        </w:tc>
        <w:tc>
          <w:tcPr>
            <w:tcW w:w="3440" w:type="dxa"/>
            <w:vAlign w:val="bottom"/>
          </w:tcPr>
          <w:p>
            <w:pPr>
              <w:spacing w:after="0"/>
              <w:rPr>
                <w:sz w:val="24"/>
                <w:szCs w:val="24"/>
                <w:color w:val="auto"/>
              </w:rPr>
            </w:pPr>
          </w:p>
        </w:tc>
      </w:tr>
      <w:tr>
        <w:trPr>
          <w:trHeight w:val="216"/>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London</w:t>
            </w:r>
          </w:p>
        </w:tc>
        <w:tc>
          <w:tcPr>
            <w:tcW w:w="3440" w:type="dxa"/>
            <w:vAlign w:val="bottom"/>
          </w:tcPr>
          <w:p>
            <w:pPr>
              <w:spacing w:after="0"/>
              <w:rPr>
                <w:sz w:val="18"/>
                <w:szCs w:val="18"/>
                <w:color w:val="auto"/>
              </w:rPr>
            </w:pPr>
          </w:p>
        </w:tc>
      </w:tr>
      <w:tr>
        <w:trPr>
          <w:trHeight w:val="216"/>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United Kingdom</w:t>
            </w:r>
          </w:p>
        </w:tc>
        <w:tc>
          <w:tcPr>
            <w:tcW w:w="3440" w:type="dxa"/>
            <w:vAlign w:val="bottom"/>
          </w:tcPr>
          <w:p>
            <w:pPr>
              <w:jc w:val="center"/>
              <w:ind w:left="1448"/>
              <w:spacing w:after="0"/>
              <w:rPr>
                <w:sz w:val="20"/>
                <w:szCs w:val="20"/>
                <w:color w:val="auto"/>
              </w:rPr>
            </w:pPr>
            <w:r>
              <w:rPr>
                <w:rFonts w:ascii="Arial" w:cs="Arial" w:eastAsia="Arial" w:hAnsi="Arial"/>
                <w:sz w:val="16"/>
                <w:szCs w:val="16"/>
                <w:b w:val="1"/>
                <w:bCs w:val="1"/>
                <w:color w:val="auto"/>
                <w:w w:val="99"/>
              </w:rPr>
              <w:t>EC4M 8AP</w:t>
            </w:r>
          </w:p>
        </w:tc>
      </w:tr>
      <w:tr>
        <w:trPr>
          <w:trHeight w:val="165"/>
        </w:trPr>
        <w:tc>
          <w:tcPr>
            <w:tcW w:w="4740" w:type="dxa"/>
            <w:vAlign w:val="bottom"/>
          </w:tcPr>
          <w:p>
            <w:pPr>
              <w:jc w:val="center"/>
              <w:ind w:right="1425"/>
              <w:spacing w:after="0"/>
              <w:rPr>
                <w:sz w:val="20"/>
                <w:szCs w:val="20"/>
                <w:color w:val="auto"/>
              </w:rPr>
            </w:pPr>
            <w:r>
              <w:rPr>
                <w:rFonts w:ascii="Arial" w:cs="Arial" w:eastAsia="Arial" w:hAnsi="Arial"/>
                <w:sz w:val="13"/>
                <w:szCs w:val="13"/>
                <w:color w:val="auto"/>
                <w:w w:val="97"/>
              </w:rPr>
              <w:t>(Address of principal executive offices)</w:t>
            </w:r>
          </w:p>
        </w:tc>
        <w:tc>
          <w:tcPr>
            <w:tcW w:w="3440" w:type="dxa"/>
            <w:vAlign w:val="bottom"/>
          </w:tcPr>
          <w:p>
            <w:pPr>
              <w:jc w:val="center"/>
              <w:ind w:left="1448"/>
              <w:spacing w:after="0"/>
              <w:rPr>
                <w:sz w:val="20"/>
                <w:szCs w:val="20"/>
                <w:color w:val="auto"/>
              </w:rPr>
            </w:pPr>
            <w:r>
              <w:rPr>
                <w:rFonts w:ascii="Arial" w:cs="Arial" w:eastAsia="Arial" w:hAnsi="Arial"/>
                <w:sz w:val="13"/>
                <w:szCs w:val="13"/>
                <w:color w:val="auto"/>
                <w:w w:val="97"/>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+44 203-429-3950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ind w:left="34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068" w:right="339" w:bottom="1440" w:gutter="0" w:footer="0" w:header="0"/>
        </w:sectPr>
      </w:pPr>
    </w:p>
    <w:p>
      <w:pPr>
        <w:spacing w:after="0" w:line="29"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45" w:lineRule="exact"/>
        <w:rPr>
          <w:sz w:val="24"/>
          <w:szCs w:val="24"/>
          <w:color w:val="auto"/>
        </w:rPr>
      </w:pPr>
    </w:p>
    <w:p>
      <w:pPr>
        <w:sectPr>
          <w:pgSz w:w="11900" w:h="16838" w:orient="portrait"/>
          <w:cols w:equalWidth="0" w:num="2">
            <w:col w:w="4360" w:space="720"/>
            <w:col w:w="6160"/>
          </w:cols>
          <w:pgMar w:left="320" w:top="1068"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1" w:lineRule="exact"/>
        <w:rPr>
          <w:sz w:val="24"/>
          <w:szCs w:val="24"/>
          <w:color w:val="auto"/>
        </w:rPr>
      </w:pPr>
    </w:p>
    <w:p>
      <w:pPr>
        <w:sectPr>
          <w:pgSz w:w="11900" w:h="16838" w:orient="portrait"/>
          <w:cols w:equalWidth="0" w:num="3">
            <w:col w:w="4780" w:space="720"/>
            <w:col w:w="1900" w:space="720"/>
            <w:col w:w="3120"/>
          </w:cols>
          <w:pgMar w:left="320" w:top="1068"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69"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78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2"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3760" w:type="dxa"/>
            <w:vAlign w:val="bottom"/>
            <w:gridSpan w:val="2"/>
          </w:tcPr>
          <w:p>
            <w:pPr>
              <w:jc w:val="center"/>
              <w:ind w:right="3380"/>
              <w:spacing w:after="0"/>
              <w:rPr>
                <w:sz w:val="20"/>
                <w:szCs w:val="20"/>
                <w:color w:val="auto"/>
              </w:rPr>
            </w:pPr>
            <w:r>
              <w:rPr>
                <w:rFonts w:ascii="Arial" w:cs="Arial" w:eastAsia="Arial" w:hAnsi="Arial"/>
                <w:sz w:val="14"/>
                <w:szCs w:val="14"/>
                <w:b w:val="1"/>
                <w:bCs w:val="1"/>
                <w:color w:val="auto"/>
              </w:rPr>
              <w:t>Class</w:t>
            </w:r>
          </w:p>
        </w:tc>
        <w:tc>
          <w:tcPr>
            <w:tcW w:w="540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Outstanding at April 30, 2021</w:t>
            </w:r>
          </w:p>
        </w:tc>
      </w:tr>
      <w:tr>
        <w:trPr>
          <w:trHeight w:val="20"/>
        </w:trPr>
        <w:tc>
          <w:tcPr>
            <w:tcW w:w="2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8"/>
        </w:trPr>
        <w:tc>
          <w:tcPr>
            <w:tcW w:w="58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Ordinary shares, $1.00 par value per share</w:t>
            </w:r>
          </w:p>
        </w:tc>
        <w:tc>
          <w:tcPr>
            <w:tcW w:w="4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450,668,293</w:t>
            </w:r>
          </w:p>
        </w:tc>
        <w:tc>
          <w:tcPr>
            <w:tcW w:w="1320" w:type="dxa"/>
            <w:vAlign w:val="bottom"/>
          </w:tcPr>
          <w:p>
            <w:pPr>
              <w:spacing w:after="0"/>
              <w:rPr>
                <w:sz w:val="17"/>
                <w:szCs w:val="17"/>
                <w:color w:val="auto"/>
              </w:rPr>
            </w:pPr>
          </w:p>
        </w:tc>
      </w:tr>
      <w:tr>
        <w:trPr>
          <w:trHeight w:val="187"/>
        </w:trPr>
        <w:tc>
          <w:tcPr>
            <w:tcW w:w="2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34"/>
        </w:trPr>
        <w:tc>
          <w:tcPr>
            <w:tcW w:w="2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784"/>
        </w:trPr>
        <w:tc>
          <w:tcPr>
            <w:tcW w:w="2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162"/>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PART I — Financial Information</w:t>
              </w:r>
            </w:hyperlink>
          </w:p>
        </w:tc>
        <w:tc>
          <w:tcPr>
            <w:tcW w:w="6700" w:type="dxa"/>
            <w:vAlign w:val="bottom"/>
            <w:gridSpan w:val="15"/>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rFonts w:ascii="Arial" w:cs="Arial" w:eastAsia="Arial" w:hAnsi="Arial"/>
                <w:sz w:val="14"/>
                <w:szCs w:val="14"/>
                <w:color w:val="0000FF"/>
                <w:w w:val="76"/>
              </w:rPr>
            </w:pPr>
            <w:hyperlink w:anchor="page4">
              <w:r>
                <w:rPr>
                  <w:rFonts w:ascii="Arial" w:cs="Arial" w:eastAsia="Arial" w:hAnsi="Arial"/>
                  <w:sz w:val="14"/>
                  <w:szCs w:val="14"/>
                  <w:color w:val="0000FF"/>
                  <w:w w:val="76"/>
                </w:rPr>
                <w:t>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Item 1. Financial Statements (Unaudited)</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Statements of Income</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Statements of Comprehensive Income</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Balance Sheets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Cash Flows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sz w:val="20"/>
                <w:szCs w:val="20"/>
                <w:color w:val="auto"/>
              </w:rPr>
            </w:pPr>
            <w:r>
              <w:rPr>
                <w:rFonts w:ascii="Arial" w:cs="Arial" w:eastAsia="Arial" w:hAnsi="Arial"/>
                <w:sz w:val="14"/>
                <w:szCs w:val="14"/>
                <w:color w:val="0000FF"/>
              </w:rPr>
              <w:t>Condensed Consolidated Statements of Changes in Stockholders’ Equity</w:t>
            </w:r>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9">
              <w:r>
                <w:rPr>
                  <w:rFonts w:ascii="Arial" w:cs="Arial" w:eastAsia="Arial" w:hAnsi="Arial"/>
                  <w:sz w:val="14"/>
                  <w:szCs w:val="14"/>
                  <w:color w:val="0000FF"/>
                </w:rPr>
                <w:t>Notes to Condensed Consolidated Financial Statements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9">
              <w:r>
                <w:rPr>
                  <w:rFonts w:ascii="Arial" w:cs="Arial" w:eastAsia="Arial" w:hAnsi="Arial"/>
                  <w:sz w:val="14"/>
                  <w:szCs w:val="14"/>
                  <w:color w:val="0000FF"/>
                </w:rPr>
                <w:t>10</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Item 2. Management’s Discussion and Analysis of Financial Condition and Results of Operations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2">
              <w:r>
                <w:rPr>
                  <w:rFonts w:ascii="Arial" w:cs="Arial" w:eastAsia="Arial" w:hAnsi="Arial"/>
                  <w:sz w:val="14"/>
                  <w:szCs w:val="14"/>
                  <w:color w:val="0000FF"/>
                </w:rPr>
                <w:t>33</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gridSpan w:val="23"/>
          </w:tcPr>
          <w:p>
            <w:pPr>
              <w:ind w:left="340"/>
              <w:spacing w:after="0"/>
              <w:rPr>
                <w:rFonts w:ascii="Arial" w:cs="Arial" w:eastAsia="Arial" w:hAnsi="Arial"/>
                <w:sz w:val="14"/>
                <w:szCs w:val="14"/>
                <w:color w:val="0000FF"/>
              </w:rPr>
            </w:pPr>
            <w:hyperlink w:anchor="page33">
              <w:r>
                <w:rPr>
                  <w:rFonts w:ascii="Arial" w:cs="Arial" w:eastAsia="Arial" w:hAnsi="Arial"/>
                  <w:sz w:val="14"/>
                  <w:szCs w:val="14"/>
                  <w:color w:val="0000FF"/>
                </w:rPr>
                <w:t>Business Outlook</w:t>
              </w:r>
            </w:hyperlink>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33">
              <w:r>
                <w:rPr>
                  <w:rFonts w:ascii="Arial" w:cs="Arial" w:eastAsia="Arial" w:hAnsi="Arial"/>
                  <w:sz w:val="14"/>
                  <w:szCs w:val="14"/>
                  <w:color w:val="0000FF"/>
                  <w:w w:val="89"/>
                </w:rPr>
                <w:t>33</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34">
              <w:r>
                <w:rPr>
                  <w:rFonts w:ascii="Arial" w:cs="Arial" w:eastAsia="Arial" w:hAnsi="Arial"/>
                  <w:sz w:val="14"/>
                  <w:szCs w:val="14"/>
                  <w:color w:val="0000FF"/>
                </w:rPr>
                <w:t>Consolidated Results of Operations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4">
              <w:r>
                <w:rPr>
                  <w:rFonts w:ascii="Arial" w:cs="Arial" w:eastAsia="Arial" w:hAnsi="Arial"/>
                  <w:sz w:val="14"/>
                  <w:szCs w:val="14"/>
                  <w:color w:val="0000FF"/>
                </w:rPr>
                <w:t>35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36">
              <w:r>
                <w:rPr>
                  <w:rFonts w:ascii="Arial" w:cs="Arial" w:eastAsia="Arial" w:hAnsi="Arial"/>
                  <w:sz w:val="14"/>
                  <w:szCs w:val="14"/>
                  <w:color w:val="0000FF"/>
                </w:rPr>
                <w:t>Segment Results of Operations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36">
              <w:r>
                <w:rPr>
                  <w:rFonts w:ascii="Arial" w:cs="Arial" w:eastAsia="Arial" w:hAnsi="Arial"/>
                  <w:sz w:val="14"/>
                  <w:szCs w:val="14"/>
                  <w:color w:val="0000FF"/>
                </w:rPr>
                <w:t>37</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37">
              <w:r>
                <w:rPr>
                  <w:rFonts w:ascii="Arial" w:cs="Arial" w:eastAsia="Arial" w:hAnsi="Arial"/>
                  <w:sz w:val="14"/>
                  <w:szCs w:val="14"/>
                  <w:color w:val="0000FF"/>
                </w:rPr>
                <w:t>Non-GAAP Measures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7">
              <w:r>
                <w:rPr>
                  <w:rFonts w:ascii="Arial" w:cs="Arial" w:eastAsia="Arial" w:hAnsi="Arial"/>
                  <w:sz w:val="14"/>
                  <w:szCs w:val="14"/>
                  <w:color w:val="0000FF"/>
                </w:rPr>
                <w:t>38</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40">
              <w:r>
                <w:rPr>
                  <w:rFonts w:ascii="Arial" w:cs="Arial" w:eastAsia="Arial" w:hAnsi="Arial"/>
                  <w:sz w:val="14"/>
                  <w:szCs w:val="14"/>
                  <w:color w:val="0000FF"/>
                </w:rPr>
                <w:t>Inbound Orders and Order Backlog</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0">
              <w:r>
                <w:rPr>
                  <w:rFonts w:ascii="Arial" w:cs="Arial" w:eastAsia="Arial" w:hAnsi="Arial"/>
                  <w:sz w:val="14"/>
                  <w:szCs w:val="14"/>
                  <w:color w:val="0000FF"/>
                </w:rPr>
                <w:t>41</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1">
              <w:r>
                <w:rPr>
                  <w:rFonts w:ascii="Arial" w:cs="Arial" w:eastAsia="Arial" w:hAnsi="Arial"/>
                  <w:sz w:val="14"/>
                  <w:szCs w:val="14"/>
                  <w:color w:val="0000FF"/>
                </w:rPr>
                <w:t>Liquidity and Capital Resources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1">
              <w:r>
                <w:rPr>
                  <w:rFonts w:ascii="Arial" w:cs="Arial" w:eastAsia="Arial" w:hAnsi="Arial"/>
                  <w:sz w:val="14"/>
                  <w:szCs w:val="14"/>
                  <w:color w:val="0000FF"/>
                </w:rPr>
                <w:t>41</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43">
              <w:r>
                <w:rPr>
                  <w:rFonts w:ascii="Arial" w:cs="Arial" w:eastAsia="Arial" w:hAnsi="Arial"/>
                  <w:sz w:val="14"/>
                  <w:szCs w:val="14"/>
                  <w:color w:val="0000FF"/>
                </w:rPr>
                <w:t>Critical Accounting Estimates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3">
              <w:r>
                <w:rPr>
                  <w:rFonts w:ascii="Arial" w:cs="Arial" w:eastAsia="Arial" w:hAnsi="Arial"/>
                  <w:sz w:val="14"/>
                  <w:szCs w:val="14"/>
                  <w:color w:val="0000FF"/>
                </w:rPr>
                <w:t>44</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4">
              <w:r>
                <w:rPr>
                  <w:rFonts w:ascii="Arial" w:cs="Arial" w:eastAsia="Arial" w:hAnsi="Arial"/>
                  <w:sz w:val="14"/>
                  <w:szCs w:val="14"/>
                  <w:color w:val="0000FF"/>
                </w:rPr>
                <w:t>Other Matters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4">
              <w:r>
                <w:rPr>
                  <w:rFonts w:ascii="Arial" w:cs="Arial" w:eastAsia="Arial" w:hAnsi="Arial"/>
                  <w:sz w:val="14"/>
                  <w:szCs w:val="14"/>
                  <w:color w:val="0000FF"/>
                </w:rPr>
                <w:t>44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60" w:type="dxa"/>
            <w:vAlign w:val="bottom"/>
            <w:gridSpan w:val="19"/>
          </w:tcPr>
          <w:p>
            <w:pPr>
              <w:spacing w:after="0"/>
              <w:rPr>
                <w:rFonts w:ascii="Arial" w:cs="Arial" w:eastAsia="Arial" w:hAnsi="Arial"/>
                <w:sz w:val="14"/>
                <w:szCs w:val="14"/>
                <w:color w:val="0000FF"/>
              </w:rPr>
            </w:pPr>
            <w:hyperlink w:anchor="page44">
              <w:r>
                <w:rPr>
                  <w:rFonts w:ascii="Arial" w:cs="Arial" w:eastAsia="Arial" w:hAnsi="Arial"/>
                  <w:sz w:val="14"/>
                  <w:szCs w:val="14"/>
                  <w:color w:val="0000FF"/>
                </w:rPr>
                <w:t>Item 3. Quantitative and Qualitative Disclosures About Market Risk</w:t>
              </w:r>
            </w:hyperlink>
          </w:p>
        </w:tc>
        <w:tc>
          <w:tcPr>
            <w:tcW w:w="4260" w:type="dxa"/>
            <w:vAlign w:val="bottom"/>
            <w:gridSpan w:val="5"/>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44">
              <w:r>
                <w:rPr>
                  <w:rFonts w:ascii="Arial" w:cs="Arial" w:eastAsia="Arial" w:hAnsi="Arial"/>
                  <w:sz w:val="14"/>
                  <w:szCs w:val="14"/>
                  <w:color w:val="0000FF"/>
                  <w:w w:val="89"/>
                </w:rPr>
                <w:t>45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tcBorders>
              <w:right w:val="single" w:sz="8" w:color="CCEEFF"/>
            </w:tcBorders>
            <w:gridSpan w:val="10"/>
            <w:shd w:val="clear" w:color="auto" w:fill="CCEEFF"/>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Item 4. Controls and Procedures</w:t>
              </w:r>
            </w:hyperlink>
          </w:p>
        </w:tc>
        <w:tc>
          <w:tcPr>
            <w:tcW w:w="2180" w:type="dxa"/>
            <w:vAlign w:val="bottom"/>
            <w:gridSpan w:val="9"/>
            <w:shd w:val="clear" w:color="auto" w:fill="CCEEFF"/>
          </w:tcPr>
          <w:p>
            <w:pPr>
              <w:spacing w:after="0"/>
              <w:rPr>
                <w:sz w:val="14"/>
                <w:szCs w:val="14"/>
                <w:color w:val="auto"/>
              </w:rPr>
            </w:pPr>
          </w:p>
        </w:tc>
        <w:tc>
          <w:tcPr>
            <w:tcW w:w="4260" w:type="dxa"/>
            <w:vAlign w:val="bottom"/>
            <w:gridSpan w:val="5"/>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45">
              <w:r>
                <w:rPr>
                  <w:rFonts w:ascii="Arial" w:cs="Arial" w:eastAsia="Arial" w:hAnsi="Arial"/>
                  <w:sz w:val="14"/>
                  <w:szCs w:val="14"/>
                  <w:color w:val="0000FF"/>
                  <w:w w:val="89"/>
                </w:rPr>
                <w:t>45</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00" w:type="dxa"/>
            <w:vAlign w:val="bottom"/>
            <w:gridSpan w:val="8"/>
          </w:tcPr>
          <w:p>
            <w:pPr>
              <w:spacing w:after="0"/>
              <w:rPr>
                <w:rFonts w:ascii="Arial" w:cs="Arial" w:eastAsia="Arial" w:hAnsi="Arial"/>
                <w:sz w:val="14"/>
                <w:szCs w:val="14"/>
                <w:color w:val="0000FF"/>
                <w:w w:val="97"/>
              </w:rPr>
            </w:pPr>
            <w:hyperlink w:anchor="page45">
              <w:r>
                <w:rPr>
                  <w:rFonts w:ascii="Arial" w:cs="Arial" w:eastAsia="Arial" w:hAnsi="Arial"/>
                  <w:sz w:val="14"/>
                  <w:szCs w:val="14"/>
                  <w:color w:val="0000FF"/>
                  <w:w w:val="97"/>
                </w:rPr>
                <w:t>PART II — Other Information</w:t>
              </w:r>
            </w:hyperlink>
          </w:p>
        </w:tc>
        <w:tc>
          <w:tcPr>
            <w:tcW w:w="6920" w:type="dxa"/>
            <w:vAlign w:val="bottom"/>
            <w:gridSpan w:val="17"/>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45">
              <w:r>
                <w:rPr>
                  <w:rFonts w:ascii="Arial" w:cs="Arial" w:eastAsia="Arial" w:hAnsi="Arial"/>
                  <w:sz w:val="14"/>
                  <w:szCs w:val="14"/>
                  <w:color w:val="0000FF"/>
                  <w:w w:val="89"/>
                </w:rPr>
                <w:t>46</w:t>
              </w:r>
            </w:hyperlink>
          </w:p>
        </w:tc>
      </w:tr>
      <w:tr>
        <w:trPr>
          <w:trHeight w:val="27"/>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tcBorders>
              <w:right w:val="single" w:sz="8" w:color="CCEEFF"/>
            </w:tcBorders>
            <w:gridSpan w:val="8"/>
            <w:shd w:val="clear" w:color="auto" w:fill="CCEEFF"/>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1. Legal Proceedings</w:t>
              </w:r>
            </w:hyperlink>
          </w:p>
        </w:tc>
        <w:tc>
          <w:tcPr>
            <w:tcW w:w="6800" w:type="dxa"/>
            <w:vAlign w:val="bottom"/>
            <w:gridSpan w:val="16"/>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46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8"/>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1A. Risk Factors</w:t>
              </w:r>
            </w:hyperlink>
          </w:p>
        </w:tc>
        <w:tc>
          <w:tcPr>
            <w:tcW w:w="6800" w:type="dxa"/>
            <w:vAlign w:val="bottom"/>
            <w:gridSpan w:val="16"/>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46</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2. Unregistered Sales of Equity Securities and Use of Proceeds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6">
              <w:r>
                <w:rPr>
                  <w:rFonts w:ascii="Arial" w:cs="Arial" w:eastAsia="Arial" w:hAnsi="Arial"/>
                  <w:sz w:val="14"/>
                  <w:szCs w:val="14"/>
                  <w:color w:val="0000FF"/>
                </w:rPr>
                <w:t>46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60" w:type="dxa"/>
            <w:vAlign w:val="bottom"/>
            <w:gridSpan w:val="20"/>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3. Defaults Upon Senior Securities</w:t>
              </w:r>
            </w:hyperlink>
          </w:p>
        </w:tc>
        <w:tc>
          <w:tcPr>
            <w:tcW w:w="4160" w:type="dxa"/>
            <w:vAlign w:val="bottom"/>
            <w:gridSpan w:val="4"/>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46</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tcBorders>
              <w:right w:val="single" w:sz="8" w:color="CCEEFF"/>
            </w:tcBorders>
            <w:gridSpan w:val="10"/>
            <w:shd w:val="clear" w:color="auto" w:fill="CCEEFF"/>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4. Mine Safety Disclosures</w:t>
              </w:r>
            </w:hyperlink>
          </w:p>
        </w:tc>
        <w:tc>
          <w:tcPr>
            <w:tcW w:w="440" w:type="dxa"/>
            <w:vAlign w:val="bottom"/>
            <w:gridSpan w:val="3"/>
            <w:shd w:val="clear" w:color="auto" w:fill="CCEEFF"/>
          </w:tcPr>
          <w:p>
            <w:pPr>
              <w:spacing w:after="0"/>
              <w:rPr>
                <w:sz w:val="14"/>
                <w:szCs w:val="14"/>
                <w:color w:val="auto"/>
              </w:rPr>
            </w:pPr>
          </w:p>
        </w:tc>
        <w:tc>
          <w:tcPr>
            <w:tcW w:w="6000" w:type="dxa"/>
            <w:vAlign w:val="bottom"/>
            <w:tcBorders>
              <w:left w:val="single" w:sz="8" w:color="CCEEFF"/>
            </w:tcBorders>
            <w:gridSpan w:val="11"/>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46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10"/>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5. Other Information</w:t>
              </w:r>
            </w:hyperlink>
          </w:p>
        </w:tc>
        <w:tc>
          <w:tcPr>
            <w:tcW w:w="6440" w:type="dxa"/>
            <w:vAlign w:val="bottom"/>
            <w:gridSpan w:val="14"/>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46</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Item 6. Exhibits</w:t>
              </w:r>
            </w:hyperlink>
          </w:p>
        </w:tc>
        <w:tc>
          <w:tcPr>
            <w:tcW w:w="600" w:type="dxa"/>
            <w:vAlign w:val="bottom"/>
            <w:gridSpan w:val="4"/>
            <w:shd w:val="clear" w:color="auto" w:fill="CCEEFF"/>
          </w:tcPr>
          <w:p>
            <w:pPr>
              <w:spacing w:after="0"/>
              <w:rPr>
                <w:sz w:val="14"/>
                <w:szCs w:val="14"/>
                <w:color w:val="auto"/>
              </w:rPr>
            </w:pPr>
          </w:p>
        </w:tc>
        <w:tc>
          <w:tcPr>
            <w:tcW w:w="6920" w:type="dxa"/>
            <w:vAlign w:val="bottom"/>
            <w:tcBorders>
              <w:left w:val="single" w:sz="8" w:color="CCEEFF"/>
            </w:tcBorders>
            <w:gridSpan w:val="17"/>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46">
              <w:r>
                <w:rPr>
                  <w:rFonts w:ascii="Arial" w:cs="Arial" w:eastAsia="Arial" w:hAnsi="Arial"/>
                  <w:sz w:val="14"/>
                  <w:szCs w:val="14"/>
                  <w:color w:val="0000FF"/>
                  <w:w w:val="89"/>
                </w:rPr>
                <w:t>47</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Signature</w:t>
              </w:r>
            </w:hyperlink>
          </w:p>
        </w:tc>
        <w:tc>
          <w:tcPr>
            <w:tcW w:w="7520" w:type="dxa"/>
            <w:vAlign w:val="bottom"/>
            <w:gridSpan w:val="21"/>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47">
              <w:r>
                <w:rPr>
                  <w:rFonts w:ascii="Arial" w:cs="Arial" w:eastAsia="Arial" w:hAnsi="Arial"/>
                  <w:sz w:val="14"/>
                  <w:szCs w:val="14"/>
                  <w:color w:val="0000FF"/>
                  <w:w w:val="89"/>
                </w:rPr>
                <w:t>48</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of this Quarterly Report on Form 10-Q, as well as the following: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4" w:lineRule="exact"/>
        <w:rPr>
          <w:sz w:val="20"/>
          <w:szCs w:val="20"/>
          <w:color w:val="auto"/>
        </w:rPr>
      </w:pPr>
    </w:p>
    <w:p>
      <w:pPr>
        <w:ind w:left="660" w:righ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demand for our products and services, which depends on oil and gas industry activity and expenditure levels that are directly affected by trends in demand for and price of crude oil and natural gas;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unanticipated changes relating to competitive factors in our industry, including ongoing industry consolidation;</w:t>
      </w:r>
    </w:p>
    <w:p>
      <w:pPr>
        <w:spacing w:after="0" w:line="201" w:lineRule="exact"/>
        <w:rPr>
          <w:rFonts w:ascii="Arial" w:cs="Arial" w:eastAsia="Arial" w:hAnsi="Arial"/>
          <w:sz w:val="22"/>
          <w:szCs w:val="22"/>
          <w:color w:val="auto"/>
        </w:rPr>
      </w:pPr>
    </w:p>
    <w:p>
      <w:pPr>
        <w:ind w:left="660" w:right="34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develop, implement, and protect new technologies and services, as well as our ability to protect and maintain critical intellectual property assets;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cumulative loss of major contracts, customers, or alliances;</w:t>
      </w:r>
    </w:p>
    <w:p>
      <w:pPr>
        <w:spacing w:after="0" w:line="201" w:lineRule="exact"/>
        <w:rPr>
          <w:rFonts w:ascii="Arial" w:cs="Arial" w:eastAsia="Arial" w:hAnsi="Arial"/>
          <w:sz w:val="22"/>
          <w:szCs w:val="22"/>
          <w:color w:val="auto"/>
        </w:rPr>
      </w:pPr>
    </w:p>
    <w:p>
      <w:pPr>
        <w:ind w:left="660" w:right="68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the COVID-19 pandemic, the United Kingdom’s withdrawal from the European Union, disruptions in the political, regulatory, economic, and social conditions of the countries in which we conduct business;</w:t>
      </w:r>
    </w:p>
    <w:p>
      <w:pPr>
        <w:spacing w:after="0" w:line="284" w:lineRule="exact"/>
        <w:rPr>
          <w:rFonts w:ascii="Arial" w:cs="Arial" w:eastAsia="Arial" w:hAnsi="Arial"/>
          <w:sz w:val="22"/>
          <w:szCs w:val="22"/>
          <w:color w:val="auto"/>
        </w:rPr>
      </w:pPr>
    </w:p>
    <w:p>
      <w:pPr>
        <w:ind w:left="660" w:right="14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The Depository Trust Company and Euroclear for clearance services for shares traded on the New York Stock Exchange (the “NYSE”) and the Euronext Paris Stock Exchange, respectively;</w:t>
      </w:r>
    </w:p>
    <w:p>
      <w:pPr>
        <w:spacing w:after="0" w:line="284" w:lineRule="exact"/>
        <w:rPr>
          <w:rFonts w:ascii="Arial" w:cs="Arial" w:eastAsia="Arial" w:hAnsi="Arial"/>
          <w:sz w:val="22"/>
          <w:szCs w:val="22"/>
          <w:color w:val="auto"/>
        </w:rPr>
      </w:pPr>
    </w:p>
    <w:p>
      <w:pPr>
        <w:ind w:left="660" w:right="8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existing and future debt, which may limit cash flow available to invest in the ongoing needs of our business and could prevent us from fulfilling our obligations under our outstanding debt;</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 downgrade in our debt rating, which could restrict our ability to access the capital markets;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our acquisition and divestiture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related to our fixed price contracts, such as cost overruns;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related to capital asset construction projects for vessels and manufacturing facilities, such as delays and cost overruns;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timely deliver our backlog and its effect on our future sales, profitability, and customer relationships;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282" w:lineRule="exact"/>
        <w:rPr>
          <w:rFonts w:ascii="Arial" w:cs="Arial" w:eastAsia="Arial" w:hAnsi="Arial"/>
          <w:sz w:val="22"/>
          <w:szCs w:val="22"/>
          <w:color w:val="auto"/>
        </w:rPr>
      </w:pPr>
    </w:p>
    <w:p>
      <w:pPr>
        <w:ind w:left="660" w:right="2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failure of our information technology infrastructure, including as a result of cyber-attacks, and actual or perceived failure to comply with data security and privacy obligations;</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piracy risks for our maritime employees and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Proceedings, Tax, and Regulatory Matters</w:t>
      </w:r>
    </w:p>
    <w:p>
      <w:pPr>
        <w:spacing w:after="0" w:line="234" w:lineRule="exact"/>
        <w:rPr>
          <w:sz w:val="20"/>
          <w:szCs w:val="20"/>
          <w:color w:val="auto"/>
        </w:rPr>
      </w:pPr>
    </w:p>
    <w:p>
      <w:pPr>
        <w:ind w:left="660" w:right="1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potential liabilities arising out of the installation or use of our products, which may not be covered by insurance or may be in excess of policy limits, of for which expected recoveries may not be realized;</w:t>
      </w:r>
    </w:p>
    <w:p>
      <w:pPr>
        <w:spacing w:after="0" w:line="203" w:lineRule="exact"/>
        <w:rPr>
          <w:rFonts w:ascii="Arial" w:cs="Arial" w:eastAsia="Arial" w:hAnsi="Arial"/>
          <w:sz w:val="22"/>
          <w:szCs w:val="22"/>
          <w:color w:val="auto"/>
        </w:rPr>
      </w:pPr>
    </w:p>
    <w:p>
      <w:pPr>
        <w:ind w:left="660" w:right="480" w:hanging="328"/>
        <w:spacing w:after="0" w:line="249"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7"/>
          <w:szCs w:val="17"/>
          <w:color w:val="auto"/>
        </w:rPr>
        <w:t>U.S. and international laws and regulations, including those related to environmental protection and climate change, health and safety, privacy, data protection and data security, labor and employment, import/export controls, currency change, bribery and corruption, and taxation, that may increase our costs, limit the demand for our products and services or restrict our operations;</w:t>
      </w:r>
    </w:p>
    <w:p>
      <w:pPr>
        <w:spacing w:after="0" w:line="194" w:lineRule="exact"/>
        <w:rPr>
          <w:rFonts w:ascii="Arial" w:cs="Arial" w:eastAsia="Arial" w:hAnsi="Arial"/>
          <w:sz w:val="21"/>
          <w:szCs w:val="21"/>
          <w:color w:val="auto"/>
        </w:rPr>
      </w:pPr>
    </w:p>
    <w:p>
      <w:pPr>
        <w:jc w:val="both"/>
        <w:ind w:left="660" w:right="240" w:hanging="328"/>
        <w:spacing w:after="0" w:line="23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risks associated with being an English public limited company, including the need to meet certain additional financial requirements before we may declare dividends or repurchase shares and shareholder approval of certain capital structure decisions, which may limit our flexibility to manage our capital;</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outcome of uninsured claims and litigation against us;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Spin-off and the Related Transactions</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b w:val="1"/>
          <w:bCs w:val="1"/>
          <w:i w:val="1"/>
          <w:iCs w:val="1"/>
          <w:color w:val="auto"/>
        </w:rPr>
      </w:pPr>
      <w:r>
        <w:rPr>
          <w:rFonts w:ascii="Arial" w:cs="Arial" w:eastAsia="Arial" w:hAnsi="Arial"/>
          <w:sz w:val="18"/>
          <w:szCs w:val="18"/>
          <w:color w:val="auto"/>
        </w:rPr>
        <w:t>future liabilities related to the Spin-off (as defined herein) or our inability to achieve some or all of the anticipated benefits;</w:t>
      </w:r>
    </w:p>
    <w:p>
      <w:pPr>
        <w:spacing w:after="0" w:line="161" w:lineRule="exact"/>
        <w:rPr>
          <w:rFonts w:ascii="Arial" w:cs="Arial" w:eastAsia="Arial" w:hAnsi="Arial"/>
          <w:sz w:val="22"/>
          <w:szCs w:val="22"/>
          <w:b w:val="1"/>
          <w:bCs w:val="1"/>
          <w:i w:val="1"/>
          <w:iCs w:val="1"/>
          <w:color w:val="auto"/>
        </w:rPr>
      </w:pPr>
    </w:p>
    <w:p>
      <w:pPr>
        <w:ind w:left="660" w:right="1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being a significant shareholder in Technip Energies N.V. (“Technip Energies”), including potential fluctuation in the value of our investment in Technip Energies;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hire and/or retain the services of key managers and employees;</w:t>
      </w:r>
    </w:p>
    <w:p>
      <w:pPr>
        <w:spacing w:after="0" w:line="16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rate fluctuations associated with our international operations;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other risk factors as set forth in our filings with the U.S. Securities and Exchange Commission and in our filings with the Autorité des marchés financiers.</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INCOME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tcPr>
          <w:p>
            <w:pPr>
              <w:spacing w:after="0"/>
              <w:rPr>
                <w:sz w:val="14"/>
                <w:szCs w:val="14"/>
                <w:color w:val="auto"/>
              </w:rPr>
            </w:pPr>
          </w:p>
        </w:tc>
      </w:tr>
      <w:tr>
        <w:trPr>
          <w:trHeight w:val="18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5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w w:val="89"/>
              </w:rPr>
              <w:t>2020</w:t>
            </w:r>
          </w:p>
        </w:tc>
      </w:tr>
      <w:tr>
        <w:trPr>
          <w:trHeight w:val="16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Revenue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Service revenue</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826.2</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773.6</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Product 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758.0</w:t>
            </w:r>
          </w:p>
        </w:tc>
      </w:tr>
      <w:tr>
        <w:trPr>
          <w:trHeight w:val="16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Lease revenue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w:t>
            </w: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1,632.0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1,582.6</w:t>
            </w:r>
          </w:p>
        </w:tc>
      </w:tr>
      <w:tr>
        <w:trPr>
          <w:trHeight w:val="162"/>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Costs and expenses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Cost of service revenue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743.8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704.4</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 of product 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661.7</w:t>
            </w: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Cost of lease revenue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38.0</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Selling, general and administrative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w:t>
            </w: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Research and development expense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25.4</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restructuring and other expenses (Note 16)</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3,199.1</w:t>
            </w:r>
          </w:p>
        </w:tc>
      </w:tr>
      <w:tr>
        <w:trPr>
          <w:trHeight w:val="161"/>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Total costs and expenses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1,630.8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4,823.9</w:t>
            </w:r>
          </w:p>
        </w:tc>
      </w:tr>
      <w:tr>
        <w:trPr>
          <w:trHeight w:val="170"/>
        </w:trPr>
        <w:tc>
          <w:tcPr>
            <w:tcW w:w="8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Other income (expense),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84"/>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from equity affiliates (Note 11)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r>
      <w:tr>
        <w:trPr>
          <w:trHeight w:val="16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Income from investment in Technip Energies (Note 11)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net interest expense and income taxes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(3,228.1)</w:t>
            </w: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Interest income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16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Loss on early extinguishment of debt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(3,251.1)</w:t>
            </w:r>
          </w:p>
        </w:tc>
      </w:tr>
      <w:tr>
        <w:trPr>
          <w:trHeight w:val="16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Provision (benefit) for income taxes (Note 18)</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continuing operations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(3,227.9)</w:t>
            </w:r>
          </w:p>
        </w:tc>
      </w:tr>
      <w:tr>
        <w:trPr>
          <w:trHeight w:val="16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from continuing operations attributable to non-controlling interests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continuing operations attributable to TechnipFMC plc</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(3,234.8)</w:t>
            </w:r>
          </w:p>
        </w:tc>
      </w:tr>
      <w:tr>
        <w:trPr>
          <w:trHeight w:val="168"/>
        </w:trPr>
        <w:tc>
          <w:tcPr>
            <w:tcW w:w="8260" w:type="dxa"/>
            <w:vAlign w:val="bottom"/>
          </w:tcPr>
          <w:p>
            <w:pPr>
              <w:ind w:left="20"/>
              <w:spacing w:after="0"/>
              <w:rPr>
                <w:sz w:val="20"/>
                <w:szCs w:val="20"/>
                <w:color w:val="auto"/>
              </w:rPr>
            </w:pPr>
            <w:r>
              <w:rPr>
                <w:rFonts w:ascii="Arial" w:cs="Arial" w:eastAsia="Arial" w:hAnsi="Arial"/>
                <w:sz w:val="13"/>
                <w:szCs w:val="13"/>
                <w:color w:val="auto"/>
              </w:rPr>
              <w:t>Income (loss) from discontinued operations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(17.8)</w:t>
            </w: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discontinued operations attributable to non-controlling interests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3"/>
        </w:trPr>
        <w:tc>
          <w:tcPr>
            <w:tcW w:w="826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Net Income (loss) attributable to TechnipFMC plc</w:t>
            </w: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(3,256.1)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5"/>
        </w:trPr>
        <w:tc>
          <w:tcPr>
            <w:tcW w:w="8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8"/>
        </w:trPr>
        <w:tc>
          <w:tcPr>
            <w:tcW w:w="8260" w:type="dxa"/>
            <w:vAlign w:val="bottom"/>
          </w:tcPr>
          <w:p>
            <w:pPr>
              <w:ind w:left="20"/>
              <w:spacing w:after="0"/>
              <w:rPr>
                <w:sz w:val="20"/>
                <w:szCs w:val="20"/>
                <w:color w:val="auto"/>
              </w:rPr>
            </w:pPr>
            <w:r>
              <w:rPr>
                <w:rFonts w:ascii="Arial" w:cs="Arial" w:eastAsia="Arial" w:hAnsi="Arial"/>
                <w:sz w:val="13"/>
                <w:szCs w:val="13"/>
                <w:color w:val="auto"/>
              </w:rPr>
              <w:t>Earnings (loss) per share from continuing operations attributable to TechnipFMC plc</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r>
      <w:tr>
        <w:trPr>
          <w:trHeight w:val="160"/>
        </w:trPr>
        <w:tc>
          <w:tcPr>
            <w:tcW w:w="8260" w:type="dxa"/>
            <w:vAlign w:val="bottom"/>
          </w:tcPr>
          <w:p>
            <w:pPr>
              <w:ind w:left="220"/>
              <w:spacing w:after="0"/>
              <w:rPr>
                <w:sz w:val="20"/>
                <w:szCs w:val="20"/>
                <w:color w:val="auto"/>
              </w:rPr>
            </w:pPr>
            <w:r>
              <w:rPr>
                <w:rFonts w:ascii="Arial" w:cs="Arial" w:eastAsia="Arial" w:hAnsi="Arial"/>
                <w:sz w:val="13"/>
                <w:szCs w:val="13"/>
                <w:color w:val="auto"/>
              </w:rPr>
              <w:t>Diluted</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0.95</w:t>
            </w:r>
          </w:p>
        </w:tc>
        <w:tc>
          <w:tcPr>
            <w:tcW w:w="100" w:type="dxa"/>
            <w:vAlign w:val="bottom"/>
          </w:tcPr>
          <w:p>
            <w:pPr>
              <w:spacing w:after="0"/>
              <w:rPr>
                <w:sz w:val="13"/>
                <w:szCs w:val="13"/>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(7.23)</w:t>
            </w:r>
          </w:p>
        </w:tc>
      </w:tr>
      <w:tr>
        <w:trPr>
          <w:trHeight w:val="183"/>
        </w:trPr>
        <w:tc>
          <w:tcPr>
            <w:tcW w:w="8260" w:type="dxa"/>
            <w:vAlign w:val="bottom"/>
          </w:tcPr>
          <w:p>
            <w:pPr>
              <w:ind w:left="20"/>
              <w:spacing w:after="0"/>
              <w:rPr>
                <w:sz w:val="20"/>
                <w:szCs w:val="20"/>
                <w:color w:val="auto"/>
              </w:rPr>
            </w:pPr>
            <w:r>
              <w:rPr>
                <w:rFonts w:ascii="Arial" w:cs="Arial" w:eastAsia="Arial" w:hAnsi="Arial"/>
                <w:sz w:val="13"/>
                <w:szCs w:val="13"/>
                <w:color w:val="auto"/>
              </w:rPr>
              <w:t>Earnings (loss) per share from discontinued operations attributable to TechnipFMC plc</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 and diluted</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r>
      <w:tr>
        <w:trPr>
          <w:trHeight w:val="162"/>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earnings (loss) per share attributable to TechnipFMC plc</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Basic</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0.82</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(7.28)</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r>
      <w:tr>
        <w:trPr>
          <w:trHeight w:val="162"/>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shares outstanding (Note 6)</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260" w:type="dxa"/>
            <w:vAlign w:val="bottom"/>
          </w:tcPr>
          <w:p>
            <w:pPr>
              <w:ind w:left="220"/>
              <w:spacing w:after="0"/>
              <w:rPr>
                <w:sz w:val="20"/>
                <w:szCs w:val="20"/>
                <w:color w:val="auto"/>
              </w:rPr>
            </w:pPr>
            <w:r>
              <w:rPr>
                <w:rFonts w:ascii="Arial" w:cs="Arial" w:eastAsia="Arial" w:hAnsi="Arial"/>
                <w:sz w:val="13"/>
                <w:szCs w:val="13"/>
                <w:color w:val="auto"/>
              </w:rPr>
              <w:t>Basic</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447.5</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447.5</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 w:name="page6"/>
    <w:bookmarkEnd w:id="5"/>
    <w:p>
      <w:pPr>
        <w:ind w:left="354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6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TechnipFMC plc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(3,256.1)</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Income from continuing operations attributable to non-controlling interests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 including non-controlling interest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(3,245.7)</w:t>
            </w:r>
          </w:p>
        </w:tc>
      </w:tr>
      <w:tr>
        <w:trPr>
          <w:trHeight w:val="257"/>
        </w:trPr>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189"/>
        </w:trPr>
        <w:tc>
          <w:tcPr>
            <w:tcW w:w="8260" w:type="dxa"/>
            <w:vAlign w:val="bottom"/>
          </w:tcPr>
          <w:p>
            <w:pPr>
              <w:ind w:left="20"/>
              <w:spacing w:after="0" w:line="189" w:lineRule="exact"/>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8"/>
                <w:szCs w:val="18"/>
                <w:color w:val="auto"/>
                <w:vertAlign w:val="superscript"/>
              </w:rPr>
              <w:t>(a)</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(217.9)</w:t>
            </w: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i w:val="1"/>
                <w:iCs w:val="1"/>
                <w:color w:val="auto"/>
              </w:rPr>
              <w:t>Net losses on hedging instruments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losses arising during the period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r>
      <w:tr>
        <w:trPr>
          <w:trHeight w:val="18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Net losses on hedging instruments</w:t>
            </w:r>
            <w:r>
              <w:rPr>
                <w:rFonts w:ascii="Arial" w:cs="Arial" w:eastAsia="Arial" w:hAnsi="Arial"/>
                <w:sz w:val="18"/>
                <w:szCs w:val="18"/>
                <w:b w:val="1"/>
                <w:bCs w:val="1"/>
                <w:color w:val="auto"/>
                <w:vertAlign w:val="superscript"/>
              </w:rPr>
              <w:t>(b)</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Pension and other post-retirement benefits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826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amortization of prior service cost included in net loss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Reclassification adjustment for amortization of net actuarial loss included in net loss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8"/>
                <w:szCs w:val="18"/>
                <w:b w:val="1"/>
                <w:bCs w:val="1"/>
                <w:color w:val="auto"/>
                <w:vertAlign w:val="superscript"/>
              </w:rPr>
              <w:t>(c)</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3"/>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comprehensive income (loss), net of tax</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(3,551.0)</w:t>
            </w:r>
          </w:p>
        </w:tc>
      </w:tr>
      <w:tr>
        <w:trPr>
          <w:trHeight w:val="18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income tax benefit of nil and nil for the three months ended March 31, 2021 and 2020, respectively.</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income tax benefit of $4.9 million and $22.5 million for the three months ended March 31, 2021 and 2020, respectively.</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income tax expense of $(2.1) million and $(0.6) million for the three months ended March 31, 2021 and 2020, respectively.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par value data)</w:t>
            </w:r>
          </w:p>
        </w:tc>
        <w:tc>
          <w:tcPr>
            <w:tcW w:w="24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3"/>
                <w:szCs w:val="13"/>
                <w:color w:val="auto"/>
              </w:rPr>
            </w:pPr>
          </w:p>
        </w:tc>
        <w:tc>
          <w:tcPr>
            <w:tcW w:w="1160" w:type="dxa"/>
            <w:vAlign w:val="bottom"/>
          </w:tcPr>
          <w:p>
            <w:pPr>
              <w:jc w:val="right"/>
              <w:ind w:right="19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848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Assets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752.8</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1,269.2</w:t>
            </w: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 net of allowances of $38.5 in 2021 and $40.2 in 2020</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987.1</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Contract assets, net of allowances of $1.1 in 2021 and $2.4 in 2020</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934.1</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 net (Note 8)</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1,252.8</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Derivative financial instruments (Note 19)</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268.7</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receivable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276.8</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Advances paid to suppliers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assets (Note 9)</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662.9</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Investment in Technip Energies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Current assets of discontinued operations</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5,696.8</w:t>
            </w:r>
          </w:p>
        </w:tc>
        <w:tc>
          <w:tcPr>
            <w:tcW w:w="0" w:type="dxa"/>
            <w:vAlign w:val="bottom"/>
          </w:tcPr>
          <w:p>
            <w:pPr>
              <w:spacing w:after="0"/>
              <w:rPr>
                <w:sz w:val="1"/>
                <w:szCs w:val="1"/>
                <w:color w:val="auto"/>
              </w:rPr>
            </w:pPr>
          </w:p>
        </w:tc>
      </w:tr>
      <w:tr>
        <w:trPr>
          <w:trHeight w:val="161"/>
        </w:trPr>
        <w:tc>
          <w:tcPr>
            <w:tcW w:w="8480" w:type="dxa"/>
            <w:vAlign w:val="bottom"/>
          </w:tcPr>
          <w:p>
            <w:pPr>
              <w:ind w:left="480"/>
              <w:spacing w:after="0"/>
              <w:rPr>
                <w:sz w:val="20"/>
                <w:szCs w:val="20"/>
                <w:color w:val="auto"/>
              </w:rPr>
            </w:pPr>
            <w:r>
              <w:rPr>
                <w:rFonts w:ascii="Arial" w:cs="Arial" w:eastAsia="Arial" w:hAnsi="Arial"/>
                <w:sz w:val="13"/>
                <w:szCs w:val="13"/>
                <w:color w:val="auto"/>
              </w:rPr>
              <w:t>Total current assets</w:t>
            </w: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6,263.2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11,444.7</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Investments in equity affiliates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305.5</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Property, plant and equipment, net of accumulated depreciation of $2,400.6 in 2021 and $2,154.2 in 2020</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2,690.8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2,744.7</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right-of-use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784.9</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Finance lease right-of-use assets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Intangible assets, net of accumulated amortization of $422.8 in 2021 and $493.1 in 2020</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851.3</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19)</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Other assets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161.8</w:t>
            </w:r>
          </w:p>
        </w:tc>
        <w:tc>
          <w:tcPr>
            <w:tcW w:w="0" w:type="dxa"/>
            <w:vAlign w:val="bottom"/>
          </w:tcPr>
          <w:p>
            <w:pPr>
              <w:spacing w:after="0"/>
              <w:rPr>
                <w:sz w:val="1"/>
                <w:szCs w:val="1"/>
                <w:color w:val="auto"/>
              </w:rPr>
            </w:pPr>
          </w:p>
        </w:tc>
      </w:tr>
      <w:tr>
        <w:trPr>
          <w:trHeight w:val="177"/>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Non-current assets of discontinued operations</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3,293.6</w:t>
            </w:r>
          </w:p>
        </w:tc>
        <w:tc>
          <w:tcPr>
            <w:tcW w:w="0" w:type="dxa"/>
            <w:vAlign w:val="bottom"/>
          </w:tcPr>
          <w:p>
            <w:pPr>
              <w:spacing w:after="0"/>
              <w:rPr>
                <w:sz w:val="1"/>
                <w:szCs w:val="1"/>
                <w:color w:val="auto"/>
              </w:rPr>
            </w:pPr>
          </w:p>
        </w:tc>
      </w:tr>
      <w:tr>
        <w:trPr>
          <w:trHeight w:val="175"/>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11,165.5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19,692.6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Liabilities and equity</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Short-term debt and current portion of long-term debt (Note 13)</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624.7</w:t>
            </w:r>
          </w:p>
        </w:tc>
        <w:tc>
          <w:tcPr>
            <w:tcW w:w="0" w:type="dxa"/>
            <w:vAlign w:val="bottom"/>
          </w:tcPr>
          <w:p>
            <w:pPr>
              <w:spacing w:after="0"/>
              <w:rPr>
                <w:sz w:val="1"/>
                <w:szCs w:val="1"/>
                <w:color w:val="auto"/>
              </w:rPr>
            </w:pP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Operating lease liabilities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Finance lease liabilities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Accounts payable, trade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1,247.9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1,195.2</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Contract liabilities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1,045.7</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Accrued payroll</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186.8</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19)</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Income taxes payable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liabilities (Note 9)</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800.1</w:t>
            </w:r>
          </w:p>
        </w:tc>
        <w:tc>
          <w:tcPr>
            <w:tcW w:w="0" w:type="dxa"/>
            <w:vAlign w:val="bottom"/>
          </w:tcPr>
          <w:p>
            <w:pPr>
              <w:spacing w:after="0"/>
              <w:rPr>
                <w:sz w:val="1"/>
                <w:szCs w:val="1"/>
                <w:color w:val="auto"/>
              </w:rPr>
            </w:pPr>
          </w:p>
        </w:tc>
      </w:tr>
      <w:tr>
        <w:trPr>
          <w:trHeight w:val="169"/>
        </w:trPr>
        <w:tc>
          <w:tcPr>
            <w:tcW w:w="8480" w:type="dxa"/>
            <w:vAlign w:val="bottom"/>
          </w:tcPr>
          <w:p>
            <w:pPr>
              <w:ind w:left="220"/>
              <w:spacing w:after="0"/>
              <w:rPr>
                <w:sz w:val="20"/>
                <w:szCs w:val="20"/>
                <w:color w:val="auto"/>
              </w:rPr>
            </w:pPr>
            <w:r>
              <w:rPr>
                <w:rFonts w:ascii="Arial" w:cs="Arial" w:eastAsia="Arial" w:hAnsi="Arial"/>
                <w:sz w:val="13"/>
                <w:szCs w:val="13"/>
                <w:color w:val="auto"/>
              </w:rPr>
              <w:t>Current liabilities of discontinued operations</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6,121.3</w:t>
            </w:r>
          </w:p>
        </w:tc>
        <w:tc>
          <w:tcPr>
            <w:tcW w:w="0" w:type="dxa"/>
            <w:vAlign w:val="bottom"/>
          </w:tcPr>
          <w:p>
            <w:pPr>
              <w:spacing w:after="0"/>
              <w:rPr>
                <w:sz w:val="1"/>
                <w:szCs w:val="1"/>
                <w:color w:val="auto"/>
              </w:rPr>
            </w:pPr>
          </w:p>
        </w:tc>
      </w:tr>
      <w:tr>
        <w:trPr>
          <w:trHeight w:val="175"/>
        </w:trPr>
        <w:tc>
          <w:tcPr>
            <w:tcW w:w="84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3,871.3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10,415.2</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Long-term debt, less current portion (Note 13)</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2,434.3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2,835.5</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 less current portion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632.8</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79.3</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pension and other post-retirement benefits, less current portion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Derivative financial instruments (Note 19)</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liabilities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0" w:type="dxa"/>
            <w:vAlign w:val="bottom"/>
          </w:tcPr>
          <w:p>
            <w:pPr>
              <w:spacing w:after="0"/>
              <w:rPr>
                <w:sz w:val="1"/>
                <w:szCs w:val="1"/>
                <w:color w:val="auto"/>
              </w:rPr>
            </w:pPr>
          </w:p>
        </w:tc>
      </w:tr>
      <w:tr>
        <w:trPr>
          <w:trHeight w:val="169"/>
        </w:trPr>
        <w:tc>
          <w:tcPr>
            <w:tcW w:w="8480" w:type="dxa"/>
            <w:vAlign w:val="bottom"/>
          </w:tcPr>
          <w:p>
            <w:pPr>
              <w:ind w:left="220"/>
              <w:spacing w:after="0"/>
              <w:rPr>
                <w:sz w:val="20"/>
                <w:szCs w:val="20"/>
                <w:color w:val="auto"/>
              </w:rPr>
            </w:pPr>
            <w:r>
              <w:rPr>
                <w:rFonts w:ascii="Arial" w:cs="Arial" w:eastAsia="Arial" w:hAnsi="Arial"/>
                <w:sz w:val="13"/>
                <w:szCs w:val="13"/>
                <w:color w:val="auto"/>
              </w:rPr>
              <w:t>Non-current liabilities of discontinued operations</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1,081.3</w:t>
            </w:r>
          </w:p>
        </w:tc>
        <w:tc>
          <w:tcPr>
            <w:tcW w:w="0" w:type="dxa"/>
            <w:vAlign w:val="bottom"/>
          </w:tcPr>
          <w:p>
            <w:pPr>
              <w:spacing w:after="0"/>
              <w:rPr>
                <w:sz w:val="1"/>
                <w:szCs w:val="1"/>
                <w:color w:val="auto"/>
              </w:rPr>
            </w:pPr>
          </w:p>
        </w:tc>
      </w:tr>
      <w:tr>
        <w:trPr>
          <w:trHeight w:val="175"/>
        </w:trPr>
        <w:tc>
          <w:tcPr>
            <w:tcW w:w="84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Total liabilities</w:t>
            </w: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7,425.4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15,434.6</w:t>
            </w:r>
          </w:p>
        </w:tc>
        <w:tc>
          <w:tcPr>
            <w:tcW w:w="0" w:type="dxa"/>
            <w:vAlign w:val="bottom"/>
          </w:tcPr>
          <w:p>
            <w:pPr>
              <w:spacing w:after="0"/>
              <w:rPr>
                <w:sz w:val="1"/>
                <w:szCs w:val="1"/>
                <w:color w:val="auto"/>
              </w:rPr>
            </w:pP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Commitments and contingent liabilities (Note 17)</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Mezzanine equity</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Redeemable non-controlling interest</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 (Note 14)</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80" w:type="dxa"/>
            <w:vAlign w:val="bottom"/>
          </w:tcPr>
          <w:p>
            <w:pPr>
              <w:ind w:left="220"/>
              <w:spacing w:after="0" w:line="129" w:lineRule="exact"/>
              <w:rPr>
                <w:sz w:val="20"/>
                <w:szCs w:val="20"/>
                <w:color w:val="auto"/>
              </w:rPr>
            </w:pPr>
            <w:r>
              <w:rPr>
                <w:rFonts w:ascii="Arial" w:cs="Arial" w:eastAsia="Arial" w:hAnsi="Arial"/>
                <w:sz w:val="13"/>
                <w:szCs w:val="13"/>
                <w:color w:val="auto"/>
                <w:w w:val="98"/>
              </w:rPr>
              <w:t>Ordinary shares, $1.00 par value; 618.3 shares authorized in 2021 and 2020; 449.8 shares and 449.5 shares issued and outstanding in 2021 and</w:t>
            </w: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449.8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449.5</w:t>
            </w:r>
          </w:p>
        </w:tc>
        <w:tc>
          <w:tcPr>
            <w:tcW w:w="0" w:type="dxa"/>
            <w:vAlign w:val="bottom"/>
          </w:tcPr>
          <w:p>
            <w:pPr>
              <w:spacing w:after="0"/>
              <w:rPr>
                <w:sz w:val="1"/>
                <w:szCs w:val="1"/>
                <w:color w:val="auto"/>
              </w:rPr>
            </w:pPr>
          </w:p>
        </w:tc>
      </w:tr>
      <w:tr>
        <w:trPr>
          <w:trHeight w:val="160"/>
        </w:trPr>
        <w:tc>
          <w:tcPr>
            <w:tcW w:w="8480" w:type="dxa"/>
            <w:vAlign w:val="bottom"/>
          </w:tcPr>
          <w:p>
            <w:pPr>
              <w:ind w:left="220"/>
              <w:spacing w:after="0"/>
              <w:rPr>
                <w:sz w:val="20"/>
                <w:szCs w:val="20"/>
                <w:color w:val="auto"/>
              </w:rPr>
            </w:pPr>
            <w:r>
              <w:rPr>
                <w:rFonts w:ascii="Arial" w:cs="Arial" w:eastAsia="Arial" w:hAnsi="Arial"/>
                <w:sz w:val="13"/>
                <w:szCs w:val="13"/>
                <w:color w:val="auto"/>
              </w:rPr>
              <w:t>2020, respectively</w:t>
            </w: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in excess of par value of ordinary shares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10,242.4</w:t>
            </w:r>
          </w:p>
        </w:tc>
        <w:tc>
          <w:tcPr>
            <w:tcW w:w="0" w:type="dxa"/>
            <w:vAlign w:val="bottom"/>
          </w:tcPr>
          <w:p>
            <w:pPr>
              <w:spacing w:after="0"/>
              <w:rPr>
                <w:sz w:val="1"/>
                <w:szCs w:val="1"/>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(4,547.0)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(4,915.2)</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(1,400.8)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0" w:type="dxa"/>
            <w:vAlign w:val="bottom"/>
          </w:tcPr>
          <w:p>
            <w:pPr>
              <w:spacing w:after="0"/>
              <w:rPr>
                <w:sz w:val="1"/>
                <w:szCs w:val="1"/>
                <w:color w:val="auto"/>
              </w:rPr>
            </w:pPr>
          </w:p>
        </w:tc>
      </w:tr>
      <w:tr>
        <w:trPr>
          <w:trHeight w:val="161"/>
        </w:trPr>
        <w:tc>
          <w:tcPr>
            <w:tcW w:w="8480" w:type="dxa"/>
            <w:vAlign w:val="bottom"/>
          </w:tcPr>
          <w:p>
            <w:pPr>
              <w:ind w:left="480"/>
              <w:spacing w:after="0"/>
              <w:rPr>
                <w:sz w:val="20"/>
                <w:szCs w:val="20"/>
                <w:color w:val="auto"/>
              </w:rPr>
            </w:pPr>
            <w:r>
              <w:rPr>
                <w:rFonts w:ascii="Arial" w:cs="Arial" w:eastAsia="Arial" w:hAnsi="Arial"/>
                <w:sz w:val="13"/>
                <w:szCs w:val="13"/>
                <w:color w:val="auto"/>
              </w:rPr>
              <w:t>Total TechnipFMC plc stockholders’ equity</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3,654.1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4,154.2</w:t>
            </w: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Non-controlling interests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69"/>
        </w:trPr>
        <w:tc>
          <w:tcPr>
            <w:tcW w:w="8480" w:type="dxa"/>
            <w:vAlign w:val="bottom"/>
          </w:tcPr>
          <w:p>
            <w:pPr>
              <w:ind w:left="220"/>
              <w:spacing w:after="0"/>
              <w:rPr>
                <w:sz w:val="20"/>
                <w:szCs w:val="20"/>
                <w:color w:val="auto"/>
              </w:rPr>
            </w:pPr>
            <w:r>
              <w:rPr>
                <w:rFonts w:ascii="Arial" w:cs="Arial" w:eastAsia="Arial" w:hAnsi="Arial"/>
                <w:sz w:val="13"/>
                <w:szCs w:val="13"/>
                <w:color w:val="auto"/>
              </w:rPr>
              <w:t>Non-controlling interests of discontinued operations</w:t>
            </w:r>
          </w:p>
        </w:tc>
        <w:tc>
          <w:tcPr>
            <w:tcW w:w="2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69"/>
        </w:trPr>
        <w:tc>
          <w:tcPr>
            <w:tcW w:w="84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Total equity</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3,695.5</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4,214.3</w:t>
            </w:r>
          </w:p>
        </w:tc>
        <w:tc>
          <w:tcPr>
            <w:tcW w:w="0" w:type="dxa"/>
            <w:vAlign w:val="bottom"/>
          </w:tcPr>
          <w:p>
            <w:pPr>
              <w:spacing w:after="0"/>
              <w:rPr>
                <w:sz w:val="1"/>
                <w:szCs w:val="1"/>
                <w:color w:val="auto"/>
              </w:rPr>
            </w:pPr>
          </w:p>
        </w:tc>
      </w:tr>
      <w:tr>
        <w:trPr>
          <w:trHeight w:val="175"/>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11,165.5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19,692.6</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4"/>
          </w:tcPr>
          <w:p>
            <w:pPr>
              <w:jc w:val="right"/>
              <w:ind w:right="526"/>
              <w:spacing w:after="0"/>
              <w:rPr>
                <w:sz w:val="20"/>
                <w:szCs w:val="20"/>
                <w:color w:val="auto"/>
              </w:rPr>
            </w:pPr>
            <w:r>
              <w:rPr>
                <w:rFonts w:ascii="Arial" w:cs="Arial" w:eastAsia="Arial" w:hAnsi="Arial"/>
                <w:sz w:val="11"/>
                <w:szCs w:val="11"/>
                <w:b w:val="1"/>
                <w:bCs w:val="1"/>
                <w:color w:val="auto"/>
              </w:rPr>
              <w:t>Three Months Ended March 31,</w:t>
            </w:r>
          </w:p>
        </w:tc>
      </w:tr>
      <w:tr>
        <w:trPr>
          <w:trHeight w:val="203"/>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7"/>
                <w:szCs w:val="17"/>
                <w:color w:val="auto"/>
              </w:rPr>
            </w:pPr>
          </w:p>
        </w:tc>
        <w:tc>
          <w:tcPr>
            <w:tcW w:w="1000" w:type="dxa"/>
            <w:vAlign w:val="bottom"/>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2020</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848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i w:val="1"/>
                <w:iCs w:val="1"/>
                <w:color w:val="auto"/>
              </w:rPr>
              <w:t>Cash provided (required) by operating activities</w:t>
            </w: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432.1</w:t>
            </w:r>
          </w:p>
        </w:tc>
        <w:tc>
          <w:tcPr>
            <w:tcW w:w="12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(3,227.9)</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Adjustments to reconcile income (loss) from continuing operations to cash provided (required) by operating activities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Depreciation</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78.4</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Amortization</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25.5</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Impairments</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3,188.0</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Employee benefit plan and share-based compensation costs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16.3</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Deferred income tax benefit, net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(58.7)</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Income from investment in Technip Energies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(470.1)</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Unrealized loss on derivative instruments and foreign exchange</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92.6</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Income from equity affiliates, net of dividends received</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Loss on early extinguishment of debt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w:t>
            </w: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i w:val="1"/>
                <w:iCs w:val="1"/>
                <w:color w:val="auto"/>
              </w:rPr>
              <w:t>Changes in operating assets and liabilities, net of effects of acquisitions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Trade receivables, net and contract assets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(165.6)</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38.3</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Inventories, net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66.0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(29.1)</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Accounts payable, trade</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84.8</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(56.9)</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Contract liabilities</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(132.9)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50.3</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Income taxes payable (receivable), net</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165.3</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43.4</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Other current assets and liabilities, net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(676.7)</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 noncurrent assets and liabilities, net</w:t>
            </w: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103.9</w:t>
            </w:r>
          </w:p>
        </w:tc>
      </w:tr>
      <w:tr>
        <w:trPr>
          <w:trHeight w:val="133"/>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Cash provided (required) by operating activities from continuing operations</w:t>
            </w: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181.5</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(439.8)</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by operating activities from discontinued operations</w:t>
            </w: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66.3</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467.7</w:t>
            </w:r>
          </w:p>
        </w:tc>
      </w:tr>
      <w:tr>
        <w:trPr>
          <w:trHeight w:val="133"/>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Cash provided by operating activities</w:t>
            </w: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247.8</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27.9</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8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i w:val="1"/>
                <w:iCs w:val="1"/>
                <w:color w:val="auto"/>
              </w:rPr>
              <w:t>Cash provided (required) by investing activities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Capital expenditures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(44.2)</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(75.5)</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Proceeds from sale of debt securities</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Cash received from divestiture</w:t>
            </w:r>
          </w:p>
        </w:tc>
        <w:tc>
          <w:tcPr>
            <w:tcW w:w="3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Proceeds from sale of assets</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7.1</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Proceed from sale of investment in Technip Energies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Advances from BPI</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Proceeds from repayment of advances to joint venture</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Other</w:t>
            </w:r>
          </w:p>
        </w:tc>
        <w:tc>
          <w:tcPr>
            <w:tcW w:w="3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1.9</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(required) by investing activities from continuing operations</w:t>
            </w:r>
          </w:p>
        </w:tc>
        <w:tc>
          <w:tcPr>
            <w:tcW w:w="3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196.9</w:t>
            </w: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(64.0)</w:t>
            </w:r>
          </w:p>
        </w:tc>
      </w:tr>
      <w:tr>
        <w:trPr>
          <w:trHeight w:val="142"/>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Cash required by investing activities from discontinued operations</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(required) by investing activities</w:t>
            </w:r>
          </w:p>
        </w:tc>
        <w:tc>
          <w:tcPr>
            <w:tcW w:w="3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192.4</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(73.5)</w:t>
            </w:r>
          </w:p>
        </w:tc>
      </w:tr>
      <w:tr>
        <w:trPr>
          <w:trHeight w:val="142"/>
        </w:trPr>
        <w:tc>
          <w:tcPr>
            <w:tcW w:w="8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14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Cash provided (required) by financing activities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Net increase in short-term debt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73.6</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Net decrease in commercial paper</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(953.1)</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(309.2)</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Proceeds from revolving credit facility</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500.0</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Proceeds from issuance of long-term debt</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Repayments of long-term debt</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(1,065.8)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Payments for debt issuance costs</w:t>
            </w: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(53.5)</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Payments related to taxes withheld on share-based compensation</w:t>
            </w:r>
          </w:p>
        </w:tc>
        <w:tc>
          <w:tcPr>
            <w:tcW w:w="3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Cash paid for finance leases</w:t>
            </w: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Cash provided (required) by financing activities from continuing operations</w:t>
            </w: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(866.6)</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261.2</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(required) by financing activities from discontinued operations</w:t>
            </w: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(79.1)</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(458.2)</w:t>
            </w:r>
          </w:p>
        </w:tc>
      </w:tr>
      <w:tr>
        <w:trPr>
          <w:trHeight w:val="133"/>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Cash required by financing activities</w:t>
            </w: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(945.7)</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(197.0)</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5"/>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Effect of changes in foreign exchange rates on cash and cash equivalents</w:t>
            </w:r>
          </w:p>
        </w:tc>
        <w:tc>
          <w:tcPr>
            <w:tcW w:w="3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w:t>
            </w: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Decrease in cash and cash equivalents</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(516.4)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(252.3)</w:t>
            </w:r>
          </w:p>
        </w:tc>
      </w:tr>
      <w:tr>
        <w:trPr>
          <w:trHeight w:val="22"/>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beginning of period</w:t>
            </w: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1,269.2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1,188.0</w:t>
            </w:r>
          </w:p>
        </w:tc>
      </w:tr>
      <w:tr>
        <w:trPr>
          <w:trHeight w:val="156"/>
        </w:trPr>
        <w:tc>
          <w:tcPr>
            <w:tcW w:w="8480" w:type="dxa"/>
            <w:vAlign w:val="bottom"/>
          </w:tcPr>
          <w:p>
            <w:pPr>
              <w:ind w:left="20"/>
              <w:spacing w:after="0"/>
              <w:rPr>
                <w:sz w:val="20"/>
                <w:szCs w:val="20"/>
                <w:color w:val="auto"/>
              </w:rPr>
            </w:pPr>
            <w:r>
              <w:rPr>
                <w:rFonts w:ascii="Arial" w:cs="Arial" w:eastAsia="Arial" w:hAnsi="Arial"/>
                <w:sz w:val="11"/>
                <w:szCs w:val="11"/>
                <w:color w:val="auto"/>
              </w:rPr>
              <w:t>Cash and cash equivalents, end of period</w:t>
            </w: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752.8</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935.7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8" w:name="page9"/>
    <w:bookmarkEnd w:id="8"/>
    <w:p>
      <w:pPr>
        <w:jc w:val="center"/>
        <w:ind w:left="340" w:right="1160"/>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MARCH 31, 2021 and 2020</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Capital in</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Other</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Ordinary</w:t>
            </w:r>
          </w:p>
        </w:tc>
        <w:tc>
          <w:tcPr>
            <w:tcW w:w="1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Excess of Par</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Accumulated</w:t>
            </w: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Non-controlling</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60" w:type="dxa"/>
            <w:vAlign w:val="bottom"/>
            <w:gridSpan w:val="2"/>
            <w:vMerge w:val="continue"/>
          </w:tcPr>
          <w:p>
            <w:pPr>
              <w:spacing w:after="0"/>
              <w:rPr>
                <w:sz w:val="10"/>
                <w:szCs w:val="10"/>
                <w:color w:val="auto"/>
              </w:rPr>
            </w:pPr>
          </w:p>
        </w:tc>
        <w:tc>
          <w:tcPr>
            <w:tcW w:w="1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Value of</w:t>
            </w:r>
          </w:p>
        </w:tc>
        <w:tc>
          <w:tcPr>
            <w:tcW w:w="1340" w:type="dxa"/>
            <w:vAlign w:val="bottom"/>
            <w:gridSpan w:val="2"/>
            <w:vMerge w:val="continue"/>
          </w:tcPr>
          <w:p>
            <w:pPr>
              <w:spacing w:after="0"/>
              <w:rPr>
                <w:sz w:val="10"/>
                <w:szCs w:val="10"/>
                <w:color w:val="auto"/>
              </w:rPr>
            </w:pPr>
          </w:p>
        </w:tc>
        <w:tc>
          <w:tcPr>
            <w:tcW w:w="15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Income</w:t>
            </w:r>
          </w:p>
        </w:tc>
        <w:tc>
          <w:tcPr>
            <w:tcW w:w="1100" w:type="dxa"/>
            <w:vAlign w:val="bottom"/>
            <w:gridSpan w:val="2"/>
            <w:vMerge w:val="continue"/>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Ordinary Shares</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Deficit</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(Loss)</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Adoption of accounting standards (Note 3)</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(3,256.1)</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(3,245.7)</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(294.2)</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(305.3)</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Cash dividends declared ($0.13 per share)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Other</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1"/>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4,214.3</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368.2</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371.9</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Issuance of ordinary shares</w:t>
            </w:r>
          </w:p>
        </w:tc>
        <w:tc>
          <w:tcPr>
            <w:tcW w:w="96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Spin-off of Technip Energies (Note 2)</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(1,093.7)</w:t>
            </w: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258.7</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(854.9)</w:t>
            </w: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449.8</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9,152.1</w:t>
            </w: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(4,547.0)</w:t>
            </w:r>
          </w:p>
        </w:tc>
        <w:tc>
          <w:tcPr>
            <w:tcW w:w="10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(1,400.8)</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3,695.5</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the “Company,” “we,” “us,” or “our”)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2020.</w:t>
      </w:r>
    </w:p>
    <w:p>
      <w:pPr>
        <w:spacing w:after="0" w:line="154"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27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February 16, 2021, we completed our separation into two independent publicly traded companies: TechnipFMC, a fully integrated technology and service provider, and Technip Energies, a leading engineering and technology player (“Technip Energies”). The transaction was structured as a spin-off (the “Spin-off”), which occurred by way of a pro rata dividend (the “Distribution”) to our shareholders of 50.1 percent of the outstanding shares in Technip Energies N.V. Each of our shareholders received one ordinary share of Technip Energies N.V. for every five ordinary shares of TechnipFMC held at 5:00 p.m., Eastern Standard time on the record date, February 17, 2021. Technip Energies N.V. is now an independent public company and its shares trade under the ticker symbol “TE” on the Euronext Paris Stock Exchange.</w:t>
      </w:r>
    </w:p>
    <w:p>
      <w:pPr>
        <w:spacing w:after="0" w:line="14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Spin-off, TechnipFMC and Technip Energies entered into a separation and distribution agreement, as well as various other agreements, including among others a tax matters agreement, an employee matters agreement and a transition services agreement and certain agreements relating to intellectual property. These agreements provide for the allocation between TechnipFMC and Technip Energies of assets, employees, liabilities and obligations attributable to periods prior to, at and after the Spin-off.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Spin-off represented a strategic shift that will have a major impact to our operations and consolidated financial statements, accordingly Technip Energies has been presented as discontinued operations in the consolidated statements of income, consolidated balance sheets and the consolidated statements of cash flows. Therefore, the results of Technip Energies were presented as discontinued operations for the three months ended March 31, 2021 and 2020 including the historical results of Technip Energies prior to the Distribution on February 16, 2021. Our condensed consolidated balance sheets, condensed consolidated statements of income, condensed consolidated statements of cash flows and notes to the condensed consolidated financial statements have been updated to reflect continuing operations only.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income from discontinued operations,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1,547.7</w:t>
            </w:r>
          </w:p>
        </w:tc>
      </w:tr>
      <w:tr>
        <w:trPr>
          <w:trHeight w:val="189"/>
        </w:trPr>
        <w:tc>
          <w:tcPr>
            <w:tcW w:w="8260" w:type="dxa"/>
            <w:vAlign w:val="bottom"/>
          </w:tcPr>
          <w:p>
            <w:pPr>
              <w:ind w:left="220"/>
              <w:spacing w:after="0"/>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889.3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1,442.4</w:t>
            </w: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and interest expense, net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Income (loss) from discontinued operations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discontinued operations, net of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of discontinued operations are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6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3,538.6</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receivables, net of allowances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1,302.7</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Contract assets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333.5</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r>
      <w:tr>
        <w:trPr>
          <w:trHeight w:val="183"/>
        </w:trPr>
        <w:tc>
          <w:tcPr>
            <w:tcW w:w="9800" w:type="dxa"/>
            <w:vAlign w:val="bottom"/>
          </w:tcPr>
          <w:p>
            <w:pPr>
              <w:ind w:left="240"/>
              <w:spacing w:after="0"/>
              <w:rPr>
                <w:sz w:val="20"/>
                <w:szCs w:val="20"/>
                <w:color w:val="auto"/>
              </w:rPr>
            </w:pPr>
            <w:r>
              <w:rPr>
                <w:rFonts w:ascii="Arial" w:cs="Arial" w:eastAsia="Arial" w:hAnsi="Arial"/>
                <w:sz w:val="14"/>
                <w:szCs w:val="14"/>
                <w:color w:val="auto"/>
              </w:rPr>
              <w:t>Total current assets of discontinued operations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5,696.8</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 of accumulated depreciation</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2,512.5</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664.0</w:t>
            </w:r>
          </w:p>
        </w:tc>
      </w:tr>
      <w:tr>
        <w:trPr>
          <w:trHeight w:val="18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non-current assets of discontinued operations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3,293.6</w:t>
            </w:r>
          </w:p>
        </w:tc>
      </w:tr>
      <w:tr>
        <w:trPr>
          <w:trHeight w:val="20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8,990.4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Accounts payable, trade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1,545.1</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3,690.4</w:t>
            </w:r>
          </w:p>
        </w:tc>
      </w:tr>
      <w:tr>
        <w:trPr>
          <w:trHeight w:val="18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885.8</w:t>
            </w:r>
          </w:p>
        </w:tc>
      </w:tr>
      <w:tr>
        <w:trPr>
          <w:trHeight w:val="183"/>
        </w:trPr>
        <w:tc>
          <w:tcPr>
            <w:tcW w:w="9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current liabilities of discontinued operations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6,121.3</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482.2</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r>
      <w:tr>
        <w:trPr>
          <w:trHeight w:val="18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350.9</w:t>
            </w:r>
          </w:p>
        </w:tc>
      </w:tr>
      <w:tr>
        <w:trPr>
          <w:trHeight w:val="183"/>
        </w:trPr>
        <w:tc>
          <w:tcPr>
            <w:tcW w:w="9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non-current liabilities of discontinued operations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1,081.3</w:t>
            </w:r>
          </w:p>
        </w:tc>
      </w:tr>
      <w:tr>
        <w:trPr>
          <w:trHeight w:val="183"/>
        </w:trPr>
        <w:tc>
          <w:tcPr>
            <w:tcW w:w="9800" w:type="dxa"/>
            <w:vAlign w:val="bottom"/>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7,202.6</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February 16, 2021, all assets and liabilities of Technip Energies were spun-off, therefore, as of March 31, 2021, there were no assets and liabilities classified as discontinued operations.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We adopted this amendment as of January 1, 2021, which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1" w:name="page12"/>
    <w:bookmarkEnd w:id="11"/>
    <w:p>
      <w:pPr>
        <w:ind w:right="2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generally accepted accounting principles (GAAP) for which cost and complexity can be reduced while maintaining or improving the usefulness of the information provided to users of financial statements. We adopted this amendment as of January 1, 2021, which did not have a material impact on our condensed consolidated financial statements.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 “Investments—Equity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(Topic 323),” </w:t>
      </w:r>
      <w:r>
        <w:rPr>
          <w:rFonts w:ascii="Arial" w:cs="Arial" w:eastAsia="Arial" w:hAnsi="Arial"/>
          <w:sz w:val="18"/>
          <w:szCs w:val="18"/>
          <w:color w:val="auto"/>
        </w:rPr>
        <w:t>and</w:t>
      </w:r>
      <w:r>
        <w:rPr>
          <w:rFonts w:ascii="Arial" w:cs="Arial" w:eastAsia="Arial" w:hAnsi="Arial"/>
          <w:sz w:val="18"/>
          <w:szCs w:val="18"/>
          <w:i w:val="1"/>
          <w:iCs w:val="1"/>
          <w:color w:val="auto"/>
        </w:rPr>
        <w:t xml:space="preserve"> “Derivatives and Hedging (Topic 815)—Clarifying the Interactions between Topic 321, Topic 323, and Topic 815,”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forward contracts and purchased options, a company should not consider whether underlying securities would be accounted for under the equity method or fair value option upon settlement or exercise. We adopted this amendment as of January 1, 2021, which did not have a material impact on our condensed consolidated financial statements.</w:t>
      </w:r>
    </w:p>
    <w:p>
      <w:pPr>
        <w:spacing w:after="0" w:line="13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The amendments in this update improve consistency by amending the accounting standards codification (the “Codification”) to include all disclosure guidance in the appropriate sections and clarify the application of various provisions in the Codification by amending and adding new headings, cross referencing to other guidance, and refining or correcting terminology. We adopted this update at January 1, 2021, which did not have a material impact on our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In addition, in January 2021, FASB issued ASU No. 2021-01,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which clarifies the scope of Topic 848</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in these updates apply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We are currently evaluating the impact of this ASU on our condensed consolidated financial statements.</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2020, the FASB issued ASU No. 2020-06,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 Contracts in Entity’s Own Equity (Subtopic 815 – 40)</w:t>
      </w:r>
      <w:r>
        <w:rPr>
          <w:rFonts w:ascii="Arial" w:cs="Arial" w:eastAsia="Arial" w:hAnsi="Arial"/>
          <w:sz w:val="18"/>
          <w:szCs w:val="18"/>
          <w:color w:val="auto"/>
        </w:rPr>
        <w:t>”. This update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in an entity’s own equity. The amendments in this update are effective for fiscal years beginning after December 15, 2021, and interim periods within those fiscal years, with early adoption permitted no earlier than fiscal years beginning after December 15, 2020. We do not anticipate the adoption of this update to have a material impact on our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are disaggregated by geographic location and contract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280"/>
        <w:spacing w:after="0" w:line="261" w:lineRule="auto"/>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months ended March 31,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Americas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1,233.6</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by contract type for each reportable segment for the three months ended March 31, 2021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241.9</w:t>
            </w:r>
          </w:p>
        </w:tc>
        <w:tc>
          <w:tcPr>
            <w:tcW w:w="0" w:type="dxa"/>
            <w:vAlign w:val="bottom"/>
          </w:tcPr>
          <w:p>
            <w:pPr>
              <w:spacing w:after="0"/>
              <w:rPr>
                <w:sz w:val="1"/>
                <w:szCs w:val="1"/>
                <w:color w:val="auto"/>
              </w:rPr>
            </w:pPr>
          </w:p>
        </w:tc>
      </w:tr>
      <w:tr>
        <w:trPr>
          <w:trHeight w:val="18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condensed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March 31, 2021 and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4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assets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2020 to March 31, 2021 was primarily due to the timing of project milestones.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decrease in our contract liabilities was primarily due to completion of performance obligations for contracts, for which consideration was received in advance of the work performed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ind w:right="20"/>
        <w:spacing w:after="0" w:line="253"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Any subsequent revenue we recognize increases contract asset balance. Revenue recognized for the three months ended March 31, 2021 that was included in the contract liabilities balance at December 31, 2020 was $128.4 million. Revenue recognized for the three months ended March 31, 2020 that was included in the contract liabilities balance at December 31, 2019 was $143.4 million.</w:t>
      </w:r>
    </w:p>
    <w:p>
      <w:pPr>
        <w:spacing w:after="0" w:line="15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For the three months ended March 31, 2021 and 2020, we recognized $(5.3) million and $(11.8) million, respectively, related to the unfavorable changes in estimates of contract revenue.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The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March 31, 2021, the aggregate amount of the transaction price allocated to order backlog was $7,221.4 million. We expect to recognize revenue on approximately 44.7% of the order backlog through 2021 and 55.3%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1,368.9</w:t>
            </w:r>
          </w:p>
        </w:tc>
      </w:tr>
      <w:tr>
        <w:trPr>
          <w:trHeight w:val="18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r>
      <w:tr>
        <w:trPr>
          <w:trHeight w:val="20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3,228.5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1,370.8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 Subsequent to the Spin-off, we now operate under two reporting segments: Subsea and Surface Technologies:</w:t>
      </w:r>
    </w:p>
    <w:p>
      <w:pPr>
        <w:spacing w:after="0" w:line="132" w:lineRule="exact"/>
        <w:rPr>
          <w:sz w:val="20"/>
          <w:szCs w:val="20"/>
          <w:color w:val="auto"/>
        </w:rPr>
      </w:pPr>
    </w:p>
    <w:p>
      <w:pPr>
        <w:ind w:left="340" w:right="260" w:hanging="332"/>
        <w:spacing w:after="0" w:line="266"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and provides services used by oil and gas companies involved in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deep water exploration and production of crude oil and natural gas, while developing renewable alternatives to serve new energy industries.</w:t>
      </w:r>
    </w:p>
    <w:p>
      <w:pPr>
        <w:spacing w:after="0" w:line="121" w:lineRule="exact"/>
        <w:rPr>
          <w:rFonts w:ascii="Arial" w:cs="Arial" w:eastAsia="Arial" w:hAnsi="Arial"/>
          <w:sz w:val="18"/>
          <w:szCs w:val="18"/>
          <w:color w:val="auto"/>
        </w:rPr>
      </w:pPr>
    </w:p>
    <w:p>
      <w:pPr>
        <w:ind w:left="340" w:right="80" w:hanging="332"/>
        <w:spacing w:after="0" w:line="289" w:lineRule="auto"/>
        <w:tabs>
          <w:tab w:leader="none" w:pos="33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foreign exchange gains (losses), income from investment in Technip Energies, net interest income (expense) associated with corporate debt facilities and income taxes.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Segment revenue and segment operating profit (loss)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1,386.5</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1,253.1</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r>
      <w:tr>
        <w:trPr>
          <w:trHeight w:val="183"/>
        </w:trPr>
        <w:tc>
          <w:tcPr>
            <w:tcW w:w="8260" w:type="dxa"/>
            <w:vAlign w:val="bottom"/>
          </w:tcPr>
          <w:p>
            <w:pPr>
              <w:ind w:left="36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1,632.0</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1,582.6</w:t>
            </w: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(2,750.7)</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(424.0)</w:t>
            </w:r>
          </w:p>
        </w:tc>
      </w:tr>
      <w:tr>
        <w:trPr>
          <w:trHeight w:val="183"/>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segment operating profit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(3,174.7)</w:t>
            </w: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8260" w:type="dxa"/>
            <w:vAlign w:val="bottom"/>
          </w:tcPr>
          <w:p>
            <w:pPr>
              <w:ind w:left="20"/>
              <w:spacing w:after="0" w:line="189" w:lineRule="exact"/>
              <w:rPr>
                <w:sz w:val="20"/>
                <w:szCs w:val="20"/>
                <w:color w:val="auto"/>
              </w:rPr>
            </w:pPr>
            <w:r>
              <w:rPr>
                <w:rFonts w:ascii="Arial" w:cs="Arial" w:eastAsia="Arial" w:hAnsi="Arial"/>
                <w:sz w:val="14"/>
                <w:szCs w:val="14"/>
                <w:color w:val="auto"/>
              </w:rPr>
              <w:t>Corporate expense</w:t>
            </w:r>
            <w:r>
              <w:rPr>
                <w:rFonts w:ascii="Arial" w:cs="Arial" w:eastAsia="Arial" w:hAnsi="Arial"/>
                <w:sz w:val="18"/>
                <w:szCs w:val="18"/>
                <w:color w:val="auto"/>
                <w:vertAlign w:val="superscript"/>
              </w:rPr>
              <w:t>(a)</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investment in Technip Energies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gains (losses)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r>
      <w:tr>
        <w:trPr>
          <w:trHeight w:val="183"/>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corporate items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r>
      <w:tr>
        <w:trPr>
          <w:trHeight w:val="183"/>
        </w:trPr>
        <w:tc>
          <w:tcPr>
            <w:tcW w:w="8260" w:type="dxa"/>
            <w:vAlign w:val="bottom"/>
          </w:tcPr>
          <w:p>
            <w:pPr>
              <w:ind w:left="680"/>
              <w:spacing w:after="0" w:line="182" w:lineRule="exact"/>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8"/>
                <w:szCs w:val="18"/>
                <w:b w:val="1"/>
                <w:bCs w:val="1"/>
                <w:color w:val="auto"/>
                <w:vertAlign w:val="superscript"/>
              </w:rPr>
              <w:t>(b)</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(3,251.1)</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200" w:hanging="332"/>
        <w:spacing w:after="0" w:line="258"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impairment, restructuring and other expense, and other employee benefits.</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(loss) per share calculation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attributable to TechnipFMC plc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(3,234.8)</w:t>
            </w:r>
          </w:p>
        </w:tc>
      </w:tr>
      <w:tr>
        <w:trPr>
          <w:trHeight w:val="18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attributable to TechnipFMC plc</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183"/>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TechnipFMC plc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 average number of shares outstanding</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Dilutive effect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shares and dilutive securities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449.7</w:t>
      </w:r>
    </w:p>
    <w:p>
      <w:pPr>
        <w:spacing w:after="0" w:line="28"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1.4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451.1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31750</wp:posOffset>
            </wp:positionV>
            <wp:extent cx="840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447.5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447.5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31750</wp:posOffset>
            </wp:positionV>
            <wp:extent cx="840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3">
            <w:col w:w="8660" w:space="720"/>
            <w:col w:w="720" w:space="720"/>
            <w:col w:w="420"/>
          </w:cols>
          <w:pgMar w:left="320" w:top="1251" w:right="339" w:bottom="1440" w:gutter="0" w:footer="0" w:header="0"/>
          <w:type w:val="continuous"/>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and diluted earnings (loss) per share attributable to TechnipFMC plc:</w:t>
            </w:r>
          </w:p>
        </w:tc>
        <w:tc>
          <w:tcPr>
            <w:tcW w:w="2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color w:val="auto"/>
              </w:rPr>
              <w:t>Earnings (loss) per share from continuing operations attributable to TechnipFMC plc</w:t>
            </w:r>
          </w:p>
        </w:tc>
        <w:tc>
          <w:tcPr>
            <w:tcW w:w="2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rPr>
              <w:t>0.96</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r>
      <w:tr>
        <w:trPr>
          <w:trHeight w:val="189"/>
        </w:trPr>
        <w:tc>
          <w:tcPr>
            <w:tcW w:w="7000" w:type="dxa"/>
            <w:vAlign w:val="bottom"/>
          </w:tcPr>
          <w:p>
            <w:pPr>
              <w:ind w:left="220"/>
              <w:spacing w:after="0"/>
              <w:rPr>
                <w:sz w:val="20"/>
                <w:szCs w:val="20"/>
                <w:color w:val="auto"/>
              </w:rPr>
            </w:pPr>
            <w:r>
              <w:rPr>
                <w:rFonts w:ascii="Arial" w:cs="Arial" w:eastAsia="Arial" w:hAnsi="Arial"/>
                <w:sz w:val="14"/>
                <w:szCs w:val="14"/>
                <w:color w:val="auto"/>
              </w:rPr>
              <w:t>Diluted</w:t>
            </w:r>
          </w:p>
        </w:tc>
        <w:tc>
          <w:tcPr>
            <w:tcW w:w="20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0.95</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162"/>
        </w:trPr>
        <w:tc>
          <w:tcPr>
            <w:tcW w:w="70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color w:val="auto"/>
              </w:rPr>
              <w:t>Earnings (loss) per share from discontinued operations attributable to TechnipFMC plc</w:t>
            </w:r>
          </w:p>
        </w:tc>
        <w:tc>
          <w:tcPr>
            <w:tcW w:w="2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2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rPr>
              <w:t>(0.14)</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62"/>
        </w:trPr>
        <w:tc>
          <w:tcPr>
            <w:tcW w:w="7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earnings (loss) per share attributable to TechnipFMC plc</w:t>
            </w:r>
          </w:p>
        </w:tc>
        <w:tc>
          <w:tcPr>
            <w:tcW w:w="2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7000" w:type="dxa"/>
            <w:vAlign w:val="bottom"/>
          </w:tcPr>
          <w:p>
            <w:pPr>
              <w:ind w:left="220"/>
              <w:spacing w:after="0"/>
              <w:rPr>
                <w:sz w:val="20"/>
                <w:szCs w:val="20"/>
                <w:color w:val="auto"/>
              </w:rPr>
            </w:pPr>
            <w:r>
              <w:rPr>
                <w:rFonts w:ascii="Arial" w:cs="Arial" w:eastAsia="Arial" w:hAnsi="Arial"/>
                <w:sz w:val="14"/>
                <w:szCs w:val="14"/>
                <w:color w:val="auto"/>
              </w:rPr>
              <w:t>Basic</w:t>
            </w:r>
          </w:p>
        </w:tc>
        <w:tc>
          <w:tcPr>
            <w:tcW w:w="20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0.82</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(7.28)</w:t>
            </w:r>
          </w:p>
        </w:tc>
      </w:tr>
      <w:tr>
        <w:trPr>
          <w:trHeight w:val="189"/>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rPr>
              <w:t>0.81</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r>
    </w:tbl>
    <w:p>
      <w:pPr>
        <w:spacing w:after="0" w:line="2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three months ended March 31, 2020, we incurred a loss from continuing operations; therefore, the impact of 2.7 million shares were anti-dilutive.</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8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shares)</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color w:val="auto"/>
              </w:rPr>
              <w:t>Restricted share units</w:t>
            </w:r>
          </w:p>
        </w:tc>
        <w:tc>
          <w:tcPr>
            <w:tcW w:w="13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shares</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274"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Year of origination</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as of March</w:t>
            </w: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31, 2021</w:t>
            </w:r>
          </w:p>
        </w:tc>
        <w:tc>
          <w:tcPr>
            <w:tcW w:w="1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140"/>
              <w:spacing w:after="0"/>
              <w:rPr>
                <w:sz w:val="20"/>
                <w:szCs w:val="20"/>
                <w:color w:val="auto"/>
              </w:rPr>
            </w:pPr>
            <w:r>
              <w:rPr>
                <w:rFonts w:ascii="Arial" w:cs="Arial" w:eastAsia="Arial" w:hAnsi="Arial"/>
                <w:sz w:val="14"/>
                <w:szCs w:val="14"/>
                <w:color w:val="auto"/>
              </w:rPr>
              <w:t>Moody’s rating Ba2</w:t>
            </w:r>
          </w:p>
        </w:tc>
        <w:tc>
          <w:tcPr>
            <w:tcW w:w="1420" w:type="dxa"/>
            <w:vAlign w:val="bottom"/>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98.5</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Moody’s rating B3</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contract assets, trade receivables, loans receivable, and security deposits and other, we have elected to calculate an expected credit loss based on loss rates from historical data. We develop loss-rate statistics on the basis of the amount written off over the life of the financial assets and contract assets and adjust these historical credit loss trends for forward-looking factors specific to the debtors and the economic environment to determine lifetime expected losses.</w:t>
      </w: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as of March 31, 2021 and 2020, respectively.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Balance as of March 31, 2021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Trade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2"/>
                <w:szCs w:val="12"/>
                <w:color w:val="auto"/>
              </w:rPr>
            </w:pPr>
          </w:p>
        </w:tc>
        <w:tc>
          <w:tcPr>
            <w:tcW w:w="12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center"/>
              <w:ind w:left="268"/>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(release) for expected credit losses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center"/>
              <w:ind w:left="268"/>
              <w:spacing w:after="0"/>
              <w:rPr>
                <w:sz w:val="20"/>
                <w:szCs w:val="20"/>
                <w:color w:val="auto"/>
              </w:rPr>
            </w:pPr>
            <w:r>
              <w:rPr>
                <w:rFonts w:ascii="Arial" w:cs="Arial" w:eastAsia="Arial" w:hAnsi="Arial"/>
                <w:sz w:val="14"/>
                <w:szCs w:val="14"/>
                <w:color w:val="auto"/>
                <w:w w:val="97"/>
              </w:rPr>
              <w:t>(0.6)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left="56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w w:val="92"/>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w w:val="97"/>
              </w:rPr>
              <w:t>(0.7)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center"/>
              <w:ind w:left="2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center"/>
              <w:ind w:left="5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8"/>
              <w:spacing w:after="0"/>
              <w:rPr>
                <w:sz w:val="20"/>
                <w:szCs w:val="20"/>
                <w:color w:val="auto"/>
              </w:rPr>
            </w:pPr>
            <w:r>
              <w:rPr>
                <w:rFonts w:ascii="Arial" w:cs="Arial" w:eastAsia="Arial" w:hAnsi="Arial"/>
                <w:sz w:val="14"/>
                <w:szCs w:val="14"/>
                <w:b w:val="1"/>
                <w:bCs w:val="1"/>
                <w:color w:val="auto"/>
              </w:rPr>
              <w:t>Balance as of March 31,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Trade</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Security deposit</w:t>
            </w:r>
          </w:p>
        </w:tc>
        <w:tc>
          <w:tcPr>
            <w:tcW w:w="120" w:type="dxa"/>
            <w:vAlign w:val="bottom"/>
          </w:tcPr>
          <w:p>
            <w:pPr>
              <w:spacing w:after="0"/>
              <w:rPr>
                <w:sz w:val="12"/>
                <w:szCs w:val="12"/>
                <w:color w:val="auto"/>
              </w:rPr>
            </w:pPr>
          </w:p>
        </w:tc>
        <w:tc>
          <w:tcPr>
            <w:tcW w:w="12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9"/>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for expected credit losses</w:t>
            </w: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Other than certain trade receivables due in one year or less, we do not have any financial assets that are past due or are on non-accrual status.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7" w:name="page18"/>
    <w:bookmarkEnd w:id="17"/>
    <w:p>
      <w:pPr>
        <w:ind w:right="5280"/>
        <w:spacing w:after="0" w:line="467"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tbl>
      <w:tblPr>
        <w:tblLayout w:type="fixed"/>
        <w:tblInd w:w="0" w:type="dxa"/>
        <w:tblCellMar>
          <w:top w:w="0" w:type="dxa"/>
          <w:left w:w="0" w:type="dxa"/>
          <w:bottom w:w="0" w:type="dxa"/>
          <w:right w:w="0" w:type="dxa"/>
        </w:tblCellMar>
      </w:tblPr>
      <w:tr>
        <w:trPr>
          <w:trHeight w:val="149"/>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receivables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tax receivables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Sundry receivables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held for sale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Held-to-maturity investments</w:t>
            </w:r>
          </w:p>
        </w:tc>
        <w:tc>
          <w:tcPr>
            <w:tcW w:w="2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Legal provisions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and other taxes payable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BPI Share Purchase Agreement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Social security liability</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Taxes payable to Technip Energies due to separation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Compensation accrual</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WARRANTY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Warranty obligations are included within “Other current liabilities” in our consolidated balance sheets as of March 31, 2021 and December 31,</w:t>
      </w:r>
    </w:p>
    <w:p>
      <w:pPr>
        <w:spacing w:after="0"/>
        <w:rPr>
          <w:sz w:val="20"/>
          <w:szCs w:val="20"/>
          <w:color w:val="auto"/>
        </w:rPr>
      </w:pPr>
      <w:r>
        <w:rPr>
          <w:rFonts w:ascii="Arial" w:cs="Arial" w:eastAsia="Arial" w:hAnsi="Arial"/>
          <w:sz w:val="18"/>
          <w:szCs w:val="18"/>
          <w:color w:val="auto"/>
        </w:rPr>
        <w:t>2020. A reconciliation of warranty obligations for the three months ended March 31, 2021 and 2020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18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20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income from equity affiliates during the three months ended March 31, 2021 and 2020 was $7.7 million and $21.1 million, respectively, and included within our Subsea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Technip Energies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discussed in Note 2, immediately following the completion of the Spin-off, we owned 49.9% of the outstanding shares of Technip Energies. On January 7, 2021, Bpifrance Participations SA (“BPI”) entered into a share purchase agreement with us (the “Share Purchase Agreement”) pursuant to which BPI agreed to purchase a portion of our retained stake in Technip Energies N.V. (the “BPI Investment”) for $200.0 million (the “Purchase Price”), subject to certain adjustments. On March 31, 2021, BPI ultimately purchased 7.5 million shares in Technip Energies from us for $ 100.0 million. Accordingly, on April 8, 2021, we refunded $100.0 million to BPI as a result of their revised level of investment. As of March 31, 2021, we owned 82.3 million shares, representing 45.7% of the outstanding shares of Technip Energies.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27, 2021 we further reduced our ownership in Technip Energies and agreed to sell Technip Energies shares, representing approximately a total of 15% of Technip Energies’ share capital, through a private placement and the concurrent sale to Technip Energies. See Note 21 for details. We do not intend to remain a long-term shareholder of Technip Energies and will exit our ownership stake in a timely and orderly manner within a year.</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 the Spin-off date, on initial recognition of the investment, we elected to account for our investment in Technip Energies at fair value with all subsequent changes in fair value for the investment reported in our consolidated statement of income.</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three months ended March 31, 2021, we recognized $470.1 million of income related to our investment in Technip Energies. The amount recognized was comprised of a purchase price discount on sale of shares to BPI and a fair value revaluation gain of our investment. The carrying amount of the investment as of March 31, 2021 was $1,249.0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condensed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receivables due from the following related parties: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Equinor ASA</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Techdof Brasil AS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accounts receivable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Dofcon Navegacao is an equity method affiliate. Techdof Brasil AS is a wholly owned subsidiary of Dofcon Brasil AS, our equity method affiliate. In October 2020, a prior member of our Board of Directors was an executive of Equinor ASA. One member of our Board of Directors serves on the Board of Directors for Storengy.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consisted of payables due to the following related parties: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accounts payable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Additionally, we have a note receivable from Dofcon Brasil AS for $25.3 million and $37.6 million as of March 31, 2021 and December 31, 2020, respectively. Dofcon Brasil AS is a variable interest entity and accounted for as an equity method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amounts from the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Equinor ASA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Techdof Brasil AS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Expenses consisted of amounts to the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Arkema S.A.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Magma Global Limited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IFP Energies Nouvelles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Serimax Holdings SAS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Serimax Holdings SAS and Magma Global Limited are equity method investments. A former member of our Board of Directors serves on the Board of Directors for Arkema S.A. A former member of our Board of Directors served as an executive officer of IFP Energies nouvelles until June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secured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1,043.7</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Synthetic bonds due 2021</w:t>
            </w:r>
          </w:p>
        </w:tc>
        <w:tc>
          <w:tcPr>
            <w:tcW w:w="2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3.45%</w:t>
            </w:r>
          </w:p>
        </w:tc>
        <w:tc>
          <w:tcPr>
            <w:tcW w:w="780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2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3.15%</w:t>
            </w:r>
          </w:p>
        </w:tc>
        <w:tc>
          <w:tcPr>
            <w:tcW w:w="780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5.75%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Private placement notes due 2025</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6.50%</w:t>
            </w:r>
          </w:p>
        </w:tc>
        <w:tc>
          <w:tcPr>
            <w:tcW w:w="7800" w:type="dxa"/>
            <w:vAlign w:val="bottom"/>
          </w:tcPr>
          <w:p>
            <w:pPr>
              <w:ind w:left="20"/>
              <w:spacing w:after="0"/>
              <w:rPr>
                <w:sz w:val="20"/>
                <w:szCs w:val="20"/>
                <w:color w:val="auto"/>
              </w:rPr>
            </w:pPr>
            <w:r>
              <w:rPr>
                <w:rFonts w:ascii="Arial" w:cs="Arial" w:eastAsia="Arial" w:hAnsi="Arial"/>
                <w:sz w:val="14"/>
                <w:szCs w:val="14"/>
                <w:color w:val="auto"/>
              </w:rPr>
              <w:t>Senior notes due 2026</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2027</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2032</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3.75%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2033</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9"/>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Bank borrowings and other</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3"/>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debt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2,531.1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3,460.2</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current borrowings </w:t>
            </w:r>
            <w:r>
              <w:rPr>
                <w:rFonts w:ascii="Arial" w:cs="Arial" w:eastAsia="Arial" w:hAnsi="Arial"/>
                <w:sz w:val="18"/>
                <w:szCs w:val="18"/>
                <w:color w:val="auto"/>
                <w:vertAlign w:val="superscript"/>
              </w:rPr>
              <w:t>(a)</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83"/>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 As of March 31, 2021 and December 31, 2020, current borrowings consisted primarily of bank borrowings and notes with current maturities of 12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 in Connection with the Spin-off</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257" w:lineRule="exact"/>
        <w:rPr>
          <w:sz w:val="20"/>
          <w:szCs w:val="20"/>
          <w:color w:val="auto"/>
        </w:rPr>
      </w:pPr>
    </w:p>
    <w:p>
      <w:pPr>
        <w:ind w:left="660" w:right="1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(“Revolving Credit Facility”) including a $450.0 million letter of credit subfacility;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January 29, 2021, we issued $1.0 billion of 6.50% senior notes due 2026 (the “2021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Repayment of Debt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23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252"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 and</w:t>
      </w:r>
    </w:p>
    <w:p>
      <w:pPr>
        <w:spacing w:after="0" w:line="228" w:lineRule="exact"/>
        <w:rPr>
          <w:rFonts w:ascii="Arial" w:cs="Arial" w:eastAsia="Arial" w:hAnsi="Arial"/>
          <w:sz w:val="18"/>
          <w:szCs w:val="18"/>
          <w:color w:val="auto"/>
        </w:rPr>
      </w:pPr>
    </w:p>
    <w:p>
      <w:pPr>
        <w:ind w:left="660" w:right="16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entered into on January 17, 2017; and the termination of the €500.0 million Euro Facility entered into on May 19, 2020; and the termination of the CCFF Program entered into on May 19, 2020. In connection with the termination of these credit facilities, we repaid $830.9 million of the outstanding commercial paper borrowings.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7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On February 16, 2021, we entered into a credit agreement, which provides for a $1.0 billion three-year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multicurrency Revolving Credit Facility including a $450.0 million letter of credit subfacility. We incurred $27.9 million of debt issuance costs in connection with the Revolving Credit Facility. These debt issuance costs are deferred and are included in Other Assets in our condensed consolidated balance sheet as of March 31, 2021. The deferred debt issuance costs are amortized to interest expense over the term of the Revolving Credit Facility.</w:t>
      </w:r>
    </w:p>
    <w:p>
      <w:pPr>
        <w:spacing w:after="0" w:line="1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Availability of borrowings under the Revolving Credit Facility is reduced by the outstanding letters of credit issued against the facility. As of March 31, 2021, there were no letters of credit outstanding and availability of borrowings under the Revolving Credit Facility was $800.0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Revolving Credit Facility bear interest at the following rates, plus an applicable margin, depending on currency:</w:t>
      </w:r>
    </w:p>
    <w:p>
      <w:pPr>
        <w:spacing w:after="0" w:line="171" w:lineRule="exact"/>
        <w:rPr>
          <w:sz w:val="20"/>
          <w:szCs w:val="20"/>
          <w:color w:val="auto"/>
        </w:rPr>
      </w:pPr>
    </w:p>
    <w:p>
      <w:pPr>
        <w:ind w:left="660" w:righ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dollar-denominated loans bear interest, at the Company’s option, at a base rate or an adjusted rate linked to the London interbank offered rate (“Adjusted LIBOR”);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Sterling denominated loans bear interest at Adjusted LIBOR;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Euro-denominated loans bear interest on an adjusted rate linked to the Euro interbank offered rate.</w:t>
      </w:r>
    </w:p>
    <w:p>
      <w:pPr>
        <w:spacing w:after="0" w:line="200" w:lineRule="exact"/>
        <w:rPr>
          <w:sz w:val="20"/>
          <w:szCs w:val="20"/>
          <w:color w:val="auto"/>
        </w:rPr>
      </w:pPr>
    </w:p>
    <w:p>
      <w:pPr>
        <w:spacing w:after="0" w:line="21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applicable margin for borrowings under the Revolving Credit Facility ranges from 2.50% to 3.50% for eurocurrency loans and 1.50% to 2.50% for base rate loans, depending on a total leverage ratio. The Revolving Credit Facility is subject to customary representations and warranties, covenants, events of default, mandatory repayment provisions and financial covenants. As of March 31, 2021, we were in compliance with all restrictive covenants under the Revolving Credit Facility.</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2021 Notes </w:t>
      </w:r>
      <w:r>
        <w:rPr>
          <w:rFonts w:ascii="Arial" w:cs="Arial" w:eastAsia="Arial" w:hAnsi="Arial"/>
          <w:sz w:val="18"/>
          <w:szCs w:val="18"/>
          <w:color w:val="auto"/>
        </w:rPr>
        <w:t>- On January 29, 2021, we issued $1.0 billion of 6.50% senior notes due 2026.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 We incurred $25.7 million of debt issuance costs in connection with issuance of the 2021 Notes. These debt issuance costs are deferred and are included in Long-term debt in our condensed consolidated balance sheet as of March 31, 2021. The deferred debt issuance costs are amortized to interest expense over the term of the 2021 Notes, which approximates the effective interest method.</w:t>
      </w:r>
    </w:p>
    <w:p>
      <w:pPr>
        <w:spacing w:after="0" w:line="13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 As of March 31, 2021 and December 31, 2020, we had $21.2 million and $1,043.7 million of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respectively. Commercial paper borrowings were issued at market interest rates. As of March 31, 2021, our commercial paper borrowings had a weighted average interest rate of 0.48% on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60"/>
        <w:spacing w:after="0" w:line="261" w:lineRule="auto"/>
        <w:rPr>
          <w:sz w:val="20"/>
          <w:szCs w:val="20"/>
          <w:color w:val="auto"/>
        </w:rPr>
      </w:pPr>
      <w:r>
        <w:rPr>
          <w:rFonts w:ascii="Arial" w:cs="Arial" w:eastAsia="Arial" w:hAnsi="Arial"/>
          <w:sz w:val="18"/>
          <w:szCs w:val="18"/>
          <w:color w:val="auto"/>
        </w:rPr>
        <w:t>dollar denominated borrowings. In accordance with the terms of the new Revolving Credit Facility, we do not have an ability to issue any new commercial paper notes going forward.</w:t>
      </w:r>
    </w:p>
    <w:p>
      <w:pPr>
        <w:spacing w:after="0" w:line="12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Bank borrowings - </w:t>
      </w:r>
      <w:r>
        <w:rPr>
          <w:rFonts w:ascii="Arial" w:cs="Arial" w:eastAsia="Arial" w:hAnsi="Arial"/>
          <w:sz w:val="18"/>
          <w:szCs w:val="18"/>
          <w:color w:val="auto"/>
        </w:rPr>
        <w:t>Include term loans issued in connection with financing for certain of our vessels and amounts outstanding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committed credit 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Defined Pension</w:t>
            </w:r>
          </w:p>
        </w:tc>
        <w:tc>
          <w:tcPr>
            <w:tcW w:w="140" w:type="dxa"/>
            <w:vAlign w:val="bottom"/>
          </w:tcPr>
          <w:p>
            <w:pPr>
              <w:spacing w:after="0"/>
              <w:rPr>
                <w:sz w:val="13"/>
                <w:szCs w:val="13"/>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420" w:type="dxa"/>
            <w:vAlign w:val="bottom"/>
          </w:tcPr>
          <w:p>
            <w:pPr>
              <w:jc w:val="center"/>
              <w:ind w:right="92"/>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4"/>
              </w:rPr>
              <w:t>and Other</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42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auto"/>
                <w:w w:val="95"/>
              </w:rPr>
              <w:t>Loss Attributable</w:t>
            </w:r>
          </w:p>
        </w:tc>
        <w:tc>
          <w:tcPr>
            <w:tcW w:w="0" w:type="dxa"/>
            <w:vAlign w:val="bottom"/>
          </w:tcPr>
          <w:p>
            <w:pPr>
              <w:spacing w:after="0"/>
              <w:rPr>
                <w:sz w:val="1"/>
                <w:szCs w:val="1"/>
                <w:color w:val="auto"/>
              </w:rPr>
            </w:pPr>
          </w:p>
        </w:tc>
      </w:tr>
      <w:tr>
        <w:trPr>
          <w:trHeight w:val="122"/>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Post-Retirement</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0"/>
                <w:szCs w:val="10"/>
                <w:color w:val="auto"/>
              </w:rPr>
            </w:pPr>
          </w:p>
        </w:tc>
        <w:tc>
          <w:tcPr>
            <w:tcW w:w="142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auto"/>
                <w:w w:val="95"/>
              </w:rPr>
              <w:t>to Non-Controlling</w:t>
            </w:r>
          </w:p>
        </w:tc>
        <w:tc>
          <w:tcPr>
            <w:tcW w:w="0" w:type="dxa"/>
            <w:vAlign w:val="bottom"/>
          </w:tcPr>
          <w:p>
            <w:pPr>
              <w:spacing w:after="0"/>
              <w:rPr>
                <w:sz w:val="1"/>
                <w:szCs w:val="1"/>
                <w:color w:val="auto"/>
              </w:rPr>
            </w:pPr>
          </w:p>
        </w:tc>
      </w:tr>
      <w:tr>
        <w:trPr>
          <w:trHeight w:val="176"/>
        </w:trPr>
        <w:tc>
          <w:tcPr>
            <w:tcW w:w="4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Benefits</w:t>
            </w:r>
          </w:p>
        </w:tc>
        <w:tc>
          <w:tcPr>
            <w:tcW w:w="1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2"/>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line="153" w:lineRule="exact"/>
              <w:rPr>
                <w:sz w:val="20"/>
                <w:szCs w:val="20"/>
                <w:color w:val="auto"/>
              </w:rPr>
            </w:pPr>
            <w:r>
              <w:rPr>
                <w:rFonts w:ascii="Arial" w:cs="Arial" w:eastAsia="Arial" w:hAnsi="Arial"/>
                <w:sz w:val="14"/>
                <w:szCs w:val="14"/>
                <w:color w:val="auto"/>
              </w:rPr>
              <w:t>Other comprehensive income (loss) before reclassifications,</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1"/>
        </w:trPr>
        <w:tc>
          <w:tcPr>
            <w:tcW w:w="404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Reclassification adjustment for net losses included in net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net of tax</w:t>
            </w: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Spin-off of Technip Energies</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4"/>
          </w:tcPr>
          <w:p>
            <w:pPr>
              <w:jc w:val="center"/>
              <w:ind w:right="148"/>
              <w:spacing w:after="0" w:line="142" w:lineRule="exact"/>
              <w:rPr>
                <w:sz w:val="20"/>
                <w:szCs w:val="20"/>
                <w:color w:val="auto"/>
              </w:rPr>
            </w:pPr>
            <w:r>
              <w:rPr>
                <w:rFonts w:ascii="Arial" w:cs="Arial" w:eastAsia="Arial" w:hAnsi="Arial"/>
                <w:sz w:val="14"/>
                <w:szCs w:val="14"/>
                <w:b w:val="1"/>
                <w:bCs w:val="1"/>
                <w:color w:val="auto"/>
              </w:rPr>
              <w:t>Amount Reclassified out of</w:t>
            </w:r>
          </w:p>
        </w:tc>
        <w:tc>
          <w:tcPr>
            <w:tcW w:w="100" w:type="dxa"/>
            <w:vAlign w:val="bottom"/>
          </w:tcPr>
          <w:p>
            <w:pPr>
              <w:spacing w:after="0"/>
              <w:rPr>
                <w:sz w:val="12"/>
                <w:szCs w:val="12"/>
                <w:color w:val="auto"/>
              </w:rPr>
            </w:pPr>
          </w:p>
        </w:tc>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200" w:type="dxa"/>
            <w:vAlign w:val="bottom"/>
          </w:tcPr>
          <w:p>
            <w:pPr>
              <w:spacing w:after="0"/>
              <w:rPr>
                <w:sz w:val="11"/>
                <w:szCs w:val="11"/>
                <w:color w:val="auto"/>
              </w:rPr>
            </w:pPr>
          </w:p>
        </w:tc>
        <w:tc>
          <w:tcPr>
            <w:tcW w:w="2280" w:type="dxa"/>
            <w:vAlign w:val="bottom"/>
            <w:gridSpan w:val="4"/>
          </w:tcPr>
          <w:p>
            <w:pPr>
              <w:jc w:val="center"/>
              <w:ind w:right="168"/>
              <w:spacing w:after="0" w:line="135" w:lineRule="exact"/>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4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CCEEFF"/>
            </w:tcBorders>
          </w:tcPr>
          <w:p>
            <w:pPr>
              <w:spacing w:after="0"/>
              <w:rPr>
                <w:sz w:val="15"/>
                <w:szCs w:val="15"/>
                <w:color w:val="auto"/>
              </w:rPr>
            </w:pP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Pension and other post-retirement benefits</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These accumulated other comprehensive income components are included in the computation of net periodic pension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Amended and Restated TechnipFMC plc Incentive Award Plan (the “Plan”), we may grant certain incentives and awards to our officers, employees, non-employee directors, and consultants of the Company and its subsidiaries. Awards may include share options, share appreciation rights, performance stock units, restricted stock units, restricted shares or other awards authorized under the Plan. Under the Plan, 24.1 million ordinary shares were authorized for awards in 2017. On the record date of the Spin-off, 11.9 million shares remained available under the Plan, which were adjusted to reflect the Spin-off using an adjustment ratio, calculated as the ratio of the closing price of shares of TechnipFMC common stock on the NYSE on the date immediately prior to the Spin-off to the closing price of shares of TechnipFMC on the NYSE on the date immediately after the Spin-off. After this adjustment, 15.2 million ordinary shares remained authorized for awards under the Plan as of February 17, 2021.</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$3.4 million and $21.6 million for the three months ended March 31, 2021 and 2020, respectively.</w:t>
      </w:r>
    </w:p>
    <w:p>
      <w:pPr>
        <w:spacing w:after="0" w:line="200" w:lineRule="exact"/>
        <w:rPr>
          <w:sz w:val="20"/>
          <w:szCs w:val="20"/>
          <w:color w:val="auto"/>
        </w:rPr>
      </w:pPr>
    </w:p>
    <w:p>
      <w:pPr>
        <w:spacing w:after="0" w:line="331" w:lineRule="exact"/>
        <w:rPr>
          <w:sz w:val="20"/>
          <w:szCs w:val="20"/>
          <w:color w:val="auto"/>
        </w:rPr>
      </w:pPr>
    </w:p>
    <w:p>
      <w:pPr>
        <w:ind w:right="5480"/>
        <w:spacing w:after="0" w:line="494" w:lineRule="auto"/>
        <w:rPr>
          <w:sz w:val="20"/>
          <w:szCs w:val="20"/>
          <w:color w:val="auto"/>
        </w:rPr>
      </w:pPr>
      <w:r>
        <w:rPr>
          <w:rFonts w:ascii="Arial" w:cs="Arial" w:eastAsia="Arial" w:hAnsi="Arial"/>
          <w:sz w:val="17"/>
          <w:szCs w:val="17"/>
          <w:b w:val="1"/>
          <w:bCs w:val="1"/>
          <w:color w:val="auto"/>
        </w:rPr>
        <w:t xml:space="preserve">NOTE 16.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2,773.6</w:t>
            </w: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424.4</w:t>
            </w: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3,199.1</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and long-lived assets impairments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2,776.5</w:t>
            </w: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411.5</w:t>
            </w: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Total impairments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3,188.0</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During the three months ended March 31, 2021, subsequent to the spin-off, certain real estate realization decisions were made and as a result, we recorded $18.8 million of impairment charges relating to our operating lease right-of-use assets.</w:t>
      </w:r>
    </w:p>
    <w:p>
      <w:pPr>
        <w:spacing w:after="0" w:line="14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During the three months ended March 31, 2020, triggering events were identified that led to impairments of certain long-lived assets, including goodwill. During the three months ended March 31, 2020, impairment charges of $3,188.0 million were recorded. These charges included goodwill impairment charges of $2,747.5 million and $335.9 million in our Subsea and Surface Technologies segments, respectively.</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other long-lived assets, a conclusion was made that the market uncertainty was a triggering event for certain asset groups that serve short-cycle businesses in our Subsea and Surface Technologies segments. Assessing these asset groups for recoverability required the use of unobservable inputs that require significant judgment. Such judgments include expected future asset utilization while taking into account reduced future capital spending by certain customers in response to market conditions. As a result of this assessment, impairment charges of $29.0 million for Subsea, consisting mostly of installation and service equipment, and $75.6 million for Surface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ind w:right="300"/>
        <w:spacing w:after="0" w:line="261" w:lineRule="auto"/>
        <w:rPr>
          <w:sz w:val="20"/>
          <w:szCs w:val="20"/>
          <w:color w:val="auto"/>
        </w:rPr>
      </w:pPr>
      <w:r>
        <w:rPr>
          <w:rFonts w:ascii="Arial" w:cs="Arial" w:eastAsia="Arial" w:hAnsi="Arial"/>
          <w:sz w:val="18"/>
          <w:szCs w:val="18"/>
          <w:color w:val="auto"/>
        </w:rPr>
        <w:t>Technologies, consisting of North America-based fracturing and wellhead assets were recorded during the three months ended March 31, 2020.</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carrying amounts of such assets may not be recoverable. Assessing the recoverability of assets to be held and used requires the use of unobservable inputs that involves significant judgment. Such judgments include expected future asset utilization while taking into account reduced future capital spending by certain customers in response to market conditions.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Restructuring and other charges primarily consisted of severance and other employee related costs and COVID-19 related expenses across all segments. Restructuring and other expenses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88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220" w:type="dxa"/>
            <w:vAlign w:val="bottom"/>
          </w:tcPr>
          <w:p>
            <w:pPr>
              <w:spacing w:after="0"/>
              <w:rPr>
                <w:sz w:val="12"/>
                <w:szCs w:val="12"/>
                <w:color w:val="auto"/>
              </w:rPr>
            </w:pPr>
          </w:p>
        </w:tc>
        <w:tc>
          <w:tcPr>
            <w:tcW w:w="1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COVID-19 expenses</w:t>
            </w:r>
          </w:p>
        </w:tc>
        <w:tc>
          <w:tcPr>
            <w:tcW w:w="0" w:type="dxa"/>
            <w:vAlign w:val="bottom"/>
          </w:tcPr>
          <w:p>
            <w:pPr>
              <w:spacing w:after="0"/>
              <w:rPr>
                <w:sz w:val="1"/>
                <w:szCs w:val="1"/>
                <w:color w:val="auto"/>
              </w:rPr>
            </w:pPr>
          </w:p>
        </w:tc>
      </w:tr>
      <w:tr>
        <w:trPr>
          <w:trHeight w:val="175"/>
        </w:trPr>
        <w:tc>
          <w:tcPr>
            <w:tcW w:w="49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charges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1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6.7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three months ended March 31, 2020, we incurred $5.1 million of COVID-19 related expenses. These expenses represent unplanned, one-off, incremental and non-recoverable costs incurred solely as a result of the COVID-19 pandemic situation, which would not have been incurred otherwise.</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Prolonged uncertainty in energy markets could lead to further reductions in capital spending from our customer base. In turn, this may lead to changes in our strategy. We will continue to take actions to mitigate the adverse effects of the changing market environment and expect to continue to adjust our cost structure to market conditions. If market conditions deteriorate, we may record additional restructuring charges and additional impairments of our long-lived assets, operating lease right-of-use assets and equity method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condensed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1,353.9</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5" w:name="page26"/>
    <w:bookmarkEnd w:id="25"/>
    <w:p>
      <w:pPr>
        <w:jc w:val="both"/>
        <w:ind w:right="100"/>
        <w:spacing w:after="0" w:line="277" w:lineRule="auto"/>
        <w:rPr>
          <w:sz w:val="20"/>
          <w:szCs w:val="20"/>
          <w:color w:val="auto"/>
        </w:rPr>
      </w:pPr>
      <w:r>
        <w:rPr>
          <w:rFonts w:ascii="Arial" w:cs="Arial" w:eastAsia="Arial" w:hAnsi="Arial"/>
          <w:sz w:val="17"/>
          <w:szCs w:val="17"/>
          <w:i w:val="1"/>
          <w:iCs w:val="1"/>
          <w:color w:val="auto"/>
        </w:rPr>
        <w:t xml:space="preserve">Contingent liabilities associated with legal and tax matters - </w:t>
      </w:r>
      <w:r>
        <w:rPr>
          <w:rFonts w:ascii="Arial" w:cs="Arial" w:eastAsia="Arial" w:hAnsi="Arial"/>
          <w:sz w:val="17"/>
          <w:szCs w:val="17"/>
          <w:color w:val="auto"/>
        </w:rPr>
        <w:t>We are involved in various pending or potential legal and tax actions or disputes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ordinary course of our business. These actions and disputes can involve our agents, suppliers, clients, and venture partners, and can include claims related to payment of fees, service quality, and ownership arrangements, including certain put or call options. We are unable to predict the ultimate outcome of these actions because of their inherent uncertainty. However, we believe that the most probable, ultimate resolution of these matters will not have a material adverse effect on our consolidated financial position, results of operations or cash flows.</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March 31, 2021 and December 31, 2020,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93"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provision for income taxes for the three months ended March 31, 2021 and 2020 reflected effective tax rates of 5.4% and 0.7%, respectively. The year-over-year increase in the effective tax rate was primarily due to the increased impact of losses including certain impairments in jurisdictions with a full valuation allowance, and a change in the forecasted earnings mix.</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DERIVATIVE FINANCIAL INSTRUMENTS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condensed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jc w:val="both"/>
        <w:ind w:right="86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condensed consolidated balance sheets. As of March 31, 2021, we held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48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Net Notional Amount</w:t>
            </w:r>
          </w:p>
        </w:tc>
        <w:tc>
          <w:tcPr>
            <w:tcW w:w="680" w:type="dxa"/>
            <w:vAlign w:val="bottom"/>
          </w:tcPr>
          <w:p>
            <w:pPr>
              <w:spacing w:after="0"/>
              <w:rPr>
                <w:sz w:val="14"/>
                <w:szCs w:val="14"/>
                <w:color w:val="auto"/>
              </w:rPr>
            </w:pPr>
          </w:p>
        </w:tc>
      </w:tr>
      <w:tr>
        <w:trPr>
          <w:trHeight w:val="176"/>
        </w:trPr>
        <w:tc>
          <w:tcPr>
            <w:tcW w:w="8060" w:type="dxa"/>
            <w:vAlign w:val="bottom"/>
          </w:tcPr>
          <w:p>
            <w:pPr>
              <w:spacing w:after="0"/>
              <w:rPr>
                <w:sz w:val="15"/>
                <w:szCs w:val="15"/>
                <w:color w:val="auto"/>
              </w:rPr>
            </w:pPr>
          </w:p>
        </w:tc>
        <w:tc>
          <w:tcPr>
            <w:tcW w:w="248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Bought (Sold)</w:t>
            </w:r>
          </w:p>
        </w:tc>
        <w:tc>
          <w:tcPr>
            <w:tcW w:w="68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464.4</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544.8</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287.2</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395.5</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1,320.1</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231.8</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1,155.3</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135.7</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 dollar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103.5</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77.0</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Canadian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31.2</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24.7</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 rupee</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752.9</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Kuwaiti dinar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Indonesian rupiah</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(191,631.6)</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Australian dollar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(157.1)</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(119.6)</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(732.2)</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w:t>
            </w:r>
          </w:p>
        </w:tc>
      </w:tr>
      <w:tr>
        <w:trPr>
          <w:trHeight w:val="190"/>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(105.2)</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(105.2)</w:t>
            </w:r>
          </w:p>
        </w:tc>
      </w:tr>
    </w:tbl>
    <w:p>
      <w:pPr>
        <w:spacing w:after="0" w:line="14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As of March 31, 2021, our portfolio of these instruments included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52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176"/>
        </w:trPr>
        <w:tc>
          <w:tcPr>
            <w:tcW w:w="8060" w:type="dxa"/>
            <w:vAlign w:val="bottom"/>
          </w:tcPr>
          <w:p>
            <w:pPr>
              <w:spacing w:after="0"/>
              <w:rPr>
                <w:sz w:val="15"/>
                <w:szCs w:val="15"/>
                <w:color w:val="auto"/>
              </w:rPr>
            </w:pPr>
          </w:p>
        </w:tc>
        <w:tc>
          <w:tcPr>
            <w:tcW w:w="252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64.8</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11.4</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900" w:type="dxa"/>
            <w:vAlign w:val="bottom"/>
          </w:tcPr>
          <w:p>
            <w:pPr>
              <w:spacing w:after="0"/>
              <w:rPr>
                <w:sz w:val="16"/>
                <w:szCs w:val="16"/>
                <w:color w:val="auto"/>
              </w:rPr>
            </w:pPr>
          </w:p>
        </w:tc>
        <w:tc>
          <w:tcPr>
            <w:tcW w:w="640" w:type="dxa"/>
            <w:vAlign w:val="bottom"/>
          </w:tcPr>
          <w:p>
            <w:pPr>
              <w:jc w:val="center"/>
              <w:ind w:left="128"/>
              <w:spacing w:after="0"/>
              <w:rPr>
                <w:sz w:val="20"/>
                <w:szCs w:val="20"/>
                <w:color w:val="auto"/>
              </w:rPr>
            </w:pPr>
            <w:r>
              <w:rPr>
                <w:rFonts w:ascii="Arial" w:cs="Arial" w:eastAsia="Arial" w:hAnsi="Arial"/>
                <w:sz w:val="14"/>
                <w:szCs w:val="14"/>
                <w:color w:val="auto"/>
                <w:w w:val="98"/>
              </w:rPr>
              <w:t>(16.3)</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8"/>
              </w:rPr>
              <w:t>(16.9)</w:t>
            </w:r>
          </w:p>
        </w:tc>
      </w:tr>
      <w:tr>
        <w:trPr>
          <w:trHeight w:val="190"/>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20.7</w:t>
            </w:r>
          </w:p>
        </w:tc>
        <w:tc>
          <w:tcPr>
            <w:tcW w:w="900" w:type="dxa"/>
            <w:vAlign w:val="bottom"/>
          </w:tcPr>
          <w:p>
            <w:pPr>
              <w:spacing w:after="0"/>
              <w:rPr>
                <w:sz w:val="16"/>
                <w:szCs w:val="16"/>
                <w:color w:val="auto"/>
              </w:rPr>
            </w:pPr>
          </w:p>
        </w:tc>
        <w:tc>
          <w:tcPr>
            <w:tcW w:w="640" w:type="dxa"/>
            <w:vAlign w:val="bottom"/>
          </w:tcPr>
          <w:p>
            <w:pPr>
              <w:jc w:val="center"/>
              <w:ind w:left="128"/>
              <w:spacing w:after="0"/>
              <w:rPr>
                <w:sz w:val="20"/>
                <w:szCs w:val="20"/>
                <w:color w:val="auto"/>
              </w:rPr>
            </w:pPr>
            <w:r>
              <w:rPr>
                <w:rFonts w:ascii="Arial" w:cs="Arial" w:eastAsia="Arial" w:hAnsi="Arial"/>
                <w:sz w:val="14"/>
                <w:szCs w:val="14"/>
                <w:color w:val="auto"/>
              </w:rPr>
              <w:t>20.7</w:t>
            </w:r>
          </w:p>
        </w:tc>
      </w:tr>
    </w:tbl>
    <w:p>
      <w:pPr>
        <w:spacing w:after="0" w:line="21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20 for further details. Accordingly, the estimates presented may not be indicative of the amounts that we would realize in a current market exchange and may not be indicative of the gains or losses we may ultimately incur when these contracts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8" w:name="page29"/>
    <w:bookmarkEnd w:id="28"/>
    <w:p>
      <w:pPr>
        <w:ind w:right="260"/>
        <w:spacing w:after="0" w:line="261" w:lineRule="auto"/>
        <w:rPr>
          <w:sz w:val="20"/>
          <w:szCs w:val="20"/>
          <w:color w:val="auto"/>
        </w:rPr>
      </w:pPr>
      <w:r>
        <w:rPr>
          <w:rFonts w:ascii="Arial" w:cs="Arial" w:eastAsia="Arial" w:hAnsi="Arial"/>
          <w:sz w:val="18"/>
          <w:szCs w:val="18"/>
          <w:color w:val="auto"/>
        </w:rPr>
        <w:t>The following table presents the location and fair value amounts of derivative instruments reported in the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16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141.9</w:t>
            </w:r>
          </w:p>
        </w:tc>
      </w:tr>
      <w:tr>
        <w:trPr>
          <w:trHeight w:val="189"/>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160.7</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5620" w:type="dxa"/>
            <w:vAlign w:val="bottom"/>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15.6</w:t>
            </w:r>
          </w:p>
        </w:tc>
      </w:tr>
      <w:tr>
        <w:trPr>
          <w:trHeight w:val="189"/>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flow hedges of forecasted transactions qualifying for hedge accounting, net of tax, resulted in accumulated other comprehensive losses of $4.4 million and $12.9 million as of March 31, 2021 and December 31, 2020, respectively. We expect to transfer an approximate $36.0 million loss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presents the gains (losses) recognized in other comprehensive income related to derivative instruments designated as cash flow hedges:</w:t>
      </w:r>
    </w:p>
    <w:p>
      <w:pPr>
        <w:spacing w:after="0" w:line="17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Gain (Loss) 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17780</wp:posOffset>
            </wp:positionV>
            <wp:extent cx="1885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2"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r>
    </w:tbl>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represents the effect of cash flow hedge accounting in the condensed consolidated statements of income for the three months ended March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8"/>
              </w:rPr>
              <w:t>Three Months Ended March 31, 2021</w:t>
            </w: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7"/>
              </w:rPr>
              <w:t>Three Months Ended March 31, 2020</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amount of income (expense)</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Selling,</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Selling,</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7"/>
              </w:rPr>
              <w:t>presented in the consolidated statements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income associated with hedges and</w:t>
            </w:r>
          </w:p>
        </w:tc>
        <w:tc>
          <w:tcPr>
            <w:tcW w:w="140" w:type="dxa"/>
            <w:vAlign w:val="bottom"/>
          </w:tcPr>
          <w:p>
            <w:pPr>
              <w:spacing w:after="0"/>
              <w:rPr>
                <w:sz w:val="10"/>
                <w:szCs w:val="10"/>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sales</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05"/>
        </w:trPr>
        <w:tc>
          <w:tcPr>
            <w:tcW w:w="270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i w:val="1"/>
                <w:iCs w:val="1"/>
                <w:color w:val="auto"/>
              </w:rPr>
              <w:t>Cash Flow hedge gain (loss) recognized in</w:t>
            </w: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income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100"/>
              <w:spacing w:after="0"/>
              <w:rPr>
                <w:sz w:val="20"/>
                <w:szCs w:val="20"/>
                <w:color w:val="auto"/>
              </w:rPr>
            </w:pPr>
            <w:r>
              <w:rPr>
                <w:rFonts w:ascii="Arial" w:cs="Arial" w:eastAsia="Arial" w:hAnsi="Arial"/>
                <w:sz w:val="13"/>
                <w:szCs w:val="13"/>
                <w:i w:val="1"/>
                <w:iCs w:val="1"/>
                <w:color w:val="auto"/>
              </w:rPr>
              <w:t>Foreign Exchange Contracts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8"/>
              </w:rPr>
              <w:t>Amounts reclassified from accumulated OCI</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center"/>
              <w:ind w:left="277"/>
              <w:spacing w:after="0"/>
              <w:rPr>
                <w:sz w:val="20"/>
                <w:szCs w:val="20"/>
                <w:color w:val="auto"/>
              </w:rPr>
            </w:pPr>
            <w:r>
              <w:rPr>
                <w:rFonts w:ascii="Arial" w:cs="Arial" w:eastAsia="Arial" w:hAnsi="Arial"/>
                <w:sz w:val="13"/>
                <w:szCs w:val="13"/>
                <w:color w:val="auto"/>
                <w:w w:val="88"/>
              </w:rPr>
              <w:t>8.3</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180"/>
              <w:spacing w:after="0" w:line="129" w:lineRule="exact"/>
              <w:rPr>
                <w:sz w:val="20"/>
                <w:szCs w:val="20"/>
                <w:color w:val="auto"/>
              </w:rPr>
            </w:pPr>
            <w:r>
              <w:rPr>
                <w:rFonts w:ascii="Arial" w:cs="Arial" w:eastAsia="Arial" w:hAnsi="Arial"/>
                <w:sz w:val="13"/>
                <w:szCs w:val="13"/>
                <w:color w:val="auto"/>
              </w:rPr>
              <w:t>Amounts excluded from effectiveness</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center"/>
              <w:ind w:left="257"/>
              <w:spacing w:after="0"/>
              <w:rPr>
                <w:sz w:val="20"/>
                <w:szCs w:val="20"/>
                <w:color w:val="auto"/>
              </w:rPr>
            </w:pPr>
            <w:r>
              <w:rPr>
                <w:rFonts w:ascii="Arial" w:cs="Arial" w:eastAsia="Arial" w:hAnsi="Arial"/>
                <w:sz w:val="13"/>
                <w:szCs w:val="13"/>
                <w:color w:val="auto"/>
                <w:w w:val="97"/>
              </w:rPr>
              <w:t>(1.2)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ind w:left="90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testing</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cash flow hedge gain (loss)</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ind w:left="277"/>
              <w:spacing w:after="0"/>
              <w:rPr>
                <w:sz w:val="20"/>
                <w:szCs w:val="20"/>
                <w:color w:val="auto"/>
              </w:rPr>
            </w:pPr>
            <w:r>
              <w:rPr>
                <w:rFonts w:ascii="Arial" w:cs="Arial" w:eastAsia="Arial" w:hAnsi="Arial"/>
                <w:sz w:val="13"/>
                <w:szCs w:val="13"/>
                <w:color w:val="auto"/>
                <w:w w:val="88"/>
              </w:rPr>
              <w:t>7.1</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recognized in income</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7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hedge gain (loss) recognized in</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ind w:left="277"/>
              <w:spacing w:after="0"/>
              <w:rPr>
                <w:sz w:val="20"/>
                <w:szCs w:val="20"/>
                <w:color w:val="auto"/>
              </w:rPr>
            </w:pPr>
            <w:r>
              <w:rPr>
                <w:rFonts w:ascii="Arial" w:cs="Arial" w:eastAsia="Arial" w:hAnsi="Arial"/>
                <w:sz w:val="13"/>
                <w:szCs w:val="13"/>
                <w:color w:val="auto"/>
                <w:w w:val="88"/>
              </w:rPr>
              <w:t>7.1</w:t>
            </w:r>
          </w:p>
        </w:tc>
        <w:tc>
          <w:tcPr>
            <w:tcW w:w="1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8"/>
                <w:szCs w:val="8"/>
                <w:color w:val="auto"/>
              </w:rPr>
            </w:pP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(9.9)</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0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center"/>
              <w:ind w:left="277"/>
              <w:spacing w:after="0"/>
              <w:rPr>
                <w:sz w:val="20"/>
                <w:szCs w:val="20"/>
                <w:color w:val="auto"/>
              </w:rPr>
            </w:pPr>
            <w:r>
              <w:rPr>
                <w:rFonts w:ascii="Arial" w:cs="Arial" w:eastAsia="Arial" w:hAnsi="Arial"/>
                <w:sz w:val="13"/>
                <w:szCs w:val="13"/>
                <w:color w:val="auto"/>
                <w:w w:val="88"/>
              </w:rPr>
              <w:t>0.5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ind w:left="90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w w:val="88"/>
              </w:rPr>
              <w:t>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ind w:right="14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March 31, 2021 and December 31, 2020, we had no collateralized derivative contracts. The following tables present both gross information and net information of recognized derivative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 Amount</w:t>
            </w: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 Amount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6"/>
        </w:trPr>
        <w:tc>
          <w:tcPr>
            <w:tcW w:w="2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Technip Energies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Money market fund</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Held-to-maturity debt securities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exchange contracts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Investment in Technip Energies - </w:t>
      </w:r>
      <w:r>
        <w:rPr>
          <w:rFonts w:ascii="Arial" w:cs="Arial" w:eastAsia="Arial" w:hAnsi="Arial"/>
          <w:sz w:val="18"/>
          <w:szCs w:val="18"/>
          <w:color w:val="auto"/>
        </w:rPr>
        <w:t>The fair value of our investment in Technip Energies is based on quoted prices that we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in public markets, see Note 11 for further details.</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Equity securities - </w:t>
      </w:r>
      <w:r>
        <w:rPr>
          <w:rFonts w:ascii="Arial" w:cs="Arial" w:eastAsia="Arial" w:hAnsi="Arial"/>
          <w:sz w:val="18"/>
          <w:szCs w:val="18"/>
          <w:color w:val="auto"/>
        </w:rPr>
        <w:t>The fair value measurement of our traded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10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The stable value fund and money market fund are valued at the net asset value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Assets held for sale - </w:t>
      </w:r>
      <w:r>
        <w:rPr>
          <w:rFonts w:ascii="Arial" w:cs="Arial" w:eastAsia="Arial" w:hAnsi="Arial"/>
          <w:sz w:val="18"/>
          <w:szCs w:val="18"/>
          <w:color w:val="auto"/>
        </w:rPr>
        <w:t>The fair value of our assets held for sale was determined using a market approach that took into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sales price. As of March 31, 2021, our G1200 vessel is classified as held for sale. In March 2021, we entered into a Memorandum of Agreement to sell the vessel. The agreement is subject to certain conditions precedent to complete the transaction. We expect to complete the sale in the first half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right="60"/>
        <w:spacing w:after="0" w:line="261"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We own a 51% share in Island Offshore Subsea AS that was subsequently renamed to TIOS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 is recorded as mezzanine equity at fair value. The fair value measurement is based upon significant unobservable inputs not observable in the market and is consequently classified as a Level 3 in the fair value measurements hierarchy. As of March 31, 2021 and December 31, 2020, the fair value of our redeemable non-controlling interest was $44.6 million and $43.7 million, respectively</w:t>
      </w:r>
      <w:r>
        <w:rPr>
          <w:rFonts w:ascii="Arial" w:cs="Arial" w:eastAsia="Arial" w:hAnsi="Arial"/>
          <w:sz w:val="18"/>
          <w:szCs w:val="18"/>
          <w:i w:val="1"/>
          <w:iCs w:val="1"/>
          <w:color w:val="auto"/>
        </w:rPr>
        <w:t>.</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currently have no credit-risk-related contingent features in our agreements with the financial institutions that would require us to post collateral for derivative positions in a liability position. See Note 19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carrying amounts of such assets may not be recoverable.</w:t>
      </w:r>
    </w:p>
    <w:p>
      <w:pPr>
        <w:spacing w:after="0" w:line="126" w:lineRule="exact"/>
        <w:rPr>
          <w:sz w:val="20"/>
          <w:szCs w:val="20"/>
          <w:color w:val="auto"/>
        </w:rPr>
      </w:pPr>
    </w:p>
    <w:p>
      <w:pPr>
        <w:ind w:right="2400"/>
        <w:spacing w:after="0" w:line="261" w:lineRule="auto"/>
        <w:rPr>
          <w:sz w:val="20"/>
          <w:szCs w:val="20"/>
          <w:color w:val="auto"/>
        </w:rPr>
      </w:pPr>
      <w:r>
        <w:rPr>
          <w:rFonts w:ascii="Arial" w:cs="Arial" w:eastAsia="Arial" w:hAnsi="Arial"/>
          <w:sz w:val="18"/>
          <w:szCs w:val="18"/>
          <w:color w:val="auto"/>
        </w:rPr>
        <w:t>The following summarizes impairments of long-lived assets and related post-impairment fair value for the three months ended March 31,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spacing w:after="0"/>
              <w:rPr>
                <w:sz w:val="15"/>
                <w:szCs w:val="15"/>
                <w:color w:val="auto"/>
              </w:rPr>
            </w:pP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5"/>
                <w:szCs w:val="15"/>
                <w:color w:val="auto"/>
              </w:rPr>
            </w:pPr>
          </w:p>
        </w:tc>
        <w:tc>
          <w:tcPr>
            <w:tcW w:w="1220" w:type="dxa"/>
            <w:vAlign w:val="bottom"/>
          </w:tcPr>
          <w:p>
            <w:pPr>
              <w:jc w:val="right"/>
              <w:ind w:right="22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5"/>
                <w:szCs w:val="15"/>
                <w:color w:val="auto"/>
              </w:rPr>
            </w:pPr>
          </w:p>
        </w:tc>
        <w:tc>
          <w:tcPr>
            <w:tcW w:w="1240" w:type="dxa"/>
            <w:vAlign w:val="bottom"/>
          </w:tcPr>
          <w:p>
            <w:pPr>
              <w:jc w:val="right"/>
              <w:ind w:right="22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r>
      <w:tr>
        <w:trPr>
          <w:trHeight w:val="18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269.6</w:t>
            </w:r>
          </w:p>
        </w:tc>
      </w:tr>
    </w:tbl>
    <w:p>
      <w:pPr>
        <w:spacing w:after="0" w:line="16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Measured as of the impairment date using the income approach and a 10.8% risk-adjusted rate of interest, resulting in a Level 3 fair value measurement.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9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carrying amounts of cash and cash equivalents, trade receivables, accounts payable, short-term debt, commercial paper, debt associated with our bank borrowings, credit facilities, as well as amounts included in other current assets and other current liabilities that meet the definition of financial instruments, approximate fair value.</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Fair value of debt </w:t>
      </w:r>
      <w:r>
        <w:rPr>
          <w:rFonts w:ascii="Arial" w:cs="Arial" w:eastAsia="Arial" w:hAnsi="Arial"/>
          <w:sz w:val="18"/>
          <w:szCs w:val="18"/>
          <w:color w:val="auto"/>
        </w:rPr>
        <w:t>- We use a market approach to determine the fair value of our fixed-rate debt using observable market data, which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 a Level 2 fair value measurement. The estimated fair value of our private placement notes, senior notes and synthetic bonds was $2,097.3 million and $2,199.2 million as of March 31, 2021 and December 31, 2020, respectively.</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April 8, 2021, Pursuant to the “Share Purchase Agreement” with BPI, we refunded $100.0 million to BPI as a result of their revised level of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1" w:name="page32"/>
    <w:bookmarkEnd w:id="31"/>
    <w:p>
      <w:pPr>
        <w:ind w:right="40"/>
        <w:spacing w:after="0" w:line="256" w:lineRule="auto"/>
        <w:rPr>
          <w:sz w:val="20"/>
          <w:szCs w:val="20"/>
          <w:color w:val="auto"/>
        </w:rPr>
      </w:pPr>
      <w:r>
        <w:rPr>
          <w:rFonts w:ascii="Arial" w:cs="Arial" w:eastAsia="Arial" w:hAnsi="Arial"/>
          <w:sz w:val="18"/>
          <w:szCs w:val="18"/>
          <w:color w:val="auto"/>
        </w:rPr>
        <w:t>On April 27, 2021 we sold 25 million Technip Energies shares, representing 14% of Technip Energies’ share capital, through a private placement by way of an accelerated bookbuild offering (the “Placement”). The sale price of the shares in the Placement was set at €11.10 per share, yielding total gross proceeds of €277.5 million or $335.2 million.</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Concurrently with the Placement, Technip Energies purchased from TechnipFMC 1.8 million shares (equivalent to 1% of share capital) at €11.10 per share, corresponding to the price of the Placement (the “Concurrent Sale to Technip Energies”). The sale of shares to Technip Energies yielded total gross proceeds of €20.0 million or $24.2 million. This purchase was separate from the Placement.</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Upon completion of the Placement and the Concurrent Sale to Technip Energies, TechnipFMC retains a direct stake of 55.5 million shares, representing 31% of Technip Energies’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11" w:right="579" w:bottom="1440" w:gutter="0" w:footer="0" w:header="0"/>
        </w:sectPr>
      </w:pPr>
    </w:p>
    <w:bookmarkStart w:id="32" w:name="page33"/>
    <w:bookmarkEnd w:id="32"/>
    <w:p>
      <w:pPr>
        <w:ind w:right="128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Overall Outlook - T</w:t>
      </w:r>
      <w:r>
        <w:rPr>
          <w:rFonts w:ascii="Arial" w:cs="Arial" w:eastAsia="Arial" w:hAnsi="Arial"/>
          <w:sz w:val="18"/>
          <w:szCs w:val="18"/>
          <w:color w:val="auto"/>
        </w:rPr>
        <w:t>he short-term outlook for crude oil has improved. Economic activity continues to expand, driven by strong fiscal stimulus,</w:t>
      </w:r>
      <w:r>
        <w:rPr>
          <w:rFonts w:ascii="Arial" w:cs="Arial" w:eastAsia="Arial" w:hAnsi="Arial"/>
          <w:sz w:val="18"/>
          <w:szCs w:val="18"/>
          <w:i w:val="1"/>
          <w:iCs w:val="1"/>
          <w:color w:val="auto"/>
        </w:rPr>
        <w:t xml:space="preserve"> </w:t>
      </w:r>
      <w:r>
        <w:rPr>
          <w:rFonts w:ascii="Arial" w:cs="Arial" w:eastAsia="Arial" w:hAnsi="Arial"/>
          <w:sz w:val="18"/>
          <w:szCs w:val="18"/>
          <w:color w:val="auto"/>
        </w:rPr>
        <w:t>COVID vaccinations, and re-openings of local economies. Additionally, oil supply has been constrained due to the industry’s more disciplined capital spend, particularly for OPEC+ countries which appear to be focused on realizing a price that supports both economic growth and continued energy investment. These conditions could also provide greater price stability over the intermediate term.</w:t>
      </w:r>
    </w:p>
    <w:p>
      <w:pPr>
        <w:spacing w:after="0" w:line="22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Long-term demand for energy is forecasted to increase. Our conversations with clients remains constructive, and we believe the current outlook is providing them with the confidence to increase investments in new sources of oil and natural gas production.</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February 16, 2021, we completed the separation of the Technip Energies business segment. Subsequent to the Spin-off, we now operate under two reporting segments: Subsea and Surface Technologies. See Notes 2 and 11 for further details.</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 The volatile, and generally low crude oil price environment of the last several years led many of our customers to reduce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plans and defer new deepwater projects. The trajectory and pace of further recovery and expansion in the subsea market is subject to more stringent capital discipline and the allocation of capital our clients dedicate to developing offshore oil and gas fields among their entire portfolio of projects. The risk of project sanctioning delays still exists in the current environment; however, innovative approaches to subsea projects, like our iEPCI™ solution, have improved project economics, and many offshore discoveries can be developed economically at today’s crude oil prices. In the long-term, we believe deepwater development is expected to remain a significant part of many of our customers’ portfolios.</w:t>
      </w:r>
    </w:p>
    <w:p>
      <w:pPr>
        <w:spacing w:after="0" w:line="23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experienced renewed operator confidence in advancing subsea activity as a result of the improved economic outlook, lower market volatility and higher oil price. With crude now trending above $60 per barrel, the opportunity set of large subsea projects to be sanctioned over the next 24 months has expanded.</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Front-end engineering and design (“FEED”) activity continues to improve, with solid momentum experienced in the second half of 2020. FEED activity in the current year is expected to return to the more robust levels seen in 2019, which further supports our view of a sustainable recovery for deepwater. We expect at least 60% of the projects undergoing studies in 2021 to include an iEPCI™ solution, many of which could be directly awarded to our Company upon reaching final investment decision.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TechnipFMC is increasingly less dependent on larger, publicly tendered projects.</w:t>
      </w:r>
    </w:p>
    <w:p>
      <w:pPr>
        <w:spacing w:after="0" w:line="9" w:lineRule="exact"/>
        <w:rPr>
          <w:sz w:val="20"/>
          <w:szCs w:val="20"/>
          <w:color w:val="auto"/>
        </w:rPr>
      </w:pPr>
    </w:p>
    <w:p>
      <w:pPr>
        <w:ind w:left="660" w:right="120" w:hanging="323"/>
        <w:spacing w:after="0" w:line="261" w:lineRule="auto"/>
        <w:tabs>
          <w:tab w:leader="none" w:pos="640" w:val="left"/>
        </w:tabs>
        <w:rPr>
          <w:sz w:val="20"/>
          <w:szCs w:val="20"/>
          <w:color w:val="auto"/>
        </w:rPr>
      </w:pPr>
      <w:r>
        <w:rPr>
          <w:rFonts w:ascii="Arial" w:cs="Arial" w:eastAsia="Arial" w:hAnsi="Arial"/>
          <w:sz w:val="18"/>
          <w:szCs w:val="18"/>
          <w:color w:val="auto"/>
        </w:rPr>
        <w:t>•</w:t>
        <w:tab/>
        <w:t>We anticipate that an increasing share of our inbound orders will result from projects that will be directly awarded to our Company, many of which may come from our alliance partners;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anticipate higher activity in subsea services, with the industry’s largest installed base; and</w:t>
      </w:r>
    </w:p>
    <w:p>
      <w:pPr>
        <w:spacing w:after="0" w:line="252"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a higher mix of EPCI™ project awards, demonstrating strong geographic diversity and new adopters of our unique, integrated approach to subsea development.</w:t>
      </w:r>
    </w:p>
    <w:p>
      <w:pPr>
        <w:spacing w:after="0" w:line="22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For the remainder of 2021, we believe that Subsea inbound orders will exceed the $4 billion achieved in 2020. We expect Brazil to be the most active region of the world for new project orders, driven by continued investment in the pre-salt field discoveries. We anticipate additional market growth potential coming from the North Sea, Asia Pacific and Africa. The strong front end activity we are experiencing today should further support project award momentum into 2022.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3" w:name="page34"/>
    <w:bookmarkEnd w:id="33"/>
    <w:p>
      <w:pPr>
        <w:jc w:val="both"/>
        <w:ind w:right="520"/>
        <w:spacing w:after="0" w:line="266"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Surface Technologies’ performance is typically driven by variations in global drilling activity, creating a dynamic</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Operating results can be further impacted by stimulation activity and the completions intensity of shale applications in the Americas.</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North America shale market is sensitive to oil price fluctuations. The rig count exited 2020 below prior year-end levels but increased in the first quarter of 2021.</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2021, we expect our completions-related revenue to outperform the overall market, driven by increased market adoption of iComplete™ – our fully integrated, digitally enabled pressure control system. iComplete™ has already achieved significant market penetration since its introduction in the third quarter of 2020, with more than 10 customers utilizing the new integrated system.</w:t>
      </w:r>
    </w:p>
    <w:p>
      <w:pPr>
        <w:spacing w:after="0" w:line="22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Drilling activity in international markets is less cyclical than North America as most activity is driven by national oil companies, which tend to maintain a longer term view that exhibits less variability in capital spend. Additionally, we continue to benefit from our exposure to the Middle East and Asia Pacific, both of which are being supported by strong gas-related activity.</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recent years, our international revenue has become a greater proportion of total segment revenue. We expect a gradual and steady recovery in well count in 2021 to drive modest international market growth, with spending increases led by national oil companies, particularly in the Middle East.</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unique capabilities in the international markets, which demand higher specification equipment, global services and local content, provide a platform for us to extend our leadership positions. We remain levered to these more resilient markets where we expect to source approximately 65% of our full year Surface Technologies revenue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1,632.0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1,582.6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1,441.2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1,404.1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16)</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3,199.1</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1,630.8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4,823.9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(3,193.1)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(66.2)</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550.6</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Income from investment in Technip Energies (Note 11)</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gridSpan w:val="3"/>
          </w:tcPr>
          <w:p>
            <w:pPr>
              <w:ind w:left="1100"/>
              <w:spacing w:after="0"/>
              <w:rPr>
                <w:sz w:val="20"/>
                <w:szCs w:val="20"/>
                <w:color w:val="auto"/>
              </w:rPr>
            </w:pPr>
            <w:r>
              <w:rPr>
                <w:rFonts w:ascii="Arial" w:cs="Arial" w:eastAsia="Arial" w:hAnsi="Arial"/>
                <w:sz w:val="14"/>
                <w:szCs w:val="14"/>
                <w:color w:val="auto"/>
              </w:rPr>
              <w:t>n/a</w:t>
            </w:r>
          </w:p>
        </w:tc>
        <w:tc>
          <w:tcPr>
            <w:tcW w:w="9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ind w:left="1100"/>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(3,251.1)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114.0</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(benefit) for income taxes (Note 18)</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205.6</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113.4</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from continuing operations attributable to non-controlling interests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73.9</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attributable to TechnipFMC plc</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w:t>
            </w:r>
          </w:p>
        </w:tc>
      </w:tr>
      <w:tr>
        <w:trPr>
          <w:trHeight w:val="189"/>
        </w:trPr>
        <w:tc>
          <w:tcPr>
            <w:tcW w:w="5620" w:type="dxa"/>
            <w:vAlign w:val="bottom"/>
          </w:tcPr>
          <w:p>
            <w:pPr>
              <w:ind w:left="240"/>
              <w:spacing w:after="0"/>
              <w:rPr>
                <w:sz w:val="20"/>
                <w:szCs w:val="20"/>
                <w:color w:val="auto"/>
              </w:rPr>
            </w:pPr>
            <w:r>
              <w:rPr>
                <w:rFonts w:ascii="Arial" w:cs="Arial" w:eastAsia="Arial" w:hAnsi="Arial"/>
                <w:sz w:val="14"/>
                <w:szCs w:val="14"/>
                <w:color w:val="auto"/>
              </w:rPr>
              <w:t>Income (loss) from discontinued operations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(238.2)</w:t>
            </w:r>
          </w:p>
        </w:tc>
      </w:tr>
      <w:tr>
        <w:trPr>
          <w:trHeight w:val="189"/>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3,624.3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Revenue increased $49.4 million during the three months ended March 31, 2021, compared to the same period in 2020. Subsea revenue increased year-over-year primarily, due to increased project and services activity. This increase was offset by a decrease in revenue in our Surface Technologies segment, primarily as a result of the significant decline in operator activity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(revenue less cost of sales) as a percentage of sales increased to 11.7% during the three months ended March 31, 2021, compared to 11.3% in the prior-year period. Subsea gross profit as a percentage of sales increased due to stronger operational performance and from lower operating costs. Surface Technologies gross profit as a percentage of sales increased year-over-year despite lower sales volume due to improved execution and benefits from prior year cost reduction.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Selling, general and administrative expense decreased $47.7 million year-over-year, primarily as a result of decreased expenses associated with our support functions. During the first half of 2020, in response to a deteriorated market environment driven in part by the COVID-19 pandemic, we implemented a series of cost reduction initiatives that resulted in significant savings and extended to all business segments and support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incurred $25.5 million of restructuring, impairment and other charges during the three months ended March 31, 2021 compared to</w:t>
      </w:r>
    </w:p>
    <w:p>
      <w:pPr>
        <w:ind w:right="360"/>
        <w:spacing w:after="0" w:line="246" w:lineRule="auto"/>
        <w:rPr>
          <w:sz w:val="20"/>
          <w:szCs w:val="20"/>
          <w:color w:val="auto"/>
        </w:rPr>
      </w:pPr>
      <w:r>
        <w:rPr>
          <w:rFonts w:ascii="Arial" w:cs="Arial" w:eastAsia="Arial" w:hAnsi="Arial"/>
          <w:sz w:val="18"/>
          <w:szCs w:val="18"/>
          <w:color w:val="auto"/>
        </w:rPr>
        <w:t>$3,199.1 million of restructuring, impairment and other charges incurred during the three months ended March 31, 2020. See Note 16 for further details.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and other non-operating gains and losses. During the three months ended March 31, 2021, we recognized $35.6 million of other income, which primarily included $28.1 million of net foreign exchange gains. During the three months ended March 31, 2020, we recognized $7.9 million of other expenses, which primarily included $23.1 million of net foreign exchange losses. The change in foreign exchange gains and losses is primarily due to foreign exchange gains from unhedged currencies and the effects of a stronger U.S. dollar on naturally hedged projects.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Investment in Technip Energies</w:t>
      </w:r>
    </w:p>
    <w:p>
      <w:pPr>
        <w:spacing w:after="0" w:line="2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three months ended March 31, 2021, we recorded $470.1 million as income from our investment in Technip Energies. The amount recognized was comprised of purchase price discount on sale of shares to BPI and a fair value revaluation gain of our investment. See Note 11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interest expense of $34.5 million increased $11.5 million in the three months ended March 31, 2021, compared to the same period in 2020, primarily due to higher interest expense associated with the $1.0 billion senior notes issued during the three months ended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8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provision for income taxes for the three months ended March 31, 2021 and 2020 reflected effective tax rates of 5.4% and 0.7%, respectively. The year-over-year change in the effective tax rate was primarily due to the impact of nondeductible goodwill impairments, offset in part by the reduced impact of losses in jurisdictions with a full valuation allowance and a favorable change in the forecasted earnings mix.</w:t>
      </w:r>
    </w:p>
    <w:p>
      <w:pPr>
        <w:spacing w:after="0" w:line="21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Discontinued Operations</w:t>
      </w:r>
    </w:p>
    <w:p>
      <w:pPr>
        <w:spacing w:after="0" w:line="261" w:lineRule="exact"/>
        <w:rPr>
          <w:sz w:val="20"/>
          <w:szCs w:val="20"/>
          <w:color w:val="auto"/>
        </w:rPr>
      </w:pPr>
    </w:p>
    <w:p>
      <w:pPr>
        <w:ind w:right="120"/>
        <w:spacing w:after="0"/>
        <w:rPr>
          <w:sz w:val="20"/>
          <w:szCs w:val="20"/>
          <w:color w:val="auto"/>
        </w:rPr>
      </w:pPr>
      <w:r>
        <w:rPr>
          <w:rFonts w:ascii="Arial" w:cs="Arial" w:eastAsia="Arial" w:hAnsi="Arial"/>
          <w:sz w:val="18"/>
          <w:szCs w:val="18"/>
          <w:color w:val="222222"/>
        </w:rPr>
        <w:t xml:space="preserve">Income (loss) from discontinued operations, net of income taxes was $(60.2) million and $17.8 million for the </w:t>
      </w:r>
      <w:r>
        <w:rPr>
          <w:rFonts w:ascii="Arial" w:cs="Arial" w:eastAsia="Arial" w:hAnsi="Arial"/>
          <w:sz w:val="18"/>
          <w:szCs w:val="18"/>
          <w:color w:val="000000"/>
        </w:rPr>
        <w:t>three months ended March 31,</w:t>
      </w:r>
      <w:r>
        <w:rPr>
          <w:rFonts w:ascii="Arial" w:cs="Arial" w:eastAsia="Arial" w:hAnsi="Arial"/>
          <w:sz w:val="18"/>
          <w:szCs w:val="18"/>
          <w:color w:val="222222"/>
        </w:rPr>
        <w:t xml:space="preserve"> 2021 and 2020, respectively. Income (loss) from discontinued operations included results for Technip Energies, which was spun-off on February 16, 2021. See Note 2 for further details.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1,386.5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1,253.1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(2,750.7)</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2,787.7</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101.3</w:t>
            </w:r>
          </w:p>
        </w:tc>
      </w:tr>
      <w:tr>
        <w:trPr>
          <w:trHeight w:val="257"/>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222.2 pts.</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Subsea revenue increased $133.4 million, or 10.6%, year-over-year, primarily due to higher project and services activity.</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Subsea operating profit for the three months ended March 31, 2021 improved versus the prior year, primarily due to the significant reduction in non-cash impairment charges as well as benefits from prior year cost reduction activities and increased installation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ind w:left="400"/>
              <w:spacing w:after="0"/>
              <w:rPr>
                <w:sz w:val="20"/>
                <w:szCs w:val="20"/>
                <w:color w:val="auto"/>
              </w:rPr>
            </w:pPr>
            <w:r>
              <w:rPr>
                <w:rFonts w:ascii="Arial" w:cs="Arial" w:eastAsia="Arial" w:hAnsi="Arial"/>
                <w:sz w:val="14"/>
                <w:szCs w:val="14"/>
                <w:color w:val="auto"/>
              </w:rPr>
              <w:t>(424.0)</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432.2</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101.9</w:t>
            </w:r>
          </w:p>
        </w:tc>
      </w:tr>
      <w:tr>
        <w:trPr>
          <w:trHeight w:val="257"/>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ind w:left="400"/>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132.0 pts.</w:t>
            </w:r>
          </w:p>
        </w:tc>
      </w:tr>
    </w:tbl>
    <w:p>
      <w:pPr>
        <w:spacing w:after="0" w:line="21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Surface Technologies revenue decreased $84.0 million, or 25.5%, year-over-year, primarily driven by the significant reduction in operator activity in North America. Revenue outside of North America displayed resilience. Nearly 70% of total segment revenue was generated outside of North America in the period.</w:t>
      </w:r>
    </w:p>
    <w:p>
      <w:pPr>
        <w:spacing w:after="0" w:line="148"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Surface Technologies operating profit improved versus the prior year, primarily due to the significant reduction in non-cash impairment charges as well as improvements in execution, benefits from prior year cost reduction initiatives and ongoing cost control measures.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 remained flat year-over-year.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36" w:lineRule="exact"/>
        <w:rPr>
          <w:sz w:val="20"/>
          <w:szCs w:val="20"/>
          <w:color w:val="auto"/>
        </w:rPr>
      </w:pPr>
    </w:p>
    <w:p>
      <w:pPr>
        <w:ind w:left="660" w:right="520" w:hanging="324"/>
        <w:spacing w:after="0" w:line="250" w:lineRule="auto"/>
        <w:rPr>
          <w:sz w:val="20"/>
          <w:szCs w:val="20"/>
          <w:color w:val="auto"/>
        </w:rPr>
      </w:pPr>
      <w:r>
        <w:rPr>
          <w:rFonts w:ascii="Arial" w:cs="Arial" w:eastAsia="Arial" w:hAnsi="Arial"/>
          <w:sz w:val="18"/>
          <w:szCs w:val="18"/>
          <w:color w:val="auto"/>
        </w:rPr>
        <w:t>– Income from continuing operations, excluding charges and credits, as well as measures derived from it (excluding charges and credits;</w:t>
      </w:r>
    </w:p>
    <w:p>
      <w:pPr>
        <w:ind w:left="340"/>
        <w:spacing w:after="0"/>
        <w:rPr>
          <w:sz w:val="20"/>
          <w:szCs w:val="20"/>
          <w:color w:val="auto"/>
        </w:rPr>
      </w:pPr>
      <w:r>
        <w:rPr>
          <w:rFonts w:ascii="Arial" w:cs="Arial" w:eastAsia="Arial" w:hAnsi="Arial"/>
          <w:sz w:val="18"/>
          <w:szCs w:val="18"/>
          <w:color w:val="auto"/>
        </w:rPr>
        <w:t>–  Income before net interest expense and taxes, excluding charges and credits ("Adjusted Operating profit");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9" w:lineRule="exact"/>
        <w:rPr>
          <w:sz w:val="20"/>
          <w:szCs w:val="20"/>
          <w:color w:val="auto"/>
        </w:rPr>
      </w:pPr>
    </w:p>
    <w:p>
      <w:pPr>
        <w:ind w:left="660" w:right="680" w:hanging="324"/>
        <w:spacing w:after="0" w:line="250"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w:t>
      </w:r>
    </w:p>
    <w:p>
      <w:pPr>
        <w:ind w:left="340"/>
        <w:spacing w:after="0"/>
        <w:rPr>
          <w:sz w:val="20"/>
          <w:szCs w:val="20"/>
          <w:color w:val="auto"/>
        </w:rPr>
      </w:pPr>
      <w:r>
        <w:rPr>
          <w:rFonts w:ascii="Arial" w:cs="Arial" w:eastAsia="Arial" w:hAnsi="Arial"/>
          <w:sz w:val="18"/>
          <w:szCs w:val="18"/>
          <w:color w:val="auto"/>
        </w:rPr>
        <w:t>–  Corporate expenses excluding charges and credits and foreign exchange impacts;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cash.</w:t>
      </w:r>
    </w:p>
    <w:p>
      <w:pPr>
        <w:spacing w:after="0" w:line="6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March 31, 2021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220" w:type="dxa"/>
            <w:vAlign w:val="bottom"/>
          </w:tcPr>
          <w:p>
            <w:pPr>
              <w:spacing w:after="0"/>
              <w:rPr>
                <w:sz w:val="8"/>
                <w:szCs w:val="8"/>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9"/>
              </w:rPr>
              <w:t>Income (loss) from</w:t>
            </w: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8"/>
              </w:rPr>
              <w:t>Income attributable</w:t>
            </w: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Income (loss)</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w w:val="98"/>
              </w:rPr>
              <w:t>Earnings before net</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Net interest expense</w:t>
            </w: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7"/>
              </w:rPr>
              <w:t>interest expense,</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continuing</w:t>
            </w:r>
          </w:p>
        </w:tc>
        <w:tc>
          <w:tcPr>
            <w:tcW w:w="11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to non-controlling</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before net interest</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8"/>
              </w:rPr>
              <w:t>income taxes,</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operations</w:t>
            </w: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interest from</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9"/>
              </w:rPr>
              <w:t>Provision (benefit)</w:t>
            </w:r>
          </w:p>
        </w:tc>
        <w:tc>
          <w:tcPr>
            <w:tcW w:w="80" w:type="dxa"/>
            <w:vAlign w:val="bottom"/>
          </w:tcPr>
          <w:p>
            <w:pPr>
              <w:spacing w:after="0"/>
              <w:rPr>
                <w:sz w:val="9"/>
                <w:szCs w:val="9"/>
                <w:color w:val="auto"/>
              </w:rPr>
            </w:pPr>
          </w:p>
        </w:tc>
        <w:tc>
          <w:tcPr>
            <w:tcW w:w="11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7"/>
              </w:rPr>
              <w:t>and loss on early</w:t>
            </w: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expense and</w:t>
            </w:r>
          </w:p>
        </w:tc>
        <w:tc>
          <w:tcPr>
            <w:tcW w:w="8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Depreciation and</w:t>
            </w:r>
          </w:p>
        </w:tc>
        <w:tc>
          <w:tcPr>
            <w:tcW w:w="80" w:type="dxa"/>
            <w:vAlign w:val="bottom"/>
          </w:tcPr>
          <w:p>
            <w:pPr>
              <w:spacing w:after="0"/>
              <w:rPr>
                <w:sz w:val="9"/>
                <w:szCs w:val="9"/>
                <w:color w:val="auto"/>
              </w:rPr>
            </w:pPr>
          </w:p>
        </w:tc>
        <w:tc>
          <w:tcPr>
            <w:tcW w:w="9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7"/>
              </w:rPr>
              <w:t>depreciation and</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140" w:type="dxa"/>
            <w:vAlign w:val="bottom"/>
          </w:tcPr>
          <w:p>
            <w:pPr>
              <w:spacing w:after="0"/>
              <w:rPr>
                <w:sz w:val="9"/>
                <w:szCs w:val="9"/>
                <w:color w:val="auto"/>
              </w:rPr>
            </w:pPr>
          </w:p>
        </w:tc>
        <w:tc>
          <w:tcPr>
            <w:tcW w:w="10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continuing</w:t>
            </w:r>
          </w:p>
        </w:tc>
        <w:tc>
          <w:tcPr>
            <w:tcW w:w="11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7"/>
              </w:rPr>
              <w:t>extinguishment of</w:t>
            </w: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rPr>
              <w:t>income taxes</w:t>
            </w: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7"/>
              </w:rPr>
              <w:t>amortization</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TechnipFMC plc</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operations</w:t>
            </w:r>
          </w:p>
        </w:tc>
        <w:tc>
          <w:tcPr>
            <w:tcW w:w="8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for income taxes</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debt</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(Operating profit)</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amortization</w:t>
            </w:r>
          </w:p>
        </w:tc>
        <w:tc>
          <w:tcPr>
            <w:tcW w:w="80" w:type="dxa"/>
            <w:vAlign w:val="bottom"/>
          </w:tcPr>
          <w:p>
            <w:pPr>
              <w:spacing w:after="0"/>
              <w:rPr>
                <w:sz w:val="12"/>
                <w:szCs w:val="12"/>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TechnipFMC plc, as reported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430.3</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514.6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609.8</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Charges and (credits):</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20" w:type="dxa"/>
            <w:vAlign w:val="bottom"/>
          </w:tcPr>
          <w:p>
            <w:pPr>
              <w:ind w:left="220"/>
              <w:spacing w:after="0"/>
              <w:rPr>
                <w:sz w:val="20"/>
                <w:szCs w:val="20"/>
                <w:color w:val="auto"/>
              </w:rPr>
            </w:pPr>
            <w:r>
              <w:rPr>
                <w:rFonts w:ascii="Arial" w:cs="Arial" w:eastAsia="Arial" w:hAnsi="Arial"/>
                <w:sz w:val="11"/>
                <w:szCs w:val="11"/>
                <w:color w:val="auto"/>
              </w:rPr>
              <w:t>Impairment and other charges</w:t>
            </w:r>
          </w:p>
        </w:tc>
        <w:tc>
          <w:tcPr>
            <w:tcW w:w="10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Restructuring and other charges</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0"/>
        </w:trPr>
        <w:tc>
          <w:tcPr>
            <w:tcW w:w="3220" w:type="dxa"/>
            <w:vAlign w:val="bottom"/>
          </w:tcPr>
          <w:p>
            <w:pPr>
              <w:ind w:left="220"/>
              <w:spacing w:after="0"/>
              <w:rPr>
                <w:sz w:val="20"/>
                <w:szCs w:val="20"/>
                <w:color w:val="auto"/>
              </w:rPr>
            </w:pPr>
            <w:r>
              <w:rPr>
                <w:rFonts w:ascii="Arial" w:cs="Arial" w:eastAsia="Arial" w:hAnsi="Arial"/>
                <w:sz w:val="11"/>
                <w:szCs w:val="11"/>
                <w:color w:val="auto"/>
              </w:rPr>
              <w:t>(Income) loss from investment in Technip Energies</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(470.1)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(470.1)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(470.1)</w:t>
            </w:r>
          </w:p>
        </w:tc>
        <w:tc>
          <w:tcPr>
            <w:tcW w:w="0" w:type="dxa"/>
            <w:vAlign w:val="bottom"/>
          </w:tcPr>
          <w:p>
            <w:pPr>
              <w:spacing w:after="0"/>
              <w:rPr>
                <w:sz w:val="1"/>
                <w:szCs w:val="1"/>
                <w:color w:val="auto"/>
              </w:rPr>
            </w:pPr>
          </w:p>
        </w:tc>
      </w:tr>
      <w:tr>
        <w:trPr>
          <w:trHeight w:val="22"/>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financial measures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58.0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95.2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165.2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2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Diluted earnings (loss) per share from continuing operations</w:t>
            </w: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attributable to TechnipFMC plc, as reported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0.95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20" w:type="dxa"/>
            <w:vAlign w:val="bottom"/>
          </w:tcPr>
          <w:p>
            <w:pPr>
              <w:ind w:left="20"/>
              <w:spacing w:after="0" w:line="119" w:lineRule="exact"/>
              <w:rPr>
                <w:sz w:val="20"/>
                <w:szCs w:val="20"/>
                <w:color w:val="auto"/>
              </w:rPr>
            </w:pPr>
            <w:r>
              <w:rPr>
                <w:rFonts w:ascii="Arial" w:cs="Arial" w:eastAsia="Arial" w:hAnsi="Arial"/>
                <w:sz w:val="11"/>
                <w:szCs w:val="11"/>
                <w:color w:val="auto"/>
              </w:rPr>
              <w:t>Adjusted diluted earnings per share from continuing operations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220" w:type="dxa"/>
            <w:vAlign w:val="bottom"/>
          </w:tcPr>
          <w:p>
            <w:pPr>
              <w:ind w:left="20"/>
              <w:spacing w:after="0"/>
              <w:rPr>
                <w:sz w:val="20"/>
                <w:szCs w:val="20"/>
                <w:color w:val="auto"/>
              </w:rPr>
            </w:pPr>
            <w:r>
              <w:rPr>
                <w:rFonts w:ascii="Arial" w:cs="Arial" w:eastAsia="Arial" w:hAnsi="Arial"/>
                <w:sz w:val="11"/>
                <w:szCs w:val="11"/>
                <w:color w:val="auto"/>
              </w:rPr>
              <w:t>attributable to TechnipFMC plc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(0.03)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1"/>
          <w:szCs w:val="11"/>
          <w:color w:val="auto"/>
        </w:rPr>
        <w:t>TechnipFMC plc, as reported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1"/>
          <w:szCs w:val="11"/>
          <w:color w:val="auto"/>
        </w:rPr>
        <w:t>Charges and (credits):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Impairment and other charges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Restructuring and other charges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Direct COVID-19 expenses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Purchase price accounting adjustment</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1"/>
          <w:szCs w:val="11"/>
          <w:color w:val="auto"/>
        </w:rPr>
        <w:t>Adjusted financial measures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1"/>
          <w:szCs w:val="11"/>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5066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March 31, 2020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14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9"/>
              </w:rPr>
              <w:t>Income (loss) from</w:t>
            </w:r>
          </w:p>
        </w:tc>
        <w:tc>
          <w:tcPr>
            <w:tcW w:w="116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8"/>
              </w:rPr>
              <w:t>Income attributable</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Income (loss)</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22" w:lineRule="exact"/>
              <w:rPr>
                <w:sz w:val="20"/>
                <w:szCs w:val="20"/>
                <w:color w:val="auto"/>
              </w:rPr>
            </w:pPr>
            <w:r>
              <w:rPr>
                <w:rFonts w:ascii="Arial" w:cs="Arial" w:eastAsia="Arial" w:hAnsi="Arial"/>
                <w:sz w:val="11"/>
                <w:szCs w:val="11"/>
                <w:b w:val="1"/>
                <w:bCs w:val="1"/>
                <w:color w:val="auto"/>
                <w:w w:val="96"/>
              </w:rPr>
              <w:t>Earnings before net</w:t>
            </w:r>
          </w:p>
        </w:tc>
        <w:tc>
          <w:tcPr>
            <w:tcW w:w="0" w:type="dxa"/>
            <w:vAlign w:val="bottom"/>
          </w:tcPr>
          <w:p>
            <w:pPr>
              <w:spacing w:after="0"/>
              <w:rPr>
                <w:sz w:val="1"/>
                <w:szCs w:val="1"/>
                <w:color w:val="auto"/>
              </w:rPr>
            </w:pPr>
          </w:p>
        </w:tc>
      </w:tr>
      <w:tr>
        <w:trPr>
          <w:trHeight w:val="108"/>
        </w:trPr>
        <w:tc>
          <w:tcPr>
            <w:tcW w:w="114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7"/>
              </w:rPr>
              <w:t>interest expense,</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0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continuing</w:t>
            </w:r>
          </w:p>
        </w:tc>
        <w:tc>
          <w:tcPr>
            <w:tcW w:w="11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to non-controlling</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97"/>
              </w:rPr>
              <w:t>before net interest</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8"/>
              </w:rPr>
              <w:t>income taxes,</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0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operations</w:t>
            </w: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interest from</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9"/>
              </w:rPr>
              <w:t>Provision (benefit)</w:t>
            </w:r>
          </w:p>
        </w:tc>
        <w:tc>
          <w:tcPr>
            <w:tcW w:w="16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5"/>
              </w:rPr>
              <w:t>Net interest</w:t>
            </w:r>
          </w:p>
        </w:tc>
        <w:tc>
          <w:tcPr>
            <w:tcW w:w="80" w:type="dxa"/>
            <w:vAlign w:val="bottom"/>
          </w:tcPr>
          <w:p>
            <w:pPr>
              <w:spacing w:after="0"/>
              <w:rPr>
                <w:sz w:val="9"/>
                <w:szCs w:val="9"/>
                <w:color w:val="auto"/>
              </w:rPr>
            </w:pPr>
          </w:p>
        </w:tc>
        <w:tc>
          <w:tcPr>
            <w:tcW w:w="10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expense and</w:t>
            </w:r>
          </w:p>
        </w:tc>
        <w:tc>
          <w:tcPr>
            <w:tcW w:w="80" w:type="dxa"/>
            <w:vAlign w:val="bottom"/>
          </w:tcPr>
          <w:p>
            <w:pPr>
              <w:spacing w:after="0"/>
              <w:rPr>
                <w:sz w:val="9"/>
                <w:szCs w:val="9"/>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8"/>
              </w:rPr>
              <w:t>Depreciation and</w:t>
            </w: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9"/>
              </w:rPr>
              <w:t>depreciation and</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attributable to</w:t>
            </w:r>
          </w:p>
        </w:tc>
        <w:tc>
          <w:tcPr>
            <w:tcW w:w="140" w:type="dxa"/>
            <w:vAlign w:val="bottom"/>
          </w:tcPr>
          <w:p>
            <w:pPr>
              <w:spacing w:after="0"/>
              <w:rPr>
                <w:sz w:val="9"/>
                <w:szCs w:val="9"/>
                <w:color w:val="auto"/>
              </w:rPr>
            </w:pPr>
          </w:p>
        </w:tc>
        <w:tc>
          <w:tcPr>
            <w:tcW w:w="10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continuing</w:t>
            </w:r>
          </w:p>
        </w:tc>
        <w:tc>
          <w:tcPr>
            <w:tcW w:w="11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7"/>
              </w:rPr>
              <w:t>income taxes</w:t>
            </w: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7"/>
              </w:rPr>
              <w:t>amortization</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TechnipFMC plc</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operations</w:t>
            </w:r>
          </w:p>
        </w:tc>
        <w:tc>
          <w:tcPr>
            <w:tcW w:w="8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for income taxes</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expense</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(Operating profit)</w:t>
            </w:r>
          </w:p>
        </w:tc>
        <w:tc>
          <w:tcPr>
            <w:tcW w:w="8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(3,234.8)</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(3,228.1)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108.7</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(3,119.4)</w:t>
            </w: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3,159.9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3,188.0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3,188.0</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(60.0)</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100.2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79.7</w:t>
            </w:r>
          </w:p>
        </w:tc>
        <w:tc>
          <w:tcPr>
            <w:tcW w:w="0" w:type="dxa"/>
            <w:vAlign w:val="bottom"/>
          </w:tcPr>
          <w:p>
            <w:pPr>
              <w:spacing w:after="0"/>
              <w:rPr>
                <w:sz w:val="1"/>
                <w:szCs w:val="1"/>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-873760</wp:posOffset>
            </wp:positionV>
            <wp:extent cx="7132320" cy="111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-659130</wp:posOffset>
            </wp:positionV>
            <wp:extent cx="71323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-453390</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-247650</wp:posOffset>
            </wp:positionV>
            <wp:extent cx="71323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40" w:space="720"/>
            <w:col w:w="7980"/>
          </w:cols>
          <w:pgMar w:left="320" w:top="1258"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3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560" w:type="dxa"/>
            <w:vAlign w:val="bottom"/>
            <w:shd w:val="clear" w:color="auto" w:fill="CCEEFF"/>
          </w:tcPr>
          <w:p>
            <w:pPr>
              <w:spacing w:after="0"/>
              <w:rPr>
                <w:sz w:val="19"/>
                <w:szCs w:val="19"/>
                <w:color w:val="auto"/>
              </w:rPr>
            </w:pPr>
          </w:p>
        </w:tc>
      </w:tr>
      <w:tr>
        <w:trPr>
          <w:trHeight w:val="118"/>
        </w:trPr>
        <w:tc>
          <w:tcPr>
            <w:tcW w:w="3160" w:type="dxa"/>
            <w:vAlign w:val="bottom"/>
          </w:tcPr>
          <w:p>
            <w:pPr>
              <w:ind w:left="20"/>
              <w:spacing w:after="0" w:line="119" w:lineRule="exact"/>
              <w:rPr>
                <w:sz w:val="20"/>
                <w:szCs w:val="20"/>
                <w:color w:val="auto"/>
              </w:rPr>
            </w:pPr>
            <w:r>
              <w:rPr>
                <w:rFonts w:ascii="Arial" w:cs="Arial" w:eastAsia="Arial" w:hAnsi="Arial"/>
                <w:sz w:val="11"/>
                <w:szCs w:val="11"/>
                <w:color w:val="auto"/>
              </w:rPr>
              <w:t>Diluted earnings (loss) per share from continuing operations</w:t>
            </w:r>
          </w:p>
        </w:tc>
        <w:tc>
          <w:tcPr>
            <w:tcW w:w="520" w:type="dxa"/>
            <w:vAlign w:val="bottom"/>
          </w:tcPr>
          <w:p>
            <w:pPr>
              <w:spacing w:after="0"/>
              <w:rPr>
                <w:sz w:val="10"/>
                <w:szCs w:val="10"/>
                <w:color w:val="auto"/>
              </w:rPr>
            </w:pPr>
          </w:p>
        </w:tc>
        <w:tc>
          <w:tcPr>
            <w:tcW w:w="7560" w:type="dxa"/>
            <w:vAlign w:val="bottom"/>
          </w:tcPr>
          <w:p>
            <w:pPr>
              <w:spacing w:after="0"/>
              <w:rPr>
                <w:sz w:val="10"/>
                <w:szCs w:val="10"/>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11"/>
                <w:szCs w:val="11"/>
                <w:color w:val="auto"/>
              </w:rPr>
              <w:t>attributable to TechnipFMC plc, as reported</w:t>
            </w:r>
          </w:p>
        </w:tc>
        <w:tc>
          <w:tcPr>
            <w:tcW w:w="52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7560" w:type="dxa"/>
            <w:vAlign w:val="bottom"/>
          </w:tcPr>
          <w:p>
            <w:pPr>
              <w:jc w:val="right"/>
              <w:ind w:right="6906"/>
              <w:spacing w:after="0"/>
              <w:rPr>
                <w:sz w:val="20"/>
                <w:szCs w:val="20"/>
                <w:color w:val="auto"/>
              </w:rPr>
            </w:pPr>
            <w:r>
              <w:rPr>
                <w:rFonts w:ascii="Arial" w:cs="Arial" w:eastAsia="Arial" w:hAnsi="Arial"/>
                <w:sz w:val="11"/>
                <w:szCs w:val="11"/>
                <w:color w:val="auto"/>
              </w:rPr>
              <w:t>(7.23)</w:t>
            </w:r>
          </w:p>
        </w:tc>
      </w:tr>
      <w:tr>
        <w:trPr>
          <w:trHeight w:val="22"/>
        </w:trPr>
        <w:tc>
          <w:tcPr>
            <w:tcW w:w="3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118"/>
        </w:trPr>
        <w:tc>
          <w:tcPr>
            <w:tcW w:w="31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Adjusted diluted earnings per share from continuing operations</w:t>
            </w:r>
          </w:p>
        </w:tc>
        <w:tc>
          <w:tcPr>
            <w:tcW w:w="520" w:type="dxa"/>
            <w:vAlign w:val="bottom"/>
            <w:shd w:val="clear" w:color="auto" w:fill="CCEEFF"/>
          </w:tcPr>
          <w:p>
            <w:pPr>
              <w:spacing w:after="0"/>
              <w:rPr>
                <w:sz w:val="10"/>
                <w:szCs w:val="10"/>
                <w:color w:val="auto"/>
              </w:rPr>
            </w:pPr>
          </w:p>
        </w:tc>
        <w:tc>
          <w:tcPr>
            <w:tcW w:w="7560" w:type="dxa"/>
            <w:vAlign w:val="bottom"/>
            <w:shd w:val="clear" w:color="auto" w:fill="CCEEFF"/>
          </w:tcPr>
          <w:p>
            <w:pPr>
              <w:spacing w:after="0"/>
              <w:rPr>
                <w:sz w:val="10"/>
                <w:szCs w:val="10"/>
                <w:color w:val="auto"/>
              </w:rPr>
            </w:pPr>
          </w:p>
        </w:tc>
      </w:tr>
      <w:tr>
        <w:trPr>
          <w:trHeight w:val="130"/>
        </w:trPr>
        <w:tc>
          <w:tcPr>
            <w:tcW w:w="3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attributable to TechnipFMC plc</w:t>
            </w:r>
          </w:p>
        </w:tc>
        <w:tc>
          <w:tcPr>
            <w:tcW w:w="5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w:t>
            </w:r>
          </w:p>
        </w:tc>
        <w:tc>
          <w:tcPr>
            <w:tcW w:w="7560" w:type="dxa"/>
            <w:vAlign w:val="bottom"/>
            <w:shd w:val="clear" w:color="auto" w:fill="CCEEFF"/>
          </w:tcPr>
          <w:p>
            <w:pPr>
              <w:jc w:val="right"/>
              <w:ind w:right="6906"/>
              <w:spacing w:after="0"/>
              <w:rPr>
                <w:sz w:val="20"/>
                <w:szCs w:val="20"/>
                <w:color w:val="auto"/>
              </w:rPr>
            </w:pPr>
            <w:r>
              <w:rPr>
                <w:rFonts w:ascii="Arial" w:cs="Arial" w:eastAsia="Arial" w:hAnsi="Arial"/>
                <w:sz w:val="11"/>
                <w:szCs w:val="11"/>
                <w:color w:val="auto"/>
              </w:rPr>
              <w:t>(0.13)</w:t>
            </w:r>
          </w:p>
        </w:tc>
      </w:tr>
      <w:tr>
        <w:trPr>
          <w:trHeight w:val="22"/>
        </w:trPr>
        <w:tc>
          <w:tcPr>
            <w:tcW w:w="3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type w:val="continuous"/>
        </w:sectPr>
      </w:pPr>
    </w:p>
    <w:bookmarkStart w:id="39" w:name="page40"/>
    <w:bookmarkEnd w:id="39"/>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Surface</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Exchange, net</w:t>
            </w:r>
          </w:p>
        </w:tc>
        <w:tc>
          <w:tcPr>
            <w:tcW w:w="300" w:type="dxa"/>
            <w:vAlign w:val="bottom"/>
          </w:tcPr>
          <w:p>
            <w:pPr>
              <w:spacing w:after="0"/>
              <w:rPr>
                <w:sz w:val="11"/>
                <w:szCs w:val="11"/>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1,386.5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1,632.0</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514.6</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(Income) loss from investment in Technip Energies</w:t>
            </w:r>
          </w:p>
        </w:tc>
        <w:tc>
          <w:tcPr>
            <w:tcW w:w="2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(470.1)</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(444.6)</w:t>
            </w:r>
          </w:p>
        </w:tc>
        <w:tc>
          <w:tcPr>
            <w:tcW w:w="0" w:type="dxa"/>
            <w:vAlign w:val="bottom"/>
          </w:tcPr>
          <w:p>
            <w:pPr>
              <w:spacing w:after="0"/>
              <w:rPr>
                <w:sz w:val="1"/>
                <w:szCs w:val="1"/>
                <w:color w:val="auto"/>
              </w:rPr>
            </w:pPr>
          </w:p>
        </w:tc>
      </w:tr>
      <w:tr>
        <w:trPr>
          <w:trHeight w:val="162"/>
        </w:trPr>
        <w:tc>
          <w:tcPr>
            <w:tcW w:w="4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62"/>
        </w:trPr>
        <w:tc>
          <w:tcPr>
            <w:tcW w:w="4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135.1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5"/>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1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3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Exchange, net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329.5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1,582.6</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(3,228.1)</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2,776.5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411.5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3,188.0</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Direct COVID-19 expenses</w:t>
            </w:r>
          </w:p>
        </w:tc>
        <w:tc>
          <w:tcPr>
            <w:tcW w:w="2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price accounting adjustments</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4360" w:type="dxa"/>
            <w:vAlign w:val="bottom"/>
            <w:gridSpan w:val="2"/>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2,782.1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424.4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3,207.6</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28"/>
        </w:trPr>
        <w:tc>
          <w:tcPr>
            <w:tcW w:w="4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-128.7 %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-204.0 %</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Inbound Orders</w:t>
            </w:r>
          </w:p>
        </w:tc>
        <w:tc>
          <w:tcPr>
            <w:tcW w:w="92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Backlog reflects the current expectations for the timing of project execution. See Note 5 for further details.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Order Backlog</w:t>
            </w:r>
          </w:p>
        </w:tc>
        <w:tc>
          <w:tcPr>
            <w:tcW w:w="0" w:type="dxa"/>
            <w:vAlign w:val="bottom"/>
          </w:tcPr>
          <w:p>
            <w:pPr>
              <w:spacing w:after="0"/>
              <w:rPr>
                <w:sz w:val="1"/>
                <w:szCs w:val="1"/>
                <w:color w:val="auto"/>
              </w:rPr>
            </w:pPr>
          </w:p>
        </w:tc>
      </w:tr>
      <w:tr>
        <w:trPr>
          <w:trHeight w:val="142"/>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2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6,876.0</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7,289.5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Subsea backlog of $6.9 billion as of March 31, 2021 was composed of various subsea projects, including Total Mozambique LNG;</w:t>
      </w:r>
      <w:r>
        <w:rPr>
          <w:rFonts w:ascii="Arial" w:cs="Arial" w:eastAsia="Arial" w:hAnsi="Arial"/>
          <w:sz w:val="18"/>
          <w:szCs w:val="18"/>
          <w:i w:val="1"/>
          <w:iCs w:val="1"/>
          <w:color w:val="auto"/>
        </w:rPr>
        <w:t xml:space="preserve"> </w:t>
      </w:r>
      <w:r>
        <w:rPr>
          <w:rFonts w:ascii="Arial" w:cs="Arial" w:eastAsia="Arial" w:hAnsi="Arial"/>
          <w:sz w:val="18"/>
          <w:szCs w:val="18"/>
          <w:color w:val="auto"/>
        </w:rPr>
        <w:t>Eni Coral and Merakes; Petrobras Mero I and Mero II; Energean Karish North, El Amriya and Idku; ExxonMobil Payara; Petronas Limbayong; Reliance MJ-1; Equinor Breidablikk; Husky West White Rose; Chevron Gorgon Stage 2; Santos Barossa Phase I; Woodside Pyxis and Lambert Deep.</w:t>
      </w:r>
    </w:p>
    <w:p>
      <w:pPr>
        <w:spacing w:after="0" w:line="12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as of March 31, 2021 decreased by $49.2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Given the short-cycle nature of the business, most orders are quickly converted into sales revenue; longer contracts are typically converted within 12 months.</w:t>
      </w:r>
    </w:p>
    <w:p>
      <w:pPr>
        <w:spacing w:after="0" w:line="12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As of March 31, 2021, we had $611.6 million of non-consolidated order backlog in our Subsea segment. Non-consolidated order backlog reflects the proportional share of backlog related to joint ventures that is not consolidated due to our minority ownership position.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Most of our cash is managed centrally and flows through centralized bank accounts controlled and maintained by TechnipFMC globally and in many operating jurisdictions to best meet the liquidity needs of our global operations.</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w:t>
      </w:r>
      <w:r>
        <w:rPr>
          <w:rFonts w:ascii="Arial" w:cs="Arial" w:eastAsia="Arial" w:hAnsi="Arial"/>
          <w:sz w:val="18"/>
          <w:szCs w:val="18"/>
          <w:i w:val="1"/>
          <w:iCs w:val="1"/>
          <w:color w:val="auto"/>
        </w:rPr>
        <w:t xml:space="preserve"> </w:t>
      </w:r>
      <w:r>
        <w:rPr>
          <w:rFonts w:ascii="Arial" w:cs="Arial" w:eastAsia="Arial" w:hAnsi="Arial"/>
          <w:sz w:val="18"/>
          <w:szCs w:val="18"/>
          <w:color w:val="auto"/>
        </w:rPr>
        <w:t>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ind w:right="78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debt, utilizing details of classifications from our 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1,269.2</w:t>
            </w:r>
          </w:p>
        </w:tc>
        <w:tc>
          <w:tcPr>
            <w:tcW w:w="0" w:type="dxa"/>
            <w:vAlign w:val="bottom"/>
          </w:tcPr>
          <w:p>
            <w:pPr>
              <w:spacing w:after="0"/>
              <w:rPr>
                <w:sz w:val="1"/>
                <w:szCs w:val="1"/>
                <w:color w:val="auto"/>
              </w:rPr>
            </w:pPr>
          </w:p>
        </w:tc>
      </w:tr>
      <w:tr>
        <w:trPr>
          <w:trHeight w:val="189"/>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18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debt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(2,191.0)</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i w:val="1"/>
          <w:iCs w:val="1"/>
          <w:color w:val="auto"/>
        </w:rPr>
        <w:t xml:space="preserve">Operating cash flows from continuing operations </w:t>
      </w:r>
      <w:r>
        <w:rPr>
          <w:rFonts w:ascii="Arial" w:cs="Arial" w:eastAsia="Arial" w:hAnsi="Arial"/>
          <w:sz w:val="17"/>
          <w:szCs w:val="17"/>
          <w:color w:val="auto"/>
        </w:rPr>
        <w:t>- During the three months ended March 31, 2021 and 2020, we generated $181.5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used $439.8 million, respectively, in operating cash flows from continuing operations. The increase of $621.3 million in cash generated by operating activities from continuing operations was primarily due to timing differences on project milestones and vendor payments.</w:t>
      </w:r>
    </w:p>
    <w:p>
      <w:pPr>
        <w:spacing w:after="0" w:line="104"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i w:val="1"/>
          <w:iCs w:val="1"/>
          <w:color w:val="auto"/>
        </w:rPr>
        <w:t xml:space="preserve">Investing cash flows from continuing operations </w:t>
      </w:r>
      <w:r>
        <w:rPr>
          <w:rFonts w:ascii="Arial" w:cs="Arial" w:eastAsia="Arial" w:hAnsi="Arial"/>
          <w:sz w:val="18"/>
          <w:szCs w:val="18"/>
          <w:color w:val="auto"/>
        </w:rPr>
        <w:t>- Investing activities provided $ 196.9 million during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used $64.0 million of cash during the three months ended March 31, 2020. The increase of $260.9 million in cash provided by investing activities was primarily due to the proceeds received from BPI and a reduction of capital expenditures during the three months ended March 31, 2021.</w:t>
      </w:r>
    </w:p>
    <w:p>
      <w:pPr>
        <w:spacing w:after="0" w:line="12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i w:val="1"/>
          <w:iCs w:val="1"/>
          <w:color w:val="auto"/>
        </w:rPr>
        <w:t xml:space="preserve">Financing cash flows from continuing operations </w:t>
      </w:r>
      <w:r>
        <w:rPr>
          <w:rFonts w:ascii="Arial" w:cs="Arial" w:eastAsia="Arial" w:hAnsi="Arial"/>
          <w:sz w:val="18"/>
          <w:szCs w:val="18"/>
          <w:color w:val="auto"/>
        </w:rPr>
        <w:t>- Financing activities used $ 866.6 million and provided $261.2 million of cash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and 2020, respectively. The increase in cash used by financing activities was primarily due to the increased debt pay down activity during the three months ended March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 in Connection with the Spin-off</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189" w:lineRule="exact"/>
        <w:rPr>
          <w:sz w:val="20"/>
          <w:szCs w:val="20"/>
          <w:color w:val="auto"/>
        </w:rPr>
      </w:pPr>
    </w:p>
    <w:p>
      <w:pPr>
        <w:ind w:left="660" w:right="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(“Revolving Credit Facility”) including a $450.0 million letter of credit subfacility;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29, 2021, we issued $1.0 billion of 6.50% senior notes due 2026 (the “2021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252" w:lineRule="exact"/>
        <w:rPr>
          <w:rFonts w:ascii="Arial" w:cs="Arial" w:eastAsia="Arial" w:hAnsi="Arial"/>
          <w:sz w:val="18"/>
          <w:szCs w:val="18"/>
          <w:color w:val="auto"/>
        </w:rPr>
      </w:pPr>
    </w:p>
    <w:p>
      <w:pPr>
        <w:jc w:val="both"/>
        <w:ind w:left="660" w:right="4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 and</w:t>
      </w:r>
    </w:p>
    <w:p>
      <w:pPr>
        <w:spacing w:after="0" w:line="228"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we entered into on January 17, 2017; and the termination of the €500.0 million Euro Facility entered into on May 19, 2020; and the termination of the CCFF Program entered into on May 19, 2020. In connection with the termination of these credit facilities, we repaid $830.9 million of the outstanding commercial paper borrowings.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42" w:name="page43"/>
    <w:bookmarkEnd w:id="42"/>
    <w:p>
      <w:pPr>
        <w:ind w:right="260"/>
        <w:spacing w:after="0" w:line="256" w:lineRule="auto"/>
        <w:rPr>
          <w:sz w:val="20"/>
          <w:szCs w:val="20"/>
          <w:color w:val="auto"/>
        </w:rPr>
      </w:pPr>
      <w:r>
        <w:rPr>
          <w:rFonts w:ascii="Arial" w:cs="Arial" w:eastAsia="Arial" w:hAnsi="Arial"/>
          <w:sz w:val="18"/>
          <w:szCs w:val="18"/>
          <w:color w:val="auto"/>
        </w:rPr>
        <w:t>Availability of borrowings under the Revolving Credit Facility is reduced by the outstanding letters of credit issued against the facility. As of March 31, 2021, there were no letters of credit outstanding and availability of borrowings under the Revolving Credit Facility was $800.0 million.</w:t>
      </w:r>
    </w:p>
    <w:p>
      <w:pPr>
        <w:spacing w:after="0" w:line="14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As of March 31, 2021, we were in compliance with all restrictive covenants under the Revolving Credit Facility. See Note 13 for further details.</w:t>
      </w:r>
    </w:p>
    <w:p>
      <w:pPr>
        <w:spacing w:after="0" w:line="12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 Our credit ratings with Standard and Poor’s (S&amp;P) are BB+ for our long-term unsecured debt and B for our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commercial paper program. Our credit ratings with Moody’s are Ba1 for our long-term unsecured debt and NP for our commercial paper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using the spread of similar companies in the same industry, of similar size, and with the same credit rating. See Note 20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93"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We are committed to a strong balance sheet and ample liquidity that that will enable us to avoid distress in cyclical troughs and access capital markets throughout the cycle. We believe our liquidity has and continues to exceed the level required to achieve this goal.</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objective in financing our business is to maintain sufficient liquidity, adequate financial resources and financial flexibility in order to fund the requirements of our business. Our capital expenditures can be adjusted and managed to match market demand and activity levels. Based on current market conditions and our future expectations, our capital expenditures for 2021 are estimated to be approximately $250.0 million. Projected capital expenditures do not include any contingent capital that may be needed to respond to a contract award.</w:t>
      </w:r>
    </w:p>
    <w:p>
      <w:pPr>
        <w:spacing w:after="0" w:line="1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Subsequent to the completion of the Spin-off and sale of shares to BPI, we own 45.7% of the outstanding shares of Technip Energies as of March 31, 2021.</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April 27, 2021 we sold 25 million Technip Energies shares through a private placement by way of an accelerated bookbuild offering (the “Placement”). Concurrently with the Placement, Technip Energies purchased from TechnipFMC 1.8 million shares. This purchase was separate from the Placement. Upon completion of the Placement and the Concurrent Sale to Technip Energies, TechnipFMC retains a direct stake of 55.5 million shares, representing 31% of Technip Energies’ share capital.</w:t>
      </w:r>
    </w:p>
    <w:p>
      <w:pPr>
        <w:spacing w:after="0" w:line="15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intend to conduct an orderly sale of our remaining stake in Technip Energies over time and will use the proceeds (net of broker fees and discounts) from future sales to further reduce our net leverage. We do not intend to remain a long-term shareholder of Technip Energies and will exit our ownership stake in a timely and orderly manner within a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Refer to our Annual Report on Form 10-K for the year ended December 31, 2020 for a discussion of our critical accounting estimates. During the three months ended March 31, 2021, there were no changes to our identified critical accounting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4" w:name="page45"/>
    <w:bookmarkEnd w:id="44"/>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the Company, see Part II, Item 7A, “Quantitative and Qualitative Disclosures About Market Risk,” in our Annual Report on Form 10-K for the year ended December 31, 2020. Our exposure to market risk has not changed materially since December 31,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March 31, 2021,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that our disclosure controls and procedures were effective as of March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(“District Court”)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The shareholder also asserted a claim for alleged violation of Section 11 of the Securities Act in connection with the reporting of certain financial results in the Company’s Registration Statement on Form S-4 filed in 2016. On December 13, 2020, the parties filed a Stipulation and Agreement of Settlement to settle all claims asserted in the suit with prejudice. The Defendants entered into the Stipulation solely to eliminate the burden, expense, uncertainty and risk of further litigation, and denied, and continue to deny, each and all of the claims and contentions alleged by the shareholder plaintiff in this action. On December 16, 2020, the District Court entered an order preliminarily approving the settlement and ordering notice to the settlement class. On March 22, 2021, after a hearing, the Court entered a final judgment approving the settlement.</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March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purchases of equity securities during the three months ended March 31, 2021.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680" w:type="dxa"/>
            <w:vAlign w:val="bottom"/>
            <w:gridSpan w:val="27"/>
          </w:tcPr>
          <w:p>
            <w:pPr>
              <w:spacing w:after="0"/>
              <w:rPr>
                <w:sz w:val="20"/>
                <w:szCs w:val="20"/>
                <w:color w:val="auto"/>
              </w:rPr>
            </w:pPr>
            <w:r>
              <w:rPr>
                <w:rFonts w:ascii="Arial" w:cs="Arial" w:eastAsia="Arial" w:hAnsi="Arial"/>
                <w:sz w:val="14"/>
                <w:szCs w:val="14"/>
                <w:b w:val="1"/>
                <w:bCs w:val="1"/>
                <w:color w:val="auto"/>
              </w:rPr>
              <w:t>Exhibit Description</w:t>
            </w:r>
          </w:p>
        </w:tc>
      </w:tr>
      <w:tr>
        <w:trPr>
          <w:trHeight w:val="156"/>
        </w:trPr>
        <w:tc>
          <w:tcPr>
            <w:tcW w:w="14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4.1</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80" w:type="dxa"/>
            <w:vAlign w:val="bottom"/>
            <w:tcBorders>
              <w:top w:val="single" w:sz="8" w:color="auto"/>
            </w:tcBorders>
            <w:gridSpan w:val="27"/>
            <w:shd w:val="clear" w:color="auto" w:fill="CCEEFF"/>
          </w:tcPr>
          <w:p>
            <w:pPr>
              <w:spacing w:after="0" w:line="155" w:lineRule="exact"/>
              <w:rPr>
                <w:rFonts w:ascii="Arial" w:cs="Arial" w:eastAsia="Arial" w:hAnsi="Arial"/>
                <w:sz w:val="14"/>
                <w:szCs w:val="14"/>
                <w:color w:val="0000FF"/>
              </w:rPr>
            </w:pPr>
            <w:hyperlink r:id="rId67">
              <w:r>
                <w:rPr>
                  <w:rFonts w:ascii="Arial" w:cs="Arial" w:eastAsia="Arial" w:hAnsi="Arial"/>
                  <w:sz w:val="14"/>
                  <w:szCs w:val="14"/>
                  <w:color w:val="0000FF"/>
                </w:rPr>
                <w:t>Indenture, dated January 29, 2021, between TechnipFMC plc and U.S. Bank National Association, as trustee (including the form of 6.500% Senior Note</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26"/>
            <w:shd w:val="clear" w:color="auto" w:fill="CCEEFF"/>
          </w:tcPr>
          <w:p>
            <w:pPr>
              <w:spacing w:after="0" w:line="115" w:lineRule="exact"/>
              <w:rPr>
                <w:rFonts w:ascii="Arial" w:cs="Arial" w:eastAsia="Arial" w:hAnsi="Arial"/>
                <w:sz w:val="13"/>
                <w:szCs w:val="13"/>
                <w:color w:val="0000FF"/>
              </w:rPr>
            </w:pPr>
            <w:hyperlink r:id="rId67">
              <w:r>
                <w:rPr>
                  <w:rFonts w:ascii="Arial" w:cs="Arial" w:eastAsia="Arial" w:hAnsi="Arial"/>
                  <w:sz w:val="13"/>
                  <w:szCs w:val="13"/>
                  <w:color w:val="0000FF"/>
                </w:rPr>
                <w:t>due 2026) (incorporated by reference from Exhibit 4.1 to the Current Report on Form 8-K filed on January 29, 2021 (File No. 001-37983)</w:t>
              </w:r>
            </w:hyperlink>
          </w:p>
        </w:tc>
        <w:tc>
          <w:tcPr>
            <w:tcW w:w="40" w:type="dxa"/>
            <w:vAlign w:val="bottom"/>
            <w:tcBorders>
              <w:top w:val="single" w:sz="8" w:color="CCEEFF"/>
            </w:tcBorders>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14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4.1.a</w:t>
            </w:r>
          </w:p>
        </w:tc>
        <w:tc>
          <w:tcPr>
            <w:tcW w:w="9680" w:type="dxa"/>
            <w:vAlign w:val="bottom"/>
            <w:gridSpan w:val="27"/>
          </w:tcPr>
          <w:p>
            <w:pPr>
              <w:spacing w:after="0"/>
              <w:rPr>
                <w:rFonts w:ascii="Arial" w:cs="Arial" w:eastAsia="Arial" w:hAnsi="Arial"/>
                <w:sz w:val="14"/>
                <w:szCs w:val="14"/>
                <w:color w:val="0000FF"/>
              </w:rPr>
            </w:pPr>
            <w:hyperlink r:id="rId68">
              <w:r>
                <w:rPr>
                  <w:rFonts w:ascii="Arial" w:cs="Arial" w:eastAsia="Arial" w:hAnsi="Arial"/>
                  <w:sz w:val="14"/>
                  <w:szCs w:val="14"/>
                  <w:color w:val="0000FF"/>
                </w:rPr>
                <w:t>Supplemental Indenture, dated February 16, 2021, by and among TechnipFMC plc, the guarantors party thereto, and U.S. Bank National Association,</w:t>
              </w:r>
            </w:hyperlink>
          </w:p>
        </w:tc>
      </w:tr>
      <w:tr>
        <w:trPr>
          <w:trHeight w:val="115"/>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50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68">
              <w:r>
                <w:rPr>
                  <w:rFonts w:ascii="Arial" w:cs="Arial" w:eastAsia="Arial" w:hAnsi="Arial"/>
                  <w:sz w:val="13"/>
                  <w:szCs w:val="13"/>
                  <w:color w:val="0000FF"/>
                </w:rPr>
                <w:t>as trustee (incorporated by reference from Exhibit 4.1 to the Current Report on Form 8-K filed on February 16, 2021) (File No. 001-37983)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7"/>
        </w:trPr>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14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w:t>
            </w: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27"/>
            <w:shd w:val="clear" w:color="auto" w:fill="CCEEFF"/>
          </w:tcPr>
          <w:p>
            <w:pPr>
              <w:spacing w:after="0"/>
              <w:rPr>
                <w:rFonts w:ascii="Arial" w:cs="Arial" w:eastAsia="Arial" w:hAnsi="Arial"/>
                <w:sz w:val="14"/>
                <w:szCs w:val="14"/>
                <w:color w:val="0000FF"/>
              </w:rPr>
            </w:pPr>
            <w:hyperlink r:id="rId69">
              <w:r>
                <w:rPr>
                  <w:rFonts w:ascii="Arial" w:cs="Arial" w:eastAsia="Arial" w:hAnsi="Arial"/>
                  <w:sz w:val="14"/>
                  <w:szCs w:val="14"/>
                  <w:color w:val="0000FF"/>
                </w:rPr>
                <w:t>Separation and Distribution Agreement, dated as of January 7, 2021, by and between the Company and Technip Energies B.V. (incorporated by</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140" w:type="dxa"/>
            <w:vAlign w:val="bottom"/>
            <w:tcBorders>
              <w:top w:val="single" w:sz="8" w:color="0000FF"/>
            </w:tcBorders>
            <w:gridSpan w:val="14"/>
            <w:shd w:val="clear" w:color="auto" w:fill="CCEEFF"/>
          </w:tcPr>
          <w:p>
            <w:pPr>
              <w:spacing w:after="0" w:line="115" w:lineRule="exact"/>
              <w:rPr>
                <w:rFonts w:ascii="Arial" w:cs="Arial" w:eastAsia="Arial" w:hAnsi="Arial"/>
                <w:sz w:val="13"/>
                <w:szCs w:val="13"/>
                <w:color w:val="0000FF"/>
              </w:rPr>
            </w:pPr>
            <w:hyperlink r:id="rId69">
              <w:r>
                <w:rPr>
                  <w:rFonts w:ascii="Arial" w:cs="Arial" w:eastAsia="Arial" w:hAnsi="Arial"/>
                  <w:sz w:val="13"/>
                  <w:szCs w:val="13"/>
                  <w:color w:val="0000FF"/>
                </w:rPr>
                <w:t>reference from Exhibit 10.1 to the Current Report on Form 8-K filed on January 12, 2021) (File No. 001-37983)</w:t>
              </w:r>
            </w:hyperlink>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9680" w:type="dxa"/>
            <w:vAlign w:val="bottom"/>
            <w:gridSpan w:val="27"/>
          </w:tcPr>
          <w:p>
            <w:pPr>
              <w:spacing w:after="0"/>
              <w:rPr>
                <w:rFonts w:ascii="Arial" w:cs="Arial" w:eastAsia="Arial" w:hAnsi="Arial"/>
                <w:sz w:val="14"/>
                <w:szCs w:val="14"/>
                <w:color w:val="0000FF"/>
              </w:rPr>
            </w:pPr>
            <w:hyperlink r:id="rId70">
              <w:r>
                <w:rPr>
                  <w:rFonts w:ascii="Arial" w:cs="Arial" w:eastAsia="Arial" w:hAnsi="Arial"/>
                  <w:sz w:val="14"/>
                  <w:szCs w:val="14"/>
                  <w:color w:val="0000FF"/>
                </w:rPr>
                <w:t>Share Purchase Agreement, dated as of January 7, 2021, by and between the Company and Bpifrance Participations SA (incorporated by reference</w:t>
              </w:r>
            </w:hyperlink>
          </w:p>
        </w:tc>
      </w:tr>
      <w:tr>
        <w:trPr>
          <w:trHeight w:val="122"/>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70">
              <w:r>
                <w:rPr>
                  <w:rFonts w:ascii="Arial" w:cs="Arial" w:eastAsia="Arial" w:hAnsi="Arial"/>
                  <w:sz w:val="13"/>
                  <w:szCs w:val="13"/>
                  <w:color w:val="0000FF"/>
                </w:rPr>
                <w:t>from Exhibit 10.2 to the Current Report on Form 8-K filed on January 12, 2021) (File No. 001-37983)</w:t>
              </w:r>
            </w:hyperlink>
          </w:p>
        </w:tc>
        <w:tc>
          <w:tcPr>
            <w:tcW w:w="2980" w:type="dxa"/>
            <w:vAlign w:val="bottom"/>
            <w:tcBorders>
              <w:top w:val="single" w:sz="8" w:color="0000FF"/>
            </w:tcBorders>
            <w:gridSpan w:val="15"/>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w:t>
            </w: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27"/>
            <w:shd w:val="clear" w:color="auto" w:fill="CCEEFF"/>
          </w:tcPr>
          <w:p>
            <w:pPr>
              <w:spacing w:after="0"/>
              <w:rPr>
                <w:rFonts w:ascii="Arial" w:cs="Arial" w:eastAsia="Arial" w:hAnsi="Arial"/>
                <w:sz w:val="14"/>
                <w:szCs w:val="14"/>
                <w:color w:val="0000FF"/>
              </w:rPr>
            </w:pPr>
            <w:hyperlink r:id="rId71">
              <w:r>
                <w:rPr>
                  <w:rFonts w:ascii="Arial" w:cs="Arial" w:eastAsia="Arial" w:hAnsi="Arial"/>
                  <w:sz w:val="14"/>
                  <w:szCs w:val="14"/>
                  <w:color w:val="0000FF"/>
                </w:rPr>
                <w:t>Relationship Agreement, dated as of January 7, 2021, by and among the Company, Technip Energies B.V. and Bpifrance Participations SA</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8820" w:type="dxa"/>
            <w:vAlign w:val="bottom"/>
            <w:tcBorders>
              <w:top w:val="single" w:sz="8" w:color="0000FF"/>
            </w:tcBorders>
            <w:gridSpan w:val="12"/>
            <w:shd w:val="clear" w:color="auto" w:fill="CCEEFF"/>
          </w:tcPr>
          <w:p>
            <w:pPr>
              <w:spacing w:after="0" w:line="115" w:lineRule="exact"/>
              <w:rPr>
                <w:rFonts w:ascii="Arial" w:cs="Arial" w:eastAsia="Arial" w:hAnsi="Arial"/>
                <w:sz w:val="13"/>
                <w:szCs w:val="13"/>
                <w:color w:val="0000FF"/>
              </w:rPr>
            </w:pPr>
            <w:hyperlink r:id="rId71">
              <w:r>
                <w:rPr>
                  <w:rFonts w:ascii="Arial" w:cs="Arial" w:eastAsia="Arial" w:hAnsi="Arial"/>
                  <w:sz w:val="13"/>
                  <w:szCs w:val="13"/>
                  <w:color w:val="0000FF"/>
                </w:rPr>
                <w:t>(incorporated by reference from Exhibit 10.3 to the Current Report on Form 8-K filed on January 12, 2021) (File No. 001-37983)</w:t>
              </w:r>
            </w:hyperlink>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140" w:type="dxa"/>
            <w:vAlign w:val="bottom"/>
            <w:tcBorders>
              <w:right w:val="single" w:sz="8" w:color="CCEEFF"/>
            </w:tcBorders>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9680" w:type="dxa"/>
            <w:vAlign w:val="bottom"/>
            <w:gridSpan w:val="27"/>
          </w:tcPr>
          <w:p>
            <w:pPr>
              <w:spacing w:after="0"/>
              <w:rPr>
                <w:rFonts w:ascii="Arial" w:cs="Arial" w:eastAsia="Arial" w:hAnsi="Arial"/>
                <w:sz w:val="14"/>
                <w:szCs w:val="14"/>
                <w:color w:val="0000FF"/>
              </w:rPr>
            </w:pPr>
            <w:hyperlink r:id="rId72">
              <w:r>
                <w:rPr>
                  <w:rFonts w:ascii="Arial" w:cs="Arial" w:eastAsia="Arial" w:hAnsi="Arial"/>
                  <w:sz w:val="14"/>
                  <w:szCs w:val="14"/>
                  <w:color w:val="0000FF"/>
                </w:rPr>
                <w:t>Commitment Letter, dated as of January 7, 2021, by and among the Company and the financial institutions party thereto (incorporated by reference</w:t>
              </w:r>
            </w:hyperlink>
          </w:p>
        </w:tc>
      </w:tr>
      <w:tr>
        <w:trPr>
          <w:trHeight w:val="122"/>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72">
              <w:r>
                <w:rPr>
                  <w:rFonts w:ascii="Arial" w:cs="Arial" w:eastAsia="Arial" w:hAnsi="Arial"/>
                  <w:sz w:val="13"/>
                  <w:szCs w:val="13"/>
                  <w:color w:val="0000FF"/>
                </w:rPr>
                <w:t>from Exhibit 10.4 to the Current Report on Form 8-K filed on January 12, 2021) (File No. 001-37983)</w:t>
              </w:r>
            </w:hyperlink>
          </w:p>
        </w:tc>
        <w:tc>
          <w:tcPr>
            <w:tcW w:w="2920" w:type="dxa"/>
            <w:vAlign w:val="bottom"/>
            <w:tcBorders>
              <w:top w:val="single" w:sz="8" w:color="0000FF"/>
            </w:tcBorders>
            <w:gridSpan w:val="13"/>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w:t>
            </w: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27"/>
            <w:shd w:val="clear" w:color="auto" w:fill="CCEEFF"/>
          </w:tcPr>
          <w:p>
            <w:pPr>
              <w:spacing w:after="0"/>
              <w:rPr>
                <w:rFonts w:ascii="Arial" w:cs="Arial" w:eastAsia="Arial" w:hAnsi="Arial"/>
                <w:sz w:val="14"/>
                <w:szCs w:val="14"/>
                <w:color w:val="0000FF"/>
              </w:rPr>
            </w:pPr>
            <w:hyperlink r:id="rId73">
              <w:r>
                <w:rPr>
                  <w:rFonts w:ascii="Arial" w:cs="Arial" w:eastAsia="Arial" w:hAnsi="Arial"/>
                  <w:sz w:val="14"/>
                  <w:szCs w:val="14"/>
                  <w:color w:val="0000FF"/>
                </w:rPr>
                <w:t>Tax Matters Agreement, dated as of February 16, 2021 by and between TechnipFMC plc and Technip Energies B.V. (incorporated by reference from</w:t>
              </w:r>
            </w:hyperlink>
          </w:p>
        </w:tc>
      </w:tr>
      <w:tr>
        <w:trPr>
          <w:trHeight w:val="122"/>
        </w:trPr>
        <w:tc>
          <w:tcPr>
            <w:tcW w:w="14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120" w:type="dxa"/>
            <w:vAlign w:val="bottom"/>
            <w:tcBorders>
              <w:top w:val="single" w:sz="8" w:color="0000FF"/>
              <w:bottom w:val="single" w:sz="8" w:color="0000FF"/>
            </w:tcBorders>
            <w:gridSpan w:val="3"/>
            <w:shd w:val="clear" w:color="auto" w:fill="CCEEFF"/>
          </w:tcPr>
          <w:p>
            <w:pPr>
              <w:spacing w:after="0" w:line="115" w:lineRule="exact"/>
              <w:rPr>
                <w:rFonts w:ascii="Arial" w:cs="Arial" w:eastAsia="Arial" w:hAnsi="Arial"/>
                <w:sz w:val="13"/>
                <w:szCs w:val="13"/>
                <w:color w:val="0000FF"/>
              </w:rPr>
            </w:pPr>
            <w:hyperlink r:id="rId73">
              <w:r>
                <w:rPr>
                  <w:rFonts w:ascii="Arial" w:cs="Arial" w:eastAsia="Arial" w:hAnsi="Arial"/>
                  <w:sz w:val="13"/>
                  <w:szCs w:val="13"/>
                  <w:color w:val="0000FF"/>
                </w:rPr>
                <w:t>Exhibit 10.1 to the Current Report on Form 8-K filed on February 16, 2021) (File No. 001-37983)</w:t>
              </w:r>
            </w:hyperlink>
          </w:p>
        </w:tc>
        <w:tc>
          <w:tcPr>
            <w:tcW w:w="3280" w:type="dxa"/>
            <w:vAlign w:val="bottom"/>
            <w:tcBorders>
              <w:top w:val="single" w:sz="8" w:color="0000FF"/>
              <w:bottom w:val="single" w:sz="8" w:color="CCEEFF"/>
            </w:tcBorders>
            <w:gridSpan w:val="15"/>
            <w:shd w:val="clear" w:color="auto" w:fill="CCEEFF"/>
          </w:tcPr>
          <w:p>
            <w:pPr>
              <w:spacing w:after="0"/>
              <w:rPr>
                <w:sz w:val="10"/>
                <w:szCs w:val="10"/>
                <w:color w:val="auto"/>
              </w:rPr>
            </w:pPr>
          </w:p>
        </w:tc>
        <w:tc>
          <w:tcPr>
            <w:tcW w:w="12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2"/>
            <w:shd w:val="clear" w:color="auto" w:fill="CCEEFF"/>
          </w:tcPr>
          <w:p>
            <w:pPr>
              <w:spacing w:after="0"/>
              <w:rPr>
                <w:sz w:val="10"/>
                <w:szCs w:val="10"/>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9680" w:type="dxa"/>
            <w:vAlign w:val="bottom"/>
            <w:gridSpan w:val="27"/>
          </w:tcPr>
          <w:p>
            <w:pPr>
              <w:spacing w:after="0"/>
              <w:rPr>
                <w:rFonts w:ascii="Arial" w:cs="Arial" w:eastAsia="Arial" w:hAnsi="Arial"/>
                <w:sz w:val="14"/>
                <w:szCs w:val="14"/>
                <w:color w:val="0000FF"/>
              </w:rPr>
            </w:pPr>
            <w:hyperlink r:id="rId74">
              <w:r>
                <w:rPr>
                  <w:rFonts w:ascii="Arial" w:cs="Arial" w:eastAsia="Arial" w:hAnsi="Arial"/>
                  <w:sz w:val="14"/>
                  <w:szCs w:val="14"/>
                  <w:color w:val="0000FF"/>
                </w:rPr>
                <w:t>Employee Matters Agreement, dated as of February 15, 2021, by and between TechnipFMC plc and Technip Energies B.V. (incorporated by reference</w:t>
              </w:r>
            </w:hyperlink>
          </w:p>
        </w:tc>
      </w:tr>
      <w:tr>
        <w:trPr>
          <w:trHeight w:val="115"/>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54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74">
              <w:r>
                <w:rPr>
                  <w:rFonts w:ascii="Arial" w:cs="Arial" w:eastAsia="Arial" w:hAnsi="Arial"/>
                  <w:sz w:val="13"/>
                  <w:szCs w:val="13"/>
                  <w:color w:val="0000FF"/>
                </w:rPr>
                <w:t>from Exhibit 10.2 to the Current Report on Form 8-K filed on February 16, 2021) (File No. 001-37983)</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7"/>
        </w:trPr>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27"/>
            <w:shd w:val="clear" w:color="auto" w:fill="CCEEFF"/>
          </w:tcPr>
          <w:p>
            <w:pPr>
              <w:spacing w:after="0"/>
              <w:rPr>
                <w:rFonts w:ascii="Arial" w:cs="Arial" w:eastAsia="Arial" w:hAnsi="Arial"/>
                <w:sz w:val="14"/>
                <w:szCs w:val="14"/>
                <w:color w:val="0000FF"/>
              </w:rPr>
            </w:pPr>
            <w:hyperlink r:id="rId75">
              <w:r>
                <w:rPr>
                  <w:rFonts w:ascii="Arial" w:cs="Arial" w:eastAsia="Arial" w:hAnsi="Arial"/>
                  <w:sz w:val="14"/>
                  <w:szCs w:val="14"/>
                  <w:color w:val="0000FF"/>
                </w:rPr>
                <w:t>Transition Services Agreement, dated as of February 15, 2021 by and between TechnipFMC plc and Technip Energies B.V. (incorporated by reference</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560" w:type="dxa"/>
            <w:vAlign w:val="bottom"/>
            <w:tcBorders>
              <w:top w:val="single" w:sz="8" w:color="0000FF"/>
            </w:tcBorders>
            <w:gridSpan w:val="23"/>
            <w:shd w:val="clear" w:color="auto" w:fill="CCEEFF"/>
          </w:tcPr>
          <w:p>
            <w:pPr>
              <w:spacing w:after="0" w:line="115" w:lineRule="exact"/>
              <w:rPr>
                <w:rFonts w:ascii="Arial" w:cs="Arial" w:eastAsia="Arial" w:hAnsi="Arial"/>
                <w:sz w:val="13"/>
                <w:szCs w:val="13"/>
                <w:color w:val="0000FF"/>
              </w:rPr>
            </w:pPr>
            <w:hyperlink r:id="rId75">
              <w:r>
                <w:rPr>
                  <w:rFonts w:ascii="Arial" w:cs="Arial" w:eastAsia="Arial" w:hAnsi="Arial"/>
                  <w:sz w:val="13"/>
                  <w:szCs w:val="13"/>
                  <w:color w:val="0000FF"/>
                </w:rPr>
                <w:t>from Exhibit 10.3 to the Current Report on Form 8-K filed on February 16, 2021) (File No. 001-37983)</w:t>
              </w:r>
            </w:hyperlink>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9680" w:type="dxa"/>
            <w:vAlign w:val="bottom"/>
            <w:gridSpan w:val="27"/>
          </w:tcPr>
          <w:p>
            <w:pPr>
              <w:spacing w:after="0"/>
              <w:rPr>
                <w:rFonts w:ascii="Arial" w:cs="Arial" w:eastAsia="Arial" w:hAnsi="Arial"/>
                <w:sz w:val="14"/>
                <w:szCs w:val="14"/>
                <w:color w:val="0000FF"/>
              </w:rPr>
            </w:pPr>
            <w:hyperlink r:id="rId76">
              <w:r>
                <w:rPr>
                  <w:rFonts w:ascii="Arial" w:cs="Arial" w:eastAsia="Arial" w:hAnsi="Arial"/>
                  <w:sz w:val="14"/>
                  <w:szCs w:val="14"/>
                  <w:color w:val="0000FF"/>
                </w:rPr>
                <w:t>Patent License Agreement, dated as of February 15, 2021 by and between TechnipFMC plc and Technip Energies B.V. (incorporated by reference from</w:t>
              </w:r>
            </w:hyperlink>
          </w:p>
        </w:tc>
      </w:tr>
      <w:tr>
        <w:trPr>
          <w:trHeight w:val="122"/>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2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76">
              <w:r>
                <w:rPr>
                  <w:rFonts w:ascii="Arial" w:cs="Arial" w:eastAsia="Arial" w:hAnsi="Arial"/>
                  <w:sz w:val="13"/>
                  <w:szCs w:val="13"/>
                  <w:color w:val="0000FF"/>
                </w:rPr>
                <w:t>Exhibit 10.4 to the Current Report on Form 8-K filed on February 16, 2021) (File No. 001-37983)</w:t>
              </w:r>
            </w:hyperlink>
          </w:p>
        </w:tc>
        <w:tc>
          <w:tcPr>
            <w:tcW w:w="3500" w:type="dxa"/>
            <w:vAlign w:val="bottom"/>
            <w:tcBorders>
              <w:top w:val="single" w:sz="8" w:color="0000FF"/>
            </w:tcBorders>
            <w:gridSpan w:val="22"/>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10.9</w:t>
            </w: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27"/>
            <w:shd w:val="clear" w:color="auto" w:fill="CCEEFF"/>
          </w:tcPr>
          <w:p>
            <w:pPr>
              <w:spacing w:after="0"/>
              <w:rPr>
                <w:rFonts w:ascii="Arial" w:cs="Arial" w:eastAsia="Arial" w:hAnsi="Arial"/>
                <w:sz w:val="14"/>
                <w:szCs w:val="14"/>
                <w:color w:val="0000FF"/>
              </w:rPr>
            </w:pPr>
            <w:hyperlink r:id="rId77">
              <w:r>
                <w:rPr>
                  <w:rFonts w:ascii="Arial" w:cs="Arial" w:eastAsia="Arial" w:hAnsi="Arial"/>
                  <w:sz w:val="14"/>
                  <w:szCs w:val="14"/>
                  <w:color w:val="0000FF"/>
                </w:rPr>
                <w:t>Coexistence and Trademark Matters Agreement, dated as of February 15, 2021 by and between TechnipFMC plc and Technip Energies B.V.</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8920" w:type="dxa"/>
            <w:vAlign w:val="bottom"/>
            <w:tcBorders>
              <w:top w:val="single" w:sz="8" w:color="0000FF"/>
            </w:tcBorders>
            <w:gridSpan w:val="13"/>
            <w:shd w:val="clear" w:color="auto" w:fill="CCEEFF"/>
          </w:tcPr>
          <w:p>
            <w:pPr>
              <w:spacing w:after="0" w:line="115" w:lineRule="exact"/>
              <w:rPr>
                <w:rFonts w:ascii="Arial" w:cs="Arial" w:eastAsia="Arial" w:hAnsi="Arial"/>
                <w:sz w:val="13"/>
                <w:szCs w:val="13"/>
                <w:color w:val="0000FF"/>
              </w:rPr>
            </w:pPr>
            <w:hyperlink r:id="rId77">
              <w:r>
                <w:rPr>
                  <w:rFonts w:ascii="Arial" w:cs="Arial" w:eastAsia="Arial" w:hAnsi="Arial"/>
                  <w:sz w:val="13"/>
                  <w:szCs w:val="13"/>
                  <w:color w:val="0000FF"/>
                </w:rPr>
                <w:t>(incorporated by reference from Exhibit 10.5 to the Current Report on Form 8-K filed on February 16, 2021) (File No. 001-37983)</w:t>
              </w:r>
            </w:hyperlink>
          </w:p>
        </w:tc>
        <w:tc>
          <w:tcPr>
            <w:tcW w:w="28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gridSpan w:val="5"/>
            <w:shd w:val="clear" w:color="auto" w:fill="CCEEFF"/>
          </w:tcPr>
          <w:p>
            <w:pPr>
              <w:spacing w:after="0"/>
              <w:rPr>
                <w:sz w:val="10"/>
                <w:szCs w:val="10"/>
                <w:color w:val="auto"/>
              </w:rPr>
            </w:pPr>
          </w:p>
        </w:tc>
        <w:tc>
          <w:tcPr>
            <w:tcW w:w="8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14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4"/>
                <w:szCs w:val="14"/>
                <w:color w:val="auto"/>
              </w:rPr>
            </w:pPr>
          </w:p>
        </w:tc>
        <w:tc>
          <w:tcPr>
            <w:tcW w:w="9680" w:type="dxa"/>
            <w:vAlign w:val="bottom"/>
            <w:gridSpan w:val="27"/>
          </w:tcPr>
          <w:p>
            <w:pPr>
              <w:spacing w:after="0"/>
              <w:rPr>
                <w:rFonts w:ascii="Arial" w:cs="Arial" w:eastAsia="Arial" w:hAnsi="Arial"/>
                <w:sz w:val="14"/>
                <w:szCs w:val="14"/>
                <w:color w:val="0000FF"/>
              </w:rPr>
            </w:pPr>
            <w:hyperlink r:id="rId78">
              <w:r>
                <w:rPr>
                  <w:rFonts w:ascii="Arial" w:cs="Arial" w:eastAsia="Arial" w:hAnsi="Arial"/>
                  <w:sz w:val="14"/>
                  <w:szCs w:val="14"/>
                  <w:color w:val="0000FF"/>
                </w:rPr>
                <w:t>Credit Agreement, dated February 16, 2021, by and among TechnipFMC plc, JPMorgan Chase Bank, N.A., Citigroup Global Markets Inc. or an affiliate,</w:t>
              </w:r>
            </w:hyperlink>
          </w:p>
        </w:tc>
      </w:tr>
      <w:tr>
        <w:trPr>
          <w:trHeight w:val="115"/>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78">
              <w:r>
                <w:rPr>
                  <w:rFonts w:ascii="Arial" w:cs="Arial" w:eastAsia="Arial" w:hAnsi="Arial"/>
                  <w:sz w:val="13"/>
                  <w:szCs w:val="13"/>
                  <w:color w:val="0000FF"/>
                </w:rPr>
                <w:t>DNB Capital, LLC or an affiliate, Société Générale, Sumitomo Mitsui Banking Corporation, Wells Fargo Securities, LLC and BofA Securities, Inc.,</w:t>
              </w:r>
            </w:hyperlink>
          </w:p>
        </w:tc>
        <w:tc>
          <w:tcPr>
            <w:tcW w:w="80" w:type="dxa"/>
            <w:vAlign w:val="bottom"/>
            <w:gridSpan w:val="3"/>
          </w:tcPr>
          <w:p>
            <w:pPr>
              <w:spacing w:after="0"/>
              <w:rPr>
                <w:sz w:val="10"/>
                <w:szCs w:val="10"/>
                <w:color w:val="auto"/>
              </w:rPr>
            </w:pPr>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15"/>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60" w:type="dxa"/>
            <w:vAlign w:val="bottom"/>
            <w:tcBorders>
              <w:bottom w:val="single" w:sz="8" w:color="0000FF"/>
            </w:tcBorders>
            <w:gridSpan w:val="16"/>
          </w:tcPr>
          <w:p>
            <w:pPr>
              <w:spacing w:after="0" w:line="115" w:lineRule="exact"/>
              <w:rPr>
                <w:rFonts w:ascii="Arial" w:cs="Arial" w:eastAsia="Arial" w:hAnsi="Arial"/>
                <w:sz w:val="13"/>
                <w:szCs w:val="13"/>
                <w:color w:val="0000FF"/>
              </w:rPr>
            </w:pPr>
            <w:hyperlink r:id="rId78">
              <w:r>
                <w:rPr>
                  <w:rFonts w:ascii="Arial" w:cs="Arial" w:eastAsia="Arial" w:hAnsi="Arial"/>
                  <w:sz w:val="13"/>
                  <w:szCs w:val="13"/>
                  <w:color w:val="0000FF"/>
                </w:rPr>
                <w:t>collectively, as lead arrangers, JPMorgan Chase Bank, N.A., as administrative agent, Standard Chartered Bank, as documentation agent, and the</w:t>
              </w:r>
            </w:hyperlink>
          </w:p>
        </w:tc>
        <w:tc>
          <w:tcPr>
            <w:tcW w:w="420" w:type="dxa"/>
            <w:vAlign w:val="bottom"/>
            <w:gridSpan w:val="11"/>
          </w:tcPr>
          <w:p>
            <w:pPr>
              <w:spacing w:after="0"/>
              <w:rPr>
                <w:sz w:val="10"/>
                <w:szCs w:val="10"/>
                <w:color w:val="auto"/>
              </w:rPr>
            </w:pPr>
          </w:p>
        </w:tc>
      </w:tr>
      <w:tr>
        <w:trPr>
          <w:trHeight w:val="122"/>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80" w:type="dxa"/>
            <w:vAlign w:val="bottom"/>
            <w:gridSpan w:val="27"/>
          </w:tcPr>
          <w:p>
            <w:pPr>
              <w:spacing w:after="0" w:line="115" w:lineRule="exact"/>
              <w:rPr>
                <w:rFonts w:ascii="Arial" w:cs="Arial" w:eastAsia="Arial" w:hAnsi="Arial"/>
                <w:sz w:val="13"/>
                <w:szCs w:val="13"/>
                <w:color w:val="0000FF"/>
              </w:rPr>
            </w:pPr>
            <w:hyperlink r:id="rId78">
              <w:r>
                <w:rPr>
                  <w:rFonts w:ascii="Arial" w:cs="Arial" w:eastAsia="Arial" w:hAnsi="Arial"/>
                  <w:sz w:val="13"/>
                  <w:szCs w:val="13"/>
                  <w:color w:val="0000FF"/>
                </w:rPr>
                <w:t>lenders party thereto (incorporated by reference from Exhibit 10.6 to the Current Report on Form 8-K filed on February 16, 2021) (File No. 001-37983)</w:t>
              </w:r>
            </w:hyperlink>
          </w:p>
        </w:tc>
      </w:tr>
      <w:tr>
        <w:trPr>
          <w:trHeight w:val="16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10.11*</w:t>
            </w:r>
          </w:p>
        </w:tc>
        <w:tc>
          <w:tcPr>
            <w:tcW w:w="120" w:type="dxa"/>
            <w:vAlign w:val="bottom"/>
            <w:tcBorders>
              <w:right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21"/>
            <w:shd w:val="clear" w:color="auto" w:fill="CCEEFF"/>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Form of Restricted Stock Unit Agreement pursuant to the Amended and Restated TechnipFMC plc Incentive Award Plan (Non-Employee Director)</w:t>
              </w:r>
            </w:hyperlink>
          </w:p>
        </w:tc>
        <w:tc>
          <w:tcPr>
            <w:tcW w:w="160" w:type="dxa"/>
            <w:vAlign w:val="bottom"/>
            <w:gridSpan w:val="6"/>
            <w:shd w:val="clear" w:color="auto" w:fill="CCEEFF"/>
          </w:tcPr>
          <w:p>
            <w:pPr>
              <w:spacing w:after="0"/>
              <w:rPr>
                <w:sz w:val="14"/>
                <w:szCs w:val="14"/>
                <w:color w:val="auto"/>
              </w:rPr>
            </w:pPr>
          </w:p>
        </w:tc>
      </w:tr>
      <w:tr>
        <w:trPr>
          <w:trHeight w:val="169"/>
        </w:trPr>
        <w:tc>
          <w:tcPr>
            <w:tcW w:w="14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10.12*</w:t>
            </w:r>
          </w:p>
        </w:tc>
        <w:tc>
          <w:tcPr>
            <w:tcW w:w="120" w:type="dxa"/>
            <w:vAlign w:val="bottom"/>
            <w:tcBorders>
              <w:top w:val="single" w:sz="8" w:color="CCEEFF"/>
            </w:tcBorders>
          </w:tcPr>
          <w:p>
            <w:pPr>
              <w:spacing w:after="0"/>
              <w:rPr>
                <w:sz w:val="14"/>
                <w:szCs w:val="14"/>
                <w:color w:val="auto"/>
              </w:rPr>
            </w:pPr>
          </w:p>
        </w:tc>
        <w:tc>
          <w:tcPr>
            <w:tcW w:w="8420" w:type="dxa"/>
            <w:vAlign w:val="bottom"/>
            <w:tcBorders>
              <w:top w:val="single" w:sz="8" w:color="0000FF"/>
              <w:bottom w:val="single" w:sz="8" w:color="0000FF"/>
            </w:tcBorders>
            <w:gridSpan w:val="8"/>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Form of Restricted Stock Unit Agreement pursuant to the Amended and Restated TechnipFMC plc Incentive Award Plan (Employee)</w:t>
              </w:r>
            </w:hyperlink>
          </w:p>
        </w:tc>
        <w:tc>
          <w:tcPr>
            <w:tcW w:w="840" w:type="dxa"/>
            <w:vAlign w:val="bottom"/>
            <w:tcBorders>
              <w:top w:val="single" w:sz="8" w:color="0000FF"/>
            </w:tcBorders>
            <w:gridSpan w:val="8"/>
          </w:tcPr>
          <w:p>
            <w:pPr>
              <w:spacing w:after="0"/>
              <w:rPr>
                <w:sz w:val="14"/>
                <w:szCs w:val="14"/>
                <w:color w:val="auto"/>
              </w:rPr>
            </w:pPr>
          </w:p>
        </w:tc>
        <w:tc>
          <w:tcPr>
            <w:tcW w:w="420" w:type="dxa"/>
            <w:vAlign w:val="bottom"/>
            <w:tcBorders>
              <w:top w:val="single" w:sz="8" w:color="CCEEFF"/>
            </w:tcBorders>
            <w:gridSpan w:val="11"/>
          </w:tcPr>
          <w:p>
            <w:pPr>
              <w:spacing w:after="0"/>
              <w:rPr>
                <w:sz w:val="14"/>
                <w:szCs w:val="14"/>
                <w:color w:val="auto"/>
              </w:rPr>
            </w:pPr>
          </w:p>
        </w:tc>
      </w:tr>
      <w:tr>
        <w:trPr>
          <w:trHeight w:val="16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10.13*</w:t>
            </w: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27"/>
            <w:shd w:val="clear" w:color="auto" w:fill="CCEEFF"/>
          </w:tcPr>
          <w:p>
            <w:pPr>
              <w:spacing w:after="0"/>
              <w:rPr>
                <w:rFonts w:ascii="Arial" w:cs="Arial" w:eastAsia="Arial" w:hAnsi="Arial"/>
                <w:sz w:val="14"/>
                <w:szCs w:val="14"/>
                <w:color w:val="0000FF"/>
              </w:rPr>
            </w:pPr>
            <w:hyperlink w:anchor="page100">
              <w:r>
                <w:rPr>
                  <w:rFonts w:ascii="Arial" w:cs="Arial" w:eastAsia="Arial" w:hAnsi="Arial"/>
                  <w:sz w:val="14"/>
                  <w:szCs w:val="14"/>
                  <w:color w:val="0000FF"/>
                </w:rPr>
                <w:t>Form of Performance Stock Unit Agreement pursuant to the Amended and Restated TechnipFMC plc Incentive Award Plan (Employee)</w:t>
              </w:r>
            </w:hyperlink>
          </w:p>
        </w:tc>
      </w:tr>
      <w:tr>
        <w:trPr>
          <w:trHeight w:val="169"/>
        </w:trPr>
        <w:tc>
          <w:tcPr>
            <w:tcW w:w="14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31.1</w:t>
            </w:r>
          </w:p>
        </w:tc>
        <w:tc>
          <w:tcPr>
            <w:tcW w:w="120" w:type="dxa"/>
            <w:vAlign w:val="bottom"/>
            <w:tcBorders>
              <w:top w:val="single" w:sz="8" w:color="CCEEFF"/>
            </w:tcBorders>
          </w:tcPr>
          <w:p>
            <w:pPr>
              <w:spacing w:after="0"/>
              <w:rPr>
                <w:sz w:val="14"/>
                <w:szCs w:val="14"/>
                <w:color w:val="auto"/>
              </w:rPr>
            </w:pPr>
          </w:p>
        </w:tc>
        <w:tc>
          <w:tcPr>
            <w:tcW w:w="5520" w:type="dxa"/>
            <w:vAlign w:val="bottom"/>
            <w:tcBorders>
              <w:top w:val="single" w:sz="8" w:color="0000FF"/>
              <w:bottom w:val="single" w:sz="8" w:color="0000FF"/>
            </w:tcBorders>
            <w:gridSpan w:val="2"/>
          </w:tcPr>
          <w:p>
            <w:pPr>
              <w:spacing w:after="0"/>
              <w:rPr>
                <w:rFonts w:ascii="Arial" w:cs="Arial" w:eastAsia="Arial" w:hAnsi="Arial"/>
                <w:sz w:val="14"/>
                <w:szCs w:val="14"/>
                <w:color w:val="0000FF"/>
              </w:rPr>
            </w:pPr>
            <w:hyperlink w:anchor="page142">
              <w:r>
                <w:rPr>
                  <w:rFonts w:ascii="Arial" w:cs="Arial" w:eastAsia="Arial" w:hAnsi="Arial"/>
                  <w:sz w:val="14"/>
                  <w:szCs w:val="14"/>
                  <w:color w:val="0000FF"/>
                </w:rPr>
                <w:t>Certification of Chief Executive Officer Pursuant to Rule 13a-14(a) and Rule 15d-14(a).</w:t>
              </w:r>
            </w:hyperlink>
          </w:p>
        </w:tc>
        <w:tc>
          <w:tcPr>
            <w:tcW w:w="3060" w:type="dxa"/>
            <w:vAlign w:val="bottom"/>
            <w:tcBorders>
              <w:top w:val="single" w:sz="8" w:color="0000FF"/>
            </w:tcBorders>
            <w:gridSpan w:val="7"/>
          </w:tcPr>
          <w:p>
            <w:pPr>
              <w:spacing w:after="0"/>
              <w:rPr>
                <w:sz w:val="14"/>
                <w:szCs w:val="14"/>
                <w:color w:val="auto"/>
              </w:rPr>
            </w:pPr>
          </w:p>
        </w:tc>
        <w:tc>
          <w:tcPr>
            <w:tcW w:w="1100" w:type="dxa"/>
            <w:vAlign w:val="bottom"/>
            <w:tcBorders>
              <w:top w:val="single" w:sz="8" w:color="CCEEFF"/>
            </w:tcBorders>
            <w:gridSpan w:val="18"/>
          </w:tcPr>
          <w:p>
            <w:pPr>
              <w:spacing w:after="0"/>
              <w:rPr>
                <w:sz w:val="14"/>
                <w:szCs w:val="14"/>
                <w:color w:val="auto"/>
              </w:rPr>
            </w:pPr>
          </w:p>
        </w:tc>
      </w:tr>
      <w:tr>
        <w:trPr>
          <w:trHeight w:val="169"/>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5480" w:type="dxa"/>
            <w:vAlign w:val="bottom"/>
            <w:tcBorders>
              <w:bottom w:val="single" w:sz="8" w:color="0000FF"/>
            </w:tcBorders>
            <w:shd w:val="clear" w:color="auto" w:fill="CCEEFF"/>
          </w:tcPr>
          <w:p>
            <w:pPr>
              <w:spacing w:after="0"/>
              <w:rPr>
                <w:rFonts w:ascii="Arial" w:cs="Arial" w:eastAsia="Arial" w:hAnsi="Arial"/>
                <w:sz w:val="14"/>
                <w:szCs w:val="14"/>
                <w:color w:val="0000FF"/>
              </w:rPr>
            </w:pPr>
            <w:hyperlink w:anchor="page143">
              <w:r>
                <w:rPr>
                  <w:rFonts w:ascii="Arial" w:cs="Arial" w:eastAsia="Arial" w:hAnsi="Arial"/>
                  <w:sz w:val="14"/>
                  <w:szCs w:val="14"/>
                  <w:color w:val="0000FF"/>
                </w:rPr>
                <w:t>Certification of Chief Financial Officer Pursuant to Rule 13a-14(a) and Rule 15d-14(a).</w:t>
              </w:r>
            </w:hyperlink>
          </w:p>
        </w:tc>
        <w:tc>
          <w:tcPr>
            <w:tcW w:w="4200" w:type="dxa"/>
            <w:vAlign w:val="bottom"/>
            <w:tcBorders>
              <w:bottom w:val="single" w:sz="8" w:color="CCEEFF"/>
            </w:tcBorders>
            <w:gridSpan w:val="26"/>
            <w:shd w:val="clear" w:color="auto" w:fill="CCEEFF"/>
          </w:tcPr>
          <w:p>
            <w:pPr>
              <w:spacing w:after="0"/>
              <w:rPr>
                <w:sz w:val="14"/>
                <w:szCs w:val="14"/>
                <w:color w:val="auto"/>
              </w:rPr>
            </w:pPr>
          </w:p>
        </w:tc>
      </w:tr>
      <w:tr>
        <w:trPr>
          <w:trHeight w:val="169"/>
        </w:trPr>
        <w:tc>
          <w:tcPr>
            <w:tcW w:w="144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4"/>
                <w:szCs w:val="14"/>
                <w:color w:val="auto"/>
              </w:rPr>
            </w:pPr>
          </w:p>
        </w:tc>
        <w:tc>
          <w:tcPr>
            <w:tcW w:w="7020" w:type="dxa"/>
            <w:vAlign w:val="bottom"/>
            <w:tcBorders>
              <w:bottom w:val="single" w:sz="8" w:color="0000FF"/>
            </w:tcBorders>
            <w:gridSpan w:val="6"/>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Certification of Chief Executive Officer Under Section 906 of the Sarbanes-Oxley Act of 2002, 18 U.S.C. 1350.</w:t>
              </w:r>
            </w:hyperlink>
          </w:p>
        </w:tc>
        <w:tc>
          <w:tcPr>
            <w:tcW w:w="2660" w:type="dxa"/>
            <w:vAlign w:val="bottom"/>
            <w:gridSpan w:val="21"/>
          </w:tcPr>
          <w:p>
            <w:pPr>
              <w:spacing w:after="0"/>
              <w:rPr>
                <w:sz w:val="14"/>
                <w:szCs w:val="14"/>
                <w:color w:val="auto"/>
              </w:rPr>
            </w:pPr>
          </w:p>
        </w:tc>
      </w:tr>
      <w:tr>
        <w:trPr>
          <w:trHeight w:val="169"/>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6960" w:type="dxa"/>
            <w:vAlign w:val="bottom"/>
            <w:tcBorders>
              <w:bottom w:val="single" w:sz="8" w:color="0000FF"/>
            </w:tcBorders>
            <w:gridSpan w:val="5"/>
            <w:shd w:val="clear" w:color="auto" w:fill="CCEEFF"/>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Certification of Chief Financial Officer Under Section 906 of the Sarbanes-Oxley Act of 2002, 18 U.S.C. 1350.</w:t>
              </w:r>
            </w:hyperlink>
          </w:p>
        </w:tc>
        <w:tc>
          <w:tcPr>
            <w:tcW w:w="2720" w:type="dxa"/>
            <w:vAlign w:val="bottom"/>
            <w:tcBorders>
              <w:bottom w:val="single" w:sz="8" w:color="CCEEFF"/>
            </w:tcBorders>
            <w:gridSpan w:val="22"/>
            <w:shd w:val="clear" w:color="auto" w:fill="CCEEFF"/>
          </w:tcPr>
          <w:p>
            <w:pPr>
              <w:spacing w:after="0"/>
              <w:rPr>
                <w:sz w:val="14"/>
                <w:szCs w:val="14"/>
                <w:color w:val="auto"/>
              </w:rPr>
            </w:pPr>
          </w:p>
        </w:tc>
      </w:tr>
      <w:tr>
        <w:trPr>
          <w:trHeight w:val="153"/>
        </w:trPr>
        <w:tc>
          <w:tcPr>
            <w:tcW w:w="15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101.INS</w:t>
            </w:r>
          </w:p>
        </w:tc>
        <w:tc>
          <w:tcPr>
            <w:tcW w:w="9680" w:type="dxa"/>
            <w:vAlign w:val="bottom"/>
            <w:gridSpan w:val="27"/>
          </w:tcPr>
          <w:p>
            <w:pPr>
              <w:spacing w:after="0" w:line="153" w:lineRule="exact"/>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71"/>
        </w:trPr>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80" w:type="dxa"/>
            <w:vAlign w:val="bottom"/>
            <w:gridSpan w:val="27"/>
          </w:tcPr>
          <w:p>
            <w:pPr>
              <w:spacing w:after="0"/>
              <w:rPr>
                <w:sz w:val="20"/>
                <w:szCs w:val="20"/>
                <w:color w:val="auto"/>
              </w:rPr>
            </w:pPr>
            <w:r>
              <w:rPr>
                <w:rFonts w:ascii="Arial" w:cs="Arial" w:eastAsia="Arial" w:hAnsi="Arial"/>
                <w:sz w:val="14"/>
                <w:szCs w:val="14"/>
                <w:color w:val="auto"/>
              </w:rPr>
              <w:t>XBRL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68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9680" w:type="dxa"/>
            <w:vAlign w:val="bottom"/>
            <w:gridSpan w:val="27"/>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68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9680" w:type="dxa"/>
            <w:vAlign w:val="bottom"/>
            <w:gridSpan w:val="27"/>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68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8" w:lineRule="exact"/>
        <w:rPr>
          <w:sz w:val="20"/>
          <w:szCs w:val="20"/>
          <w:color w:val="auto"/>
        </w:rPr>
      </w:pPr>
    </w:p>
    <w:p>
      <w:pPr>
        <w:ind w:right="3980" w:firstLine="26"/>
        <w:spacing w:after="0" w:line="503" w:lineRule="auto"/>
        <w:tabs>
          <w:tab w:leader="none" w:pos="1557"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Indicates a management contract or compensatory plan or arrangement.</w:t>
      </w:r>
    </w:p>
    <w:p>
      <w:pPr>
        <w:ind w:left="280" w:hanging="272"/>
        <w:spacing w:after="0"/>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83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Krisztina Doroghazi</w:t>
      </w:r>
    </w:p>
    <w:p>
      <w:pPr>
        <w:ind w:left="20"/>
        <w:spacing w:after="0" w:line="229" w:lineRule="auto"/>
        <w:rPr>
          <w:sz w:val="20"/>
          <w:szCs w:val="20"/>
          <w:color w:val="auto"/>
        </w:rPr>
      </w:pPr>
      <w:r>
        <w:rPr>
          <w:rFonts w:ascii="Arial" w:cs="Arial" w:eastAsia="Arial" w:hAnsi="Arial"/>
          <w:sz w:val="18"/>
          <w:szCs w:val="18"/>
          <w:color w:val="auto"/>
        </w:rPr>
        <w:t>Senior Vice President, Controller and Chief Accounting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1251" w:right="45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TECHNIPFMC PLC INCENTIVE AWARD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This Restricted Stock Unit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made as of the </w:t>
      </w:r>
      <w:r>
        <w:rPr>
          <w:rFonts w:ascii="Arial" w:cs="Arial" w:eastAsia="Arial" w:hAnsi="Arial"/>
          <w:sz w:val="22"/>
          <w:szCs w:val="22"/>
          <w:color w:val="auto"/>
          <w:highlight w:val="yellow"/>
        </w:rPr>
        <w:t>&lt;&lt;Grant Date&gt;&gt;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Grant Date</w:t>
      </w:r>
      <w:r>
        <w:rPr>
          <w:rFonts w:ascii="Arial" w:cs="Arial" w:eastAsia="Arial" w:hAnsi="Arial"/>
          <w:sz w:val="22"/>
          <w:szCs w:val="22"/>
          <w:color w:val="auto"/>
        </w:rPr>
        <w:t>”) by TechnipFMC plc, a public limited company incorporated under the laws of England and Wales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color w:val="auto"/>
          <w:highlight w:val="yellow"/>
        </w:rPr>
        <w:t xml:space="preserve">&lt;&lt;Participant Name&gt;&gt; </w:t>
      </w:r>
      <w:r>
        <w:rPr>
          <w:rFonts w:ascii="Arial" w:cs="Arial" w:eastAsia="Arial" w:hAnsi="Arial"/>
          <w:sz w:val="22"/>
          <w:szCs w:val="22"/>
          <w:color w:val="auto"/>
        </w:rPr>
        <w:t>(the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Compensation Committee of the Company’s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 determined that it would be in the interest of the Company and its stockholders to grant an award of restricted stock units to the Participant as an inducement to remain in the service of the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Committee, on behalf of the Company, grants to the Participant an award of </w:t>
      </w:r>
      <w:r>
        <w:rPr>
          <w:rFonts w:ascii="Arial" w:cs="Arial" w:eastAsia="Arial" w:hAnsi="Arial"/>
          <w:sz w:val="22"/>
          <w:szCs w:val="22"/>
          <w:color w:val="auto"/>
          <w:highlight w:val="yellow"/>
        </w:rPr>
        <w:t>&lt;&lt;Shares Granted&gt;&gt;</w:t>
      </w:r>
      <w:r>
        <w:rPr>
          <w:rFonts w:ascii="Arial" w:cs="Arial" w:eastAsia="Arial" w:hAnsi="Arial"/>
          <w:sz w:val="22"/>
          <w:szCs w:val="22"/>
          <w:color w:val="auto"/>
        </w:rPr>
        <w:t xml:space="preserve">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of the Company’s ordinary shares (the “</w:t>
      </w:r>
      <w:r>
        <w:rPr>
          <w:rFonts w:ascii="Arial" w:cs="Arial" w:eastAsia="Arial" w:hAnsi="Arial"/>
          <w:sz w:val="22"/>
          <w:szCs w:val="22"/>
          <w:u w:val="single" w:color="auto"/>
          <w:color w:val="auto"/>
        </w:rPr>
        <w:t>Shares</w:t>
      </w:r>
      <w:r>
        <w:rPr>
          <w:rFonts w:ascii="Arial" w:cs="Arial" w:eastAsia="Arial" w:hAnsi="Arial"/>
          <w:sz w:val="22"/>
          <w:szCs w:val="22"/>
          <w:color w:val="auto"/>
        </w:rPr>
        <w:t>”). The award is made upon the following terms and conditions:</w:t>
      </w:r>
    </w:p>
    <w:p>
      <w:pPr>
        <w:spacing w:after="0" w:line="185"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Vesting</w:t>
      </w:r>
      <w:r>
        <w:rPr>
          <w:rFonts w:ascii="Arial" w:cs="Arial" w:eastAsia="Arial" w:hAnsi="Arial"/>
          <w:sz w:val="19"/>
          <w:szCs w:val="19"/>
          <w:color w:val="auto"/>
        </w:rPr>
        <w:t>. The RSUs will vest one year following the Grant Date (the “</w:t>
      </w:r>
      <w:r>
        <w:rPr>
          <w:rFonts w:ascii="Arial" w:cs="Arial" w:eastAsia="Arial" w:hAnsi="Arial"/>
          <w:sz w:val="19"/>
          <w:szCs w:val="19"/>
          <w:u w:val="single" w:color="auto"/>
          <w:color w:val="auto"/>
        </w:rPr>
        <w:t>Vesting Date</w:t>
      </w:r>
      <w:r>
        <w:rPr>
          <w:rFonts w:ascii="Arial" w:cs="Arial" w:eastAsia="Arial" w:hAnsi="Arial"/>
          <w:sz w:val="19"/>
          <w:szCs w:val="19"/>
          <w:color w:val="auto"/>
        </w:rPr>
        <w:t xml:space="preserve">”), subject to the Participant’s continued service as a Director of the Company through the Vesting Date. The RSUs will be payable as elected by the Participant pursuant to a timely filed Award Election Form under the TechnipFMC plc Directors Deferred Compensation Plan, or if no such election is made, then upon termination of service from the Board of Directors, unless otherwise provided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w:t>
      </w:r>
      <w:r>
        <w:rPr>
          <w:rFonts w:ascii="Arial" w:cs="Arial" w:eastAsia="Arial" w:hAnsi="Arial"/>
          <w:sz w:val="19"/>
          <w:szCs w:val="19"/>
          <w:color w:val="auto"/>
        </w:rPr>
        <w:t xml:space="preserve"> below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All RSUs will be forfeited upon Participant’s Termination of Service before the Vesting Date other than as provided in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below. </w:t>
      </w:r>
      <w:r>
        <w:rPr>
          <w:rFonts w:ascii="Arial" w:cs="Arial" w:eastAsia="Arial" w:hAnsi="Arial"/>
          <w:sz w:val="19"/>
          <w:szCs w:val="19"/>
          <w:b w:val="1"/>
          <w:bCs w:val="1"/>
          <w:color w:val="auto"/>
        </w:rPr>
        <w:t>Prior to the Vesting Date, an Award remains subject to substantial risk of forfeiture.</w:t>
      </w:r>
    </w:p>
    <w:p>
      <w:pPr>
        <w:spacing w:after="0" w:line="149" w:lineRule="exact"/>
        <w:rPr>
          <w:sz w:val="20"/>
          <w:szCs w:val="20"/>
          <w:color w:val="auto"/>
        </w:rPr>
      </w:pPr>
    </w:p>
    <w:p>
      <w:pPr>
        <w:jc w:val="both"/>
        <w:ind w:firstLine="474"/>
        <w:spacing w:after="0" w:line="263" w:lineRule="auto"/>
        <w:rPr>
          <w:sz w:val="20"/>
          <w:szCs w:val="20"/>
          <w:color w:val="auto"/>
        </w:rPr>
      </w:pPr>
      <w:r>
        <w:rPr>
          <w:rFonts w:ascii="Arial" w:cs="Arial" w:eastAsia="Arial" w:hAnsi="Arial"/>
          <w:sz w:val="21"/>
          <w:szCs w:val="21"/>
          <w:color w:val="auto"/>
        </w:rPr>
        <w:t>ii.</w:t>
      </w:r>
      <w:r>
        <w:rPr>
          <w:rFonts w:ascii="Arial" w:cs="Arial" w:eastAsia="Arial" w:hAnsi="Arial"/>
          <w:sz w:val="21"/>
          <w:szCs w:val="21"/>
          <w:u w:val="single" w:color="auto"/>
          <w:color w:val="auto"/>
        </w:rPr>
        <w:t>Death or Disability</w:t>
      </w:r>
      <w:r>
        <w:rPr>
          <w:rFonts w:ascii="Arial" w:cs="Arial" w:eastAsia="Arial" w:hAnsi="Arial"/>
          <w:sz w:val="21"/>
          <w:szCs w:val="21"/>
          <w:color w:val="auto"/>
        </w:rPr>
        <w:t xml:space="preserve">. Notwithstanding </w:t>
      </w:r>
      <w:r>
        <w:rPr>
          <w:rFonts w:ascii="Arial" w:cs="Arial" w:eastAsia="Arial" w:hAnsi="Arial"/>
          <w:sz w:val="21"/>
          <w:szCs w:val="21"/>
          <w:u w:val="single" w:color="auto"/>
          <w:color w:val="auto"/>
        </w:rPr>
        <w:t>Section 1</w:t>
      </w:r>
      <w:r>
        <w:rPr>
          <w:rFonts w:ascii="Arial" w:cs="Arial" w:eastAsia="Arial" w:hAnsi="Arial"/>
          <w:sz w:val="21"/>
          <w:szCs w:val="21"/>
          <w:color w:val="auto"/>
        </w:rPr>
        <w:t>, in the event of Participant’s death or Disability (as defined below) prior to the Vesting Date, the RSUs will vest in full and be payable as soon as practicable, but not more than sixty (60) days, following the date of such death or Disability. “</w:t>
      </w:r>
      <w:r>
        <w:rPr>
          <w:rFonts w:ascii="Arial" w:cs="Arial" w:eastAsia="Arial" w:hAnsi="Arial"/>
          <w:sz w:val="21"/>
          <w:szCs w:val="21"/>
          <w:u w:val="single" w:color="auto"/>
          <w:color w:val="auto"/>
        </w:rPr>
        <w:t>Disability</w:t>
      </w:r>
      <w:r>
        <w:rPr>
          <w:rFonts w:ascii="Arial" w:cs="Arial" w:eastAsia="Arial" w:hAnsi="Arial"/>
          <w:sz w:val="21"/>
          <w:szCs w:val="21"/>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75"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1</w:t>
      </w:r>
      <w:r>
        <w:rPr>
          <w:rFonts w:ascii="Arial" w:cs="Arial" w:eastAsia="Arial" w:hAnsi="Arial"/>
          <w:sz w:val="22"/>
          <w:szCs w:val="22"/>
          <w:color w:val="auto"/>
        </w:rPr>
        <w:t>, the RSUs will vest in full and be payable on the consummation of the Change in Control</w:t>
      </w:r>
      <w:r>
        <w:rPr>
          <w:rFonts w:ascii="Arial" w:cs="Arial" w:eastAsia="Arial" w:hAnsi="Arial"/>
          <w:sz w:val="22"/>
          <w:szCs w:val="22"/>
          <w:color w:val="1F497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|US-DOCS\111436136.3||</w:t>
      </w:r>
    </w:p>
    <w:p>
      <w:pPr>
        <w:sectPr>
          <w:pgSz w:w="11900" w:h="16838" w:orient="portrait"/>
          <w:cols w:equalWidth="0" w:num="1">
            <w:col w:w="11240"/>
          </w:cols>
          <w:pgMar w:left="320" w:top="1422" w:right="339" w:bottom="1440" w:gutter="0" w:footer="0" w:header="0"/>
        </w:sectPr>
      </w:pPr>
    </w:p>
    <w:bookmarkStart w:id="49" w:name="page50"/>
    <w:bookmarkEnd w:id="49"/>
    <w:p>
      <w:pPr>
        <w:ind w:left="440"/>
        <w:spacing w:after="0"/>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Rights and Obligations as Stockholder</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3" w:lineRule="auto"/>
        <w:tabs>
          <w:tab w:leader="none" w:pos="1944" w:val="left"/>
        </w:tabs>
        <w:numPr>
          <w:ilvl w:val="0"/>
          <w:numId w:val="23"/>
        </w:numPr>
        <w:rPr>
          <w:rFonts w:ascii="Arial" w:cs="Arial" w:eastAsia="Arial" w:hAnsi="Arial"/>
          <w:sz w:val="21"/>
          <w:szCs w:val="21"/>
          <w:color w:val="auto"/>
        </w:rPr>
      </w:pPr>
      <w:r>
        <w:rPr>
          <w:rFonts w:ascii="Arial" w:cs="Arial" w:eastAsia="Arial" w:hAnsi="Arial"/>
          <w:sz w:val="21"/>
          <w:szCs w:val="21"/>
          <w:color w:val="auto"/>
        </w:rPr>
        <w:t>Prior to the Settlement Date, the Participant may not vote, sell, exchange, transfer, pledge, hypothecate or otherwise dispose of any of the RSUs. The Participant will receive Dividend Equivalents on the RSUs, provided, however, that no Dividend Equivalents shall be payable prior to the Vesting Date on any unvested RSUs. All Dividend Equivalents paid on unvested RSUs shall be held by the Company until such RSUs become vested RSUs and shall be paid to the Participant as soon as practicable, but no later than sixty days following the Settlement Date.</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9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After the Settlement Date, the Participant agrees to comply with any and all of the Company’s policies and procedures related to trading in the Company’s Shares, including, but not limited to, the Company’s </w:t>
      </w:r>
      <w:r>
        <w:rPr>
          <w:rFonts w:ascii="Arial" w:cs="Arial" w:eastAsia="Arial" w:hAnsi="Arial"/>
          <w:sz w:val="22"/>
          <w:szCs w:val="22"/>
          <w:i w:val="1"/>
          <w:iCs w:val="1"/>
          <w:color w:val="auto"/>
        </w:rPr>
        <w:t>Code of Business Conduct</w:t>
      </w:r>
      <w:r>
        <w:rPr>
          <w:rFonts w:ascii="Arial" w:cs="Arial" w:eastAsia="Arial" w:hAnsi="Arial"/>
          <w:sz w:val="22"/>
          <w:szCs w:val="22"/>
          <w:color w:val="auto"/>
        </w:rPr>
        <w:t xml:space="preserve"> and the </w:t>
      </w:r>
      <w:r>
        <w:rPr>
          <w:rFonts w:ascii="Arial" w:cs="Arial" w:eastAsia="Arial" w:hAnsi="Arial"/>
          <w:sz w:val="22"/>
          <w:szCs w:val="22"/>
          <w:i w:val="1"/>
          <w:iCs w:val="1"/>
          <w:color w:val="auto"/>
        </w:rPr>
        <w:t>Insider Trading Policy</w:t>
      </w:r>
      <w:r>
        <w:rPr>
          <w:rFonts w:ascii="Arial" w:cs="Arial" w:eastAsia="Arial" w:hAnsi="Arial"/>
          <w:sz w:val="22"/>
          <w:szCs w:val="22"/>
          <w:color w:val="auto"/>
        </w:rPr>
        <w:t xml:space="preserve"> </w:t>
      </w:r>
      <w:r>
        <w:rPr>
          <w:rFonts w:ascii="Arial" w:cs="Arial" w:eastAsia="Arial" w:hAnsi="Arial"/>
          <w:sz w:val="19"/>
          <w:szCs w:val="19"/>
          <w:color w:val="auto"/>
        </w:rPr>
        <w:t>and the insider trading and anti-market abuse rules of the U.S. Securities Exchange Act, the Market Abuse</w:t>
      </w:r>
      <w:r>
        <w:rPr>
          <w:rFonts w:ascii="Arial" w:cs="Arial" w:eastAsia="Arial" w:hAnsi="Arial"/>
          <w:sz w:val="22"/>
          <w:szCs w:val="22"/>
          <w:color w:val="auto"/>
        </w:rPr>
        <w:t xml:space="preserve"> </w:t>
      </w:r>
      <w:r>
        <w:rPr>
          <w:rFonts w:ascii="Arial" w:cs="Arial" w:eastAsia="Arial" w:hAnsi="Arial"/>
          <w:sz w:val="19"/>
          <w:szCs w:val="19"/>
          <w:color w:val="auto"/>
        </w:rPr>
        <w:t>Regulation ((EU) No 596/2014 (</w:t>
      </w:r>
      <w:r>
        <w:rPr>
          <w:rFonts w:ascii="Arial" w:cs="Arial" w:eastAsia="Arial" w:hAnsi="Arial"/>
          <w:sz w:val="19"/>
          <w:szCs w:val="19"/>
          <w:b w:val="1"/>
          <w:bCs w:val="1"/>
          <w:color w:val="auto"/>
        </w:rPr>
        <w:t>MAR</w:t>
      </w:r>
      <w:r>
        <w:rPr>
          <w:rFonts w:ascii="Arial" w:cs="Arial" w:eastAsia="Arial" w:hAnsi="Arial"/>
          <w:sz w:val="19"/>
          <w:szCs w:val="19"/>
          <w:color w:val="auto"/>
        </w:rPr>
        <w:t>) and the UK Market Abuse Exit Regulations 2019</w:t>
      </w:r>
      <w:r>
        <w:rPr>
          <w:rFonts w:ascii="Arial" w:cs="Arial" w:eastAsia="Arial" w:hAnsi="Arial"/>
          <w:sz w:val="21"/>
          <w:szCs w:val="21"/>
          <w:color w:val="auto"/>
        </w:rPr>
        <w:t>.</w:t>
      </w:r>
    </w:p>
    <w:p>
      <w:pPr>
        <w:spacing w:after="0" w:line="1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No Limitation on Rights of the Company</w:t>
      </w:r>
      <w:r>
        <w:rPr>
          <w:rFonts w:ascii="Arial" w:cs="Arial" w:eastAsia="Arial" w:hAnsi="Arial"/>
          <w:sz w:val="22"/>
          <w:szCs w:val="22"/>
          <w:color w:val="auto"/>
        </w:rPr>
        <w:t>. The granting of RSUs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185" w:lineRule="exact"/>
        <w:rPr>
          <w:sz w:val="20"/>
          <w:szCs w:val="20"/>
          <w:color w:val="auto"/>
        </w:rPr>
      </w:pPr>
    </w:p>
    <w:p>
      <w:pPr>
        <w:jc w:val="both"/>
        <w:ind w:firstLine="426"/>
        <w:spacing w:after="0" w:line="271" w:lineRule="auto"/>
        <w:rPr>
          <w:sz w:val="20"/>
          <w:szCs w:val="20"/>
          <w:color w:val="auto"/>
        </w:rPr>
      </w:pPr>
      <w:r>
        <w:rPr>
          <w:rFonts w:ascii="Arial" w:cs="Arial" w:eastAsia="Arial" w:hAnsi="Arial"/>
          <w:sz w:val="21"/>
          <w:szCs w:val="21"/>
          <w:color w:val="auto"/>
        </w:rPr>
        <w:t>vi.</w:t>
      </w:r>
      <w:r>
        <w:rPr>
          <w:rFonts w:ascii="Arial" w:cs="Arial" w:eastAsia="Arial" w:hAnsi="Arial"/>
          <w:sz w:val="21"/>
          <w:szCs w:val="21"/>
          <w:u w:val="single" w:color="auto"/>
          <w:color w:val="auto"/>
        </w:rPr>
        <w:t>Employment</w:t>
      </w:r>
      <w:r>
        <w:rPr>
          <w:rFonts w:ascii="Arial" w:cs="Arial" w:eastAsia="Arial" w:hAnsi="Arial"/>
          <w:sz w:val="21"/>
          <w:szCs w:val="21"/>
          <w:color w:val="auto"/>
        </w:rPr>
        <w:t>. Nothing in this Agreement or in the Plan will be construed as constituting a commitment, guarantee, agreement or understanding of any kind or nature that the Company will continue to appoint the Participant as a Director, or as affecting in any way the right of the Company to terminate the appointment of the Participant at any time.</w:t>
      </w:r>
    </w:p>
    <w:p>
      <w:pPr>
        <w:spacing w:after="0" w:line="167" w:lineRule="exact"/>
        <w:rPr>
          <w:sz w:val="20"/>
          <w:szCs w:val="20"/>
          <w:color w:val="auto"/>
        </w:rPr>
      </w:pPr>
    </w:p>
    <w:p>
      <w:pPr>
        <w:jc w:val="both"/>
        <w:ind w:firstLine="366"/>
        <w:spacing w:after="0" w:line="253" w:lineRule="auto"/>
        <w:rPr>
          <w:sz w:val="20"/>
          <w:szCs w:val="20"/>
          <w:color w:val="auto"/>
        </w:rPr>
      </w:pPr>
      <w:r>
        <w:rPr>
          <w:rFonts w:ascii="Arial" w:cs="Arial" w:eastAsia="Arial" w:hAnsi="Arial"/>
          <w:sz w:val="22"/>
          <w:szCs w:val="22"/>
          <w:color w:val="auto"/>
        </w:rPr>
        <w:t>vii.</w:t>
      </w:r>
      <w:r>
        <w:rPr>
          <w:rFonts w:ascii="Arial" w:cs="Arial" w:eastAsia="Arial" w:hAnsi="Arial"/>
          <w:sz w:val="22"/>
          <w:szCs w:val="22"/>
          <w:u w:val="single" w:color="auto"/>
          <w:color w:val="auto"/>
        </w:rPr>
        <w:t>Government Regulation</w:t>
      </w:r>
      <w:r>
        <w:rPr>
          <w:rFonts w:ascii="Arial" w:cs="Arial" w:eastAsia="Arial" w:hAnsi="Arial"/>
          <w:sz w:val="22"/>
          <w:szCs w:val="22"/>
          <w:color w:val="auto"/>
        </w:rPr>
        <w:t>. The Company’s obligation to deliver Shares following the Vesting Date will be subject to all applicable laws, rules and regulations and to such approvals by any governmental agencies or national securities exchanges as may be required.</w:t>
      </w:r>
    </w:p>
    <w:p>
      <w:pPr>
        <w:spacing w:after="0" w:line="185" w:lineRule="exact"/>
        <w:rPr>
          <w:sz w:val="20"/>
          <w:szCs w:val="20"/>
          <w:color w:val="auto"/>
        </w:rPr>
      </w:pPr>
    </w:p>
    <w:p>
      <w:pPr>
        <w:jc w:val="both"/>
        <w:ind w:firstLine="306"/>
        <w:spacing w:after="0" w:line="294" w:lineRule="auto"/>
        <w:rPr>
          <w:sz w:val="20"/>
          <w:szCs w:val="20"/>
          <w:color w:val="auto"/>
        </w:rPr>
      </w:pPr>
      <w:r>
        <w:rPr>
          <w:rFonts w:ascii="Arial" w:cs="Arial" w:eastAsia="Arial" w:hAnsi="Arial"/>
          <w:sz w:val="19"/>
          <w:szCs w:val="19"/>
          <w:color w:val="auto"/>
        </w:rPr>
        <w:t>viii.</w:t>
      </w:r>
      <w:r>
        <w:rPr>
          <w:rFonts w:ascii="Arial" w:cs="Arial" w:eastAsia="Arial" w:hAnsi="Arial"/>
          <w:sz w:val="19"/>
          <w:szCs w:val="19"/>
          <w:u w:val="single" w:color="auto"/>
          <w:color w:val="auto"/>
        </w:rPr>
        <w:t>Withholding</w:t>
      </w:r>
      <w:r>
        <w:rPr>
          <w:rFonts w:ascii="Arial" w:cs="Arial" w:eastAsia="Arial" w:hAnsi="Arial"/>
          <w:sz w:val="19"/>
          <w:szCs w:val="19"/>
          <w:color w:val="auto"/>
        </w:rPr>
        <w:t>. The Company,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Shares on the Settlement Date, or, if the Settlement Date is not a business day, the next business day immediately following the Settlement Date.</w:t>
      </w:r>
    </w:p>
    <w:p>
      <w:pPr>
        <w:spacing w:after="0" w:line="149" w:lineRule="exact"/>
        <w:rPr>
          <w:sz w:val="20"/>
          <w:szCs w:val="20"/>
          <w:color w:val="auto"/>
        </w:rPr>
      </w:pPr>
    </w:p>
    <w:p>
      <w:pPr>
        <w:jc w:val="both"/>
        <w:ind w:firstLine="426"/>
        <w:spacing w:after="0" w:line="248" w:lineRule="auto"/>
        <w:rPr>
          <w:sz w:val="20"/>
          <w:szCs w:val="20"/>
          <w:color w:val="auto"/>
        </w:rPr>
      </w:pPr>
      <w:r>
        <w:rPr>
          <w:rFonts w:ascii="Arial" w:cs="Arial" w:eastAsia="Arial" w:hAnsi="Arial"/>
          <w:sz w:val="22"/>
          <w:szCs w:val="22"/>
          <w:color w:val="auto"/>
        </w:rPr>
        <w:t>ix.</w:t>
      </w:r>
      <w:r>
        <w:rPr>
          <w:rFonts w:ascii="Arial" w:cs="Arial" w:eastAsia="Arial" w:hAnsi="Arial"/>
          <w:sz w:val="22"/>
          <w:szCs w:val="22"/>
          <w:u w:val="single" w:color="auto"/>
          <w:color w:val="auto"/>
        </w:rPr>
        <w:t>Notice</w:t>
      </w:r>
      <w:r>
        <w:rPr>
          <w:rFonts w:ascii="Arial" w:cs="Arial" w:eastAsia="Arial" w:hAnsi="Arial"/>
          <w:sz w:val="22"/>
          <w:szCs w:val="22"/>
          <w:color w:val="auto"/>
        </w:rPr>
        <w:t>. Any notice to the Company provided for in this Agreement will be addressed to it in care of its Secretary, TechnipFMC plc, John T. Gremp Campus, 13450 Lockwood Road, Houston, Texas 77044, and any notice to the Participant (or other person entitled to receive the RSUs) will be addressed to such person at the Participant’s address now on file with the Company, or to such other address as either may designate to the other in writing. Any notice will be deemed to be duly given when sent via email or when sent by certified mail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|US-DOCS\111436136.3||</w:t>
      </w:r>
    </w:p>
    <w:p>
      <w:pPr>
        <w:sectPr>
          <w:pgSz w:w="11900" w:h="16838" w:orient="portrait"/>
          <w:cols w:equalWidth="0" w:num="1">
            <w:col w:w="11240"/>
          </w:cols>
          <w:pgMar w:left="320" w:top="1428" w:right="339" w:bottom="1440" w:gutter="0" w:footer="0" w:header="0"/>
        </w:sectPr>
      </w:pPr>
    </w:p>
    <w:bookmarkStart w:id="50" w:name="page51"/>
    <w:bookmarkEnd w:id="50"/>
    <w:p>
      <w:pPr>
        <w:jc w:val="both"/>
        <w:ind w:right="20"/>
        <w:spacing w:after="0" w:line="263" w:lineRule="auto"/>
        <w:rPr>
          <w:sz w:val="20"/>
          <w:szCs w:val="20"/>
          <w:color w:val="auto"/>
        </w:rPr>
      </w:pPr>
      <w:r>
        <w:rPr>
          <w:rFonts w:ascii="Arial" w:cs="Arial" w:eastAsia="Arial" w:hAnsi="Arial"/>
          <w:sz w:val="22"/>
          <w:szCs w:val="22"/>
          <w:color w:val="auto"/>
        </w:rPr>
        <w:t>receipt requested) and deposited (with postage prepaid) in a post office or branch post office regularly maintained by the United States Postal Service.</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22"/>
          <w:szCs w:val="22"/>
          <w:color w:val="auto"/>
        </w:rPr>
        <w:t>x.</w:t>
      </w:r>
      <w:r>
        <w:rPr>
          <w:rFonts w:ascii="Arial" w:cs="Arial" w:eastAsia="Arial" w:hAnsi="Arial"/>
          <w:sz w:val="22"/>
          <w:szCs w:val="22"/>
          <w:u w:val="single" w:color="auto"/>
          <w:color w:val="auto"/>
        </w:rPr>
        <w:t>Administration</w:t>
      </w:r>
      <w:r>
        <w:rPr>
          <w:rFonts w:ascii="Arial" w:cs="Arial" w:eastAsia="Arial" w:hAnsi="Arial"/>
          <w:sz w:val="22"/>
          <w:szCs w:val="22"/>
          <w:color w:val="auto"/>
        </w:rPr>
        <w:t>. The Participant’s rights under this Agreement are expressly subject to the terms and conditions of the Plan, if any, a copy of which has been made available to the Participant.</w:t>
      </w:r>
    </w:p>
    <w:p>
      <w:pPr>
        <w:spacing w:after="0" w:line="175" w:lineRule="exact"/>
        <w:rPr>
          <w:sz w:val="20"/>
          <w:szCs w:val="20"/>
          <w:color w:val="auto"/>
        </w:rPr>
      </w:pPr>
    </w:p>
    <w:p>
      <w:pPr>
        <w:jc w:val="both"/>
        <w:ind w:firstLine="426"/>
        <w:spacing w:after="0" w:line="263" w:lineRule="auto"/>
        <w:rPr>
          <w:sz w:val="20"/>
          <w:szCs w:val="20"/>
          <w:color w:val="auto"/>
        </w:rPr>
      </w:pPr>
      <w:r>
        <w:rPr>
          <w:rFonts w:ascii="Arial" w:cs="Arial" w:eastAsia="Arial" w:hAnsi="Arial"/>
          <w:sz w:val="22"/>
          <w:szCs w:val="22"/>
          <w:color w:val="auto"/>
        </w:rPr>
        <w:t>xi.</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will inure to the benefit of and be binding upon the parties hereto and their respective heirs, executors, administrators, successors and permitted assigns.</w:t>
      </w:r>
    </w:p>
    <w:p>
      <w:pPr>
        <w:spacing w:after="0" w:line="175" w:lineRule="exact"/>
        <w:rPr>
          <w:sz w:val="20"/>
          <w:szCs w:val="20"/>
          <w:color w:val="auto"/>
        </w:rPr>
      </w:pPr>
    </w:p>
    <w:p>
      <w:pPr>
        <w:jc w:val="both"/>
        <w:ind w:right="20" w:firstLine="366"/>
        <w:spacing w:after="0" w:line="253" w:lineRule="auto"/>
        <w:rPr>
          <w:sz w:val="20"/>
          <w:szCs w:val="20"/>
          <w:color w:val="auto"/>
        </w:rPr>
      </w:pPr>
      <w:r>
        <w:rPr>
          <w:rFonts w:ascii="Arial" w:cs="Arial" w:eastAsia="Arial" w:hAnsi="Arial"/>
          <w:sz w:val="22"/>
          <w:szCs w:val="22"/>
          <w:color w:val="auto"/>
        </w:rPr>
        <w:t>xii.</w:t>
      </w:r>
      <w:r>
        <w:rPr>
          <w:rFonts w:ascii="Arial" w:cs="Arial" w:eastAsia="Arial" w:hAnsi="Arial"/>
          <w:sz w:val="22"/>
          <w:szCs w:val="22"/>
          <w:u w:val="single" w:color="auto"/>
          <w:color w:val="auto"/>
        </w:rPr>
        <w:t>Sole Agreement</w:t>
      </w:r>
      <w:r>
        <w:rPr>
          <w:rFonts w:ascii="Arial" w:cs="Arial" w:eastAsia="Arial" w:hAnsi="Arial"/>
          <w:sz w:val="22"/>
          <w:szCs w:val="22"/>
          <w:color w:val="auto"/>
        </w:rPr>
        <w:t>. This Agreement constitutes the entire agreement between the parties to it relating to the RSUs and supersedes any and all prior oral and written representations. This Agreement may only be amended by written agreement between the Company and the Participant.</w:t>
      </w:r>
    </w:p>
    <w:p>
      <w:pPr>
        <w:spacing w:after="0" w:line="185" w:lineRule="exact"/>
        <w:rPr>
          <w:sz w:val="20"/>
          <w:szCs w:val="20"/>
          <w:color w:val="auto"/>
        </w:rPr>
      </w:pPr>
    </w:p>
    <w:p>
      <w:pPr>
        <w:jc w:val="both"/>
        <w:ind w:firstLine="306"/>
        <w:spacing w:after="0" w:line="246" w:lineRule="auto"/>
        <w:rPr>
          <w:sz w:val="20"/>
          <w:szCs w:val="20"/>
          <w:color w:val="auto"/>
        </w:rPr>
      </w:pPr>
      <w:r>
        <w:rPr>
          <w:rFonts w:ascii="Arial" w:cs="Arial" w:eastAsia="Arial" w:hAnsi="Arial"/>
          <w:sz w:val="22"/>
          <w:szCs w:val="22"/>
          <w:color w:val="auto"/>
        </w:rPr>
        <w:t>xiii.</w:t>
      </w:r>
      <w:r>
        <w:rPr>
          <w:rFonts w:ascii="Arial" w:cs="Arial" w:eastAsia="Arial" w:hAnsi="Arial"/>
          <w:sz w:val="22"/>
          <w:szCs w:val="22"/>
          <w:u w:val="single" w:color="auto"/>
          <w:color w:val="auto"/>
        </w:rPr>
        <w:t>Delivery of Documents</w:t>
      </w:r>
      <w:r>
        <w:rPr>
          <w:rFonts w:ascii="Arial" w:cs="Arial" w:eastAsia="Arial" w:hAnsi="Arial"/>
          <w:sz w:val="22"/>
          <w:szCs w:val="22"/>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196" w:lineRule="exact"/>
        <w:rPr>
          <w:sz w:val="20"/>
          <w:szCs w:val="20"/>
          <w:color w:val="auto"/>
        </w:rPr>
      </w:pPr>
    </w:p>
    <w:p>
      <w:pPr>
        <w:ind w:left="1960" w:hanging="656"/>
        <w:spacing w:after="0"/>
        <w:tabs>
          <w:tab w:leader="none" w:pos="196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Description of Electronic Delivery</w:t>
      </w:r>
      <w:r>
        <w:rPr>
          <w:rFonts w:ascii="Arial" w:cs="Arial" w:eastAsia="Arial" w:hAnsi="Arial"/>
          <w:sz w:val="21"/>
          <w:szCs w:val="21"/>
          <w:color w:val="auto"/>
        </w:rPr>
        <w:t>. The Plan documents, which may include but do not necessarily</w:t>
      </w:r>
    </w:p>
    <w:p>
      <w:pPr>
        <w:spacing w:after="0" w:line="32" w:lineRule="exact"/>
        <w:rPr>
          <w:rFonts w:ascii="Arial" w:cs="Arial" w:eastAsia="Arial" w:hAnsi="Arial"/>
          <w:sz w:val="21"/>
          <w:szCs w:val="21"/>
          <w:color w:val="auto"/>
        </w:rPr>
      </w:pPr>
    </w:p>
    <w:p>
      <w:pPr>
        <w:jc w:val="both"/>
        <w:spacing w:after="0" w:line="285" w:lineRule="auto"/>
        <w:rPr>
          <w:rFonts w:ascii="Arial" w:cs="Arial" w:eastAsia="Arial" w:hAnsi="Arial"/>
          <w:sz w:val="21"/>
          <w:szCs w:val="21"/>
          <w:color w:val="auto"/>
        </w:rPr>
      </w:pPr>
      <w:r>
        <w:rPr>
          <w:rFonts w:ascii="Arial" w:cs="Arial" w:eastAsia="Arial" w:hAnsi="Arial"/>
          <w:sz w:val="19"/>
          <w:szCs w:val="19"/>
          <w:color w:val="auto"/>
        </w:rPr>
        <w:t>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200" w:lineRule="exact"/>
        <w:rPr>
          <w:rFonts w:ascii="Arial" w:cs="Arial" w:eastAsia="Arial" w:hAnsi="Arial"/>
          <w:sz w:val="21"/>
          <w:szCs w:val="21"/>
          <w:color w:val="auto"/>
        </w:rPr>
      </w:pPr>
    </w:p>
    <w:p>
      <w:pPr>
        <w:spacing w:after="0" w:line="222" w:lineRule="exact"/>
        <w:rPr>
          <w:rFonts w:ascii="Arial" w:cs="Arial" w:eastAsia="Arial" w:hAnsi="Arial"/>
          <w:sz w:val="21"/>
          <w:szCs w:val="21"/>
          <w:color w:val="auto"/>
        </w:rPr>
      </w:pPr>
    </w:p>
    <w:p>
      <w:pPr>
        <w:ind w:firstLine="1304"/>
        <w:spacing w:after="0" w:line="263" w:lineRule="auto"/>
        <w:tabs>
          <w:tab w:leader="none" w:pos="194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Paper Copies</w:t>
      </w:r>
      <w:r>
        <w:rPr>
          <w:rFonts w:ascii="Arial" w:cs="Arial" w:eastAsia="Arial" w:hAnsi="Arial"/>
          <w:sz w:val="22"/>
          <w:szCs w:val="22"/>
          <w:color w:val="auto"/>
        </w:rPr>
        <w:t>. Participant acknowledges that he or she may receive form the Company a paper copy of any documents delivered electronically at no cost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|US-DOCS\111436136.3||</w:t>
      </w:r>
    </w:p>
    <w:p>
      <w:pPr>
        <w:sectPr>
          <w:pgSz w:w="11900" w:h="16838" w:orient="portrait"/>
          <w:cols w:equalWidth="0" w:num="1">
            <w:col w:w="11240"/>
          </w:cols>
          <w:pgMar w:left="320" w:top="1428" w:right="3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21"/>
          <w:szCs w:val="21"/>
          <w:color w:val="auto"/>
        </w:rPr>
        <w:t>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75" w:lineRule="exact"/>
        <w:rPr>
          <w:sz w:val="20"/>
          <w:szCs w:val="20"/>
          <w:color w:val="auto"/>
        </w:rPr>
      </w:pPr>
    </w:p>
    <w:p>
      <w:pPr>
        <w:jc w:val="both"/>
        <w:ind w:firstLine="318"/>
        <w:spacing w:after="0" w:line="289" w:lineRule="auto"/>
        <w:rPr>
          <w:sz w:val="20"/>
          <w:szCs w:val="20"/>
          <w:color w:val="auto"/>
        </w:rPr>
      </w:pPr>
      <w:r>
        <w:rPr>
          <w:rFonts w:ascii="Arial" w:cs="Arial" w:eastAsia="Arial" w:hAnsi="Arial"/>
          <w:sz w:val="19"/>
          <w:szCs w:val="19"/>
          <w:color w:val="auto"/>
        </w:rPr>
        <w:t>xiv.</w:t>
      </w: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5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xv.</w:t>
      </w:r>
      <w:r>
        <w:rPr>
          <w:rFonts w:ascii="Arial" w:cs="Arial" w:eastAsia="Arial" w:hAnsi="Arial"/>
          <w:sz w:val="22"/>
          <w:szCs w:val="22"/>
          <w:u w:val="single" w:color="auto"/>
          <w:color w:val="auto"/>
        </w:rPr>
        <w:t>Governing Law</w:t>
      </w:r>
      <w:r>
        <w:rPr>
          <w:rFonts w:ascii="Arial" w:cs="Arial" w:eastAsia="Arial" w:hAnsi="Arial"/>
          <w:sz w:val="22"/>
          <w:szCs w:val="22"/>
          <w:color w:val="auto"/>
        </w:rPr>
        <w:t>. The interpretation, performance and enforcement of this Agreement will be governed by the laws of the State of Delaware.</w:t>
      </w:r>
    </w:p>
    <w:p>
      <w:pPr>
        <w:spacing w:after="0" w:line="175"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Data Privacy</w:t>
      </w:r>
      <w:r>
        <w:rPr>
          <w:rFonts w:ascii="Arial" w:cs="Arial" w:eastAsia="Arial" w:hAnsi="Arial"/>
          <w:sz w:val="19"/>
          <w:szCs w:val="19"/>
          <w:color w:val="auto"/>
        </w:rPr>
        <w:t>. Participant acknowledges, agrees and consents, in order to perform, including to implement, manage and administer the Plan and the Agreement (“</w:t>
      </w:r>
      <w:r>
        <w:rPr>
          <w:rFonts w:ascii="Arial" w:cs="Arial" w:eastAsia="Arial" w:hAnsi="Arial"/>
          <w:sz w:val="19"/>
          <w:szCs w:val="19"/>
          <w:u w:val="single" w:color="auto"/>
          <w:color w:val="auto"/>
        </w:rPr>
        <w:t>Purposes</w:t>
      </w:r>
      <w:r>
        <w:rPr>
          <w:rFonts w:ascii="Arial" w:cs="Arial" w:eastAsia="Arial" w:hAnsi="Arial"/>
          <w:sz w:val="19"/>
          <w:szCs w:val="19"/>
          <w:color w:val="auto"/>
        </w:rPr>
        <w:t>”), it is necessary to collect and process certain personal information concerning the Participant including: Participant’s name, home address, telephone number, date of birth, national identification number, nationality, any shares of stock held in the Company and details of all Awards (“</w:t>
      </w:r>
      <w:r>
        <w:rPr>
          <w:rFonts w:ascii="Arial" w:cs="Arial" w:eastAsia="Arial" w:hAnsi="Arial"/>
          <w:sz w:val="19"/>
          <w:szCs w:val="19"/>
          <w:u w:val="single" w:color="auto"/>
          <w:color w:val="auto"/>
        </w:rPr>
        <w:t>Data</w:t>
      </w:r>
      <w:r>
        <w:rPr>
          <w:rFonts w:ascii="Arial" w:cs="Arial" w:eastAsia="Arial" w:hAnsi="Arial"/>
          <w:sz w:val="19"/>
          <w:szCs w:val="19"/>
          <w:color w:val="auto"/>
        </w:rPr>
        <w:t>”). The Company, having its registered office at One St. Paul’s Churchyard, London, EC4M 8AP, United Kingdom, is the data controller for such processing. As the case may be, Data are collected directly from the Participant or are provided by the Company.</w:t>
      </w:r>
    </w:p>
    <w:p>
      <w:pPr>
        <w:spacing w:after="0" w:line="1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addition to the Purposes, Company uses the Data (i) in order to comply with securities law and financial reporting and other legal requirements, and (ii) on the basis of its legitimate interest in case of a pending and/or threatening dispute and/or (legal) claim, investigation by a relevant supervisory authority, litigation or arbitration, to determine its legal position, in order to obtain (external) advice and/or to establish and/or defend its (legal) position and/or to exercise a (legal) claim.</w:t>
      </w:r>
    </w:p>
    <w:p>
      <w:pPr>
        <w:spacing w:after="0" w:line="1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Data may be disclosed to third-party stock plan administrators (including banks, brokers, custodians, central securities depositories, stock exchanges, etc.), their respective auditors, advisors and consultants and any other parties as may be required or appropriate for the Purposes. Data may also be made available to public authorities where required by law or regulation and may also be disclosed to judicial and arbitration courts and/or committees and external advisors. These entities and authorities may be located in the United States, the United Kingdom, the European Economic Area, or elsewhere, including in territories where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|US-DOCS\111436136.3||</w:t>
      </w:r>
    </w:p>
    <w:p>
      <w:pPr>
        <w:sectPr>
          <w:pgSz w:w="11900" w:h="16838" w:orient="portrait"/>
          <w:cols w:equalWidth="0" w:num="1">
            <w:col w:w="11240"/>
          </w:cols>
          <w:pgMar w:left="320" w:top="1428" w:right="3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22"/>
          <w:szCs w:val="22"/>
          <w:color w:val="auto"/>
        </w:rPr>
        <w:t xml:space="preserve">protection laws may not be as protective as in the Participant’s jurisdiction of residence. Where relevant, the Company and its Subsidiaries will implement appropriate safeguards to ensure the protection of the Data when disclosing the Data to a third party, such as the standard contractual clauses proposed by the European Commission. Participant may request a copy of such safeguards by contacting the TechnipFMC Data Protection Office at </w:t>
      </w:r>
      <w:r>
        <w:rPr>
          <w:rFonts w:ascii="Arial" w:cs="Arial" w:eastAsia="Arial" w:hAnsi="Arial"/>
          <w:sz w:val="22"/>
          <w:szCs w:val="22"/>
          <w:u w:val="single" w:color="auto"/>
          <w:color w:val="0000FF"/>
        </w:rPr>
        <w:t>privacy@TechnipFMC.com</w:t>
      </w:r>
      <w:r>
        <w:rPr>
          <w:rFonts w:ascii="Arial" w:cs="Arial" w:eastAsia="Arial" w:hAnsi="Arial"/>
          <w:sz w:val="22"/>
          <w:szCs w:val="22"/>
          <w:color w:val="auto"/>
        </w:rPr>
        <w:t xml:space="preserve"> or Participant’s local human resources representative.</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Participant may request to have access to the his or her Data, to rectify any such Data, to erase the Data, to restrict processing of the Data, to object to the processing of the Data, as well as request Data portability pursuant to Articles 15 to 21 of the GDPR or other similar applicable regulations and has the right to file complaints and/or claims with the competent data protection authority. Requests regarding the Data, questions or complaints may be addressed by contacting the TechnipFMC Data Protection Office at </w:t>
      </w:r>
      <w:r>
        <w:rPr>
          <w:rFonts w:ascii="Arial" w:cs="Arial" w:eastAsia="Arial" w:hAnsi="Arial"/>
          <w:sz w:val="22"/>
          <w:szCs w:val="22"/>
          <w:u w:val="single" w:color="auto"/>
          <w:color w:val="0000FF"/>
        </w:rPr>
        <w:t>privacy@TechnipFMC.com</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Data will be held and used only as long as is necessary for the Purposes. Only where the Company and/or its Subsidiaries are legally obliged to (e.g. for compliance with legal and financial reporting purposes), or where this is necessary for defending their interests in the context of judicial proceedings, the Company will store the Data for longer periods. Participant may request further information on retention period applicable to the Data by contacting the TechnipFMC Data Protection Office at </w:t>
      </w:r>
      <w:r>
        <w:rPr>
          <w:rFonts w:ascii="Arial" w:cs="Arial" w:eastAsia="Arial" w:hAnsi="Arial"/>
          <w:sz w:val="22"/>
          <w:szCs w:val="22"/>
          <w:u w:val="single" w:color="auto"/>
          <w:color w:val="0000FF"/>
        </w:rPr>
        <w:t>privacy@TechnipFMC.com.</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It is obligatory for the Participant to provide any Data requested. If the Participant chooses not to furnish any Data requested or restrict the processing of the Data, Company will not be able to perform its obligations under the Plan or this Agreement.</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If Participant is located outside of the European Economic Area and to the extent consent to the processing and/or the transfer of Data is required by law, Participant hereby consents to such processing and/or transfer as described in this Section 16. At any time, Participant may withdraw the consent given herein in writing by contacting the TechnipFMC Data Protection Office at </w:t>
      </w:r>
      <w:r>
        <w:rPr>
          <w:rFonts w:ascii="Arial" w:cs="Arial" w:eastAsia="Arial" w:hAnsi="Arial"/>
          <w:sz w:val="19"/>
          <w:szCs w:val="19"/>
          <w:u w:val="single" w:color="auto"/>
          <w:color w:val="0000FF"/>
        </w:rPr>
        <w:t>privacy@TechnipFMC.com</w:t>
      </w:r>
      <w:r>
        <w:rPr>
          <w:rFonts w:ascii="Arial" w:cs="Arial" w:eastAsia="Arial" w:hAnsi="Arial"/>
          <w:sz w:val="19"/>
          <w:szCs w:val="19"/>
          <w:color w:val="auto"/>
        </w:rPr>
        <w:t>. Participant acknowledges, agrees and accepts that in the event he or she chooses to withdraw his or her consent, Company may not be able to perform its obligations and administer the Plan and the Agreement.</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Funding</w:t>
      </w:r>
      <w:r>
        <w:rPr>
          <w:rFonts w:ascii="Arial" w:cs="Arial" w:eastAsia="Arial" w:hAnsi="Arial"/>
          <w:sz w:val="22"/>
          <w:szCs w:val="22"/>
          <w:color w:val="auto"/>
        </w:rPr>
        <w:t>. The RSUs represent an unfunded promise to pay and deliver Shares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the Grant Date.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TechnipFMC plc</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24130</wp:posOffset>
            </wp:positionV>
            <wp:extent cx="66522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65" w:lineRule="exact"/>
        <w:rPr>
          <w:sz w:val="20"/>
          <w:szCs w:val="20"/>
          <w:color w:val="auto"/>
        </w:rPr>
      </w:pPr>
    </w:p>
    <w:p>
      <w:pPr>
        <w:ind w:left="780"/>
        <w:spacing w:after="0"/>
        <w:tabs>
          <w:tab w:leader="none" w:pos="6880" w:val="left"/>
        </w:tabs>
        <w:rPr>
          <w:sz w:val="20"/>
          <w:szCs w:val="20"/>
          <w:color w:val="auto"/>
        </w:rPr>
      </w:pPr>
      <w:r>
        <w:rPr>
          <w:rFonts w:ascii="Arial" w:cs="Arial" w:eastAsia="Arial" w:hAnsi="Arial"/>
          <w:sz w:val="22"/>
          <w:szCs w:val="22"/>
          <w:color w:val="auto"/>
        </w:rPr>
        <w:t>[Executive Vice President, Human Resources]</w:t>
      </w:r>
      <w:r>
        <w:rPr>
          <w:sz w:val="20"/>
          <w:szCs w:val="20"/>
          <w:color w:val="auto"/>
        </w:rPr>
        <w:tab/>
      </w:r>
      <w:r>
        <w:rPr>
          <w:rFonts w:ascii="Arial" w:cs="Arial" w:eastAsia="Arial" w:hAnsi="Arial"/>
          <w:sz w:val="19"/>
          <w:szCs w:val="19"/>
          <w:color w:val="auto"/>
        </w:rPr>
        <w:t>&lt;&lt;Signed Electronically&gt;&gt;</w:t>
      </w:r>
    </w:p>
    <w:p>
      <w:pPr>
        <w:spacing w:after="0" w:line="355"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&lt;&lt;Acceptance Date&gt;&gt;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|US-DOCS\111436136.3||</w:t>
      </w:r>
    </w:p>
    <w:p>
      <w:pPr>
        <w:sectPr>
          <w:pgSz w:w="11900" w:h="16838" w:orient="portrait"/>
          <w:cols w:equalWidth="0" w:num="1">
            <w:col w:w="11240"/>
          </w:cols>
          <w:pgMar w:left="320" w:top="1428" w:right="33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22"/>
          <w:szCs w:val="22"/>
          <w:b w:val="1"/>
          <w:bCs w:val="1"/>
          <w:color w:val="auto"/>
        </w:rPr>
        <w:t>This document constitutes part of a prospectus covering securities that have been registered under the Securities Act of 1933.</w:t>
      </w:r>
    </w:p>
    <w:p>
      <w:pPr>
        <w:spacing w:after="0" w:line="200" w:lineRule="exact"/>
        <w:rPr>
          <w:sz w:val="20"/>
          <w:szCs w:val="20"/>
          <w:color w:val="auto"/>
        </w:rPr>
      </w:pP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|US-DOCS\111436136.3||</w:t>
      </w:r>
    </w:p>
    <w:p>
      <w:pPr>
        <w:sectPr>
          <w:pgSz w:w="11900" w:h="16838" w:orient="portrait"/>
          <w:cols w:equalWidth="0" w:num="1">
            <w:col w:w="10960"/>
          </w:cols>
          <w:pgMar w:left="320" w:top="1422" w:right="619" w:bottom="1440" w:gutter="0" w:footer="0" w:header="0"/>
        </w:sectPr>
      </w:pPr>
    </w:p>
    <w:bookmarkStart w:id="54" w:name="page55"/>
    <w:bookmarkEnd w:id="54"/>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PURSUANT TO THE</w:t>
      </w: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Performance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 ] (the “</w:t>
      </w:r>
      <w:r>
        <w:rPr>
          <w:rFonts w:ascii="Arial" w:cs="Arial" w:eastAsia="Arial" w:hAnsi="Arial"/>
          <w:sz w:val="19"/>
          <w:szCs w:val="19"/>
          <w:u w:val="single" w:color="auto"/>
          <w:color w:val="auto"/>
        </w:rPr>
        <w:t>Grant Date</w:t>
      </w:r>
      <w:r>
        <w:rPr>
          <w:rFonts w:ascii="Arial" w:cs="Arial" w:eastAsia="Arial" w:hAnsi="Arial"/>
          <w:sz w:val="19"/>
          <w:szCs w:val="19"/>
          <w:color w:val="auto"/>
        </w:rPr>
        <w:t>”) by TechnipFMC plc, a public limited company incorporated under the laws of England and Wales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w:t>
      </w:r>
      <w:r>
        <w:rPr>
          <w:rFonts w:ascii="Arial" w:cs="Arial" w:eastAsia="Arial" w:hAnsi="Arial"/>
          <w:sz w:val="19"/>
          <w:szCs w:val="19"/>
          <w:color w:val="auto"/>
          <w:highlight w:val="yellow"/>
        </w:rPr>
        <w:t>&lt;&lt;Participant Name&gt;&gt;</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an award of restricted stock units to the Participant, the amount of which will vary based on the Company’s performance,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The Committee, on behalf of the Company, grants to the Participant an award of </w:t>
      </w:r>
      <w:r>
        <w:rPr>
          <w:rFonts w:ascii="Arial" w:cs="Arial" w:eastAsia="Arial" w:hAnsi="Arial"/>
          <w:sz w:val="18"/>
          <w:szCs w:val="18"/>
          <w:color w:val="auto"/>
          <w:highlight w:val="yellow"/>
        </w:rPr>
        <w:t>&lt;&lt; # of Shares Granted&gt;&gt;</w:t>
      </w:r>
      <w:r>
        <w:rPr>
          <w:rFonts w:ascii="Arial" w:cs="Arial" w:eastAsia="Arial" w:hAnsi="Arial"/>
          <w:sz w:val="18"/>
          <w:szCs w:val="18"/>
          <w:color w:val="auto"/>
        </w:rPr>
        <w:t xml:space="preserve"> performance-based restricted stock units (the “</w:t>
      </w:r>
      <w:r>
        <w:rPr>
          <w:rFonts w:ascii="Arial" w:cs="Arial" w:eastAsia="Arial" w:hAnsi="Arial"/>
          <w:sz w:val="18"/>
          <w:szCs w:val="18"/>
          <w:u w:val="single" w:color="auto"/>
          <w:color w:val="auto"/>
        </w:rPr>
        <w:t>PSUs</w:t>
      </w:r>
      <w:r>
        <w:rPr>
          <w:rFonts w:ascii="Arial" w:cs="Arial" w:eastAsia="Arial" w:hAnsi="Arial"/>
          <w:sz w:val="18"/>
          <w:szCs w:val="18"/>
          <w:color w:val="auto"/>
        </w:rPr>
        <w:t>”) of the Company’s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which reflects the number of Shares to be delivered based on achievement of Target Performance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Target PSUs</w:t>
      </w:r>
      <w:r>
        <w:rPr>
          <w:rFonts w:ascii="Arial" w:cs="Arial" w:eastAsia="Arial" w:hAnsi="Arial"/>
          <w:sz w:val="18"/>
          <w:szCs w:val="18"/>
          <w:color w:val="auto"/>
        </w:rPr>
        <w:t xml:space="preserve">”). The actual number of Shares earned by the Participant will depend upon the satisfaction of the performance goals and in the amounts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Goals</w:t>
      </w:r>
      <w:r>
        <w:rPr>
          <w:rFonts w:ascii="Arial" w:cs="Arial" w:eastAsia="Arial" w:hAnsi="Arial"/>
          <w:sz w:val="18"/>
          <w:szCs w:val="18"/>
          <w:color w:val="auto"/>
        </w:rPr>
        <w:t>”) over the performance period set forth therein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The number of PSUs earned by the Participant will be determined at a meeting of the Committee following the completion of the Performance Period, at which time the Committee will review and approve the Company’s calculation of the Company’s performance against the Performance Goals. The total number of Shares to be delivered will vary between 0% and 200% of the Target PSUs depending on the Company’s achievement against the Performance Goals. The number of Shares earned based on satisfaction of the Performance Goals being the “</w:t>
      </w:r>
      <w:r>
        <w:rPr>
          <w:rFonts w:ascii="Arial" w:cs="Arial" w:eastAsia="Arial" w:hAnsi="Arial"/>
          <w:sz w:val="18"/>
          <w:szCs w:val="18"/>
          <w:u w:val="single" w:color="auto"/>
          <w:color w:val="auto"/>
        </w:rPr>
        <w:t>Earned PSUs</w:t>
      </w:r>
      <w:r>
        <w:rPr>
          <w:rFonts w:ascii="Arial" w:cs="Arial" w:eastAsia="Arial" w:hAnsi="Arial"/>
          <w:sz w:val="18"/>
          <w:szCs w:val="18"/>
          <w:color w:val="auto"/>
        </w:rPr>
        <w:t>.” No PSUs will be considered Earned PSUs unless and until the Compensation Committee certifies achievement against the Performance Goals. The date the Compensation Committee certifies achievement of such goals is the “</w:t>
      </w:r>
      <w:r>
        <w:rPr>
          <w:rFonts w:ascii="Arial" w:cs="Arial" w:eastAsia="Arial" w:hAnsi="Arial"/>
          <w:sz w:val="18"/>
          <w:szCs w:val="18"/>
          <w:u w:val="single" w:color="auto"/>
          <w:color w:val="auto"/>
        </w:rPr>
        <w:t>Certification Date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award is made upon the following terms and conditions:</w:t>
      </w:r>
    </w:p>
    <w:p>
      <w:pPr>
        <w:spacing w:after="0" w:line="21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72" w:lineRule="auto"/>
        <w:tabs>
          <w:tab w:leader="none" w:pos="1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PSUs will vest on [ ] and after the conclusion of the Performance Period (the “</w:t>
      </w:r>
      <w:r>
        <w:rPr>
          <w:rFonts w:ascii="Arial" w:cs="Arial" w:eastAsia="Arial" w:hAnsi="Arial"/>
          <w:sz w:val="18"/>
          <w:szCs w:val="18"/>
          <w:u w:val="single" w:color="auto"/>
          <w:color w:val="auto"/>
        </w:rPr>
        <w:t>Vesting Date</w:t>
      </w:r>
      <w:r>
        <w:rPr>
          <w:rFonts w:ascii="Arial" w:cs="Arial" w:eastAsia="Arial" w:hAnsi="Arial"/>
          <w:sz w:val="18"/>
          <w:szCs w:val="18"/>
          <w:color w:val="auto"/>
        </w:rPr>
        <w:t xml:space="preserve">”), subject to Participant’s continued employment, appointment or service through the Vesting Date, other than as provided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below. All PSUs will be forfeited upon Participant’s Termination of Service before the Vesting Date other than as provided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below.</w:t>
      </w:r>
    </w:p>
    <w:p>
      <w:pPr>
        <w:spacing w:after="0"/>
        <w:rPr>
          <w:rFonts w:ascii="Arial" w:cs="Arial" w:eastAsia="Arial" w:hAnsi="Arial"/>
          <w:sz w:val="18"/>
          <w:szCs w:val="18"/>
          <w:color w:val="auto"/>
        </w:rPr>
      </w:pPr>
      <w:r>
        <w:rPr>
          <w:rFonts w:ascii="Arial" w:cs="Arial" w:eastAsia="Arial" w:hAnsi="Arial"/>
          <w:sz w:val="20"/>
          <w:szCs w:val="20"/>
          <w:b w:val="1"/>
          <w:bCs w:val="1"/>
          <w:color w:val="auto"/>
        </w:rPr>
        <w:t>Prior to the Vesting Date, an Award remains subject to substantial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87" w:lineRule="exact"/>
        <w:rPr>
          <w:sz w:val="20"/>
          <w:szCs w:val="20"/>
          <w:color w:val="auto"/>
        </w:rPr>
      </w:pPr>
    </w:p>
    <w:p>
      <w:pPr>
        <w:jc w:val="both"/>
        <w:ind w:firstLine="1304"/>
        <w:spacing w:after="0" w:line="263" w:lineRule="auto"/>
        <w:tabs>
          <w:tab w:leader="none" w:pos="1932" w:val="left"/>
        </w:tabs>
        <w:numPr>
          <w:ilvl w:val="1"/>
          <w:numId w:val="26"/>
        </w:numPr>
        <w:rPr>
          <w:rFonts w:ascii="Arial" w:cs="Arial" w:eastAsia="Arial" w:hAnsi="Arial"/>
          <w:sz w:val="19"/>
          <w:szCs w:val="19"/>
          <w:color w:val="auto"/>
        </w:rPr>
      </w:pPr>
      <w:r>
        <w:rPr>
          <w:rFonts w:ascii="Arial" w:cs="Arial" w:eastAsia="Arial" w:hAnsi="Arial"/>
          <w:sz w:val="19"/>
          <w:szCs w:val="19"/>
          <w:color w:val="auto"/>
        </w:rPr>
        <w:t>Shares equal to the vested and Earned PSUs will be delivered to the Participant on the third business day following the later of the Certification Date or the Vesting Date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however, that the Settlement Date shall in no event be later than the date that is two and one-half months following the last day of the Performance Period (for the avoidance of doubt, this deadline is intended to comply with the “short-term deferral” exception from Section 409A of the Code).</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34"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the Participant’s death or Disability (as defined below) prior to the Vesting Date, the Participant (or his/her heirs, as the case may be) will vest and receive 100% of the Shares as soon as practicable following the Settlement Date.</w:t>
      </w:r>
    </w:p>
    <w:p>
      <w:pPr>
        <w:spacing w:after="0" w:line="185" w:lineRule="exact"/>
        <w:rPr>
          <w:rFonts w:ascii="Arial" w:cs="Arial" w:eastAsia="Arial" w:hAnsi="Arial"/>
          <w:sz w:val="20"/>
          <w:szCs w:val="20"/>
          <w:color w:val="auto"/>
        </w:rPr>
      </w:pPr>
    </w:p>
    <w:p>
      <w:pPr>
        <w:ind w:firstLine="1304"/>
        <w:spacing w:after="0" w:line="260" w:lineRule="auto"/>
        <w:tabs>
          <w:tab w:leader="none" w:pos="1932"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the Participant’s Retirement (as defined below) prior to the Vesting Date, the Participant will retain the right to receive any Earned PSUs on the Settlement Date.</w:t>
      </w:r>
    </w:p>
    <w:p>
      <w:pPr>
        <w:spacing w:after="0" w:line="176"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anything in this Agreement to the contrary, upon a Change in Control the “Earned PSUs” will equal the Target PSUs and, where the surviving corporation or any parent corporation thereof:</w:t>
      </w:r>
    </w:p>
    <w:p>
      <w:pPr>
        <w:spacing w:after="0" w:line="176" w:lineRule="exact"/>
        <w:rPr>
          <w:rFonts w:ascii="Arial" w:cs="Arial" w:eastAsia="Arial" w:hAnsi="Arial"/>
          <w:sz w:val="20"/>
          <w:szCs w:val="20"/>
          <w:color w:val="auto"/>
        </w:rPr>
      </w:pPr>
    </w:p>
    <w:p>
      <w:pPr>
        <w:jc w:val="both"/>
        <w:ind w:firstLine="1304"/>
        <w:spacing w:after="0" w:line="260" w:lineRule="auto"/>
        <w:tabs>
          <w:tab w:leader="none" w:pos="1934"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assumes or continues the Award, such Earned PSUs shall continue to be subject to vesting and forfeiture as provided in </w:t>
      </w:r>
      <w:r>
        <w:rPr>
          <w:rFonts w:ascii="Arial" w:cs="Arial" w:eastAsia="Arial" w:hAnsi="Arial"/>
          <w:sz w:val="19"/>
          <w:szCs w:val="19"/>
          <w:u w:val="single" w:color="auto"/>
          <w:color w:val="auto"/>
        </w:rPr>
        <w:t>Sections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w:t>
      </w:r>
      <w:r>
        <w:rPr>
          <w:rFonts w:ascii="Arial" w:cs="Arial" w:eastAsia="Arial" w:hAnsi="Arial"/>
          <w:sz w:val="19"/>
          <w:szCs w:val="19"/>
          <w:color w:val="auto"/>
        </w:rPr>
        <w:t>, payable on the Vesting Date; provided, however, in the event of the Participant’s Termination of Service prior to the Vesting Date for a reason other than Participant’s engaging in a Detrimental Activity (as defined below) or by Participant for Good Reason (as defined below) within twenty-four (24) months following the consummation of a Change in Control (the “</w:t>
      </w:r>
      <w:r>
        <w:rPr>
          <w:rFonts w:ascii="Arial" w:cs="Arial" w:eastAsia="Arial" w:hAnsi="Arial"/>
          <w:sz w:val="19"/>
          <w:szCs w:val="19"/>
          <w:u w:val="single" w:color="auto"/>
          <w:color w:val="auto"/>
        </w:rPr>
        <w:t>Protection Period</w:t>
      </w:r>
      <w:r>
        <w:rPr>
          <w:rFonts w:ascii="Arial" w:cs="Arial" w:eastAsia="Arial" w:hAnsi="Arial"/>
          <w:sz w:val="19"/>
          <w:szCs w:val="19"/>
          <w:color w:val="auto"/>
        </w:rPr>
        <w:t xml:space="preserve">”), such Earned PSUs shall be payable upon the date of Participant’s Termination of Service, subject to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940" w:hanging="636"/>
        <w:spacing w:after="0"/>
        <w:tabs>
          <w:tab w:leader="none" w:pos="19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does not assume or continue the Award, such Earned PSUs shall be payable on the consummation of the Change in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Control.</w:t>
      </w:r>
    </w:p>
    <w:p>
      <w:pPr>
        <w:spacing w:after="0" w:line="199" w:lineRule="exact"/>
        <w:rPr>
          <w:rFonts w:ascii="Arial" w:cs="Arial" w:eastAsia="Arial" w:hAnsi="Arial"/>
          <w:sz w:val="18"/>
          <w:szCs w:val="18"/>
          <w:color w:val="auto"/>
        </w:rPr>
      </w:pPr>
    </w:p>
    <w:p>
      <w:pPr>
        <w:jc w:val="both"/>
        <w:ind w:firstLine="656"/>
        <w:spacing w:after="0" w:line="242"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Confidentiality and Non-Competition</w:t>
      </w:r>
      <w:r>
        <w:rPr>
          <w:rFonts w:ascii="Arial" w:cs="Arial" w:eastAsia="Arial" w:hAnsi="Arial"/>
          <w:sz w:val="20"/>
          <w:szCs w:val="20"/>
          <w:color w:val="auto"/>
        </w:rPr>
        <w:t xml:space="preserve">. The Participant acknowledges that Participant is in possession of and has access to Confidential Information,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 partners, and other relationships of the Company. Participant acknowledges that the business, products, and services of the Company and its Subsidiaries are highly specialized and that it is essential that they be protected. Accordingly, by acceptance of the PSUs, Participant agrees to be bound by the terms and conditions of the Confidentiality and Non-Compete Agreement (the “</w:t>
      </w:r>
      <w:r>
        <w:rPr>
          <w:rFonts w:ascii="Arial" w:cs="Arial" w:eastAsia="Arial" w:hAnsi="Arial"/>
          <w:sz w:val="20"/>
          <w:szCs w:val="20"/>
          <w:u w:val="single" w:color="auto"/>
          <w:color w:val="auto"/>
        </w:rPr>
        <w:t>Confidentiality and Non-Compete Agreement</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which is incorporated herein by reference.</w:t>
      </w:r>
    </w:p>
    <w:p>
      <w:pPr>
        <w:spacing w:after="0" w:line="196" w:lineRule="exact"/>
        <w:rPr>
          <w:rFonts w:ascii="Arial" w:cs="Arial" w:eastAsia="Arial" w:hAnsi="Arial"/>
          <w:sz w:val="20"/>
          <w:szCs w:val="20"/>
          <w:color w:val="auto"/>
        </w:rPr>
      </w:pP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Rights and Obligations as Stockholder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91" w:lineRule="auto"/>
        <w:tabs>
          <w:tab w:leader="none" w:pos="19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Prior to the Settlement Date, the Participant may not vote, sell, exchange, transfer, pledge, hypothecate or otherwise dispose of any of the PSUs. The Participant will receive Dividend Equivalents on Earned PSUs, where applicable (see country annex for exceptions). Dividend Equivalents will be payable in cash only with respect to Earned PSUs and only on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87" w:lineRule="exact"/>
        <w:rPr>
          <w:sz w:val="20"/>
          <w:szCs w:val="20"/>
          <w:color w:val="auto"/>
        </w:rPr>
      </w:pPr>
    </w:p>
    <w:p>
      <w:pPr>
        <w:ind w:firstLine="1304"/>
        <w:spacing w:after="0" w:line="287" w:lineRule="auto"/>
        <w:tabs>
          <w:tab w:leader="none" w:pos="1932"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After the Settlement Date, the Participant agrees to comply with any and all Applicable Laws, the Company Policies (as defined in </w:t>
      </w:r>
      <w:r>
        <w:rPr>
          <w:rFonts w:ascii="Arial" w:cs="Arial" w:eastAsia="Arial" w:hAnsi="Arial"/>
          <w:sz w:val="19"/>
          <w:szCs w:val="19"/>
          <w:u w:val="single" w:color="auto"/>
          <w:color w:val="auto"/>
        </w:rPr>
        <w:t>Section 20</w:t>
      </w:r>
      <w:r>
        <w:rPr>
          <w:rFonts w:ascii="Arial" w:cs="Arial" w:eastAsia="Arial" w:hAnsi="Arial"/>
          <w:sz w:val="19"/>
          <w:szCs w:val="19"/>
          <w:color w:val="auto"/>
        </w:rPr>
        <w:t>) and all other applicable Company policies regarding trading in the Shares received.</w:t>
      </w:r>
    </w:p>
    <w:p>
      <w:pPr>
        <w:spacing w:after="0" w:line="152"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PSUs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pacing w:after="0" w:line="169" w:lineRule="exact"/>
        <w:rPr>
          <w:rFonts w:ascii="Arial" w:cs="Arial" w:eastAsia="Arial" w:hAnsi="Arial"/>
          <w:sz w:val="19"/>
          <w:szCs w:val="19"/>
          <w:color w:val="auto"/>
        </w:rPr>
      </w:pPr>
    </w:p>
    <w:p>
      <w:pPr>
        <w:ind w:firstLine="656"/>
        <w:spacing w:after="0" w:line="260"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The Company’s obligation to deliver Shares will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29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amount of the Shares earned by the Participant pursuant to this award on the Settlement Date, or, if the Settlement Date is not a business day, the next business day immediately following the Settlement Date.</w:t>
      </w:r>
    </w:p>
    <w:p>
      <w:pPr>
        <w:spacing w:after="0" w:line="164" w:lineRule="exact"/>
        <w:rPr>
          <w:rFonts w:ascii="Arial" w:cs="Arial" w:eastAsia="Arial" w:hAnsi="Arial"/>
          <w:sz w:val="18"/>
          <w:szCs w:val="18"/>
          <w:color w:val="auto"/>
        </w:rPr>
      </w:pPr>
    </w:p>
    <w:p>
      <w:pPr>
        <w:jc w:val="both"/>
        <w:ind w:firstLine="656"/>
        <w:spacing w:after="0" w:line="282" w:lineRule="auto"/>
        <w:tabs>
          <w:tab w:leader="none" w:pos="128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to the Company provided for in this Agreement will be addressed to it in care of its Secretary, TechnipFMC plc, John T. Gremp Campus, 13450 Lockwood Road, Houston, Texas 77044 , and any notice to the Participant (or other person entitled to receive the PSUs) will be addressed to such person at the Participant’s address now on file with the Company, or to such other address as either may designate to the other in writing. All notices will be deemed to be duly given as provided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656"/>
        <w:spacing w:after="0" w:line="269" w:lineRule="auto"/>
        <w:tabs>
          <w:tab w:leader="none" w:pos="127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pacing w:after="0" w:line="169" w:lineRule="exact"/>
        <w:rPr>
          <w:rFonts w:ascii="Arial" w:cs="Arial" w:eastAsia="Arial" w:hAnsi="Arial"/>
          <w:sz w:val="19"/>
          <w:szCs w:val="19"/>
          <w:color w:val="auto"/>
        </w:rPr>
      </w:pPr>
    </w:p>
    <w:p>
      <w:pPr>
        <w:ind w:firstLine="656"/>
        <w:spacing w:after="0" w:line="260" w:lineRule="auto"/>
        <w:tabs>
          <w:tab w:leader="none" w:pos="1287"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PSUs and supersedes any and all prior oral and written representations. This Agreement may only be amended by written agreement between the Company and the Participant.</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Delivery of Documents</w:t>
      </w:r>
      <w:r>
        <w:rPr>
          <w:rFonts w:ascii="Arial" w:cs="Arial" w:eastAsia="Arial" w:hAnsi="Arial"/>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191" w:lineRule="exact"/>
        <w:rPr>
          <w:sz w:val="20"/>
          <w:szCs w:val="20"/>
          <w:color w:val="auto"/>
        </w:rPr>
      </w:pPr>
    </w:p>
    <w:p>
      <w:pPr>
        <w:jc w:val="both"/>
        <w:ind w:firstLine="656"/>
        <w:spacing w:after="0" w:line="271" w:lineRule="auto"/>
        <w:tabs>
          <w:tab w:leader="none" w:pos="128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Description of Electronic Delivery</w:t>
      </w:r>
      <w:r>
        <w:rPr>
          <w:rFonts w:ascii="Arial" w:cs="Arial" w:eastAsia="Arial" w:hAnsi="Arial"/>
          <w:sz w:val="18"/>
          <w:szCs w:val="18"/>
          <w:color w:val="auto"/>
        </w:rPr>
        <w:t>. The Plan documents, which may: the Plan, this Agreement, the Plan’s prospectus, or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169" w:lineRule="exact"/>
        <w:rPr>
          <w:rFonts w:ascii="Arial" w:cs="Arial" w:eastAsia="Arial" w:hAnsi="Arial"/>
          <w:sz w:val="18"/>
          <w:szCs w:val="18"/>
          <w:color w:val="auto"/>
        </w:rPr>
      </w:pPr>
    </w:p>
    <w:p>
      <w:pPr>
        <w:jc w:val="both"/>
        <w:ind w:firstLine="656"/>
        <w:spacing w:after="0" w:line="260" w:lineRule="auto"/>
        <w:tabs>
          <w:tab w:leader="none" w:pos="1287"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Paper Copies</w:t>
      </w:r>
      <w:r>
        <w:rPr>
          <w:rFonts w:ascii="Arial" w:cs="Arial" w:eastAsia="Arial" w:hAnsi="Arial"/>
          <w:sz w:val="19"/>
          <w:szCs w:val="19"/>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80" w:lineRule="exact"/>
        <w:rPr>
          <w:rFonts w:ascii="Arial" w:cs="Arial" w:eastAsia="Arial" w:hAnsi="Arial"/>
          <w:sz w:val="19"/>
          <w:szCs w:val="19"/>
          <w:color w:val="auto"/>
        </w:rPr>
      </w:pPr>
    </w:p>
    <w:p>
      <w:pPr>
        <w:jc w:val="both"/>
        <w:ind w:firstLine="656"/>
        <w:spacing w:after="0" w:line="255" w:lineRule="auto"/>
        <w:tabs>
          <w:tab w:leader="none" w:pos="1287"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then (a) to the extent necessary to avoid any imposition of taxes under Section 409A on the Participant, and payment of the Award is made upon the Participant’s termination of employment or service, then such payment will only be made if such termination is a “separation from service” within the meaning of Section 409A and if the Participant is a “specified employee” as defined in Section 409A, then such payment will be delayed until the first business day following the six month anniversary of such separation from service and (b)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87" w:lineRule="exact"/>
        <w:rPr>
          <w:sz w:val="20"/>
          <w:szCs w:val="20"/>
          <w:color w:val="auto"/>
        </w:rPr>
      </w:pPr>
    </w:p>
    <w:p>
      <w:pPr>
        <w:jc w:val="both"/>
        <w:ind w:firstLine="656"/>
        <w:spacing w:after="0" w:line="260" w:lineRule="auto"/>
        <w:tabs>
          <w:tab w:leader="none" w:pos="1287"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Arial" w:cs="Arial" w:eastAsia="Arial" w:hAnsi="Arial"/>
          <w:sz w:val="19"/>
          <w:szCs w:val="19"/>
          <w:i w:val="1"/>
          <w:iCs w:val="1"/>
          <w:color w:val="auto"/>
        </w:rPr>
        <w:t>Clawback Policy</w:t>
      </w:r>
      <w:r>
        <w:rPr>
          <w:rFonts w:ascii="Arial" w:cs="Arial" w:eastAsia="Arial" w:hAnsi="Arial"/>
          <w:sz w:val="19"/>
          <w:szCs w:val="19"/>
          <w:color w:val="auto"/>
        </w:rPr>
        <w:t xml:space="preserve"> as in effect from time to 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180" w:lineRule="exact"/>
        <w:rPr>
          <w:rFonts w:ascii="Arial" w:cs="Arial" w:eastAsia="Arial" w:hAnsi="Arial"/>
          <w:sz w:val="19"/>
          <w:szCs w:val="19"/>
          <w:color w:val="auto"/>
        </w:rPr>
      </w:pPr>
    </w:p>
    <w:p>
      <w:pPr>
        <w:ind w:right="20" w:firstLine="656"/>
        <w:spacing w:after="0" w:line="260" w:lineRule="auto"/>
        <w:tabs>
          <w:tab w:leader="none" w:pos="1287"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will be governed by the laws of the State of Delaware.</w:t>
      </w:r>
    </w:p>
    <w:p>
      <w:pPr>
        <w:spacing w:after="0" w:line="176" w:lineRule="exact"/>
        <w:rPr>
          <w:rFonts w:ascii="Arial" w:cs="Arial" w:eastAsia="Arial" w:hAnsi="Arial"/>
          <w:sz w:val="20"/>
          <w:szCs w:val="20"/>
          <w:color w:val="auto"/>
        </w:rPr>
      </w:pPr>
    </w:p>
    <w:p>
      <w:pPr>
        <w:jc w:val="both"/>
        <w:ind w:firstLine="656"/>
        <w:spacing w:after="0" w:line="274" w:lineRule="auto"/>
        <w:tabs>
          <w:tab w:leader="none" w:pos="128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clause cancels and supersedes clause 11.8 of the Plan. Each Participant acknowledges that, in order to perform, including to implement, manage and administer the Plan and the Agreement (“</w:t>
      </w:r>
      <w:r>
        <w:rPr>
          <w:rFonts w:ascii="Arial" w:cs="Arial" w:eastAsia="Arial" w:hAnsi="Arial"/>
          <w:sz w:val="18"/>
          <w:szCs w:val="18"/>
          <w:u w:val="single" w:color="auto"/>
          <w:color w:val="auto"/>
        </w:rPr>
        <w:t>Purposes</w:t>
      </w:r>
      <w:r>
        <w:rPr>
          <w:rFonts w:ascii="Arial" w:cs="Arial" w:eastAsia="Arial" w:hAnsi="Arial"/>
          <w:sz w:val="18"/>
          <w:szCs w:val="18"/>
          <w:color w:val="auto"/>
        </w:rPr>
        <w:t>”), it is necessary to collect and process personal information concerning the Participant including: Participant’s name, home address, telephone number, date of birth, social security number (where allowed), or insurance number, or national identification number (where allowed), passport number (where allowed), salary, nationality, job title(s), any shares of stock held in the Company or any of its Subsidiaries, details of all Awards (“</w:t>
      </w:r>
      <w:r>
        <w:rPr>
          <w:rFonts w:ascii="Arial" w:cs="Arial" w:eastAsia="Arial" w:hAnsi="Arial"/>
          <w:sz w:val="18"/>
          <w:szCs w:val="18"/>
          <w:u w:val="single" w:color="auto"/>
          <w:color w:val="auto"/>
        </w:rPr>
        <w:t>Data</w:t>
      </w:r>
      <w:r>
        <w:rPr>
          <w:rFonts w:ascii="Arial" w:cs="Arial" w:eastAsia="Arial" w:hAnsi="Arial"/>
          <w:sz w:val="18"/>
          <w:szCs w:val="18"/>
          <w:color w:val="auto"/>
        </w:rPr>
        <w:t>”). Company, having its registered office at One St. Paul’s Churchyard, London, EC4M 8AP, United Kingdom, is the data controller for such processing. As the case may be, Data are collected directly from the Participant or are provided by the Employer.</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Data collected for the Purposes are processed on the basis of the performance of the Agreement. In addition, Company uses the Data (i) in order to comply with securities law and financial reporting and other legal requirements, and (ii) on the basis of its legitimate interest in case of a pending and/or threatening dispute and/or (legal) claim, investigation by a relevant supervisory authority, litigation or arbitration, to determine its legal position, in order to obtain (external) advice and/or to establish and/or defend its (legal) position and/or to exercise a (legal) claim.</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Data may be disclosed to Subsidiaries’ (including Employer) or to third-party stock plan administrators (including banks, brokers, custodians, central securities depositories, stock exchanges, etc.), their respective auditors, advisors and consultants and any other parties as may be required or appropriate for the Purposes. Data may also be made available to public authorities where required by law or regulation and may also be disclosed to judicial and arbitration courts and/or committees and external advisors. These entities and authorities may be located in the United States, the European Economic Area, or elsewhere, including in territories where data protection laws may not be as protective as in the Participant’s jurisdiction of residence. Where relevant, the Company and its Subsidiaries will implement appropriate safeguards as required by applicable law to ensure the protection of the Data when disclosing the Data to a third party or transferring data to a third country, such as implementing the standard contractual clauses adopted by the European Commission and the UK Government or relying on an adequacy decision (if available). Participant may request a copy of such safeguards by contacting the TechnipFMC Data Protection Office at </w:t>
      </w:r>
      <w:r>
        <w:rPr>
          <w:rFonts w:ascii="Arial" w:cs="Arial" w:eastAsia="Arial" w:hAnsi="Arial"/>
          <w:sz w:val="18"/>
          <w:szCs w:val="18"/>
          <w:u w:val="single" w:color="auto"/>
          <w:color w:val="0000FF"/>
        </w:rPr>
        <w:t>privacy@TechnipFMC.com</w:t>
      </w:r>
      <w:r>
        <w:rPr>
          <w:rFonts w:ascii="Arial" w:cs="Arial" w:eastAsia="Arial" w:hAnsi="Arial"/>
          <w:sz w:val="18"/>
          <w:szCs w:val="18"/>
          <w:color w:val="auto"/>
        </w:rPr>
        <w:t xml:space="preserve"> or Participant’s local human resources representative.</w:t>
      </w:r>
    </w:p>
    <w:p>
      <w:pPr>
        <w:spacing w:after="0" w:line="1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Participant may request to have access to the Data, to rectify any such Data, to erase the Data, to restrict processing of the Data, to object to the processing of the Data, as well as request Data portability pursuant to Articles 15 to 21 of the GDPR and the UK GDPR, and has the right to file complaints and/or claims with the competent data protection authority. Requests regarding the Data, questions or complaints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may be addressed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It is obligatory for the Participant to provide any Data requested for the purposes of entering into the Agreement. If the Participant chooses not to furnish any Data requested or restrict the processing of the Data, Company will not be able to perform its obligations under the Plan.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Data will be held and used only as long as is necessary for the Purposes. Only where the Company and/or its Subsidiaries are legally obliged to (e.g. for compliance with legal and financial reporting purposes), or where this is necessary for defending their interests in the context of judicial proceedings, the Company and/or its Subsidiaries will store the Data for longer periods. Participant may request further information on retention period applicable to the Data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Participant may find further country-specific information on the processing of the Data under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of the Agreement, including but not limited to the contact details of the local Data Protection Officer, if any.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If Participant is employed by a Subsidiary established outside of the UK or European Economic Area and to the extent its consent to the processing and/or the transfer of Data is required by applicable law (see country-specific information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Agreement), Participant hereby consents to such processing and/or transfer as described in this clause 20 of the Agreement. At any time, Participant may withdraw the consent given herein in writing by contacting the TechnipFMC Data Protection Office at </w:t>
      </w:r>
      <w:r>
        <w:rPr>
          <w:rFonts w:ascii="Arial" w:cs="Arial" w:eastAsia="Arial" w:hAnsi="Arial"/>
          <w:sz w:val="18"/>
          <w:szCs w:val="18"/>
          <w:u w:val="single" w:color="auto"/>
          <w:color w:val="0000FF"/>
        </w:rPr>
        <w:t>privacy@TechnipFMC.com</w:t>
      </w:r>
      <w:r>
        <w:rPr>
          <w:rFonts w:ascii="Arial" w:cs="Arial" w:eastAsia="Arial" w:hAnsi="Arial"/>
          <w:sz w:val="18"/>
          <w:szCs w:val="18"/>
          <w:color w:val="auto"/>
        </w:rPr>
        <w:t xml:space="preserve"> or Participant’s local human resources representative. Participants acknowledges, agrees and accepts that in the event he or she chooses to withdraw his or her consent, Company may not be able to perform its obligations and administer the Plan and the Agreement.</w:t>
      </w:r>
    </w:p>
    <w:p>
      <w:pPr>
        <w:spacing w:after="0" w:line="165" w:lineRule="exact"/>
        <w:rPr>
          <w:sz w:val="20"/>
          <w:szCs w:val="20"/>
          <w:color w:val="auto"/>
        </w:rPr>
      </w:pPr>
    </w:p>
    <w:p>
      <w:pPr>
        <w:jc w:val="both"/>
        <w:ind w:firstLine="656"/>
        <w:spacing w:after="0" w:line="255" w:lineRule="auto"/>
        <w:tabs>
          <w:tab w:leader="none" w:pos="128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Securities Law Notification and Restrictions on Trading</w:t>
      </w:r>
      <w:r>
        <w:rPr>
          <w:rFonts w:ascii="Arial" w:cs="Arial" w:eastAsia="Arial" w:hAnsi="Arial"/>
          <w:sz w:val="19"/>
          <w:szCs w:val="19"/>
          <w:color w:val="auto"/>
        </w:rPr>
        <w:t xml:space="preserve">. The Company’s </w:t>
      </w:r>
      <w:r>
        <w:rPr>
          <w:rFonts w:ascii="Arial" w:cs="Arial" w:eastAsia="Arial" w:hAnsi="Arial"/>
          <w:sz w:val="19"/>
          <w:szCs w:val="19"/>
          <w:i w:val="1"/>
          <w:iCs w:val="1"/>
          <w:color w:val="auto"/>
        </w:rPr>
        <w:t>Code of Business Conduct</w:t>
      </w:r>
      <w:r>
        <w:rPr>
          <w:rFonts w:ascii="Arial" w:cs="Arial" w:eastAsia="Arial" w:hAnsi="Arial"/>
          <w:sz w:val="19"/>
          <w:szCs w:val="19"/>
          <w:color w:val="auto"/>
        </w:rPr>
        <w:t xml:space="preserve"> and </w:t>
      </w:r>
      <w:r>
        <w:rPr>
          <w:rFonts w:ascii="Arial" w:cs="Arial" w:eastAsia="Arial" w:hAnsi="Arial"/>
          <w:sz w:val="19"/>
          <w:szCs w:val="19"/>
          <w:i w:val="1"/>
          <w:iCs w:val="1"/>
          <w:color w:val="auto"/>
        </w:rPr>
        <w:t>Insider Trading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Policy </w:t>
      </w:r>
      <w:r>
        <w:rPr>
          <w:rFonts w:ascii="Arial" w:cs="Arial" w:eastAsia="Arial" w:hAnsi="Arial"/>
          <w:sz w:val="19"/>
          <w:szCs w:val="19"/>
          <w:color w:val="auto"/>
        </w:rPr>
        <w:t>(the “</w:t>
      </w:r>
      <w:r>
        <w:rPr>
          <w:rFonts w:ascii="Arial" w:cs="Arial" w:eastAsia="Arial" w:hAnsi="Arial"/>
          <w:sz w:val="19"/>
          <w:szCs w:val="19"/>
          <w:u w:val="single" w:color="auto"/>
          <w:color w:val="auto"/>
        </w:rPr>
        <w:t>Company Policies</w:t>
      </w:r>
      <w:r>
        <w:rPr>
          <w:rFonts w:ascii="Arial" w:cs="Arial" w:eastAsia="Arial" w:hAnsi="Arial"/>
          <w:sz w:val="19"/>
          <w:szCs w:val="19"/>
          <w:color w:val="auto"/>
        </w:rPr>
        <w:t>”) and the insider trading and anti-market abuse rules of the U.S. Securities Exchange Act, the Market Abuse</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 ((EU) No 596/2014 (</w:t>
      </w:r>
      <w:r>
        <w:rPr>
          <w:rFonts w:ascii="Arial" w:cs="Arial" w:eastAsia="Arial" w:hAnsi="Arial"/>
          <w:sz w:val="19"/>
          <w:szCs w:val="19"/>
          <w:b w:val="1"/>
          <w:bCs w:val="1"/>
          <w:color w:val="auto"/>
        </w:rPr>
        <w:t>MAR</w:t>
      </w:r>
      <w:r>
        <w:rPr>
          <w:rFonts w:ascii="Arial" w:cs="Arial" w:eastAsia="Arial" w:hAnsi="Arial"/>
          <w:sz w:val="19"/>
          <w:szCs w:val="19"/>
          <w:color w:val="auto"/>
        </w:rPr>
        <w:t>) and the UK Market Abuse Exit Regulations 2019 (collectively the “</w:t>
      </w:r>
      <w:r>
        <w:rPr>
          <w:rFonts w:ascii="Arial" w:cs="Arial" w:eastAsia="Arial" w:hAnsi="Arial"/>
          <w:sz w:val="19"/>
          <w:szCs w:val="19"/>
          <w:u w:val="single" w:color="auto"/>
          <w:color w:val="auto"/>
        </w:rPr>
        <w:t>Insider Trading Rules</w:t>
      </w:r>
      <w:r>
        <w:rPr>
          <w:rFonts w:ascii="Arial" w:cs="Arial" w:eastAsia="Arial" w:hAnsi="Arial"/>
          <w:sz w:val="19"/>
          <w:szCs w:val="19"/>
          <w:color w:val="auto"/>
        </w:rPr>
        <w:t>”), may impact the ability to sell Shares acquired under this Agreement and the Plan while the Participant has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PSUs granted hereunder and participating in the Plan, Participant acknowledges having read and understood this Securities Law Notification and further acknowledges that it is Participant’s responsibility to comply with the Company Policies and the Insider Trading Rules.</w:t>
      </w:r>
    </w:p>
    <w:p>
      <w:pPr>
        <w:spacing w:after="0" w:line="189" w:lineRule="exact"/>
        <w:rPr>
          <w:rFonts w:ascii="Arial" w:cs="Arial" w:eastAsia="Arial" w:hAnsi="Arial"/>
          <w:sz w:val="19"/>
          <w:szCs w:val="19"/>
          <w:color w:val="auto"/>
        </w:rPr>
      </w:pPr>
    </w:p>
    <w:p>
      <w:pPr>
        <w:jc w:val="both"/>
        <w:ind w:firstLine="656"/>
        <w:spacing w:after="0" w:line="244" w:lineRule="auto"/>
        <w:tabs>
          <w:tab w:leader="none" w:pos="1287"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Funding</w:t>
      </w:r>
      <w:r>
        <w:rPr>
          <w:rFonts w:ascii="Arial" w:cs="Arial" w:eastAsia="Arial" w:hAnsi="Arial"/>
          <w:sz w:val="20"/>
          <w:szCs w:val="20"/>
          <w:color w:val="auto"/>
        </w:rPr>
        <w:t>. The PSUs represent an unfunded promise to pay and deliver Shares in the future. The Company may settle the PSUs through newly issued Shares, treasury Shares or Shares held in an employee benefit trust (EBT) established for the administrative convenience of the Company for the purpose of issuing Shares in settlement on behalf of the Company of Awards under the Plan, in its sole discretion and not for the purposes of funding the Plan. The Participant has no right to any Shares held in any EBT, or to have the PSUs settled on behalf of the Company in any Shares held by an 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8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 the Country Schedule:</w:t>
      </w:r>
    </w:p>
    <w:p>
      <w:pPr>
        <w:spacing w:after="0" w:line="216"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Detrimental Activity</w:t>
      </w:r>
      <w:r>
        <w:rPr>
          <w:rFonts w:ascii="Arial" w:cs="Arial" w:eastAsia="Arial" w:hAnsi="Arial"/>
          <w:sz w:val="20"/>
          <w:szCs w:val="20"/>
          <w:color w:val="auto"/>
        </w:rPr>
        <w:t>” means</w:t>
      </w:r>
    </w:p>
    <w:p>
      <w:pPr>
        <w:spacing w:after="0" w:line="216" w:lineRule="exact"/>
        <w:rPr>
          <w:sz w:val="20"/>
          <w:szCs w:val="20"/>
          <w:color w:val="auto"/>
        </w:rPr>
      </w:pPr>
    </w:p>
    <w:p>
      <w:pPr>
        <w:jc w:val="both"/>
        <w:ind w:firstLine="1757"/>
        <w:spacing w:after="0" w:line="244" w:lineRule="auto"/>
        <w:rPr>
          <w:sz w:val="20"/>
          <w:szCs w:val="20"/>
          <w:color w:val="auto"/>
        </w:rPr>
      </w:pPr>
      <w:r>
        <w:rPr>
          <w:rFonts w:ascii="Arial" w:cs="Arial" w:eastAsia="Arial" w:hAnsi="Arial"/>
          <w:sz w:val="20"/>
          <w:szCs w:val="20"/>
          <w:color w:val="auto"/>
        </w:rPr>
        <w:t>(i)the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1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(ii)the Participant’s willfully engaging in other conduct which is demonstrably and materially injurious to the Company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 an affiliate;</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(iii)the Participant’s having been convicted of, or pleading guilty or nolo contendere to, a felony under federal or state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 or</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(iv)the Participant’s breach of any provision of the Confidentiality and Non-Compete Agreement.</w:t>
      </w:r>
    </w:p>
    <w:p>
      <w:pPr>
        <w:spacing w:after="0" w:line="216" w:lineRule="exact"/>
        <w:rPr>
          <w:sz w:val="20"/>
          <w:szCs w:val="20"/>
          <w:color w:val="auto"/>
        </w:rPr>
      </w:pPr>
    </w:p>
    <w:p>
      <w:pPr>
        <w:jc w:val="both"/>
        <w:ind w:right="20" w:firstLine="1304"/>
        <w:spacing w:after="0" w:line="250" w:lineRule="auto"/>
        <w:tabs>
          <w:tab w:leader="none" w:pos="1932" w:val="left"/>
        </w:tabs>
        <w:numPr>
          <w:ilvl w:val="0"/>
          <w:numId w:val="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85" w:lineRule="exact"/>
        <w:rPr>
          <w:rFonts w:ascii="Arial" w:cs="Arial" w:eastAsia="Arial" w:hAnsi="Arial"/>
          <w:sz w:val="20"/>
          <w:szCs w:val="20"/>
          <w:color w:val="auto"/>
        </w:rPr>
      </w:pPr>
    </w:p>
    <w:p>
      <w:pPr>
        <w:ind w:firstLine="1304"/>
        <w:spacing w:after="0" w:line="260" w:lineRule="auto"/>
        <w:tabs>
          <w:tab w:leader="none" w:pos="1934" w:val="left"/>
        </w:tabs>
        <w:numPr>
          <w:ilvl w:val="0"/>
          <w:numId w:val="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pacing w:after="0" w:line="177" w:lineRule="exact"/>
        <w:rPr>
          <w:sz w:val="20"/>
          <w:szCs w:val="20"/>
          <w:color w:val="auto"/>
        </w:rPr>
      </w:pPr>
    </w:p>
    <w:p>
      <w:pPr>
        <w:jc w:val="both"/>
        <w:ind w:left="660" w:firstLine="1109"/>
        <w:spacing w:after="0" w:line="257" w:lineRule="auto"/>
        <w:rPr>
          <w:sz w:val="20"/>
          <w:szCs w:val="20"/>
          <w:color w:val="auto"/>
        </w:rPr>
      </w:pPr>
      <w:r>
        <w:rPr>
          <w:rFonts w:ascii="Arial" w:cs="Arial" w:eastAsia="Arial" w:hAnsi="Arial"/>
          <w:sz w:val="19"/>
          <w:szCs w:val="19"/>
          <w:color w:val="auto"/>
        </w:rPr>
        <w:t>(i)the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180" w:lineRule="exact"/>
        <w:rPr>
          <w:sz w:val="20"/>
          <w:szCs w:val="20"/>
          <w:color w:val="auto"/>
        </w:rPr>
      </w:pPr>
    </w:p>
    <w:p>
      <w:pPr>
        <w:jc w:val="both"/>
        <w:ind w:left="660" w:firstLine="1054"/>
        <w:spacing w:after="0" w:line="263" w:lineRule="auto"/>
        <w:rPr>
          <w:sz w:val="20"/>
          <w:szCs w:val="20"/>
          <w:color w:val="auto"/>
        </w:rPr>
      </w:pPr>
      <w:r>
        <w:rPr>
          <w:rFonts w:ascii="Arial" w:cs="Arial" w:eastAsia="Arial" w:hAnsi="Arial"/>
          <w:sz w:val="19"/>
          <w:szCs w:val="19"/>
          <w:color w:val="auto"/>
        </w:rPr>
        <w:t>(ii)the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87" w:lineRule="exact"/>
        <w:rPr>
          <w:sz w:val="20"/>
          <w:szCs w:val="20"/>
          <w:color w:val="auto"/>
        </w:rPr>
      </w:pPr>
    </w:p>
    <w:p>
      <w:pPr>
        <w:jc w:val="both"/>
        <w:ind w:left="660" w:firstLine="999"/>
        <w:spacing w:after="0" w:line="250" w:lineRule="auto"/>
        <w:rPr>
          <w:sz w:val="20"/>
          <w:szCs w:val="20"/>
          <w:color w:val="auto"/>
        </w:rPr>
      </w:pPr>
      <w:r>
        <w:rPr>
          <w:rFonts w:ascii="Arial" w:cs="Arial" w:eastAsia="Arial" w:hAnsi="Arial"/>
          <w:sz w:val="20"/>
          <w:szCs w:val="20"/>
          <w:color w:val="auto"/>
        </w:rPr>
        <w:t>(iii)a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186" w:lineRule="exact"/>
        <w:rPr>
          <w:sz w:val="20"/>
          <w:szCs w:val="20"/>
          <w:color w:val="auto"/>
        </w:rPr>
      </w:pPr>
    </w:p>
    <w:p>
      <w:pPr>
        <w:jc w:val="both"/>
        <w:ind w:left="660" w:firstLine="1010"/>
        <w:spacing w:after="0" w:line="263" w:lineRule="auto"/>
        <w:rPr>
          <w:sz w:val="20"/>
          <w:szCs w:val="20"/>
          <w:color w:val="auto"/>
        </w:rPr>
      </w:pPr>
      <w:r>
        <w:rPr>
          <w:rFonts w:ascii="Arial" w:cs="Arial" w:eastAsia="Arial" w:hAnsi="Arial"/>
          <w:sz w:val="19"/>
          <w:szCs w:val="19"/>
          <w:color w:val="auto"/>
        </w:rPr>
        <w:t>(iv)a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176" w:lineRule="exact"/>
        <w:rPr>
          <w:sz w:val="20"/>
          <w:szCs w:val="20"/>
          <w:color w:val="auto"/>
        </w:rPr>
      </w:pPr>
    </w:p>
    <w:p>
      <w:pPr>
        <w:jc w:val="both"/>
        <w:ind w:left="660" w:firstLine="1065"/>
        <w:spacing w:after="0" w:line="250" w:lineRule="auto"/>
        <w:rPr>
          <w:sz w:val="20"/>
          <w:szCs w:val="20"/>
          <w:color w:val="auto"/>
        </w:rPr>
      </w:pPr>
      <w:r>
        <w:rPr>
          <w:rFonts w:ascii="Arial" w:cs="Arial" w:eastAsia="Arial" w:hAnsi="Arial"/>
          <w:sz w:val="20"/>
          <w:szCs w:val="20"/>
          <w:color w:val="auto"/>
        </w:rPr>
        <w:t>(v)any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84" w:lineRule="exact"/>
        <w:rPr>
          <w:sz w:val="20"/>
          <w:szCs w:val="20"/>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the Participant’s employment on or after the date that the Participant reaches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 of 62.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Grant Date.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6120" w:type="dxa"/>
            <w:vAlign w:val="bottom"/>
            <w:gridSpan w:val="2"/>
          </w:tcPr>
          <w:p>
            <w:pPr>
              <w:ind w:left="20"/>
              <w:spacing w:after="0"/>
              <w:rPr>
                <w:sz w:val="20"/>
                <w:szCs w:val="20"/>
                <w:color w:val="auto"/>
              </w:rPr>
            </w:pPr>
            <w:r>
              <w:rPr>
                <w:rFonts w:ascii="Arial" w:cs="Arial" w:eastAsia="Arial" w:hAnsi="Arial"/>
                <w:sz w:val="20"/>
                <w:szCs w:val="20"/>
                <w:color w:val="auto"/>
              </w:rPr>
              <w:t>Agnieszka KMIECIAK</w:t>
            </w:r>
          </w:p>
        </w:tc>
        <w:tc>
          <w:tcPr>
            <w:tcW w:w="4340" w:type="dxa"/>
            <w:vAlign w:val="bottom"/>
          </w:tcPr>
          <w:p>
            <w:pPr>
              <w:spacing w:after="0"/>
              <w:rPr>
                <w:sz w:val="21"/>
                <w:szCs w:val="21"/>
                <w:color w:val="auto"/>
              </w:rPr>
            </w:pPr>
          </w:p>
        </w:tc>
      </w:tr>
      <w:tr>
        <w:trPr>
          <w:trHeight w:val="23"/>
        </w:trPr>
        <w:tc>
          <w:tcPr>
            <w:tcW w:w="74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740" w:type="dxa"/>
            <w:vAlign w:val="bottom"/>
          </w:tcPr>
          <w:p>
            <w:pPr>
              <w:spacing w:after="0"/>
              <w:rPr>
                <w:sz w:val="22"/>
                <w:szCs w:val="22"/>
                <w:color w:val="auto"/>
              </w:rPr>
            </w:pPr>
          </w:p>
        </w:tc>
        <w:tc>
          <w:tcPr>
            <w:tcW w:w="612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People &amp; Culture</w:t>
            </w:r>
          </w:p>
        </w:tc>
        <w:tc>
          <w:tcPr>
            <w:tcW w:w="4340" w:type="dxa"/>
            <w:vAlign w:val="bottom"/>
          </w:tcPr>
          <w:p>
            <w:pPr>
              <w:ind w:left="20"/>
              <w:spacing w:after="0"/>
              <w:rPr>
                <w:sz w:val="20"/>
                <w:szCs w:val="20"/>
                <w:color w:val="auto"/>
              </w:rPr>
            </w:pPr>
            <w:r>
              <w:rPr>
                <w:rFonts w:ascii="Arial" w:cs="Arial" w:eastAsia="Arial" w:hAnsi="Arial"/>
                <w:sz w:val="20"/>
                <w:szCs w:val="20"/>
                <w:color w:val="auto"/>
              </w:rPr>
              <w:t>&lt;&lt;Signed Electronically&gt;&gt;</w:t>
            </w:r>
          </w:p>
        </w:tc>
      </w:tr>
      <w:tr>
        <w:trPr>
          <w:trHeight w:val="553"/>
        </w:trPr>
        <w:tc>
          <w:tcPr>
            <w:tcW w:w="7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20"/>
                <w:szCs w:val="20"/>
                <w:color w:val="auto"/>
              </w:rPr>
              <w:t>&lt;&lt;Acceptance Date&gt;&gt;</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40" w:right="339" w:bottom="1440" w:gutter="0" w:footer="0" w:header="0"/>
        </w:sectPr>
      </w:pPr>
    </w:p>
    <w:bookmarkStart w:id="62" w:name="page63"/>
    <w:bookmarkEnd w:id="62"/>
    <w:p>
      <w:pPr>
        <w:jc w:val="center"/>
        <w:ind w:right="-9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 ]</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Performance Goals and Earned PSUs</w:t>
      </w:r>
    </w:p>
    <w:p>
      <w:pPr>
        <w:spacing w:after="0" w:line="227" w:lineRule="exact"/>
        <w:rPr>
          <w:sz w:val="20"/>
          <w:szCs w:val="20"/>
          <w:color w:val="auto"/>
        </w:rPr>
      </w:pPr>
    </w:p>
    <w:p>
      <w:pPr>
        <w:jc w:val="center"/>
        <w:ind w:left="420"/>
        <w:spacing w:after="0" w:line="260" w:lineRule="auto"/>
        <w:rPr>
          <w:sz w:val="20"/>
          <w:szCs w:val="20"/>
          <w:color w:val="auto"/>
        </w:rPr>
      </w:pPr>
      <w:r>
        <w:rPr>
          <w:rFonts w:ascii="Arial" w:cs="Arial" w:eastAsia="Arial" w:hAnsi="Arial"/>
          <w:sz w:val="20"/>
          <w:szCs w:val="20"/>
          <w:color w:val="auto"/>
        </w:rPr>
        <w:t>PERFORMANCE GOALS AND VESTING CRITERIA ARE SET EACH YEAR BY THE COMPENSATION COMMITTEE AND MAY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160"/>
          </w:cols>
          <w:pgMar w:left="320" w:top="1413" w:right="41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AND NON-COMPETE</w:t>
      </w:r>
    </w:p>
    <w:p>
      <w:pPr>
        <w:spacing w:after="0" w:line="208" w:lineRule="exact"/>
        <w:rPr>
          <w:sz w:val="20"/>
          <w:szCs w:val="20"/>
          <w:color w:val="auto"/>
        </w:rPr>
      </w:pPr>
    </w:p>
    <w:p>
      <w:pPr>
        <w:ind w:right="20" w:firstLine="656"/>
        <w:spacing w:after="0" w:line="260" w:lineRule="auto"/>
        <w:tabs>
          <w:tab w:leader="none" w:pos="129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Participant must not (except in the proper performance of Participant’s duties) while employed by the Employer or at any time without limit after the date on which Participant’s employment with the Employer terminates:</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i.divulge or communicate to any person;</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ii.use for Participant’s own purposes or for any purposes other than those of the Employer or, as appropriate, any of its clients;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iii.through any failure to exercise due care and diligence, cause any unauthorized disclosure of;</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any trade secrets, confidential, or proprietary information relating to the Company or any Subsidiary or any of its clients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 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192" w:lineRule="exact"/>
        <w:rPr>
          <w:sz w:val="20"/>
          <w:szCs w:val="20"/>
          <w:color w:val="auto"/>
        </w:rPr>
      </w:pPr>
    </w:p>
    <w:p>
      <w:pPr>
        <w:jc w:val="both"/>
        <w:ind w:firstLine="656"/>
        <w:spacing w:after="0" w:line="243" w:lineRule="auto"/>
        <w:tabs>
          <w:tab w:leader="none" w:pos="129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spacing w:after="0" w:line="195" w:lineRule="exact"/>
        <w:rPr>
          <w:rFonts w:ascii="Arial" w:cs="Arial" w:eastAsia="Arial" w:hAnsi="Arial"/>
          <w:sz w:val="20"/>
          <w:szCs w:val="20"/>
          <w:color w:val="auto"/>
        </w:rPr>
      </w:pPr>
    </w:p>
    <w:p>
      <w:pPr>
        <w:jc w:val="both"/>
        <w:ind w:firstLine="1200"/>
        <w:spacing w:after="0" w:line="244" w:lineRule="auto"/>
        <w:tabs>
          <w:tab w:leader="none" w:pos="1347" w:val="left"/>
        </w:tabs>
        <w:numPr>
          <w:ilvl w:val="1"/>
          <w:numId w:val="38"/>
        </w:numPr>
        <w:rPr>
          <w:rFonts w:ascii="Arial" w:cs="Arial" w:eastAsia="Arial" w:hAnsi="Arial"/>
          <w:sz w:val="20"/>
          <w:szCs w:val="20"/>
          <w:color w:val="auto"/>
        </w:rPr>
      </w:pPr>
      <w:r>
        <w:rPr>
          <w:rFonts w:ascii="Arial" w:cs="Arial" w:eastAsia="Arial" w:hAnsi="Arial"/>
          <w:sz w:val="20"/>
          <w:szCs w:val="20"/>
          <w:color w:val="auto"/>
        </w:rPr>
        <w:t>Participant will not during the period of Participant’s employment with the Employer and for a period of 12 months after the termination of Participant’s employment (the “</w:t>
      </w:r>
      <w:r>
        <w:rPr>
          <w:rFonts w:ascii="Arial" w:cs="Arial" w:eastAsia="Arial" w:hAnsi="Arial"/>
          <w:sz w:val="20"/>
          <w:szCs w:val="20"/>
          <w:b w:val="1"/>
          <w:bCs w:val="1"/>
          <w:color w:val="auto"/>
        </w:rPr>
        <w:t>Restricted Period</w:t>
      </w:r>
      <w:r>
        <w:rPr>
          <w:rFonts w:ascii="Arial" w:cs="Arial" w:eastAsia="Arial" w:hAnsi="Arial"/>
          <w:sz w:val="20"/>
          <w:szCs w:val="20"/>
          <w:color w:val="auto"/>
        </w:rPr>
        <w:t>”), either directly, or indirectly through any other person, firm, or other organization (each, a “</w:t>
      </w:r>
      <w:r>
        <w:rPr>
          <w:rFonts w:ascii="Arial" w:cs="Arial" w:eastAsia="Arial" w:hAnsi="Arial"/>
          <w:sz w:val="20"/>
          <w:szCs w:val="20"/>
          <w:b w:val="1"/>
          <w:bCs w:val="1"/>
          <w:color w:val="auto"/>
        </w:rPr>
        <w:t>Person</w:t>
      </w:r>
      <w:r>
        <w:rPr>
          <w:rFonts w:ascii="Arial" w:cs="Arial" w:eastAsia="Arial" w:hAnsi="Arial"/>
          <w:sz w:val="20"/>
          <w:szCs w:val="20"/>
          <w:color w:val="auto"/>
        </w:rPr>
        <w:t>”), that is engaged in the business of projects, technologies, systems and services in the field of oil, gas and petrochemicals (the “</w:t>
      </w:r>
      <w:r>
        <w:rPr>
          <w:rFonts w:ascii="Arial" w:cs="Arial" w:eastAsia="Arial" w:hAnsi="Arial"/>
          <w:sz w:val="20"/>
          <w:szCs w:val="20"/>
          <w:b w:val="1"/>
          <w:bCs w:val="1"/>
          <w:color w:val="auto"/>
        </w:rPr>
        <w:t>Business</w:t>
      </w:r>
      <w:r>
        <w:rPr>
          <w:rFonts w:ascii="Arial" w:cs="Arial" w:eastAsia="Arial" w:hAnsi="Arial"/>
          <w:sz w:val="20"/>
          <w:szCs w:val="20"/>
          <w:color w:val="auto"/>
        </w:rPr>
        <w:t>”), including but not limited to: Baker Hughes Company, Halliburton Company, John Wood Group plc, McDermott International, Inc., National Oilwell Varco,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3" w:right="339" w:bottom="1440" w:gutter="0" w:footer="0" w:header="0"/>
        </w:sectPr>
      </w:pPr>
    </w:p>
    <w:bookmarkStart w:id="64" w:name="page65"/>
    <w:bookmarkEnd w:id="64"/>
    <w:p>
      <w:pPr>
        <w:spacing w:after="0" w:line="260" w:lineRule="auto"/>
        <w:rPr>
          <w:sz w:val="20"/>
          <w:szCs w:val="20"/>
          <w:color w:val="auto"/>
        </w:rPr>
      </w:pPr>
      <w:r>
        <w:rPr>
          <w:rFonts w:ascii="Arial" w:cs="Arial" w:eastAsia="Arial" w:hAnsi="Arial"/>
          <w:sz w:val="20"/>
          <w:szCs w:val="20"/>
          <w:color w:val="auto"/>
        </w:rPr>
        <w:t>Inc., Saipem S.p.A, Schlumberger Limited, Subsea 7 S.A., Weatherford International plc, and any companies in their respective corporate groups and any successors thereto (each a “</w:t>
      </w:r>
      <w:r>
        <w:rPr>
          <w:rFonts w:ascii="Arial" w:cs="Arial" w:eastAsia="Arial" w:hAnsi="Arial"/>
          <w:sz w:val="20"/>
          <w:szCs w:val="20"/>
          <w:b w:val="1"/>
          <w:bCs w:val="1"/>
          <w:color w:val="auto"/>
        </w:rPr>
        <w:t>Restricted Entity</w:t>
      </w:r>
      <w:r>
        <w:rPr>
          <w:rFonts w:ascii="Arial" w:cs="Arial" w:eastAsia="Arial" w:hAnsi="Arial"/>
          <w:sz w:val="20"/>
          <w:szCs w:val="20"/>
          <w:color w:val="auto"/>
        </w:rPr>
        <w:t>”):</w:t>
      </w:r>
    </w:p>
    <w:p>
      <w:pPr>
        <w:spacing w:after="0" w:line="177" w:lineRule="exact"/>
        <w:rPr>
          <w:sz w:val="20"/>
          <w:szCs w:val="20"/>
          <w:color w:val="auto"/>
        </w:rPr>
      </w:pPr>
    </w:p>
    <w:p>
      <w:pPr>
        <w:jc w:val="both"/>
        <w:ind w:left="1300" w:hanging="644"/>
        <w:spacing w:after="0" w:line="243" w:lineRule="auto"/>
        <w:tabs>
          <w:tab w:leader="none" w:pos="1289" w:val="left"/>
        </w:tabs>
        <w:numPr>
          <w:ilvl w:val="0"/>
          <w:numId w:val="39"/>
        </w:numPr>
        <w:rPr>
          <w:rFonts w:ascii="Arial" w:cs="Arial" w:eastAsia="Arial" w:hAnsi="Arial"/>
          <w:sz w:val="20"/>
          <w:szCs w:val="20"/>
          <w:color w:val="auto"/>
        </w:rPr>
      </w:pPr>
      <w:r>
        <w:rPr>
          <w:rFonts w:ascii="Arial" w:cs="Arial" w:eastAsia="Arial" w:hAnsi="Arial"/>
          <w:sz w:val="20"/>
          <w:szCs w:val="20"/>
          <w:color w:val="auto"/>
        </w:rPr>
        <w:t>solicit, entice, or induce any Person that at any time during the last year of Participant’s employment with the Employer (that period referred to as the “</w:t>
      </w:r>
      <w:r>
        <w:rPr>
          <w:rFonts w:ascii="Arial" w:cs="Arial" w:eastAsia="Arial" w:hAnsi="Arial"/>
          <w:sz w:val="20"/>
          <w:szCs w:val="20"/>
          <w:b w:val="1"/>
          <w:bCs w:val="1"/>
          <w:color w:val="auto"/>
        </w:rPr>
        <w:t>Relevant Period</w:t>
      </w:r>
      <w:r>
        <w:rPr>
          <w:rFonts w:ascii="Arial" w:cs="Arial" w:eastAsia="Arial" w:hAnsi="Arial"/>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pacing w:after="0" w:line="195" w:lineRule="exact"/>
        <w:rPr>
          <w:rFonts w:ascii="Arial" w:cs="Arial" w:eastAsia="Arial" w:hAnsi="Arial"/>
          <w:sz w:val="20"/>
          <w:szCs w:val="20"/>
          <w:color w:val="auto"/>
        </w:rPr>
      </w:pPr>
    </w:p>
    <w:p>
      <w:pPr>
        <w:jc w:val="both"/>
        <w:ind w:left="1300" w:hanging="644"/>
        <w:spacing w:after="0" w:line="241"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Arial" w:cs="Arial" w:eastAsia="Arial" w:hAnsi="Arial"/>
          <w:sz w:val="20"/>
          <w:szCs w:val="20"/>
          <w:b w:val="1"/>
          <w:b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color w:val="auto"/>
        </w:rPr>
        <w:t>Business</w:t>
      </w:r>
      <w:r>
        <w:rPr>
          <w:rFonts w:ascii="Arial" w:cs="Arial" w:eastAsia="Arial" w:hAnsi="Arial"/>
          <w:sz w:val="20"/>
          <w:szCs w:val="20"/>
          <w:color w:val="auto"/>
        </w:rPr>
        <w:t>”) from any Person that at any time during the Relevant Period was a customer or client of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201" w:lineRule="exact"/>
        <w:rPr>
          <w:rFonts w:ascii="Arial" w:cs="Arial" w:eastAsia="Arial" w:hAnsi="Arial"/>
          <w:sz w:val="20"/>
          <w:szCs w:val="20"/>
          <w:color w:val="auto"/>
        </w:rPr>
      </w:pPr>
    </w:p>
    <w:p>
      <w:pPr>
        <w:jc w:val="both"/>
        <w:ind w:left="1300" w:hanging="644"/>
        <w:spacing w:after="0" w:line="302" w:lineRule="auto"/>
        <w:tabs>
          <w:tab w:leader="none" w:pos="12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within the Restricted Area (as defined below) during the Restricted Period or for any period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w:t>
      </w:r>
    </w:p>
    <w:p>
      <w:pPr>
        <w:spacing w:after="0" w:line="3" w:lineRule="exact"/>
        <w:rPr>
          <w:rFonts w:ascii="Arial" w:cs="Arial" w:eastAsia="Arial" w:hAnsi="Arial"/>
          <w:sz w:val="16"/>
          <w:szCs w:val="16"/>
          <w:color w:val="auto"/>
        </w:rPr>
      </w:pPr>
    </w:p>
    <w:p>
      <w:pPr>
        <w:jc w:val="both"/>
        <w:ind w:left="1300" w:firstLine="4"/>
        <w:spacing w:after="0" w:line="257" w:lineRule="auto"/>
        <w:tabs>
          <w:tab w:leader="none" w:pos="1627" w:val="left"/>
        </w:tabs>
        <w:numPr>
          <w:ilvl w:val="1"/>
          <w:numId w:val="39"/>
        </w:numPr>
        <w:rPr>
          <w:rFonts w:ascii="Arial" w:cs="Arial" w:eastAsia="Arial" w:hAnsi="Arial"/>
          <w:sz w:val="19"/>
          <w:szCs w:val="19"/>
          <w:color w:val="auto"/>
        </w:rPr>
      </w:pPr>
      <w:r>
        <w:rPr>
          <w:rFonts w:ascii="Arial" w:cs="Arial" w:eastAsia="Arial" w:hAnsi="Arial"/>
          <w:sz w:val="19"/>
          <w:szCs w:val="19"/>
          <w:color w:val="auto"/>
        </w:rPr>
        <w:t>in which the Company or any Subsidiary had a work site, job site, facility, or office at which the Participant had work activity for the Company or any Subsidiary in the one-year period preceding (the “</w:t>
      </w:r>
      <w:r>
        <w:rPr>
          <w:rFonts w:ascii="Arial" w:cs="Arial" w:eastAsia="Arial" w:hAnsi="Arial"/>
          <w:sz w:val="19"/>
          <w:szCs w:val="19"/>
          <w:b w:val="1"/>
          <w:bCs w:val="1"/>
          <w:color w:val="auto"/>
        </w:rPr>
        <w:t>Restricted Area</w:t>
      </w:r>
      <w:r>
        <w:rPr>
          <w:rFonts w:ascii="Arial" w:cs="Arial" w:eastAsia="Arial" w:hAnsi="Arial"/>
          <w:sz w:val="19"/>
          <w:szCs w:val="19"/>
          <w:color w:val="auto"/>
        </w:rPr>
        <w:t>”). The restrictions of this Clause 2 shall likewise apply if, although Participant’s place of work is located outside the Restricted Area, Participant’s activity is performed for the benefit of a Restricted Business located in the Restricted Area.</w:t>
      </w:r>
    </w:p>
    <w:p>
      <w:pPr>
        <w:spacing w:after="0" w:line="182" w:lineRule="exact"/>
        <w:rPr>
          <w:sz w:val="20"/>
          <w:szCs w:val="20"/>
          <w:color w:val="auto"/>
        </w:rPr>
      </w:pPr>
    </w:p>
    <w:p>
      <w:pPr>
        <w:jc w:val="both"/>
        <w:ind w:firstLine="1385"/>
        <w:spacing w:after="0" w:line="244" w:lineRule="auto"/>
        <w:tabs>
          <w:tab w:leader="none" w:pos="1944" w:val="left"/>
        </w:tabs>
        <w:numPr>
          <w:ilvl w:val="0"/>
          <w:numId w:val="40"/>
        </w:numPr>
        <w:rPr>
          <w:rFonts w:ascii="Arial" w:cs="Arial" w:eastAsia="Arial" w:hAnsi="Arial"/>
          <w:sz w:val="20"/>
          <w:szCs w:val="20"/>
          <w:color w:val="auto"/>
        </w:rPr>
      </w:pPr>
      <w:r>
        <w:rPr>
          <w:rFonts w:ascii="Arial" w:cs="Arial" w:eastAsia="Arial" w:hAnsi="Arial"/>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 Participant or any other Person, and Participant will not approach any such person for such purpose or authorize or approve the taking of such actions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65" w:name="page66"/>
    <w:bookmarkEnd w:id="65"/>
    <w:p>
      <w:pPr>
        <w:ind w:left="1300" w:hanging="644"/>
        <w:spacing w:after="0"/>
        <w:tabs>
          <w:tab w:leader="none" w:pos="13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Limitations and amendments.</w:t>
      </w:r>
      <w:r>
        <w:rPr>
          <w:rFonts w:ascii="Arial" w:cs="Arial" w:eastAsia="Arial" w:hAnsi="Arial"/>
          <w:sz w:val="20"/>
          <w:szCs w:val="20"/>
          <w:color w:val="auto"/>
        </w:rPr>
        <w:t xml:space="preserve"> The following amendments and limitations shall apply to restrictions in Clause 2;</w:t>
      </w:r>
    </w:p>
    <w:p>
      <w:pPr>
        <w:spacing w:after="0" w:line="216" w:lineRule="exact"/>
        <w:rPr>
          <w:sz w:val="20"/>
          <w:szCs w:val="20"/>
          <w:color w:val="auto"/>
        </w:rPr>
      </w:pPr>
    </w:p>
    <w:p>
      <w:pPr>
        <w:jc w:val="both"/>
        <w:ind w:firstLine="1137"/>
        <w:spacing w:after="0" w:line="260" w:lineRule="auto"/>
        <w:rPr>
          <w:sz w:val="20"/>
          <w:szCs w:val="20"/>
          <w:color w:val="auto"/>
        </w:rPr>
      </w:pPr>
      <w:r>
        <w:rPr>
          <w:rFonts w:ascii="Arial" w:cs="Arial" w:eastAsia="Arial" w:hAnsi="Arial"/>
          <w:sz w:val="20"/>
          <w:szCs w:val="20"/>
          <w:color w:val="auto"/>
        </w:rPr>
        <w:t>ii.The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177" w:lineRule="exact"/>
        <w:rPr>
          <w:sz w:val="20"/>
          <w:szCs w:val="20"/>
          <w:color w:val="auto"/>
        </w:rPr>
      </w:pPr>
    </w:p>
    <w:p>
      <w:pPr>
        <w:jc w:val="both"/>
        <w:ind w:firstLine="1082"/>
        <w:spacing w:after="0" w:line="246" w:lineRule="auto"/>
        <w:rPr>
          <w:sz w:val="20"/>
          <w:szCs w:val="20"/>
          <w:color w:val="auto"/>
        </w:rPr>
      </w:pPr>
      <w:r>
        <w:rPr>
          <w:rFonts w:ascii="Arial" w:cs="Arial" w:eastAsia="Arial" w:hAnsi="Arial"/>
          <w:sz w:val="20"/>
          <w:szCs w:val="20"/>
          <w:color w:val="auto"/>
        </w:rPr>
        <w:t>iii.If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pacing w:after="0" w:line="191" w:lineRule="exact"/>
        <w:rPr>
          <w:sz w:val="20"/>
          <w:szCs w:val="20"/>
          <w:color w:val="auto"/>
        </w:rPr>
      </w:pPr>
    </w:p>
    <w:p>
      <w:pPr>
        <w:jc w:val="both"/>
        <w:ind w:firstLine="1092"/>
        <w:spacing w:after="0" w:line="250" w:lineRule="auto"/>
        <w:rPr>
          <w:sz w:val="20"/>
          <w:szCs w:val="20"/>
          <w:color w:val="auto"/>
        </w:rPr>
      </w:pPr>
      <w:r>
        <w:rPr>
          <w:rFonts w:ascii="Arial" w:cs="Arial" w:eastAsia="Arial" w:hAnsi="Arial"/>
          <w:sz w:val="20"/>
          <w:szCs w:val="20"/>
          <w:color w:val="auto"/>
        </w:rPr>
        <w:t>iv.The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spacing w:after="0" w:line="172" w:lineRule="exact"/>
        <w:rPr>
          <w:sz w:val="20"/>
          <w:szCs w:val="20"/>
          <w:color w:val="auto"/>
        </w:rPr>
      </w:pPr>
    </w:p>
    <w:p>
      <w:pPr>
        <w:jc w:val="both"/>
        <w:ind w:firstLine="1147"/>
        <w:spacing w:after="0" w:line="243" w:lineRule="auto"/>
        <w:rPr>
          <w:sz w:val="20"/>
          <w:szCs w:val="20"/>
          <w:color w:val="auto"/>
        </w:rPr>
      </w:pPr>
      <w:r>
        <w:rPr>
          <w:rFonts w:ascii="Arial" w:cs="Arial" w:eastAsia="Arial" w:hAnsi="Arial"/>
          <w:sz w:val="20"/>
          <w:szCs w:val="20"/>
          <w:color w:val="auto"/>
        </w:rPr>
        <w:t>v.Each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 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166" w:lineRule="exact"/>
        <w:rPr>
          <w:sz w:val="20"/>
          <w:szCs w:val="20"/>
          <w:color w:val="auto"/>
        </w:rPr>
      </w:pPr>
    </w:p>
    <w:p>
      <w:pPr>
        <w:jc w:val="both"/>
        <w:ind w:firstLine="1092"/>
        <w:spacing w:after="0" w:line="243" w:lineRule="auto"/>
        <w:rPr>
          <w:sz w:val="20"/>
          <w:szCs w:val="20"/>
          <w:color w:val="auto"/>
        </w:rPr>
      </w:pPr>
      <w:r>
        <w:rPr>
          <w:rFonts w:ascii="Arial" w:cs="Arial" w:eastAsia="Arial" w:hAnsi="Arial"/>
          <w:sz w:val="20"/>
          <w:szCs w:val="20"/>
          <w:color w:val="auto"/>
        </w:rPr>
        <w:t>vi.Participant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 Participant to reasonably perform a business activity in line with Participant’s acquired skills and expertise without breaching the restrictions contained within Clause 2.</w:t>
      </w:r>
    </w:p>
    <w:p>
      <w:pPr>
        <w:spacing w:after="0" w:line="182" w:lineRule="exact"/>
        <w:rPr>
          <w:sz w:val="20"/>
          <w:szCs w:val="20"/>
          <w:color w:val="auto"/>
        </w:rPr>
      </w:pPr>
    </w:p>
    <w:p>
      <w:pPr>
        <w:ind w:firstLine="656"/>
        <w:spacing w:after="0" w:line="260" w:lineRule="auto"/>
        <w:tabs>
          <w:tab w:leader="none" w:pos="12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Participant acknowledges that the grant of the PSUs is sufficient consideration for entering into the restrictions in Clauses 1 and 2.</w:t>
      </w:r>
    </w:p>
    <w:p>
      <w:pPr>
        <w:spacing w:after="0" w:line="163"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Non-Interference with Whistleblower Rights</w:t>
      </w:r>
      <w:r>
        <w:rPr>
          <w:rFonts w:ascii="Arial" w:cs="Arial" w:eastAsia="Arial" w:hAnsi="Arial"/>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spacing w:after="0" w:line="158"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Enforcement of Covenants</w:t>
      </w:r>
      <w:r>
        <w:rPr>
          <w:rFonts w:ascii="Arial" w:cs="Arial" w:eastAsia="Arial" w:hAnsi="Arial"/>
          <w:sz w:val="19"/>
          <w:szCs w:val="19"/>
          <w:color w:val="auto"/>
        </w:rPr>
        <w:t>. The Company may take any and all action that it determines necessary and legally permissible 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66" w:name="page67"/>
    <w:bookmarkEnd w:id="66"/>
    <w:p>
      <w:pPr>
        <w:jc w:val="both"/>
        <w:spacing w:after="0" w:line="276" w:lineRule="auto"/>
        <w:rPr>
          <w:sz w:val="20"/>
          <w:szCs w:val="20"/>
          <w:color w:val="auto"/>
        </w:rPr>
      </w:pPr>
      <w:r>
        <w:rPr>
          <w:rFonts w:ascii="Arial" w:cs="Arial" w:eastAsia="Arial" w:hAnsi="Arial"/>
          <w:sz w:val="18"/>
          <w:szCs w:val="18"/>
          <w:color w:val="auto"/>
        </w:rPr>
        <w:t>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 other rights and remedies available to the Company at law and in equity, including recovery of specific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67" w:name="page68"/>
    <w:bookmarkEnd w:id="67"/>
    <w:p>
      <w:pPr>
        <w:jc w:val="center"/>
        <w:ind w:right="-95"/>
        <w:spacing w:after="0"/>
        <w:rPr>
          <w:sz w:val="20"/>
          <w:szCs w:val="20"/>
          <w:color w:val="auto"/>
        </w:rPr>
      </w:pPr>
      <w:r>
        <w:rPr>
          <w:rFonts w:ascii="Arial" w:cs="Arial" w:eastAsia="Arial" w:hAnsi="Arial"/>
          <w:sz w:val="20"/>
          <w:szCs w:val="20"/>
          <w:b w:val="1"/>
          <w:bCs w:val="1"/>
          <w:u w:val="single" w:color="auto"/>
          <w:color w:val="auto"/>
        </w:rPr>
        <w:t>SCHEDULE A</w:t>
      </w:r>
    </w:p>
    <w:p>
      <w:pPr>
        <w:spacing w:after="0" w:line="216"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color w:val="auto"/>
        </w:rPr>
        <w:t>TO TECHNIPFMC PLC INCENTIVE AWARD PLAN</w:t>
      </w:r>
    </w:p>
    <w:p>
      <w:pPr>
        <w:spacing w:after="0" w:line="22"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u w:val="single" w:color="auto"/>
          <w:color w:val="auto"/>
        </w:rPr>
        <w:t>PERFORMANCE STOCK UNIT AWARD AGREEMENT</w:t>
      </w:r>
    </w:p>
    <w:p>
      <w:pPr>
        <w:spacing w:after="0" w:line="194"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color w:val="auto"/>
        </w:rPr>
        <w:t>COUNTRY SCHEDULE</w:t>
      </w:r>
    </w:p>
    <w:p>
      <w:pPr>
        <w:spacing w:after="0" w:line="222" w:lineRule="exact"/>
        <w:rPr>
          <w:sz w:val="20"/>
          <w:szCs w:val="20"/>
          <w:color w:val="auto"/>
        </w:rPr>
      </w:pPr>
    </w:p>
    <w:p>
      <w:pPr>
        <w:jc w:val="both"/>
        <w:ind w:left="96" w:firstLine="648"/>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without definition shall have the meaning ascribed to such term in the Plan or the Agreement, as applicable.</w:t>
      </w:r>
    </w:p>
    <w:p>
      <w:pPr>
        <w:spacing w:after="0" w:line="190" w:lineRule="exact"/>
        <w:rPr>
          <w:sz w:val="20"/>
          <w:szCs w:val="20"/>
          <w:color w:val="auto"/>
        </w:rPr>
      </w:pPr>
    </w:p>
    <w:p>
      <w:pPr>
        <w:jc w:val="both"/>
        <w:ind w:left="96"/>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63" w:lineRule="exact"/>
        <w:rPr>
          <w:sz w:val="20"/>
          <w:szCs w:val="20"/>
          <w:color w:val="auto"/>
        </w:rPr>
      </w:pPr>
    </w:p>
    <w:p>
      <w:pPr>
        <w:ind w:left="756" w:hanging="756"/>
        <w:spacing w:after="0"/>
        <w:tabs>
          <w:tab w:leader="none" w:pos="756"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GLOBAL PROVISIONS APPLICABLE TO All PARTICIPANTS</w:t>
      </w:r>
    </w:p>
    <w:p>
      <w:pPr>
        <w:spacing w:after="0" w:line="221" w:lineRule="exact"/>
        <w:rPr>
          <w:rFonts w:ascii="Arial" w:cs="Arial" w:eastAsia="Arial" w:hAnsi="Arial"/>
          <w:sz w:val="20"/>
          <w:szCs w:val="20"/>
          <w:b w:val="1"/>
          <w:bCs w:val="1"/>
          <w:color w:val="auto"/>
        </w:rPr>
      </w:pPr>
    </w:p>
    <w:p>
      <w:pPr>
        <w:ind w:left="756"/>
        <w:spacing w:after="0"/>
        <w:rPr>
          <w:rFonts w:ascii="Arial" w:cs="Arial" w:eastAsia="Arial" w:hAnsi="Arial"/>
          <w:sz w:val="20"/>
          <w:szCs w:val="20"/>
          <w:b w:val="1"/>
          <w:bCs w:val="1"/>
          <w:color w:val="auto"/>
        </w:rPr>
      </w:pPr>
      <w:r>
        <w:rPr>
          <w:rFonts w:ascii="Arial" w:cs="Arial" w:eastAsia="Arial" w:hAnsi="Arial"/>
          <w:sz w:val="20"/>
          <w:szCs w:val="20"/>
          <w:color w:val="auto"/>
        </w:rPr>
        <w:t>By acceptance of the Award, the Participant acknowledges and agrees that:</w:t>
      </w:r>
    </w:p>
    <w:p>
      <w:pPr>
        <w:spacing w:after="0" w:line="215" w:lineRule="exact"/>
        <w:rPr>
          <w:rFonts w:ascii="Arial" w:cs="Arial" w:eastAsia="Arial" w:hAnsi="Arial"/>
          <w:sz w:val="20"/>
          <w:szCs w:val="20"/>
          <w:b w:val="1"/>
          <w:bCs w:val="1"/>
          <w:color w:val="auto"/>
        </w:rPr>
      </w:pPr>
    </w:p>
    <w:p>
      <w:pPr>
        <w:jc w:val="both"/>
        <w:ind w:left="96" w:firstLine="1304"/>
        <w:spacing w:after="0" w:line="241" w:lineRule="auto"/>
        <w:tabs>
          <w:tab w:leader="none" w:pos="2029"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THE VESTING OF THE PERFORMANCE SHARE UNITS PURSUANT TO THE VESTING SCHEDULE WILL OCCUR ONLY IF THE PARTICIPANT CONTINUES AS A DIRECTOR, OR EMPLOYEE (AS APPLICABLE) OF THE COMPANY OR A SUBSIDIARY THROUGH THE APPLICABLE VESTING DATE, OTHER THAN AS SPECIFICALLY PROVIDED IN THE AGREEMENT. THE TRANSACTIONS CONTEMPLATED HEREUNDER AND THE VESTING SCHEDULE DO NOT CONSTITUTE AN EXPRESS OR IMPLIED PROMISE OF CONTINUED ENGAGEMENT AS A DIRECTOR OR EMPLOYEE FOR THE VESTING PERIOD, FOR ANY PERIOD, OR AT ALL, AND WILL NOT INTERFERE IN ANY WAY WITH THE RIGHT OF THE COMPANY OR ANY SUBSIDIARY TO EFFECT A TERMINATION OF SERVICES AT ANY TIME, AND FOR ANY REASON, NOR SHALL IT BE CONSTRUED TO AMEND OR MODIFY THE TERMS OF ANY CONSULTANCY, DIRECTORSHIP, EMPLOYMENT OR OTHER SERVICE AGREEMENT BETWEEN A PARTICIPANT AND THE COMPANY OR ANY SUBSIDIARY.</w:t>
      </w:r>
    </w:p>
    <w:p>
      <w:pPr>
        <w:spacing w:after="0" w:line="201" w:lineRule="exact"/>
        <w:rPr>
          <w:rFonts w:ascii="Arial" w:cs="Arial" w:eastAsia="Arial" w:hAnsi="Arial"/>
          <w:sz w:val="20"/>
          <w:szCs w:val="20"/>
          <w:color w:val="auto"/>
        </w:rPr>
      </w:pPr>
    </w:p>
    <w:p>
      <w:pPr>
        <w:ind w:left="96" w:right="20" w:firstLine="1304"/>
        <w:spacing w:after="0" w:line="260" w:lineRule="auto"/>
        <w:tabs>
          <w:tab w:leader="none" w:pos="20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Plan is discretionary in nature and that, subject to the terms of the Plan, the Company can amend, cancel or terminate the Plan at any time.</w:t>
      </w:r>
    </w:p>
    <w:p>
      <w:pPr>
        <w:spacing w:after="0" w:line="176" w:lineRule="exact"/>
        <w:rPr>
          <w:rFonts w:ascii="Arial" w:cs="Arial" w:eastAsia="Arial" w:hAnsi="Arial"/>
          <w:sz w:val="20"/>
          <w:szCs w:val="20"/>
          <w:color w:val="auto"/>
        </w:rPr>
      </w:pPr>
    </w:p>
    <w:p>
      <w:pPr>
        <w:ind w:left="96" w:firstLine="1304"/>
        <w:spacing w:after="0" w:line="316" w:lineRule="auto"/>
        <w:tabs>
          <w:tab w:leader="none" w:pos="202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grant of the PSUs under the Plan is voluntary and occasional and does not give Participant any contractual or other right to receive PSUs or benefits in lieu of PSUs in the future, even if a Participant has have received PSUs repeatedly in the past.</w:t>
      </w:r>
    </w:p>
    <w:p>
      <w:pPr>
        <w:spacing w:after="0" w:line="129" w:lineRule="exact"/>
        <w:rPr>
          <w:rFonts w:ascii="Arial" w:cs="Arial" w:eastAsia="Arial" w:hAnsi="Arial"/>
          <w:sz w:val="18"/>
          <w:szCs w:val="18"/>
          <w:color w:val="auto"/>
        </w:rPr>
      </w:pPr>
    </w:p>
    <w:p>
      <w:pPr>
        <w:jc w:val="both"/>
        <w:ind w:left="96" w:firstLine="1304"/>
        <w:spacing w:after="0" w:line="250" w:lineRule="auto"/>
        <w:tabs>
          <w:tab w:leader="none" w:pos="20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PSUs may vest, will be at the sole discretion of the Administrator.</w:t>
      </w:r>
    </w:p>
    <w:p>
      <w:pPr>
        <w:spacing w:after="0" w:line="185" w:lineRule="exact"/>
        <w:rPr>
          <w:rFonts w:ascii="Arial" w:cs="Arial" w:eastAsia="Arial" w:hAnsi="Arial"/>
          <w:sz w:val="20"/>
          <w:szCs w:val="20"/>
          <w:color w:val="auto"/>
        </w:rPr>
      </w:pPr>
    </w:p>
    <w:p>
      <w:pPr>
        <w:ind w:left="2036" w:hanging="636"/>
        <w:spacing w:after="0"/>
        <w:tabs>
          <w:tab w:leader="none" w:pos="2036" w:val="left"/>
        </w:tabs>
        <w:numPr>
          <w:ilvl w:val="1"/>
          <w:numId w:val="43"/>
        </w:numPr>
        <w:rPr>
          <w:rFonts w:ascii="Arial" w:cs="Arial" w:eastAsia="Arial" w:hAnsi="Arial"/>
          <w:sz w:val="20"/>
          <w:szCs w:val="20"/>
          <w:color w:val="auto"/>
        </w:rPr>
      </w:pPr>
      <w:r>
        <w:rPr>
          <w:rFonts w:ascii="Arial" w:cs="Arial" w:eastAsia="Arial" w:hAnsi="Arial"/>
          <w:sz w:val="20"/>
          <w:szCs w:val="20"/>
          <w:color w:val="auto"/>
        </w:rPr>
        <w:t>Participation in the Plan is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6"/>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336"/>
          </w:cols>
          <w:pgMar w:left="224" w:top="1413" w:right="339" w:bottom="1440" w:gutter="0" w:footer="0" w:header="0"/>
        </w:sectPr>
      </w:pPr>
    </w:p>
    <w:bookmarkStart w:id="68" w:name="page69"/>
    <w:bookmarkEnd w:id="68"/>
    <w:p>
      <w:pPr>
        <w:ind w:firstLine="1304"/>
        <w:spacing w:after="0" w:line="260" w:lineRule="auto"/>
        <w:tabs>
          <w:tab w:leader="none" w:pos="1938"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value of the PSUs is an extraordinary item of compensation that is outside of the scope any directorship, consultancy or employment contract or relationship.</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PSUs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PSUs shall expire, terminate and be forfeited upon Termination of Services for any reason, except as otherwise explicitly provided in this Agreement as may be modified by this Schedule A and/or the Plan.</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future value of the Shares that may be issued upon vesting of the PSUs is unknown and cannot be predicted with</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any certainty.</w:t>
      </w:r>
    </w:p>
    <w:p>
      <w:pPr>
        <w:spacing w:after="0" w:line="199" w:lineRule="exact"/>
        <w:rPr>
          <w:rFonts w:ascii="Arial" w:cs="Arial" w:eastAsia="Arial" w:hAnsi="Arial"/>
          <w:sz w:val="16"/>
          <w:szCs w:val="16"/>
          <w:color w:val="auto"/>
        </w:rPr>
      </w:pPr>
    </w:p>
    <w:p>
      <w:pPr>
        <w:ind w:left="1940" w:hanging="636"/>
        <w:spacing w:after="0"/>
        <w:tabs>
          <w:tab w:leader="none" w:pos="1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arises from the expiration, termination or forfeiture of the PSUs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any portion thereof.</w:t>
      </w:r>
    </w:p>
    <w:p>
      <w:pPr>
        <w:spacing w:after="0" w:line="199"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Neither the Company nor any Subsidiary has provided, nor will they provide, any Participant with specific tax, legal or financial advice with respect to the PSUs, the Shares issuable upon vesting of PSUs, this Agreement, this Schedule A or the Plan. Neither the Company nor any Subsidiary is making, nor have they made any recommendations relating to participation in the Plan, the receipt of the PSUs or the acquisition or sale of Shares upon receipt of PSUs.</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settlement of the PSUs.</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3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It shall be the Participant’s responsibility to comply with any and all exchange control requirements applicable to the PSUs and the sale of Shares issued upon settlement of the PSUs and any resulting funds including, without limitation, reporting or repatriation requirements.</w:t>
      </w:r>
    </w:p>
    <w:p>
      <w:pPr>
        <w:spacing w:after="0" w:line="185" w:lineRule="exact"/>
        <w:rPr>
          <w:rFonts w:ascii="Arial" w:cs="Arial" w:eastAsia="Arial" w:hAnsi="Arial"/>
          <w:sz w:val="20"/>
          <w:szCs w:val="20"/>
          <w:color w:val="auto"/>
        </w:rPr>
      </w:pPr>
    </w:p>
    <w:p>
      <w:pPr>
        <w:jc w:val="both"/>
        <w:ind w:firstLine="1304"/>
        <w:spacing w:after="0" w:line="291" w:lineRule="auto"/>
        <w:tabs>
          <w:tab w:leader="none" w:pos="19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Participant shall be responsible for legal compliance requirements relating to the PSUs or the ownership and possible sale of any Shares issued upon settlement of the PSUs, including, but not limited to, tax reporting, the exchange of U.S. dollars into or from local currency, the transfer of funds to or from the United States, and the opening and use of a U.S. brokerage account.</w:t>
      </w:r>
    </w:p>
    <w:p>
      <w:pPr>
        <w:spacing w:after="0" w:line="151"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this Agreement, the Plan, any website or any other document related to the PSUs is translated into a language other than English, and if the translated version is different from the English version, the English language version will take precedence. By acceptance of the PSUs, the Participant confirms having read and understood the documents relating to the Plan and the PSUs, including, without limitation, this Agreement and this Schedule A, which were provided in English, and waives any requirement for the Company to provide these documents in any other language.</w:t>
      </w:r>
    </w:p>
    <w:p>
      <w:pPr>
        <w:spacing w:after="0" w:line="194"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Participant’s right to vest in the PSUs will terminate effective as of the date that is the earlier of (1) the effective date of the Participant’s Termination of Services (whether or not in breach of local labor laws), or (2) the date he/she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69" w:name="page70"/>
    <w:bookmarkEnd w:id="69"/>
    <w:p>
      <w:pPr>
        <w:ind w:left="96" w:right="20" w:firstLine="1304"/>
        <w:spacing w:after="0" w:line="260" w:lineRule="auto"/>
        <w:tabs>
          <w:tab w:leader="none" w:pos="20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To the extent the Participant is providing services in a country identified in Section II of this </w:t>
      </w:r>
      <w:r>
        <w:rPr>
          <w:rFonts w:ascii="Arial" w:cs="Arial" w:eastAsia="Arial" w:hAnsi="Arial"/>
          <w:sz w:val="20"/>
          <w:szCs w:val="20"/>
          <w:u w:val="single" w:color="auto"/>
          <w:color w:val="auto"/>
        </w:rPr>
        <w:t>Schedule A</w:t>
      </w:r>
      <w:r>
        <w:rPr>
          <w:rFonts w:ascii="Arial" w:cs="Arial" w:eastAsia="Arial" w:hAnsi="Arial"/>
          <w:sz w:val="20"/>
          <w:szCs w:val="20"/>
          <w:color w:val="auto"/>
        </w:rPr>
        <w:t>, such Participant understands and agrees that the provisions for such country apply and are incorporated into the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756" w:hanging="756"/>
        <w:spacing w:after="0" w:line="267" w:lineRule="auto"/>
        <w:tabs>
          <w:tab w:leader="none" w:pos="756"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163" w:lineRule="exact"/>
        <w:rPr>
          <w:rFonts w:ascii="Arial" w:cs="Arial" w:eastAsia="Arial" w:hAnsi="Arial"/>
          <w:sz w:val="20"/>
          <w:szCs w:val="20"/>
          <w:b w:val="1"/>
          <w:bCs w:val="1"/>
          <w:color w:val="auto"/>
        </w:rPr>
      </w:pPr>
    </w:p>
    <w:p>
      <w:pPr>
        <w:ind w:left="5436" w:hanging="640"/>
        <w:spacing w:after="0"/>
        <w:tabs>
          <w:tab w:leader="none" w:pos="5436" w:val="left"/>
        </w:tabs>
        <w:numPr>
          <w:ilvl w:val="2"/>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ARGENTINA</w:t>
      </w:r>
    </w:p>
    <w:p>
      <w:pPr>
        <w:spacing w:after="0" w:line="216" w:lineRule="exact"/>
        <w:rPr>
          <w:sz w:val="20"/>
          <w:szCs w:val="20"/>
          <w:color w:val="auto"/>
        </w:rPr>
      </w:pPr>
    </w:p>
    <w:p>
      <w:pPr>
        <w:jc w:val="both"/>
        <w:ind w:left="96" w:firstLine="1284"/>
        <w:spacing w:after="0" w:line="253" w:lineRule="auto"/>
        <w:tabs>
          <w:tab w:leader="none" w:pos="2035" w:val="left"/>
        </w:tabs>
        <w:numPr>
          <w:ilvl w:val="1"/>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The provisions of this Country Schedule for Argentina provide additional definitions and conditions for the purpose of granting PSUs which are intended to be granted to Employees and corporate officers who are resident in Argentina for tax, labour or securities law purposes.</w:t>
      </w:r>
    </w:p>
    <w:p>
      <w:pPr>
        <w:spacing w:after="0" w:line="183" w:lineRule="exact"/>
        <w:rPr>
          <w:rFonts w:ascii="Arial" w:cs="Arial" w:eastAsia="Arial" w:hAnsi="Arial"/>
          <w:sz w:val="20"/>
          <w:szCs w:val="20"/>
          <w:b w:val="1"/>
          <w:bCs w:val="1"/>
          <w:color w:val="auto"/>
        </w:rPr>
      </w:pPr>
    </w:p>
    <w:p>
      <w:pPr>
        <w:ind w:left="96" w:firstLine="656"/>
        <w:spacing w:after="0" w:line="287" w:lineRule="auto"/>
        <w:tabs>
          <w:tab w:leader="none" w:pos="139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Discretion</w:t>
      </w:r>
      <w:r>
        <w:rPr>
          <w:rFonts w:ascii="Arial" w:cs="Arial" w:eastAsia="Arial" w:hAnsi="Arial"/>
          <w:sz w:val="19"/>
          <w:szCs w:val="19"/>
          <w:color w:val="auto"/>
        </w:rPr>
        <w:t>. All discretionary authority granted under the Plan, including the interpretation of the documentation, shall be exercised reasonably as defined under Argentinean law in compliance with the principles of non-discriminatory equal treatment.</w:t>
      </w:r>
    </w:p>
    <w:p>
      <w:pPr>
        <w:spacing w:after="0" w:line="152" w:lineRule="exact"/>
        <w:rPr>
          <w:rFonts w:ascii="Arial" w:cs="Arial" w:eastAsia="Arial" w:hAnsi="Arial"/>
          <w:sz w:val="19"/>
          <w:szCs w:val="19"/>
          <w:color w:val="auto"/>
        </w:rPr>
      </w:pPr>
    </w:p>
    <w:p>
      <w:pPr>
        <w:jc w:val="both"/>
        <w:ind w:left="96" w:firstLine="656"/>
        <w:spacing w:after="0" w:line="250" w:lineRule="auto"/>
        <w:tabs>
          <w:tab w:leader="none" w:pos="1392"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xml:space="preserve"> Detrimental Activity</w:t>
      </w:r>
      <w:r>
        <w:rPr>
          <w:rFonts w:ascii="Arial" w:cs="Arial" w:eastAsia="Arial" w:hAnsi="Arial"/>
          <w:sz w:val="20"/>
          <w:szCs w:val="20"/>
          <w:u w:val="single" w:color="auto"/>
          <w:color w:val="auto"/>
        </w:rPr>
        <w:t>,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in accordance with Argentinean law.</w:t>
      </w:r>
    </w:p>
    <w:p>
      <w:pPr>
        <w:spacing w:after="0" w:line="185" w:lineRule="exact"/>
        <w:rPr>
          <w:rFonts w:ascii="Arial" w:cs="Arial" w:eastAsia="Arial" w:hAnsi="Arial"/>
          <w:sz w:val="20"/>
          <w:szCs w:val="20"/>
          <w:color w:val="auto"/>
        </w:rPr>
      </w:pPr>
    </w:p>
    <w:p>
      <w:pPr>
        <w:ind w:left="1396" w:hanging="644"/>
        <w:spacing w:after="0"/>
        <w:tabs>
          <w:tab w:leader="none" w:pos="13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in Argentina shall be restricted to Employees or Non-Employee Directors, as determined by the Administrator.</w:t>
      </w:r>
    </w:p>
    <w:p>
      <w:pPr>
        <w:spacing w:after="0" w:line="238" w:lineRule="exact"/>
        <w:rPr>
          <w:rFonts w:ascii="Arial" w:cs="Arial" w:eastAsia="Arial" w:hAnsi="Arial"/>
          <w:sz w:val="18"/>
          <w:szCs w:val="18"/>
          <w:color w:val="auto"/>
        </w:rPr>
      </w:pPr>
    </w:p>
    <w:p>
      <w:pPr>
        <w:jc w:val="both"/>
        <w:ind w:left="96" w:firstLine="656"/>
        <w:spacing w:after="0" w:line="246" w:lineRule="auto"/>
        <w:tabs>
          <w:tab w:leader="none" w:pos="1392"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No Entitlement for Claims or Compensation</w:t>
      </w:r>
      <w:r>
        <w:rPr>
          <w:rFonts w:ascii="Arial" w:cs="Arial" w:eastAsia="Arial" w:hAnsi="Arial"/>
          <w:sz w:val="20"/>
          <w:szCs w:val="20"/>
          <w:color w:val="auto"/>
        </w:rPr>
        <w:t>. The Company has unilaterally, gratuitously and discretionally decided to grant the PSUs under the Plan. Consequently, the PSUs are granted on the assumption and condition that PSUs and the Shares issued pursuant to vesting of the PSUs are not part of the Participant’s ordinary or expected remuneration and shall not be considered for the purposes of determining any severance payment or compensation otherwise due.</w:t>
      </w:r>
    </w:p>
    <w:p>
      <w:pPr>
        <w:spacing w:after="0" w:line="191" w:lineRule="exact"/>
        <w:rPr>
          <w:rFonts w:ascii="Arial" w:cs="Arial" w:eastAsia="Arial" w:hAnsi="Arial"/>
          <w:sz w:val="20"/>
          <w:szCs w:val="20"/>
          <w:color w:val="auto"/>
        </w:rPr>
      </w:pPr>
    </w:p>
    <w:p>
      <w:pPr>
        <w:jc w:val="both"/>
        <w:ind w:left="96" w:firstLine="656"/>
        <w:spacing w:after="0" w:line="250" w:lineRule="auto"/>
        <w:tabs>
          <w:tab w:leader="none" w:pos="1392"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Information to the Central Bank.</w:t>
      </w:r>
      <w:r>
        <w:rPr>
          <w:rFonts w:ascii="Arial" w:cs="Arial" w:eastAsia="Arial" w:hAnsi="Arial"/>
          <w:sz w:val="20"/>
          <w:szCs w:val="20"/>
          <w:color w:val="auto"/>
        </w:rPr>
        <w:t xml:space="preserve"> If the participant is a resident or is domiciled in Argentina, he will be required to submit an annual affidavit of assets and rights outside of Argentina to the Central Bank. This affidavit will be mandatory if the added value of such assets is equivalent or exceeds USD 1M (application for the FY 2017 to FY 2019).</w:t>
      </w:r>
    </w:p>
    <w:p>
      <w:pPr>
        <w:spacing w:after="0" w:line="186" w:lineRule="exact"/>
        <w:rPr>
          <w:sz w:val="20"/>
          <w:szCs w:val="20"/>
          <w:color w:val="auto"/>
        </w:rPr>
      </w:pPr>
    </w:p>
    <w:p>
      <w:pPr>
        <w:ind w:left="96" w:right="20"/>
        <w:spacing w:after="0" w:line="260" w:lineRule="auto"/>
        <w:rPr>
          <w:sz w:val="20"/>
          <w:szCs w:val="20"/>
          <w:color w:val="auto"/>
        </w:rPr>
      </w:pPr>
      <w:r>
        <w:rPr>
          <w:rFonts w:ascii="Arial" w:cs="Arial" w:eastAsia="Arial" w:hAnsi="Arial"/>
          <w:sz w:val="20"/>
          <w:szCs w:val="20"/>
          <w:color w:val="auto"/>
        </w:rPr>
        <w:t>The affidavit will be mandatory since FY 2020 only if the added value of the assets exceeds USD 50M. Additionally, any liability outside of Argentina should be reported to the Central Bank on a quarterly basis.</w:t>
      </w:r>
    </w:p>
    <w:p>
      <w:pPr>
        <w:spacing w:after="0" w:line="177" w:lineRule="exact"/>
        <w:rPr>
          <w:sz w:val="20"/>
          <w:szCs w:val="20"/>
          <w:color w:val="auto"/>
        </w:rPr>
      </w:pPr>
    </w:p>
    <w:p>
      <w:pPr>
        <w:ind w:left="96" w:firstLine="656"/>
        <w:spacing w:after="0" w:line="260" w:lineRule="auto"/>
        <w:tabs>
          <w:tab w:leader="none" w:pos="139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Argentinean law. In case of any discrepancy between Argentinean Law and the law of the State of Delaware, then Argentinean law will prevail.</w:t>
      </w:r>
    </w:p>
    <w:p>
      <w:pPr>
        <w:spacing w:after="0" w:line="176" w:lineRule="exact"/>
        <w:rPr>
          <w:rFonts w:ascii="Arial" w:cs="Arial" w:eastAsia="Arial" w:hAnsi="Arial"/>
          <w:sz w:val="20"/>
          <w:szCs w:val="20"/>
          <w:color w:val="auto"/>
        </w:rPr>
      </w:pPr>
    </w:p>
    <w:p>
      <w:pPr>
        <w:jc w:val="both"/>
        <w:ind w:left="96" w:right="20" w:firstLine="656"/>
        <w:spacing w:after="0" w:line="250" w:lineRule="auto"/>
        <w:tabs>
          <w:tab w:leader="none" w:pos="1392"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in Argentina means termination of the Participant’s employment on or after the date that the Participant reaches the age of 70 and has been granted the retirement benefit by the Social Security Authority or after one year the employee was formally requested by the employer to start proceedings to obtain the retirement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336"/>
          </w:cols>
          <w:pgMar w:left="224" w:top="1419" w:right="339" w:bottom="1440" w:gutter="0" w:footer="0" w:header="0"/>
        </w:sectPr>
      </w:pPr>
    </w:p>
    <w:bookmarkStart w:id="70" w:name="page71"/>
    <w:bookmarkEnd w:id="70"/>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By entering into the Agreement, Participant consents to the transfer of Data by Company for the Purposes.</w:t>
      </w:r>
    </w:p>
    <w:p>
      <w:pPr>
        <w:spacing w:after="0" w:line="232" w:lineRule="exact"/>
        <w:rPr>
          <w:rFonts w:ascii="Arial" w:cs="Arial" w:eastAsia="Arial" w:hAnsi="Arial"/>
          <w:sz w:val="18"/>
          <w:szCs w:val="18"/>
          <w:color w:val="auto"/>
        </w:rPr>
      </w:pPr>
    </w:p>
    <w:p>
      <w:pPr>
        <w:ind w:left="5360" w:hanging="643"/>
        <w:spacing w:after="0"/>
        <w:tabs>
          <w:tab w:leader="none" w:pos="5360"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AUSTRALIA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Australia</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Australia for tax, labour or securities law purposes.</w:t>
      </w:r>
    </w:p>
    <w:p>
      <w:pPr>
        <w:spacing w:after="0" w:line="183"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Award Plan</w:t>
      </w:r>
      <w:r>
        <w:rPr>
          <w:rFonts w:ascii="Arial" w:cs="Arial" w:eastAsia="Arial" w:hAnsi="Arial"/>
          <w:sz w:val="20"/>
          <w:szCs w:val="20"/>
          <w:color w:val="auto"/>
        </w:rPr>
        <w:t>. A copy of the Plan is attached to this Agreement.</w:t>
      </w:r>
    </w:p>
    <w:p>
      <w:pPr>
        <w:spacing w:after="0" w:line="215" w:lineRule="exact"/>
        <w:rPr>
          <w:rFonts w:ascii="Arial" w:cs="Arial" w:eastAsia="Arial" w:hAnsi="Arial"/>
          <w:sz w:val="20"/>
          <w:szCs w:val="20"/>
          <w:color w:val="auto"/>
        </w:rPr>
      </w:pPr>
    </w:p>
    <w:p>
      <w:pPr>
        <w:ind w:firstLine="656"/>
        <w:spacing w:after="0" w:line="316"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Plan and this Agreement do not constitute financial advice. Any advice given by the Company in relation to the PSUs or the Shares does not constitute financial advice and does not take into account the Participant’s objectives, financial situation and needs.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considering the PSUs and the Shares that the Participant will hold on vesting of the PSUs, the Participant should consider the risk factors that could affect the performance of the Company. The Participant should be aware that there are risks associated with any stock market investment. It is important to recognize that stock prices and dividends might fall or rise. Factors affecting the market price include domestic and international economic conditions and outlook, changes in government fiscal, monetary and regulatory policies, changes in interest rates and inflation rates, the announcement of new technologies and variations in general market conditions and/or market conditions which are specific to a particular industry. In addition, share prices of many companies are affected by factors which might be unrelated to the operating performance of the relevant company. Such factors might adversely affect the market price of the Shares in the Company. Further, there is no guarantee that the Company’s Shares will trade at a particular volume or that there will be an ongoing liquid market for the Shares, accordingly there is a risk that, should the market for the Shares become illiquid, the Participant will be unable to realize the Participant’s investment.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Participant should carefully consider these risks in light of the Participant’s investment objectives, financial situation and particular needs (including financial and tax issues) and seek professional guidance from Participant’s stockbroker, solicitor, accountant, financial adviser or other independent professional adviser before deciding whether to accept the offer of PSUs or to acquire Shares.</w:t>
      </w:r>
    </w:p>
    <w:p>
      <w:pPr>
        <w:spacing w:after="0" w:line="152" w:lineRule="exact"/>
        <w:rPr>
          <w:sz w:val="20"/>
          <w:szCs w:val="20"/>
          <w:color w:val="auto"/>
        </w:rPr>
      </w:pPr>
    </w:p>
    <w:p>
      <w:pPr>
        <w:jc w:val="both"/>
        <w:ind w:firstLine="656"/>
        <w:spacing w:after="0" w:line="246" w:lineRule="auto"/>
        <w:tabs>
          <w:tab w:leader="none" w:pos="1296"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How to Calculate Values in Australian Dollars</w:t>
      </w:r>
      <w:r>
        <w:rPr>
          <w:rFonts w:ascii="Arial" w:cs="Arial" w:eastAsia="Arial" w:hAnsi="Arial"/>
          <w:sz w:val="20"/>
          <w:szCs w:val="20"/>
          <w:color w:val="auto"/>
        </w:rPr>
        <w:t>. The Participant may be paid earned PSUs which have vested in accordance with the vesting schedule outlined above in accordance with the terms of the Plan by delivery of Shares in the Company or the payment of cash of an amount equal to the Fair Market Value of those shares (or a combination of both). The Participant will not be required to pay any amount for the payment of earned PSUs.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Participant can ascertain the market price of a Share in the Company from time to time by visiting either:</w:t>
      </w:r>
    </w:p>
    <w:p>
      <w:pPr>
        <w:spacing w:after="0" w:line="216"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Company’s website (</w:t>
      </w:r>
      <w:r>
        <w:rPr>
          <w:rFonts w:ascii="Arial" w:cs="Arial" w:eastAsia="Arial" w:hAnsi="Arial"/>
          <w:sz w:val="20"/>
          <w:szCs w:val="20"/>
          <w:u w:val="single" w:color="auto"/>
          <w:color w:val="0000FF"/>
        </w:rPr>
        <w:t>http://www.technipfmc.com/en/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right="20" w:hanging="644"/>
        <w:spacing w:after="0" w:line="260" w:lineRule="auto"/>
        <w:tabs>
          <w:tab w:leader="none" w:pos="1288"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 United States Dollars (“</w:t>
      </w:r>
      <w:r>
        <w:rPr>
          <w:rFonts w:ascii="Arial" w:cs="Arial" w:eastAsia="Arial" w:hAnsi="Arial"/>
          <w:sz w:val="20"/>
          <w:szCs w:val="20"/>
          <w:u w:val="single" w:color="auto"/>
          <w:color w:val="auto"/>
        </w:rPr>
        <w:t>USD</w:t>
      </w:r>
      <w:r>
        <w:rPr>
          <w:rFonts w:ascii="Arial" w:cs="Arial" w:eastAsia="Arial" w:hAnsi="Arial"/>
          <w:sz w:val="20"/>
          <w:szCs w:val="20"/>
          <w:color w:val="auto"/>
        </w:rPr>
        <w:t>”) on the New York Stock Exchange website (</w:t>
      </w:r>
      <w:r>
        <w:rPr>
          <w:rFonts w:ascii="Arial" w:cs="Arial" w:eastAsia="Arial" w:hAnsi="Arial"/>
          <w:sz w:val="20"/>
          <w:szCs w:val="20"/>
          <w:u w:val="single" w:color="auto"/>
          <w:color w:val="0000FF"/>
        </w:rPr>
        <w:t>https://www.nyse.com/index</w:t>
      </w:r>
      <w:r>
        <w:rPr>
          <w:rFonts w:ascii="Arial" w:cs="Arial" w:eastAsia="Arial" w:hAnsi="Arial"/>
          <w:sz w:val="20"/>
          <w:szCs w:val="20"/>
          <w:color w:val="auto"/>
        </w:rPr>
        <w:t>) and searching for “TechnipFMC” or “FTI”;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1" w:name="page72"/>
    <w:bookmarkEnd w:id="71"/>
    <w:p>
      <w:pPr>
        <w:ind w:left="1300" w:hanging="644"/>
        <w:spacing w:after="0"/>
        <w:tabs>
          <w:tab w:leader="none" w:pos="13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Euros (“</w:t>
      </w:r>
      <w:r>
        <w:rPr>
          <w:rFonts w:ascii="Arial" w:cs="Arial" w:eastAsia="Arial" w:hAnsi="Arial"/>
          <w:sz w:val="20"/>
          <w:szCs w:val="20"/>
          <w:u w:val="single" w:color="auto"/>
          <w:color w:val="auto"/>
        </w:rPr>
        <w:t>EUR</w:t>
      </w:r>
      <w:r>
        <w:rPr>
          <w:rFonts w:ascii="Arial" w:cs="Arial" w:eastAsia="Arial" w:hAnsi="Arial"/>
          <w:sz w:val="20"/>
          <w:szCs w:val="20"/>
          <w:color w:val="auto"/>
        </w:rPr>
        <w:t>”) on the Euronext website (</w:t>
      </w:r>
      <w:r>
        <w:rPr>
          <w:rFonts w:ascii="Arial" w:cs="Arial" w:eastAsia="Arial" w:hAnsi="Arial"/>
          <w:sz w:val="20"/>
          <w:szCs w:val="20"/>
          <w:u w:val="single" w:color="auto"/>
          <w:color w:val="0000FF"/>
        </w:rPr>
        <w:t>https://www.euronext.com/</w:t>
      </w:r>
      <w:r>
        <w:rPr>
          <w:rFonts w:ascii="Arial" w:cs="Arial" w:eastAsia="Arial" w:hAnsi="Arial"/>
          <w:sz w:val="20"/>
          <w:szCs w:val="20"/>
          <w:color w:val="auto"/>
        </w:rPr>
        <w:t>) and searching for “TechnipFMC” or “FTI”.</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To determine the market value of a Share in Australian Dollars (“</w:t>
      </w:r>
      <w:r>
        <w:rPr>
          <w:rFonts w:ascii="Arial" w:cs="Arial" w:eastAsia="Arial" w:hAnsi="Arial"/>
          <w:sz w:val="20"/>
          <w:szCs w:val="20"/>
          <w:u w:val="single" w:color="auto"/>
          <w:color w:val="auto"/>
        </w:rPr>
        <w:t>AUD</w:t>
      </w:r>
      <w:r>
        <w:rPr>
          <w:rFonts w:ascii="Arial" w:cs="Arial" w:eastAsia="Arial" w:hAnsi="Arial"/>
          <w:sz w:val="20"/>
          <w:szCs w:val="20"/>
          <w:color w:val="auto"/>
        </w:rPr>
        <w:t xml:space="preserve">”), the Participant will need to apply the prevailing USD : AUD or EUR:AUD exchange rate (as relevant). For example, if the exchange rate is 1 USD : 1.5 AUD, and one Share has a value of USD $1 on the NYSE, its equivalent value will be AUD $1.50. Please contact your bank for the prevailing USD: AUD exchange rate or for an approximate exchange rate published by the Reserve Bank of Australia you can follow this link: </w:t>
      </w:r>
      <w:r>
        <w:rPr>
          <w:rFonts w:ascii="Arial" w:cs="Arial" w:eastAsia="Arial" w:hAnsi="Arial"/>
          <w:sz w:val="20"/>
          <w:szCs w:val="20"/>
          <w:u w:val="single" w:color="auto"/>
          <w:color w:val="0000FF"/>
        </w:rPr>
        <w:t>http://www.rba.gov.au/statistics/frequency/exchange-rates.html</w:t>
      </w:r>
      <w:r>
        <w:rPr>
          <w:rFonts w:ascii="Arial" w:cs="Arial" w:eastAsia="Arial" w:hAnsi="Arial"/>
          <w:sz w:val="20"/>
          <w:szCs w:val="20"/>
          <w:color w:val="000000"/>
        </w:rPr>
        <w:t>.</w:t>
      </w:r>
    </w:p>
    <w:p>
      <w:pPr>
        <w:spacing w:after="0" w:line="194" w:lineRule="exact"/>
        <w:rPr>
          <w:sz w:val="20"/>
          <w:szCs w:val="20"/>
          <w:color w:val="auto"/>
        </w:rPr>
      </w:pPr>
    </w:p>
    <w:p>
      <w:pPr>
        <w:jc w:val="both"/>
        <w:ind w:firstLine="656"/>
        <w:spacing w:after="0" w:line="250" w:lineRule="auto"/>
        <w:tabs>
          <w:tab w:leader="none" w:pos="1296"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Exchange Control Information</w:t>
      </w:r>
      <w:r>
        <w:rPr>
          <w:rFonts w:ascii="Arial" w:cs="Arial" w:eastAsia="Arial" w:hAnsi="Arial"/>
          <w:sz w:val="20"/>
          <w:szCs w:val="20"/>
          <w:u w:val="single" w:color="auto"/>
          <w:color w:val="auto"/>
        </w:rPr>
        <w:t>.</w:t>
      </w:r>
      <w:r>
        <w:rPr>
          <w:rFonts w:ascii="Arial" w:cs="Arial" w:eastAsia="Arial" w:hAnsi="Arial"/>
          <w:sz w:val="20"/>
          <w:szCs w:val="20"/>
          <w:color w:val="auto"/>
        </w:rPr>
        <w:t xml:space="preserve"> Exchange control reporting is required for cash transactions exceeding A$10,000 and international fund transfers coming into or going out of Australia. The Australian bank assisting with the transaction will file the report. If there is no Australian bank involved in the transfer, the Participant will be required to file the report.</w:t>
      </w:r>
    </w:p>
    <w:p>
      <w:pPr>
        <w:spacing w:after="0" w:line="180" w:lineRule="exact"/>
        <w:rPr>
          <w:sz w:val="20"/>
          <w:szCs w:val="20"/>
          <w:color w:val="auto"/>
        </w:rPr>
      </w:pPr>
    </w:p>
    <w:p>
      <w:pPr>
        <w:ind w:left="5560" w:hanging="639"/>
        <w:spacing w:after="0"/>
        <w:tabs>
          <w:tab w:leader="none" w:pos="55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BRAZIL</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Brazil</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Brazil for tax, labour or securities law purposes.</w:t>
      </w:r>
    </w:p>
    <w:p>
      <w:pPr>
        <w:spacing w:after="0" w:line="124" w:lineRule="exact"/>
        <w:rPr>
          <w:sz w:val="20"/>
          <w:szCs w:val="20"/>
          <w:color w:val="auto"/>
        </w:rPr>
      </w:pPr>
    </w:p>
    <w:p>
      <w:pPr>
        <w:jc w:val="both"/>
        <w:ind w:firstLine="656"/>
        <w:spacing w:after="0" w:line="243"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Acknowledgment of Nature of Plan and PSUs</w:t>
      </w:r>
      <w:r>
        <w:rPr>
          <w:rFonts w:ascii="Arial" w:cs="Arial" w:eastAsia="Arial" w:hAnsi="Arial"/>
          <w:sz w:val="20"/>
          <w:szCs w:val="20"/>
          <w:color w:val="auto"/>
        </w:rPr>
        <w:t>. In accepting this Agreement, Participant acknowledges that in the event of termination of Participant’s employment (whether or not in breach of local labor laws), Participant’s rights to unvested PSUs under the Plan, if any, will terminate effective as of the date that Participant is no longer actively employed and will not be extended by any notice period mandated under applicable local laws (e.g., active employment would not include a period of “garden leave” or notice period). The Administrator shall have the exclusive discretion to determine when Participant is no longer actively employed for purposes of Participant’s PSUs.</w:t>
      </w:r>
    </w:p>
    <w:p>
      <w:pPr>
        <w:spacing w:after="0" w:line="19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is a resident or domiciled in Brazil, Participant will be required to submit an annual declaration of assets and rights held outside of Brazil to the Central Bank of Brazil if the aggregate value of such assets and rights is equal to or greater than the applicable statutory threshold from time to time. Please note that the threshold may be changed annually.</w:t>
      </w:r>
    </w:p>
    <w:p>
      <w:pPr>
        <w:spacing w:after="0" w:line="151"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Acknowledgment of Forfeiture and Claw-Back Provisions</w:t>
      </w:r>
      <w:r>
        <w:rPr>
          <w:rFonts w:ascii="Arial" w:cs="Arial" w:eastAsia="Arial" w:hAnsi="Arial"/>
          <w:sz w:val="20"/>
          <w:szCs w:val="20"/>
          <w:color w:val="auto"/>
        </w:rPr>
        <w:t>. In accepting this Agreement, Participant acknowledges being subject to the provisions of any forfeiture and claw-back policy implemented by the Company, including, without limitation, any claw-back policy adopted to comply with the requirements of Applicable Law.</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Securities Restrictions</w:t>
      </w:r>
      <w:r>
        <w:rPr>
          <w:rFonts w:ascii="Arial" w:cs="Arial" w:eastAsia="Arial" w:hAnsi="Arial"/>
          <w:sz w:val="18"/>
          <w:szCs w:val="18"/>
          <w:color w:val="auto"/>
        </w:rPr>
        <w:t>. Awards granted under the Plan do not constitute a public offer of the Shares. The Plan and this Agreement are only addressed to the Participant and other selected Employees and have not been offered or solicited by means of any public communication services. The Shares deliverable upon settlement of the PSUs under the Plan are not negotiable in Brazil.</w:t>
      </w:r>
    </w:p>
    <w:p>
      <w:pPr>
        <w:spacing w:after="0" w:line="145" w:lineRule="exact"/>
        <w:rPr>
          <w:rFonts w:ascii="Arial" w:cs="Arial" w:eastAsia="Arial" w:hAnsi="Arial"/>
          <w:sz w:val="18"/>
          <w:szCs w:val="18"/>
          <w:color w:val="auto"/>
        </w:rPr>
      </w:pPr>
    </w:p>
    <w:p>
      <w:pPr>
        <w:ind w:left="5520" w:hanging="649"/>
        <w:spacing w:after="0"/>
        <w:tabs>
          <w:tab w:leader="none" w:pos="5520" w:val="left"/>
        </w:tabs>
        <w:numPr>
          <w:ilvl w:val="1"/>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CANADA</w:t>
      </w:r>
    </w:p>
    <w:p>
      <w:pPr>
        <w:spacing w:after="0" w:line="216" w:lineRule="exact"/>
        <w:rPr>
          <w:sz w:val="20"/>
          <w:szCs w:val="20"/>
          <w:color w:val="auto"/>
        </w:rPr>
      </w:pPr>
    </w:p>
    <w:p>
      <w:pPr>
        <w:ind w:right="20"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Canada</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Canada for tax, labour or securities law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2" w:name="page73"/>
    <w:bookmarkEnd w:id="72"/>
    <w:p>
      <w:pPr>
        <w:jc w:val="both"/>
        <w:ind w:firstLine="656"/>
        <w:spacing w:after="0" w:line="246" w:lineRule="auto"/>
        <w:tabs>
          <w:tab w:leader="none" w:pos="129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For the purposes of this Agreement, Participant will be deemed to have experienced a Termination of Service on the date when Participant is no longer providing active services to the Company and its Subsidiaries and affiliates. Such date shall not be extended by any notice of termination period or payment in lieu of notice required to be provided under applicable local law, including common law.</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Special Provisions for Participants in Canada</w:t>
      </w:r>
      <w:r>
        <w:rPr>
          <w:rFonts w:ascii="Arial" w:cs="Arial" w:eastAsia="Arial" w:hAnsi="Arial"/>
          <w:sz w:val="20"/>
          <w:szCs w:val="20"/>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w:t>
      </w:r>
      <w:r>
        <w:rPr>
          <w:rFonts w:ascii="Arial" w:cs="Arial" w:eastAsia="Arial" w:hAnsi="Arial"/>
          <w:sz w:val="21"/>
          <w:szCs w:val="21"/>
          <w:i w:val="1"/>
          <w:iCs w:val="1"/>
          <w:color w:val="auto"/>
        </w:rPr>
        <w:t>French Language Provision</w:t>
      </w:r>
      <w:r>
        <w:rPr>
          <w:rFonts w:ascii="Arial" w:cs="Arial" w:eastAsia="Arial" w:hAnsi="Arial"/>
          <w:sz w:val="21"/>
          <w:szCs w:val="21"/>
          <w:color w:val="auto"/>
        </w:rPr>
        <w:t>. The following provisions will apply if</w:t>
      </w:r>
      <w:r>
        <w:rPr>
          <w:rFonts w:ascii="Arial" w:cs="Arial" w:eastAsia="Arial" w:hAnsi="Arial"/>
          <w:sz w:val="20"/>
          <w:szCs w:val="20"/>
          <w:color w:val="auto"/>
        </w:rPr>
        <w:t xml:space="preserve"> Participant is </w:t>
      </w:r>
      <w:r>
        <w:rPr>
          <w:rFonts w:ascii="Arial" w:cs="Arial" w:eastAsia="Arial" w:hAnsi="Arial"/>
          <w:sz w:val="21"/>
          <w:szCs w:val="21"/>
          <w:color w:val="auto"/>
        </w:rPr>
        <w:t>a</w:t>
      </w:r>
      <w:r>
        <w:rPr>
          <w:rFonts w:ascii="Arial" w:cs="Arial" w:eastAsia="Arial" w:hAnsi="Arial"/>
          <w:sz w:val="20"/>
          <w:szCs w:val="20"/>
          <w:color w:val="auto"/>
        </w:rPr>
        <w:t xml:space="preserve"> resident </w:t>
      </w:r>
      <w:r>
        <w:rPr>
          <w:rFonts w:ascii="Arial" w:cs="Arial" w:eastAsia="Arial" w:hAnsi="Arial"/>
          <w:sz w:val="21"/>
          <w:szCs w:val="21"/>
          <w:color w:val="auto"/>
        </w:rPr>
        <w:t>of Quebec: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Les parties reconnaissent avoir exigé la rédaction en anglais de cette convention (“Agreement”), ainsi que de tous documents exécutés, avis donnés et procédures judiciaires intentées, directement ou indirectement, relativement a la présente convention.</w:t>
      </w:r>
    </w:p>
    <w:p>
      <w:pPr>
        <w:spacing w:after="0" w:line="177" w:lineRule="exact"/>
        <w:rPr>
          <w:sz w:val="20"/>
          <w:szCs w:val="20"/>
          <w:color w:val="auto"/>
        </w:rPr>
      </w:pPr>
    </w:p>
    <w:p>
      <w:pPr>
        <w:jc w:val="both"/>
        <w:ind w:firstLine="1137"/>
        <w:spacing w:after="0" w:line="293" w:lineRule="auto"/>
        <w:rPr>
          <w:sz w:val="20"/>
          <w:szCs w:val="20"/>
          <w:color w:val="auto"/>
        </w:rPr>
      </w:pPr>
      <w:r>
        <w:rPr>
          <w:rFonts w:ascii="Arial" w:cs="Arial" w:eastAsia="Arial" w:hAnsi="Arial"/>
          <w:sz w:val="18"/>
          <w:szCs w:val="18"/>
          <w:color w:val="auto"/>
        </w:rPr>
        <w:t>ii.</w:t>
      </w:r>
      <w:r>
        <w:rPr>
          <w:rFonts w:ascii="Arial" w:cs="Arial" w:eastAsia="Arial" w:hAnsi="Arial"/>
          <w:sz w:val="19"/>
          <w:szCs w:val="19"/>
          <w:color w:val="auto"/>
        </w:rPr>
        <w:t>The</w:t>
      </w:r>
      <w:r>
        <w:rPr>
          <w:rFonts w:ascii="Arial" w:cs="Arial" w:eastAsia="Arial" w:hAnsi="Arial"/>
          <w:sz w:val="18"/>
          <w:szCs w:val="18"/>
          <w:color w:val="auto"/>
        </w:rPr>
        <w:t xml:space="preserve"> Company reserves the right to impose other requirements on this PSU and the Shares acquired upon vesting of this PSU,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50" w:lineRule="exact"/>
        <w:rPr>
          <w:sz w:val="20"/>
          <w:szCs w:val="20"/>
          <w:color w:val="auto"/>
        </w:rPr>
      </w:pPr>
    </w:p>
    <w:p>
      <w:pPr>
        <w:jc w:val="both"/>
        <w:ind w:firstLine="656"/>
        <w:spacing w:after="0" w:line="250"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Detrimental Activity. For the purposes of this Agreement, the definition of “Detrimental Activity” in paragraph 23 shall </w:t>
      </w:r>
      <w:r>
        <w:rPr>
          <w:rFonts w:ascii="Arial" w:cs="Arial" w:eastAsia="Arial" w:hAnsi="Arial"/>
          <w:sz w:val="20"/>
          <w:szCs w:val="20"/>
          <w:u w:val="single" w:color="auto"/>
          <w:color w:val="auto"/>
        </w:rPr>
        <w:t>be</w:t>
      </w:r>
      <w:r>
        <w:rPr>
          <w:rFonts w:ascii="Arial" w:cs="Arial" w:eastAsia="Arial" w:hAnsi="Arial"/>
          <w:sz w:val="20"/>
          <w:szCs w:val="20"/>
          <w:color w:val="auto"/>
        </w:rPr>
        <w:t xml:space="preserve"> expanded to include any act or omission constituting cause for termination of the Participant’s employment or relationship with the Company or its Subsidiaries without notice or other obligation under Applicable Law.</w:t>
      </w:r>
    </w:p>
    <w:p>
      <w:pPr>
        <w:spacing w:after="0" w:line="185"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Canadian Securities Law Compliance. Participant acknowledges that he/she shall only be</w:t>
      </w:r>
      <w:r>
        <w:rPr>
          <w:rFonts w:ascii="Arial" w:cs="Arial" w:eastAsia="Arial" w:hAnsi="Arial"/>
          <w:sz w:val="20"/>
          <w:szCs w:val="20"/>
          <w:color w:val="auto"/>
        </w:rPr>
        <w:t xml:space="preserve"> permitted to sell any Shares acquired pursuant to the Plan through the facilities of the stock exchange(s) on which the shares are listed at that time.</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Pursuant to Section 20 of the Agreement, Participant hereby consents to the collection, use and disclosure of his/her Data by the Employer and the Company (and each of their service providers) for the Purposes. Canadian Participants’ Data will be kept at St. John’s, Newfoundland and Calgary, Alberta and accessible to limited People and Culture employees. The persons designated to be responsible for ensuring that the Employer and/or the Company, as applicable, complies with applicable privacy and data protection laws in Canada are the Senior Human Resources Manager for TechnipFMC Canada Ltd. and the Manager, Human Resources &amp; Administration for TechnipFMC Canada Ltd. who can be respectively reached at the following contact details: + 1 403 781 3267 and +1 709 724 1858. Canadian Participants may contact them to request access to their Data and/or to rectify any such Data, subject to certain required or permitted exceptions under Applicable Law. Participants may also contact them with any questions or complaints, including any questions about the collection, use, disclosure or storage of personal information by the Employer’s service providers and affiliates outside Canada (including the Company) or to obtain written information about the Employer’s policies and practices with respect to such service providers and affiliates outside Canada.</w:t>
      </w:r>
    </w:p>
    <w:p>
      <w:pPr>
        <w:spacing w:after="0" w:line="181" w:lineRule="exact"/>
        <w:rPr>
          <w:sz w:val="20"/>
          <w:szCs w:val="20"/>
          <w:color w:val="auto"/>
        </w:rPr>
      </w:pPr>
    </w:p>
    <w:p>
      <w:pPr>
        <w:ind w:left="3660"/>
        <w:spacing w:after="0"/>
        <w:tabs>
          <w:tab w:leader="none" w:pos="504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b w:val="1"/>
          <w:bCs w:val="1"/>
          <w:u w:val="single" w:color="auto"/>
          <w:color w:val="auto"/>
        </w:rPr>
        <w:t>COLOMBIA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3" w:name="page74"/>
    <w:bookmarkEnd w:id="73"/>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Columbia</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Columbia for tax, labour or securities law purposes.</w:t>
      </w:r>
    </w:p>
    <w:p>
      <w:pPr>
        <w:spacing w:after="0" w:line="183" w:lineRule="exact"/>
        <w:rPr>
          <w:sz w:val="20"/>
          <w:szCs w:val="20"/>
          <w:color w:val="auto"/>
        </w:rPr>
      </w:pPr>
    </w:p>
    <w:p>
      <w:pPr>
        <w:jc w:val="both"/>
        <w:ind w:firstLine="656"/>
        <w:spacing w:after="0" w:line="246" w:lineRule="auto"/>
        <w:tabs>
          <w:tab w:leader="none" w:pos="129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In accepting the PSUs, Participant acknowledges that the Participant’s rights to vest the PSUs under the Plan, if any, have not and will not be offered, sold or distributed in Colombia or to Colombian residents except in circumstances which do not constitute a public offer of securities in Colombia within the meaning of article 6.1.1.1.1 of Decree 2555 of 2010, as amended from time to time.</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Participant acknowledges that the PSUs will not be registered nor will a prospectus be filed before the Colombian National Registry of Securities and Issuers (Registro Nacional de Valores y Emisores) or on any Colombian stock exchange, as this offer is considered a private placement and is directed to less than 100 Participants.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Agreement is for the sole and exclusive use of the Participant and cannot be understood as addressed for the use of any third party or addressed to the public at large in Colombia. The Participant acknowledges the Colombian laws and regulations (specifically foreign exchange and tax regulations) applicable to any transaction or investment consummated in connection with this Agreement.</w:t>
      </w:r>
    </w:p>
    <w:p>
      <w:pPr>
        <w:spacing w:after="0" w:line="152" w:lineRule="exact"/>
        <w:rPr>
          <w:sz w:val="20"/>
          <w:szCs w:val="20"/>
          <w:color w:val="auto"/>
        </w:rPr>
      </w:pPr>
    </w:p>
    <w:p>
      <w:pPr>
        <w:jc w:val="both"/>
        <w:ind w:firstLine="656"/>
        <w:spacing w:after="0" w:line="278"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PSUs not Part of Salary</w:t>
      </w:r>
      <w:r>
        <w:rPr>
          <w:rFonts w:ascii="Arial" w:cs="Arial" w:eastAsia="Arial" w:hAnsi="Arial"/>
          <w:sz w:val="18"/>
          <w:szCs w:val="18"/>
          <w:color w:val="auto"/>
        </w:rPr>
        <w:t>. Participant acknowledges and agrees that the PSUs are an extralegal benefit that the Company may provide, so long as the Employee is eligible to such extralegal benefit, and do not constitute salary. The PSUs, if vested, are not and will not be a part of the Participant’s salary and consequently will not be taken into account when calculating vacation entitlements, fringe benefits, indemnities, social security contributions, payroll taxes or any other labor obligations. The Participant reiterates his agreement on the non-salary nature of the PSUs based on the prerogative granted by Article 15 Law 50, 1990.</w:t>
      </w:r>
    </w:p>
    <w:p>
      <w:pPr>
        <w:spacing w:after="0" w:line="158" w:lineRule="exact"/>
        <w:rPr>
          <w:rFonts w:ascii="Arial" w:cs="Arial" w:eastAsia="Arial" w:hAnsi="Arial"/>
          <w:sz w:val="18"/>
          <w:szCs w:val="18"/>
          <w:color w:val="auto"/>
        </w:rPr>
      </w:pPr>
    </w:p>
    <w:p>
      <w:pPr>
        <w:ind w:left="5540" w:hanging="648"/>
        <w:spacing w:after="0"/>
        <w:tabs>
          <w:tab w:leader="none" w:pos="5540" w:val="left"/>
        </w:tabs>
        <w:numPr>
          <w:ilvl w:val="1"/>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FRANCE</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France</w:t>
      </w:r>
      <w:r>
        <w:rPr>
          <w:rFonts w:ascii="Arial" w:cs="Arial" w:eastAsia="Arial" w:hAnsi="Arial"/>
          <w:sz w:val="18"/>
          <w:szCs w:val="18"/>
          <w:color w:val="auto"/>
        </w:rPr>
        <w:t xml:space="preserve"> provide additional definitions and conditions for the purpose of granting performance stock units (the “P</w:t>
      </w:r>
      <w:r>
        <w:rPr>
          <w:rFonts w:ascii="Arial" w:cs="Arial" w:eastAsia="Arial" w:hAnsi="Arial"/>
          <w:sz w:val="18"/>
          <w:szCs w:val="18"/>
          <w:u w:val="single" w:color="auto"/>
          <w:color w:val="auto"/>
        </w:rPr>
        <w:t>SUs</w:t>
      </w:r>
      <w:r>
        <w:rPr>
          <w:rFonts w:ascii="Arial" w:cs="Arial" w:eastAsia="Arial" w:hAnsi="Arial"/>
          <w:sz w:val="18"/>
          <w:szCs w:val="18"/>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de Commerce</w:t>
      </w:r>
      <w:r>
        <w:rPr>
          <w:rFonts w:ascii="Arial" w:cs="Arial" w:eastAsia="Arial" w:hAnsi="Arial"/>
          <w:sz w:val="18"/>
          <w:szCs w:val="18"/>
          <w:color w:val="auto"/>
        </w:rPr>
        <w:t>), for qualifying Employees and corporate officers (</w:t>
      </w:r>
      <w:r>
        <w:rPr>
          <w:rFonts w:ascii="Arial" w:cs="Arial" w:eastAsia="Arial" w:hAnsi="Arial"/>
          <w:sz w:val="18"/>
          <w:szCs w:val="18"/>
          <w:i w:val="1"/>
          <w:iCs w:val="1"/>
          <w:color w:val="auto"/>
        </w:rPr>
        <w:t>mandataires sociaux</w:t>
      </w:r>
      <w:r>
        <w:rPr>
          <w:rFonts w:ascii="Arial" w:cs="Arial" w:eastAsia="Arial" w:hAnsi="Arial"/>
          <w:sz w:val="18"/>
          <w:szCs w:val="18"/>
          <w:color w:val="auto"/>
        </w:rPr>
        <w:t>) who are resident in France for French tax purposes.</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other provisions of the Plan and the Sub-Plan, PSUs granted under this Country Schedule France to Participants resident in France are subject to the additional following conditions:</w:t>
      </w:r>
    </w:p>
    <w:p>
      <w:pPr>
        <w:spacing w:after="0" w:line="177" w:lineRule="exact"/>
        <w:rPr>
          <w:sz w:val="20"/>
          <w:szCs w:val="20"/>
          <w:color w:val="auto"/>
        </w:rPr>
      </w:pPr>
    </w:p>
    <w:p>
      <w:pPr>
        <w:jc w:val="both"/>
        <w:ind w:firstLine="656"/>
        <w:spacing w:after="0" w:line="244" w:lineRule="auto"/>
        <w:tabs>
          <w:tab w:leader="none" w:pos="129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 In the event of Participant’s death prior to the Vesting Date, all of the PSUs will vest immediately and the underlying Shares shall be issued to his or her heirs, at their request made within 6 months following the Participant’s date of death. In the event of the Participant’s Disability (as defined below) prior to the Vesting Date, all of the PSUs will vest and be immediately transferable as of the date of such Disability. In the event of Participant’s Retirement (as defined below) prior to the Vesting Date, the Participant will retain the right to receive vested PSUs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3" w:right="339" w:bottom="1440" w:gutter="0" w:footer="0" w:header="0"/>
        </w:sectPr>
      </w:pPr>
    </w:p>
    <w:bookmarkStart w:id="74" w:name="page75"/>
    <w:bookmarkEnd w:id="74"/>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Prior to the Vesting Date, the Participant will not be entitled to receive Dividend Equivalents on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PSUs.</w:t>
      </w:r>
    </w:p>
    <w:p>
      <w:pPr>
        <w:spacing w:after="0" w:line="200" w:lineRule="exact"/>
        <w:rPr>
          <w:sz w:val="20"/>
          <w:szCs w:val="20"/>
          <w:color w:val="auto"/>
        </w:rPr>
      </w:pPr>
    </w:p>
    <w:p>
      <w:pPr>
        <w:jc w:val="both"/>
        <w:ind w:firstLine="656"/>
        <w:spacing w:after="0" w:line="246" w:lineRule="auto"/>
        <w:tabs>
          <w:tab w:leader="none" w:pos="12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PSUs or underlying Shares may be made only in accordance with the Plan and the Agreement, in which cases the PSUs may no longer qualify for specific French personal income tax and social security treatment.</w:t>
      </w:r>
    </w:p>
    <w:p>
      <w:pPr>
        <w:spacing w:after="0" w:line="191" w:lineRule="exact"/>
        <w:rPr>
          <w:rFonts w:ascii="Arial" w:cs="Arial" w:eastAsia="Arial" w:hAnsi="Arial"/>
          <w:sz w:val="20"/>
          <w:szCs w:val="20"/>
          <w:color w:val="auto"/>
        </w:rPr>
      </w:pPr>
    </w:p>
    <w:p>
      <w:pPr>
        <w:ind w:firstLine="656"/>
        <w:spacing w:after="0" w:line="260" w:lineRule="auto"/>
        <w:tabs>
          <w:tab w:leader="none" w:pos="12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In addition to the rights mentioned in Section 17 of the Agreement, Participant also has a right to issue directives for the purposes of deciding what should happen to his or her Data after his or her death.</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Disability</w:t>
      </w:r>
      <w:r>
        <w:rPr>
          <w:rFonts w:ascii="Arial" w:cs="Arial" w:eastAsia="Arial" w:hAnsi="Arial"/>
          <w:sz w:val="18"/>
          <w:szCs w:val="18"/>
          <w:color w:val="auto"/>
        </w:rPr>
        <w:t>” means: Participant’s inability corresponding to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or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category among the categories set forth in Article L.</w:t>
      </w:r>
    </w:p>
    <w:p>
      <w:pPr>
        <w:spacing w:after="0"/>
        <w:rPr>
          <w:sz w:val="20"/>
          <w:szCs w:val="20"/>
          <w:color w:val="auto"/>
        </w:rPr>
      </w:pPr>
      <w:r>
        <w:rPr>
          <w:rFonts w:ascii="Arial" w:cs="Arial" w:eastAsia="Arial" w:hAnsi="Arial"/>
          <w:sz w:val="20"/>
          <w:szCs w:val="20"/>
          <w:color w:val="auto"/>
        </w:rPr>
        <w:t>341-4 of the French Social Security Code.</w:t>
      </w:r>
    </w:p>
    <w:p>
      <w:pPr>
        <w:spacing w:after="0" w:line="200" w:lineRule="exact"/>
        <w:rPr>
          <w:sz w:val="20"/>
          <w:szCs w:val="20"/>
          <w:color w:val="auto"/>
        </w:rPr>
      </w:pPr>
    </w:p>
    <w:p>
      <w:pPr>
        <w:jc w:val="both"/>
        <w:ind w:firstLine="1137"/>
        <w:spacing w:after="0" w:line="246"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Good Reason</w:t>
      </w:r>
      <w:r>
        <w:rPr>
          <w:rFonts w:ascii="Arial" w:cs="Arial" w:eastAsia="Arial" w:hAnsi="Arial"/>
          <w:sz w:val="20"/>
          <w:szCs w:val="20"/>
          <w:color w:val="auto"/>
        </w:rPr>
        <w:t>” means, for an Employee, termination for alleged economic reasons for dismissal as defined by 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191" w:lineRule="exact"/>
        <w:rPr>
          <w:sz w:val="20"/>
          <w:szCs w:val="20"/>
          <w:color w:val="auto"/>
        </w:rPr>
      </w:pPr>
    </w:p>
    <w:p>
      <w:pPr>
        <w:jc w:val="both"/>
        <w:ind w:firstLine="1082"/>
        <w:spacing w:after="0" w:line="260"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retraite à taux plein</w:t>
      </w:r>
      <w:r>
        <w:rPr>
          <w:rFonts w:ascii="Arial" w:cs="Arial" w:eastAsia="Arial" w:hAnsi="Arial"/>
          <w:sz w:val="20"/>
          <w:szCs w:val="20"/>
          <w:color w:val="auto"/>
        </w:rPr>
        <w:t>).</w:t>
      </w:r>
    </w:p>
    <w:p>
      <w:pPr>
        <w:spacing w:after="0" w:line="17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Confidentiality and Non-Compete Agreement – Exhibit B</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avoidance of doubt, the specific provisions in paragraphs (a) through (c) below to the Confidentiality and Non-Compete supersede the Confidentiality and Non-Compete and its French translation in Exhibit B.1.</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B.1.</w:t>
      </w:r>
    </w:p>
    <w:p>
      <w:pPr>
        <w:spacing w:after="0" w:line="177" w:lineRule="exact"/>
        <w:rPr>
          <w:sz w:val="20"/>
          <w:szCs w:val="20"/>
          <w:color w:val="auto"/>
        </w:rPr>
      </w:pPr>
    </w:p>
    <w:p>
      <w:pPr>
        <w:ind w:firstLine="1284"/>
        <w:spacing w:after="0" w:line="260" w:lineRule="auto"/>
        <w:tabs>
          <w:tab w:leader="none" w:pos="1759"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covenant contained in Clause 1 of the Confidentiality and Non-Compete Agreement applies during employment and for only a period of ten years following termination of employment.</w:t>
      </w:r>
    </w:p>
    <w:p>
      <w:pPr>
        <w:spacing w:after="0" w:line="177" w:lineRule="exact"/>
        <w:rPr>
          <w:sz w:val="20"/>
          <w:szCs w:val="20"/>
          <w:color w:val="auto"/>
        </w:rPr>
      </w:pPr>
    </w:p>
    <w:p>
      <w:pPr>
        <w:ind w:firstLine="1914"/>
        <w:spacing w:after="0" w:line="316" w:lineRule="auto"/>
        <w:rPr>
          <w:sz w:val="20"/>
          <w:szCs w:val="20"/>
          <w:color w:val="auto"/>
        </w:rPr>
      </w:pPr>
      <w:r>
        <w:rPr>
          <w:rFonts w:ascii="Arial" w:cs="Arial" w:eastAsia="Arial" w:hAnsi="Arial"/>
          <w:sz w:val="18"/>
          <w:szCs w:val="18"/>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pacing w:after="0" w:line="130" w:lineRule="exact"/>
        <w:rPr>
          <w:sz w:val="20"/>
          <w:szCs w:val="20"/>
          <w:color w:val="auto"/>
        </w:rPr>
      </w:pPr>
    </w:p>
    <w:p>
      <w:pPr>
        <w:ind w:left="1780" w:hanging="496"/>
        <w:spacing w:after="0"/>
        <w:tabs>
          <w:tab w:leader="none" w:pos="1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Restricted Area as defined in Clause 2(a)(iii) of the Confidentiality and Non-Compete Agreement shall instead be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defined as: France, the United Kingdom of Great Britain and Northern Ireland, Norway and the State of Texas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5" w:name="page76"/>
    <w:bookmarkEnd w:id="75"/>
    <w:p>
      <w:pPr>
        <w:jc w:val="both"/>
        <w:ind w:firstLine="1914"/>
        <w:spacing w:after="0" w:line="250" w:lineRule="auto"/>
        <w:rPr>
          <w:sz w:val="20"/>
          <w:szCs w:val="20"/>
          <w:color w:val="auto"/>
        </w:rPr>
      </w:pPr>
      <w:r>
        <w:rPr>
          <w:rFonts w:ascii="Arial" w:cs="Arial" w:eastAsia="Arial" w:hAnsi="Arial"/>
          <w:sz w:val="20"/>
          <w:szCs w:val="20"/>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86" w:lineRule="exact"/>
        <w:rPr>
          <w:sz w:val="20"/>
          <w:szCs w:val="20"/>
          <w:color w:val="auto"/>
        </w:rPr>
      </w:pPr>
    </w:p>
    <w:p>
      <w:pPr>
        <w:jc w:val="both"/>
        <w:ind w:firstLine="1284"/>
        <w:spacing w:after="0" w:line="263" w:lineRule="auto"/>
        <w:tabs>
          <w:tab w:leader="none" w:pos="1868"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Employer has the unilateral and discretionary right to waive the covenant(s) contained in Clauses 2(a)(i), (ii) and/or (iii) 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76" w:lineRule="exact"/>
        <w:rPr>
          <w:sz w:val="20"/>
          <w:szCs w:val="20"/>
          <w:color w:val="auto"/>
        </w:rPr>
      </w:pPr>
    </w:p>
    <w:p>
      <w:pPr>
        <w:jc w:val="both"/>
        <w:ind w:firstLine="1914"/>
        <w:spacing w:after="0" w:line="244" w:lineRule="auto"/>
        <w:rPr>
          <w:sz w:val="20"/>
          <w:szCs w:val="20"/>
          <w:color w:val="auto"/>
        </w:rPr>
      </w:pPr>
      <w:r>
        <w:rPr>
          <w:rFonts w:ascii="Arial" w:cs="Arial" w:eastAsia="Arial" w:hAnsi="Arial"/>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194" w:lineRule="exact"/>
        <w:rPr>
          <w:sz w:val="20"/>
          <w:szCs w:val="20"/>
          <w:color w:val="auto"/>
        </w:rPr>
      </w:pPr>
    </w:p>
    <w:p>
      <w:pPr>
        <w:jc w:val="both"/>
        <w:ind w:right="20" w:firstLine="1276"/>
        <w:spacing w:after="0" w:line="260" w:lineRule="auto"/>
        <w:rPr>
          <w:sz w:val="20"/>
          <w:szCs w:val="20"/>
          <w:color w:val="auto"/>
        </w:rPr>
      </w:pPr>
      <w:r>
        <w:rPr>
          <w:rFonts w:ascii="Arial" w:cs="Arial" w:eastAsia="Arial" w:hAnsi="Arial"/>
          <w:sz w:val="20"/>
          <w:szCs w:val="20"/>
          <w:color w:val="auto"/>
        </w:rPr>
        <w:t>A French translation of Exhibit B is enclosed below (“Exhibit B.1”). In case of discrepancy between the English version and the French translation, the French translation shall prevail.</w:t>
      </w:r>
    </w:p>
    <w:p>
      <w:pPr>
        <w:spacing w:after="0" w:line="177" w:lineRule="exact"/>
        <w:rPr>
          <w:sz w:val="20"/>
          <w:szCs w:val="20"/>
          <w:color w:val="auto"/>
        </w:rPr>
      </w:pPr>
    </w:p>
    <w:p>
      <w:pPr>
        <w:jc w:val="both"/>
        <w:ind w:firstLine="1276"/>
        <w:spacing w:after="0" w:line="260" w:lineRule="auto"/>
        <w:rPr>
          <w:sz w:val="20"/>
          <w:szCs w:val="20"/>
          <w:color w:val="auto"/>
        </w:rPr>
      </w:pPr>
      <w:r>
        <w:rPr>
          <w:rFonts w:ascii="Arial" w:cs="Arial" w:eastAsia="Arial" w:hAnsi="Arial"/>
          <w:sz w:val="20"/>
          <w:szCs w:val="20"/>
          <w:i w:val="1"/>
          <w:iCs w:val="1"/>
          <w:color w:val="auto"/>
        </w:rPr>
        <w:t>Une traduction française de l’Exhibit B figure ci-après (l’« Exhibit B.1 »). En cas de divergence entre la version anglaise et la traduction française, la traduction française prévaudra.</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20"/>
          <w:szCs w:val="20"/>
          <w:u w:val="single" w:color="auto"/>
          <w:color w:val="auto"/>
        </w:rPr>
        <w:t>French translation of the Confidentiality and Non-Compete – Exhibit B.1</w:t>
      </w:r>
      <w:r>
        <w:rPr>
          <w:rFonts w:ascii="Arial" w:cs="Arial" w:eastAsia="Arial" w:hAnsi="Arial"/>
          <w:sz w:val="20"/>
          <w:szCs w:val="20"/>
          <w:color w:val="auto"/>
        </w:rPr>
        <w:t>.</w:t>
      </w:r>
    </w:p>
    <w:p>
      <w:pPr>
        <w:spacing w:after="0" w:line="216" w:lineRule="exact"/>
        <w:rPr>
          <w:sz w:val="20"/>
          <w:szCs w:val="20"/>
          <w:color w:val="auto"/>
        </w:rPr>
      </w:pPr>
    </w:p>
    <w:p>
      <w:pPr>
        <w:ind w:left="1280"/>
        <w:spacing w:after="0"/>
        <w:rPr>
          <w:sz w:val="20"/>
          <w:szCs w:val="20"/>
          <w:color w:val="auto"/>
        </w:rPr>
      </w:pPr>
      <w:r>
        <w:rPr>
          <w:rFonts w:ascii="Arial" w:cs="Arial" w:eastAsia="Arial" w:hAnsi="Arial"/>
          <w:sz w:val="20"/>
          <w:szCs w:val="20"/>
          <w:i w:val="1"/>
          <w:iCs w:val="1"/>
          <w:u w:val="single" w:color="auto"/>
          <w:color w:val="auto"/>
        </w:rPr>
        <w:t>Traduction française de la Clause de Confidentialité et de Non-Concurrence – Exhibit B.1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CONFIDENTIALITE ET NON-CONCURRENCE</w:t>
      </w:r>
    </w:p>
    <w:p>
      <w:pPr>
        <w:spacing w:after="0" w:line="202" w:lineRule="exact"/>
        <w:rPr>
          <w:sz w:val="20"/>
          <w:szCs w:val="20"/>
          <w:color w:val="auto"/>
        </w:rPr>
      </w:pPr>
    </w:p>
    <w:p>
      <w:pPr>
        <w:ind w:firstLine="656"/>
        <w:spacing w:after="0" w:line="316" w:lineRule="auto"/>
        <w:tabs>
          <w:tab w:leader="none" w:pos="1296"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Confidentialité</w:t>
      </w:r>
      <w:r>
        <w:rPr>
          <w:rFonts w:ascii="Arial" w:cs="Arial" w:eastAsia="Arial" w:hAnsi="Arial"/>
          <w:sz w:val="18"/>
          <w:szCs w:val="18"/>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13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de divulguer ou de communiquer à toute personne</w:t>
      </w:r>
      <w:r>
        <w:rPr>
          <w:rFonts w:ascii="Arial" w:cs="Arial" w:eastAsia="Arial" w:hAnsi="Arial"/>
          <w:sz w:val="20"/>
          <w:szCs w:val="20"/>
          <w:color w:val="auto"/>
        </w:rPr>
        <w:t xml:space="preserve"> ;</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i w:val="1"/>
          <w:iCs w:val="1"/>
          <w:color w:val="auto"/>
        </w:rPr>
        <w:t>d’utiliser à des fins personnelles ou à des fins étrangères à celles de l’Employeur ou, le cas échéant, celles d’un de ses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clients ; ou</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iii.</w:t>
      </w:r>
      <w:r>
        <w:rPr>
          <w:rFonts w:ascii="Arial" w:cs="Arial" w:eastAsia="Arial" w:hAnsi="Arial"/>
          <w:sz w:val="20"/>
          <w:szCs w:val="20"/>
          <w:i w:val="1"/>
          <w:iCs w:val="1"/>
          <w:color w:val="auto"/>
        </w:rPr>
        <w:t>de causer, par négligence, la divulgation non autorisée de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tout secret d’affaires, information confidentielle ou exclusive de la Société, de l'une de ses filiales directes ou indirectes (ci-après une</w:t>
      </w:r>
    </w:p>
    <w:p>
      <w:pPr>
        <w:spacing w:after="0" w:line="39" w:lineRule="exact"/>
        <w:rPr>
          <w:sz w:val="20"/>
          <w:szCs w:val="20"/>
          <w:color w:val="auto"/>
        </w:rPr>
      </w:pPr>
    </w:p>
    <w:p>
      <w:pPr>
        <w:jc w:val="both"/>
        <w:ind w:firstLine="8"/>
        <w:spacing w:after="0" w:line="241" w:lineRule="auto"/>
        <w:tabs>
          <w:tab w:leader="none" w:pos="148" w:val="left"/>
        </w:tabs>
        <w:numPr>
          <w:ilvl w:val="0"/>
          <w:numId w:val="70"/>
        </w:numPr>
        <w:rPr>
          <w:rFonts w:ascii="Arial" w:cs="Arial" w:eastAsia="Arial" w:hAnsi="Arial"/>
          <w:sz w:val="20"/>
          <w:szCs w:val="20"/>
          <w:i w:val="1"/>
          <w:iCs w:val="1"/>
          <w:color w:val="auto"/>
        </w:rPr>
      </w:pPr>
      <w:r>
        <w:rPr>
          <w:rFonts w:ascii="Arial" w:cs="Arial" w:eastAsia="Arial" w:hAnsi="Arial"/>
          <w:sz w:val="20"/>
          <w:szCs w:val="20"/>
          <w:b w:val="1"/>
          <w:bCs w:val="1"/>
          <w:i w:val="1"/>
          <w:iCs w:val="1"/>
          <w:color w:val="auto"/>
        </w:rPr>
        <w:t xml:space="preserve">Filiale </w:t>
      </w:r>
      <w:r>
        <w:rPr>
          <w:rFonts w:ascii="Arial" w:cs="Arial" w:eastAsia="Arial" w:hAnsi="Arial"/>
          <w:sz w:val="20"/>
          <w:szCs w:val="20"/>
          <w:i w:val="1"/>
          <w:iCs w:val="1"/>
          <w:color w:val="auto"/>
        </w:rPr>
        <w:t>») ou de l’un de ses clients («</w:t>
      </w:r>
      <w:r>
        <w:rPr>
          <w:rFonts w:ascii="Arial" w:cs="Arial" w:eastAsia="Arial" w:hAnsi="Arial"/>
          <w:sz w:val="20"/>
          <w:szCs w:val="20"/>
          <w:b w:val="1"/>
          <w:bCs w:val="1"/>
          <w:i w:val="1"/>
          <w:iCs w:val="1"/>
          <w:color w:val="auto"/>
        </w:rPr>
        <w:t xml:space="preserve"> Information Confidentielle </w:t>
      </w:r>
      <w:r>
        <w:rPr>
          <w:rFonts w:ascii="Arial" w:cs="Arial" w:eastAsia="Arial" w:hAnsi="Arial"/>
          <w:sz w:val="20"/>
          <w:szCs w:val="20"/>
          <w:i w:val="1"/>
          <w:iCs w:val="1"/>
          <w:color w:val="auto"/>
        </w:rPr>
        <w:t>»). Ne sont pas considérées comme des Informations Confidentielles, les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informations qui (i) sont ou deviennent généralement accessibles au public autrement qu’en raison, en tout ou en partie, de la divulgation ou d'un acte fautif du Participant ; (ii) étaient accessibles au Participant sous une forme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6" w:name="page77"/>
    <w:bookmarkEnd w:id="76"/>
    <w:p>
      <w:pPr>
        <w:jc w:val="both"/>
        <w:spacing w:after="0" w:line="270" w:lineRule="auto"/>
        <w:rPr>
          <w:sz w:val="20"/>
          <w:szCs w:val="20"/>
          <w:color w:val="auto"/>
        </w:rPr>
      </w:pPr>
      <w:r>
        <w:rPr>
          <w:rFonts w:ascii="Arial" w:cs="Arial" w:eastAsia="Arial" w:hAnsi="Arial"/>
          <w:sz w:val="18"/>
          <w:szCs w:val="18"/>
          <w:i w:val="1"/>
          <w:iCs w:val="1"/>
          <w:color w:val="auto"/>
        </w:rPr>
        <w:t>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 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 personnel, d'un téléphone mobile, de disques durs externes, de lecteurs « 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Arial" w:cs="Arial" w:eastAsia="Arial" w:hAnsi="Arial"/>
          <w:sz w:val="18"/>
          <w:szCs w:val="18"/>
          <w:color w:val="auto"/>
        </w:rPr>
        <w:t>.</w:t>
      </w:r>
    </w:p>
    <w:p>
      <w:pPr>
        <w:spacing w:after="0" w:line="172" w:lineRule="exact"/>
        <w:rPr>
          <w:sz w:val="20"/>
          <w:szCs w:val="20"/>
          <w:color w:val="auto"/>
        </w:rPr>
      </w:pPr>
    </w:p>
    <w:p>
      <w:pPr>
        <w:jc w:val="both"/>
        <w:ind w:firstLine="656"/>
        <w:spacing w:after="0" w:line="259"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i w:val="1"/>
          <w:iCs w:val="1"/>
          <w:u w:val="single" w:color="auto"/>
          <w:color w:val="auto"/>
        </w:rPr>
        <w:t>Restrictions.</w:t>
      </w:r>
      <w:r>
        <w:rPr>
          <w:rFonts w:ascii="Arial" w:cs="Arial" w:eastAsia="Arial" w:hAnsi="Arial"/>
          <w:sz w:val="19"/>
          <w:szCs w:val="19"/>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 relations importantes, de la Société et de ses Filiales. A ce titre, la Société confiera au Participant son goodwill ainsi que des Informations Confidentielles. Par conséquent, sous réserve des modalités de l'article 3, le Participant s’engage à :</w:t>
      </w:r>
    </w:p>
    <w:p>
      <w:pPr>
        <w:spacing w:after="0" w:line="178" w:lineRule="exact"/>
        <w:rPr>
          <w:sz w:val="20"/>
          <w:szCs w:val="20"/>
          <w:color w:val="auto"/>
        </w:rPr>
      </w:pPr>
    </w:p>
    <w:p>
      <w:pPr>
        <w:jc w:val="both"/>
        <w:ind w:firstLine="1192"/>
        <w:spacing w:after="0" w:line="276" w:lineRule="auto"/>
        <w:rPr>
          <w:sz w:val="20"/>
          <w:szCs w:val="20"/>
          <w:color w:val="auto"/>
        </w:rPr>
      </w:pPr>
      <w:r>
        <w:rPr>
          <w:rFonts w:ascii="Arial" w:cs="Arial" w:eastAsia="Arial" w:hAnsi="Arial"/>
          <w:sz w:val="18"/>
          <w:szCs w:val="18"/>
          <w:color w:val="auto"/>
        </w:rPr>
        <w:t>i.</w:t>
      </w:r>
      <w:r>
        <w:rPr>
          <w:rFonts w:ascii="Arial" w:cs="Arial" w:eastAsia="Arial" w:hAnsi="Arial"/>
          <w:sz w:val="18"/>
          <w:szCs w:val="18"/>
          <w:i w:val="1"/>
          <w:iCs w:val="1"/>
          <w:color w:val="auto"/>
        </w:rPr>
        <w:t>au cours de l’exécution de son contrat de travail ou de son mandat social et pendant une durée de 12 mois suivant le départ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effectif de l’entreprise (la « </w:t>
      </w:r>
      <w:r>
        <w:rPr>
          <w:rFonts w:ascii="Arial" w:cs="Arial" w:eastAsia="Arial" w:hAnsi="Arial"/>
          <w:sz w:val="18"/>
          <w:szCs w:val="18"/>
          <w:b w:val="1"/>
          <w:bCs w:val="1"/>
          <w:i w:val="1"/>
          <w:iCs w:val="1"/>
          <w:color w:val="auto"/>
        </w:rPr>
        <w:t>Période de Restriction</w:t>
      </w:r>
      <w:r>
        <w:rPr>
          <w:rFonts w:ascii="Arial" w:cs="Arial" w:eastAsia="Arial" w:hAnsi="Arial"/>
          <w:sz w:val="18"/>
          <w:szCs w:val="18"/>
          <w:i w:val="1"/>
          <w:iCs w:val="1"/>
          <w:color w:val="auto"/>
        </w:rPr>
        <w:t xml:space="preserve"> »), ne pas, directement ou indirectement par l'entremise d'une personne physique ou morale (chacune, une « </w:t>
      </w:r>
      <w:r>
        <w:rPr>
          <w:rFonts w:ascii="Arial" w:cs="Arial" w:eastAsia="Arial" w:hAnsi="Arial"/>
          <w:sz w:val="18"/>
          <w:szCs w:val="18"/>
          <w:b w:val="1"/>
          <w:bCs w:val="1"/>
          <w:i w:val="1"/>
          <w:iCs w:val="1"/>
          <w:color w:val="auto"/>
        </w:rPr>
        <w:t>Personne »</w:t>
      </w:r>
      <w:r>
        <w:rPr>
          <w:rFonts w:ascii="Arial" w:cs="Arial" w:eastAsia="Arial" w:hAnsi="Arial"/>
          <w:sz w:val="18"/>
          <w:szCs w:val="18"/>
          <w:i w:val="1"/>
          <w:iCs w:val="1"/>
          <w:color w:val="auto"/>
        </w:rPr>
        <w:t xml:space="preserve">), ayant des activités de génie civil, de construction et de services connexes dans le domaine du pétrole, du gaz et des produits pétrochimiques (l’« </w:t>
      </w:r>
      <w:r>
        <w:rPr>
          <w:rFonts w:ascii="Arial" w:cs="Arial" w:eastAsia="Arial" w:hAnsi="Arial"/>
          <w:sz w:val="18"/>
          <w:szCs w:val="18"/>
          <w:b w:val="1"/>
          <w:bCs w:val="1"/>
          <w:i w:val="1"/>
          <w:iCs w:val="1"/>
          <w:color w:val="auto"/>
        </w:rPr>
        <w:t>Activité</w:t>
      </w:r>
      <w:r>
        <w:rPr>
          <w:rFonts w:ascii="Arial" w:cs="Arial" w:eastAsia="Arial" w:hAnsi="Arial"/>
          <w:sz w:val="18"/>
          <w:szCs w:val="18"/>
          <w:i w:val="1"/>
          <w:iCs w:val="1"/>
          <w:color w:val="auto"/>
        </w:rPr>
        <w:t xml:space="preserve"> »), et notamment, sans y être limitée : Baker Hughes Company, Halliburton Company, John Wood Group plc, McDermott International Inc., National Oilwell Varco Inc., Saipem S.p.A., Schlumberger Ltd., Subsea 7 S.A., Weatherford International plc, ainsi que leurs sociétés affiliées et toute entité leur succédant (l’« </w:t>
      </w:r>
      <w:r>
        <w:rPr>
          <w:rFonts w:ascii="Arial" w:cs="Arial" w:eastAsia="Arial" w:hAnsi="Arial"/>
          <w:sz w:val="18"/>
          <w:szCs w:val="18"/>
          <w:b w:val="1"/>
          <w:bCs w:val="1"/>
          <w:i w:val="1"/>
          <w:iCs w:val="1"/>
          <w:color w:val="auto"/>
        </w:rPr>
        <w:t>Entreprise Concurrente »</w:t>
      </w:r>
      <w:r>
        <w:rPr>
          <w:rFonts w:ascii="Arial" w:cs="Arial" w:eastAsia="Arial" w:hAnsi="Arial"/>
          <w:sz w:val="18"/>
          <w:szCs w:val="18"/>
          <w:i w:val="1"/>
          <w:iCs w:val="1"/>
          <w:color w:val="auto"/>
        </w:rPr>
        <w:t xml:space="preserve">) de </w:t>
      </w:r>
      <w:r>
        <w:rPr>
          <w:rFonts w:ascii="Arial" w:cs="Arial" w:eastAsia="Arial" w:hAnsi="Arial"/>
          <w:sz w:val="18"/>
          <w:szCs w:val="18"/>
          <w:color w:val="auto"/>
        </w:rPr>
        <w:t>:</w:t>
      </w:r>
    </w:p>
    <w:p>
      <w:pPr>
        <w:spacing w:after="0" w:line="165" w:lineRule="exact"/>
        <w:rPr>
          <w:sz w:val="20"/>
          <w:szCs w:val="20"/>
          <w:color w:val="auto"/>
        </w:rPr>
      </w:pPr>
    </w:p>
    <w:p>
      <w:pPr>
        <w:jc w:val="both"/>
        <w:ind w:firstLine="1952"/>
        <w:spacing w:after="0" w:line="243" w:lineRule="auto"/>
        <w:tabs>
          <w:tab w:leader="none" w:pos="2592" w:val="left"/>
        </w:tabs>
        <w:numPr>
          <w:ilvl w:val="0"/>
          <w:numId w:val="72"/>
        </w:numPr>
        <w:rPr>
          <w:rFonts w:ascii="Arial" w:cs="Arial" w:eastAsia="Arial" w:hAnsi="Arial"/>
          <w:sz w:val="20"/>
          <w:szCs w:val="20"/>
          <w:color w:val="auto"/>
        </w:rPr>
      </w:pPr>
      <w:r>
        <w:rPr>
          <w:rFonts w:ascii="Arial" w:cs="Arial" w:eastAsia="Arial" w:hAnsi="Arial"/>
          <w:sz w:val="20"/>
          <w:szCs w:val="20"/>
          <w:i w:val="1"/>
          <w:iCs w:val="1"/>
          <w:color w:val="auto"/>
        </w:rPr>
        <w:t xml:space="preserve">solliciter, inciter, persuader toute Personne, qui, à un quelconque moment au cours de la dernière année d’emploi ou de mandat du Participant au sein de l’Employeur (la « </w:t>
      </w:r>
      <w:r>
        <w:rPr>
          <w:rFonts w:ascii="Arial" w:cs="Arial" w:eastAsia="Arial" w:hAnsi="Arial"/>
          <w:sz w:val="20"/>
          <w:szCs w:val="20"/>
          <w:b w:val="1"/>
          <w:bCs w:val="1"/>
          <w:i w:val="1"/>
          <w:iCs w:val="1"/>
          <w:color w:val="auto"/>
        </w:rPr>
        <w:t>Période Considérée</w:t>
      </w:r>
      <w:r>
        <w:rPr>
          <w:rFonts w:ascii="Arial" w:cs="Arial" w:eastAsia="Arial" w:hAnsi="Arial"/>
          <w:sz w:val="20"/>
          <w:szCs w:val="20"/>
          <w:i w:val="1"/>
          <w:iCs w:val="1"/>
          <w:color w:val="auto"/>
        </w:rPr>
        <w:t xml:space="preserve"> »), était 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1952"/>
        <w:spacing w:after="0" w:line="291" w:lineRule="auto"/>
        <w:tabs>
          <w:tab w:leader="none" w:pos="2592"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7" w:name="page78"/>
    <w:bookmarkEnd w:id="77"/>
    <w:p>
      <w:pPr>
        <w:jc w:val="both"/>
        <w:spacing w:after="0" w:line="316" w:lineRule="auto"/>
        <w:rPr>
          <w:sz w:val="20"/>
          <w:szCs w:val="20"/>
          <w:color w:val="auto"/>
        </w:rPr>
      </w:pPr>
      <w:r>
        <w:rPr>
          <w:rFonts w:ascii="Arial" w:cs="Arial" w:eastAsia="Arial" w:hAnsi="Arial"/>
          <w:sz w:val="16"/>
          <w:szCs w:val="16"/>
          <w:i w:val="1"/>
          <w:iCs w:val="1"/>
          <w:color w:val="auto"/>
        </w:rPr>
        <w:t xml:space="preserve">ces activités étant définie comme l'« </w:t>
      </w:r>
      <w:r>
        <w:rPr>
          <w:rFonts w:ascii="Arial" w:cs="Arial" w:eastAsia="Arial" w:hAnsi="Arial"/>
          <w:sz w:val="16"/>
          <w:szCs w:val="16"/>
          <w:b w:val="1"/>
          <w:bCs w:val="1"/>
          <w:i w:val="1"/>
          <w:iCs w:val="1"/>
          <w:color w:val="auto"/>
        </w:rPr>
        <w:t>Activité Concurrente</w:t>
      </w:r>
      <w:r>
        <w:rPr>
          <w:rFonts w:ascii="Arial" w:cs="Arial" w:eastAsia="Arial" w:hAnsi="Arial"/>
          <w:sz w:val="16"/>
          <w:szCs w:val="16"/>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Arial" w:cs="Arial" w:eastAsia="Arial" w:hAnsi="Arial"/>
          <w:sz w:val="16"/>
          <w:szCs w:val="16"/>
          <w:color w:val="auto"/>
        </w:rPr>
        <w:t>;</w:t>
      </w:r>
    </w:p>
    <w:p>
      <w:pPr>
        <w:spacing w:after="0" w:line="140" w:lineRule="exact"/>
        <w:rPr>
          <w:sz w:val="20"/>
          <w:szCs w:val="20"/>
          <w:color w:val="auto"/>
        </w:rPr>
      </w:pPr>
    </w:p>
    <w:p>
      <w:pPr>
        <w:jc w:val="both"/>
        <w:ind w:firstLine="1952"/>
        <w:spacing w:after="0" w:line="271" w:lineRule="auto"/>
        <w:tabs>
          <w:tab w:leader="none" w:pos="2592"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être employé, embauché ou fournir activement ses services à toute Entreprise Concurrente ou à toute entreprise ayant une activité identique ou similaire à l’Activité, située à l’intérieur de la Zone Géographique Prohibée (telle que définie ci-dessous) pendant la Période de Restriction ou pour toute période au cours de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 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Arial" w:cs="Arial" w:eastAsia="Arial" w:hAnsi="Arial"/>
          <w:sz w:val="18"/>
          <w:szCs w:val="18"/>
          <w:b w:val="1"/>
          <w:bCs w:val="1"/>
          <w:i w:val="1"/>
          <w:iCs w:val="1"/>
          <w:color w:val="auto"/>
        </w:rPr>
        <w:t>Zone Géographique Prohibée</w:t>
      </w:r>
      <w:r>
        <w:rPr>
          <w:rFonts w:ascii="Arial" w:cs="Arial" w:eastAsia="Arial" w:hAnsi="Arial"/>
          <w:sz w:val="18"/>
          <w:szCs w:val="18"/>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Arial" w:cs="Arial" w:eastAsia="Arial" w:hAnsi="Arial"/>
          <w:sz w:val="18"/>
          <w:szCs w:val="18"/>
          <w:color w:val="auto"/>
        </w:rPr>
        <w:t>.</w:t>
      </w:r>
    </w:p>
    <w:p>
      <w:pPr>
        <w:spacing w:after="0" w:line="170" w:lineRule="exact"/>
        <w:rPr>
          <w:sz w:val="20"/>
          <w:szCs w:val="20"/>
          <w:color w:val="auto"/>
        </w:rPr>
      </w:pPr>
    </w:p>
    <w:p>
      <w:pPr>
        <w:jc w:val="both"/>
        <w:ind w:firstLine="1137"/>
        <w:spacing w:after="0" w:line="278" w:lineRule="auto"/>
        <w:rPr>
          <w:sz w:val="20"/>
          <w:szCs w:val="20"/>
          <w:color w:val="auto"/>
        </w:rPr>
      </w:pPr>
      <w:r>
        <w:rPr>
          <w:rFonts w:ascii="Arial" w:cs="Arial" w:eastAsia="Arial" w:hAnsi="Arial"/>
          <w:sz w:val="18"/>
          <w:szCs w:val="18"/>
          <w:color w:val="auto"/>
        </w:rPr>
        <w:t>ii.</w:t>
      </w:r>
      <w:r>
        <w:rPr>
          <w:rFonts w:ascii="Arial" w:cs="Arial" w:eastAsia="Arial" w:hAnsi="Arial"/>
          <w:sz w:val="18"/>
          <w:szCs w:val="18"/>
          <w:i w:val="1"/>
          <w:iCs w:val="1"/>
          <w:color w:val="auto"/>
        </w:rPr>
        <w:t>Pendant la Période de Restriction, ne pas employer, embaucher, solliciter, inciter ou persuader toute personne qui, au cours</w:t>
      </w:r>
      <w:r>
        <w:rPr>
          <w:rFonts w:ascii="Arial" w:cs="Arial" w:eastAsia="Arial" w:hAnsi="Arial"/>
          <w:sz w:val="18"/>
          <w:szCs w:val="18"/>
          <w:color w:val="auto"/>
        </w:rPr>
        <w:t xml:space="preserve"> </w:t>
      </w:r>
      <w:r>
        <w:rPr>
          <w:rFonts w:ascii="Arial" w:cs="Arial" w:eastAsia="Arial" w:hAnsi="Arial"/>
          <w:sz w:val="18"/>
          <w:szCs w:val="18"/>
          <w:i w:val="1"/>
          <w:iCs w:val="1"/>
          <w:color w:val="auto"/>
        </w:rPr>
        <w:t>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Arial" w:cs="Arial" w:eastAsia="Arial" w:hAnsi="Arial"/>
          <w:sz w:val="18"/>
          <w:szCs w:val="18"/>
          <w:color w:val="auto"/>
        </w:rPr>
        <w:t>.</w:t>
      </w:r>
    </w:p>
    <w:p>
      <w:pPr>
        <w:spacing w:after="0" w:line="16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Limitations et modifications.</w:t>
      </w:r>
      <w:r>
        <w:rPr>
          <w:rFonts w:ascii="Arial" w:cs="Arial" w:eastAsia="Arial" w:hAnsi="Arial"/>
          <w:sz w:val="18"/>
          <w:szCs w:val="18"/>
          <w:i w:val="1"/>
          <w:iCs w:val="1"/>
          <w:color w:val="auto"/>
        </w:rPr>
        <w:t xml:space="preserve"> Les modifications et limitations suivantes s’appliquent aux restrictions prévues à l’article 2 ;</w:t>
      </w:r>
    </w:p>
    <w:p>
      <w:pPr>
        <w:spacing w:after="0" w:line="239" w:lineRule="exact"/>
        <w:rPr>
          <w:sz w:val="20"/>
          <w:szCs w:val="20"/>
          <w:color w:val="auto"/>
        </w:rPr>
      </w:pPr>
    </w:p>
    <w:p>
      <w:pPr>
        <w:jc w:val="both"/>
        <w:ind w:right="20" w:firstLine="1082"/>
        <w:spacing w:after="0" w:line="31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i w:val="1"/>
          <w:iCs w:val="1"/>
          <w:color w:val="auto"/>
        </w:rPr>
        <w:t>Les restrictions prévues à l’article 2 ne s’appliquent pas lorsque le Participant a reçu une autorisation écrite et préalable de</w:t>
      </w:r>
      <w:r>
        <w:rPr>
          <w:rFonts w:ascii="Arial" w:cs="Arial" w:eastAsia="Arial" w:hAnsi="Arial"/>
          <w:sz w:val="18"/>
          <w:szCs w:val="18"/>
          <w:color w:val="auto"/>
        </w:rPr>
        <w:t xml:space="preserve"> </w:t>
      </w:r>
      <w:r>
        <w:rPr>
          <w:rFonts w:ascii="Arial" w:cs="Arial" w:eastAsia="Arial" w:hAnsi="Arial"/>
          <w:sz w:val="18"/>
          <w:szCs w:val="18"/>
          <w:i w:val="1"/>
          <w:iCs w:val="1"/>
          <w:color w:val="auto"/>
        </w:rPr>
        <w:t>la Société pour exercer ses activités ou lorsque les activités exercées par le Participant ne sont pas concurrentes de l’Activité de la Société</w:t>
      </w:r>
      <w:r>
        <w:rPr>
          <w:rFonts w:ascii="Arial" w:cs="Arial" w:eastAsia="Arial" w:hAnsi="Arial"/>
          <w:sz w:val="18"/>
          <w:szCs w:val="18"/>
          <w:color w:val="auto"/>
        </w:rPr>
        <w:t>.</w:t>
      </w:r>
    </w:p>
    <w:p>
      <w:pPr>
        <w:spacing w:after="0" w:line="130" w:lineRule="exact"/>
        <w:rPr>
          <w:sz w:val="20"/>
          <w:szCs w:val="20"/>
          <w:color w:val="auto"/>
        </w:rPr>
      </w:pPr>
    </w:p>
    <w:p>
      <w:pPr>
        <w:jc w:val="both"/>
        <w:ind w:right="20" w:firstLine="1092"/>
        <w:spacing w:after="0" w:line="260" w:lineRule="auto"/>
        <w:rPr>
          <w:sz w:val="20"/>
          <w:szCs w:val="20"/>
          <w:color w:val="auto"/>
        </w:rPr>
      </w:pPr>
      <w:r>
        <w:rPr>
          <w:rFonts w:ascii="Arial" w:cs="Arial" w:eastAsia="Arial" w:hAnsi="Arial"/>
          <w:sz w:val="20"/>
          <w:szCs w:val="20"/>
          <w:color w:val="auto"/>
        </w:rPr>
        <w:t>iv.</w:t>
      </w:r>
      <w:r>
        <w:rPr>
          <w:rFonts w:ascii="Arial" w:cs="Arial" w:eastAsia="Arial" w:hAnsi="Arial"/>
          <w:sz w:val="20"/>
          <w:szCs w:val="20"/>
          <w:i w:val="1"/>
          <w:iCs w:val="1"/>
          <w:color w:val="auto"/>
        </w:rPr>
        <w:t>Au cas où l’Employeur dispenserait le Participant de l’exécution d’un éventuel préavis de fin de contrat, le point de départ</w:t>
      </w:r>
      <w:r>
        <w:rPr>
          <w:rFonts w:ascii="Arial" w:cs="Arial" w:eastAsia="Arial" w:hAnsi="Arial"/>
          <w:sz w:val="20"/>
          <w:szCs w:val="20"/>
          <w:color w:val="auto"/>
        </w:rPr>
        <w:t xml:space="preserve"> </w:t>
      </w:r>
      <w:r>
        <w:rPr>
          <w:rFonts w:ascii="Arial" w:cs="Arial" w:eastAsia="Arial" w:hAnsi="Arial"/>
          <w:sz w:val="20"/>
          <w:szCs w:val="20"/>
          <w:i w:val="1"/>
          <w:iCs w:val="1"/>
          <w:color w:val="auto"/>
        </w:rPr>
        <w:t>de la Période de Restriction sera fixé au dernier jour de travail effectif du Participant pour l’Employeur.</w:t>
      </w:r>
    </w:p>
    <w:p>
      <w:pPr>
        <w:spacing w:after="0" w:line="177" w:lineRule="exact"/>
        <w:rPr>
          <w:sz w:val="20"/>
          <w:szCs w:val="20"/>
          <w:color w:val="auto"/>
        </w:rPr>
      </w:pPr>
    </w:p>
    <w:p>
      <w:pPr>
        <w:jc w:val="both"/>
        <w:ind w:firstLine="1147"/>
        <w:spacing w:after="0" w:line="250" w:lineRule="auto"/>
        <w:rPr>
          <w:sz w:val="20"/>
          <w:szCs w:val="20"/>
          <w:color w:val="auto"/>
        </w:rPr>
      </w:pPr>
      <w:r>
        <w:rPr>
          <w:rFonts w:ascii="Arial" w:cs="Arial" w:eastAsia="Arial" w:hAnsi="Arial"/>
          <w:sz w:val="20"/>
          <w:szCs w:val="20"/>
          <w:color w:val="auto"/>
        </w:rPr>
        <w:t>v.</w:t>
      </w:r>
      <w:r>
        <w:rPr>
          <w:rFonts w:ascii="Arial" w:cs="Arial" w:eastAsia="Arial" w:hAnsi="Arial"/>
          <w:sz w:val="20"/>
          <w:szCs w:val="20"/>
          <w:i w:val="1"/>
          <w:iCs w:val="1"/>
          <w:color w:val="auto"/>
        </w:rPr>
        <w:t>La Société peut ajouter ou retirer des entreprises de la liste des Entreprises Concurrentes en cas de réorganisation, de</w:t>
      </w:r>
      <w:r>
        <w:rPr>
          <w:rFonts w:ascii="Arial" w:cs="Arial" w:eastAsia="Arial" w:hAnsi="Arial"/>
          <w:sz w:val="20"/>
          <w:szCs w:val="20"/>
          <w:color w:val="auto"/>
        </w:rPr>
        <w:t xml:space="preserve"> </w:t>
      </w:r>
      <w:r>
        <w:rPr>
          <w:rFonts w:ascii="Arial" w:cs="Arial" w:eastAsia="Arial" w:hAnsi="Arial"/>
          <w:sz w:val="20"/>
          <w:szCs w:val="20"/>
          <w:i w:val="1"/>
          <w:iCs w:val="1"/>
          <w:color w:val="auto"/>
        </w:rPr>
        <w:t>fusion, d'acquisition, de cession ou de tout autre changement important dans la structure organisationnelle d’une Entreprise Concurrente et avisera par écrit le Participant de toute modification apportée à cette liste, le cas échéant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8" w:name="page79"/>
    <w:bookmarkEnd w:id="78"/>
    <w:p>
      <w:pPr>
        <w:jc w:val="both"/>
        <w:ind w:firstLine="1092"/>
        <w:spacing w:after="0" w:line="257" w:lineRule="auto"/>
        <w:rPr>
          <w:sz w:val="20"/>
          <w:szCs w:val="20"/>
          <w:color w:val="auto"/>
        </w:rPr>
      </w:pPr>
      <w:r>
        <w:rPr>
          <w:rFonts w:ascii="Arial" w:cs="Arial" w:eastAsia="Arial" w:hAnsi="Arial"/>
          <w:sz w:val="19"/>
          <w:szCs w:val="19"/>
          <w:color w:val="auto"/>
        </w:rPr>
        <w:t>vi.</w:t>
      </w:r>
      <w:r>
        <w:rPr>
          <w:rFonts w:ascii="Arial" w:cs="Arial" w:eastAsia="Arial" w:hAnsi="Arial"/>
          <w:sz w:val="19"/>
          <w:szCs w:val="19"/>
          <w:i w:val="1"/>
          <w:iCs w:val="1"/>
          <w:color w:val="auto"/>
        </w:rPr>
        <w:t>Chacune des restrictions énoncées à l’article 2 est distincte et indépendante. Elles sont considérées par les parties comme</w:t>
      </w:r>
      <w:r>
        <w:rPr>
          <w:rFonts w:ascii="Arial" w:cs="Arial" w:eastAsia="Arial" w:hAnsi="Arial"/>
          <w:sz w:val="19"/>
          <w:szCs w:val="19"/>
          <w:color w:val="auto"/>
        </w:rPr>
        <w:t xml:space="preserve"> </w:t>
      </w:r>
      <w:r>
        <w:rPr>
          <w:rFonts w:ascii="Arial" w:cs="Arial" w:eastAsia="Arial" w:hAnsi="Arial"/>
          <w:sz w:val="19"/>
          <w:szCs w:val="19"/>
          <w:i w:val="1"/>
          <w:iCs w:val="1"/>
          <w:color w:val="auto"/>
        </w:rPr>
        <w:t>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 être modifiée et était considérée inapplicable, elle pourrait être réputée non écrite sans porter atteinte à la validité ou l’effectivité de toute autre disposition du présent accord</w:t>
      </w:r>
      <w:r>
        <w:rPr>
          <w:rFonts w:ascii="Arial" w:cs="Arial" w:eastAsia="Arial" w:hAnsi="Arial"/>
          <w:sz w:val="19"/>
          <w:szCs w:val="19"/>
          <w:color w:val="auto"/>
        </w:rPr>
        <w:t>.</w:t>
      </w:r>
    </w:p>
    <w:p>
      <w:pPr>
        <w:spacing w:after="0" w:line="171" w:lineRule="exact"/>
        <w:rPr>
          <w:sz w:val="20"/>
          <w:szCs w:val="20"/>
          <w:color w:val="auto"/>
        </w:rPr>
      </w:pPr>
    </w:p>
    <w:p>
      <w:pPr>
        <w:jc w:val="both"/>
        <w:ind w:firstLine="1038"/>
        <w:spacing w:after="0" w:line="276" w:lineRule="auto"/>
        <w:rPr>
          <w:sz w:val="20"/>
          <w:szCs w:val="20"/>
          <w:color w:val="auto"/>
        </w:rPr>
      </w:pPr>
      <w:r>
        <w:rPr>
          <w:rFonts w:ascii="Arial" w:cs="Arial" w:eastAsia="Arial" w:hAnsi="Arial"/>
          <w:sz w:val="18"/>
          <w:szCs w:val="18"/>
          <w:color w:val="auto"/>
        </w:rPr>
        <w:t>vii.</w:t>
      </w:r>
      <w:r>
        <w:rPr>
          <w:rFonts w:ascii="Arial" w:cs="Arial" w:eastAsia="Arial" w:hAnsi="Arial"/>
          <w:sz w:val="18"/>
          <w:szCs w:val="18"/>
          <w:i w:val="1"/>
          <w:iCs w:val="1"/>
          <w:color w:val="auto"/>
        </w:rPr>
        <w:t>Le Participant reconnaît qu'il a volontairement accepté les engagements énoncés à l’article 2 et que les limitations et</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Arial" w:cs="Arial" w:eastAsia="Arial" w:hAnsi="Arial"/>
          <w:sz w:val="18"/>
          <w:szCs w:val="18"/>
          <w:color w:val="auto"/>
        </w:rPr>
        <w:t>.</w:t>
      </w:r>
    </w:p>
    <w:p>
      <w:pPr>
        <w:spacing w:after="0" w:line="138" w:lineRule="exact"/>
        <w:rPr>
          <w:sz w:val="20"/>
          <w:szCs w:val="20"/>
          <w:color w:val="auto"/>
        </w:rPr>
      </w:pPr>
    </w:p>
    <w:p>
      <w:pPr>
        <w:ind w:firstLine="656"/>
        <w:spacing w:after="0" w:line="260" w:lineRule="auto"/>
        <w:tabs>
          <w:tab w:leader="none" w:pos="1296" w:val="left"/>
        </w:tabs>
        <w:numPr>
          <w:ilvl w:val="0"/>
          <w:numId w:val="75"/>
        </w:numPr>
        <w:rPr>
          <w:rFonts w:ascii="Arial" w:cs="Arial" w:eastAsia="Arial" w:hAnsi="Arial"/>
          <w:sz w:val="20"/>
          <w:szCs w:val="20"/>
          <w:color w:val="auto"/>
        </w:rPr>
      </w:pPr>
      <w:r>
        <w:rPr>
          <w:rFonts w:ascii="Arial" w:cs="Arial" w:eastAsia="Arial" w:hAnsi="Arial"/>
          <w:sz w:val="20"/>
          <w:szCs w:val="20"/>
          <w:i w:val="1"/>
          <w:iCs w:val="1"/>
          <w:u w:val="single" w:color="auto"/>
          <w:color w:val="auto"/>
        </w:rPr>
        <w:t>Contrepartie.</w:t>
      </w:r>
      <w:r>
        <w:rPr>
          <w:rFonts w:ascii="Arial" w:cs="Arial" w:eastAsia="Arial" w:hAnsi="Arial"/>
          <w:sz w:val="20"/>
          <w:szCs w:val="20"/>
          <w:i w:val="1"/>
          <w:iCs w:val="1"/>
          <w:color w:val="auto"/>
        </w:rPr>
        <w:t xml:space="preserve"> Le Participant reconnaît que l'octroi de PSUs constitue une contrepartie suffisante aux restrictions prévues aux articles 1 et 2</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75"/>
        </w:numPr>
        <w:rPr>
          <w:rFonts w:ascii="Arial" w:cs="Arial" w:eastAsia="Arial" w:hAnsi="Arial"/>
          <w:sz w:val="20"/>
          <w:szCs w:val="20"/>
          <w:color w:val="auto"/>
        </w:rPr>
      </w:pPr>
      <w:r>
        <w:rPr>
          <w:rFonts w:ascii="Arial" w:cs="Arial" w:eastAsia="Arial" w:hAnsi="Arial"/>
          <w:sz w:val="20"/>
          <w:szCs w:val="20"/>
          <w:i w:val="1"/>
          <w:iCs w:val="1"/>
          <w:u w:val="single" w:color="auto"/>
          <w:color w:val="auto"/>
        </w:rPr>
        <w:t>Non-interférence avec les droits du lanceur d’alerte</w:t>
      </w:r>
      <w:r>
        <w:rPr>
          <w:rFonts w:ascii="Arial" w:cs="Arial" w:eastAsia="Arial" w:hAnsi="Arial"/>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 administrative et/ou de faire des révélations conformément aux dispositions législatives relatives à la protection des lanceurs d’alerte</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75"/>
        </w:numPr>
        <w:rPr>
          <w:rFonts w:ascii="Arial" w:cs="Arial" w:eastAsia="Arial" w:hAnsi="Arial"/>
          <w:sz w:val="19"/>
          <w:szCs w:val="19"/>
          <w:color w:val="auto"/>
        </w:rPr>
      </w:pPr>
      <w:r>
        <w:rPr>
          <w:rFonts w:ascii="Arial" w:cs="Arial" w:eastAsia="Arial" w:hAnsi="Arial"/>
          <w:sz w:val="19"/>
          <w:szCs w:val="19"/>
          <w:i w:val="1"/>
          <w:iCs w:val="1"/>
          <w:u w:val="single" w:color="auto"/>
          <w:color w:val="auto"/>
        </w:rPr>
        <w:t>Exécution forcée des engagements</w:t>
      </w:r>
      <w:r>
        <w:rPr>
          <w:rFonts w:ascii="Arial" w:cs="Arial" w:eastAsia="Arial" w:hAnsi="Arial"/>
          <w:sz w:val="19"/>
          <w:szCs w:val="19"/>
          <w:i w:val="1"/>
          <w:iCs w:val="1"/>
          <w:color w:val="auto"/>
        </w:rPr>
        <w:t>. La Société pourra engager toute action qu’ellel estime nécessaire et juridiquement 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 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 menace de violation de ces engagements, mais s'ajoute à tous les autres droits et recours dont la Société dispose en droit et en équité, en ce compris l’obtention d’une indemnisation spécifique.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79" w:name="page80"/>
    <w:bookmarkEnd w:id="79"/>
    <w:p>
      <w:pPr>
        <w:ind w:left="5420" w:hanging="642"/>
        <w:spacing w:after="0"/>
        <w:tabs>
          <w:tab w:leader="none" w:pos="54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Germany</w:t>
      </w:r>
      <w:r>
        <w:rPr>
          <w:rFonts w:ascii="Arial" w:cs="Arial" w:eastAsia="Arial" w:hAnsi="Arial"/>
          <w:sz w:val="20"/>
          <w:szCs w:val="20"/>
          <w:color w:val="auto"/>
        </w:rPr>
        <w:t xml:space="preserve"> provide additional definitions and conditions for the purpose of granting PSUs to Employees and corporate officers who are resident in Germany for tax, labour or securities law purposes.</w:t>
      </w:r>
    </w:p>
    <w:p>
      <w:pPr>
        <w:spacing w:after="0" w:line="169" w:lineRule="exact"/>
        <w:rPr>
          <w:sz w:val="20"/>
          <w:szCs w:val="20"/>
          <w:color w:val="auto"/>
        </w:rPr>
      </w:pPr>
    </w:p>
    <w:p>
      <w:pPr>
        <w:jc w:val="both"/>
        <w:ind w:firstLine="656"/>
        <w:spacing w:after="0" w:line="263"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Discretion</w:t>
      </w:r>
      <w:r>
        <w:rPr>
          <w:rFonts w:ascii="Arial" w:cs="Arial" w:eastAsia="Arial" w:hAnsi="Arial"/>
          <w:sz w:val="19"/>
          <w:szCs w:val="19"/>
          <w:color w:val="auto"/>
        </w:rPr>
        <w:t>. The Company’s, Board of Directors’, Committee’s and Administrator’s discretion under the Plan, the Agreement and this Country Schedule Germany, including the interpretation of such documentation, shall be exercised (a) reasonably (nach billigem Ermessen) as defined under German law and (b) in a way complying with the German labour law principle of equal treatment (arbeitsrechtlicher Gleichbehandlungsgrundsatz) and the prohibition of discrimination (Diskriminierungsverbot).</w:t>
      </w:r>
    </w:p>
    <w:p>
      <w:pPr>
        <w:spacing w:after="0" w:line="176"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For the avoidance of doubt, taxes always include German social security contributions, and in this regard also Participants portions, and any mandatory withholding or required actions shall be made by the German Employer of Participant as required by German law. Whenever the PSUs are settled, the Company or the German Employer of Participant shall notify the Participant of the amount of tax, if any, which must be withheld by the Company or the German Employer of Participant under all applicable federal, state and local or foreign tax laws (including German social security or similar contributions). For purposes of withholding, Fair Market Value shall be determined under applicable German law and its interpretation by the German tax authorities. The Participant shall indemnify the Company or the Employer from and against any liability for or obligation to pay any Tax Liability (a “Tax Liability” being any liability for income tax, withholding tax and any other employment related taxes in any jurisdiction, including but not limited to wage tax, solidarity surcharge, church tax or German social security contributions) that is attributable to (1) the grant or vesting of, or any benefit the Participant derives from, the PSUs, (2) the Participant’s acquisition of Shares on settlement of the PSUs, or (3) the disposal of any Shares.</w:t>
      </w:r>
    </w:p>
    <w:p>
      <w:pPr>
        <w:spacing w:after="0" w:line="173" w:lineRule="exact"/>
        <w:rPr>
          <w:rFonts w:ascii="Arial" w:cs="Arial" w:eastAsia="Arial" w:hAnsi="Arial"/>
          <w:sz w:val="18"/>
          <w:szCs w:val="18"/>
          <w:color w:val="auto"/>
        </w:rPr>
      </w:pPr>
    </w:p>
    <w:p>
      <w:pPr>
        <w:jc w:val="both"/>
        <w:ind w:firstLine="656"/>
        <w:spacing w:after="0" w:line="260"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Cross-border payments in excess of €12,500 must be reported monthly to the German Federal Bank. If a Participant uses a German bank to transfer a cross-border payment in excess of €12,500 in connection with the sale of Shares acquired under the Plan, the bank will make the report for the Participant. In addition, a Participant must report any receivables, payables, or debts in foreign currency exceeding an amount of €5,000,000 on a monthly basis. Finally, a Participant must report on an annual basis if the Participant holds Shares that exceed 10% of the total voting capital of the Company.</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77"/>
        </w:numPr>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20"/>
          <w:szCs w:val="20"/>
          <w:u w:val="single" w:color="auto"/>
          <w:color w:val="auto"/>
        </w:rPr>
        <w:t>ermination of Service,</w:t>
      </w:r>
      <w:r>
        <w:rPr>
          <w:rFonts w:ascii="Arial" w:cs="Arial" w:eastAsia="Arial" w:hAnsi="Arial"/>
          <w:sz w:val="20"/>
          <w:szCs w:val="20"/>
          <w:color w:val="auto"/>
        </w:rPr>
        <w:t xml:space="preserve"> Detrimental Activity</w:t>
      </w:r>
      <w:r>
        <w:rPr>
          <w:rFonts w:ascii="Arial" w:cs="Arial" w:eastAsia="Arial" w:hAnsi="Arial"/>
          <w:sz w:val="20"/>
          <w:szCs w:val="20"/>
          <w:u w:val="single" w:color="auto"/>
          <w:color w:val="auto"/>
        </w:rPr>
        <w:t>,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subject to German law and its interpretation.</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For any further request regarding data privacy, Participant may contact the German Data Protection Officer at privacy@TechnipFMC.com.</w:t>
      </w:r>
    </w:p>
    <w:p>
      <w:pPr>
        <w:spacing w:after="0" w:line="170" w:lineRule="exact"/>
        <w:rPr>
          <w:rFonts w:ascii="Arial" w:cs="Arial" w:eastAsia="Arial" w:hAnsi="Arial"/>
          <w:sz w:val="20"/>
          <w:szCs w:val="20"/>
          <w:color w:val="auto"/>
        </w:rPr>
      </w:pPr>
    </w:p>
    <w:p>
      <w:pPr>
        <w:ind w:left="5580" w:hanging="648"/>
        <w:spacing w:after="0"/>
        <w:tabs>
          <w:tab w:leader="none" w:pos="5580"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provisions of this Country Schedule for Ghana provide additional definitions and conditions for the purpose of granting PSUs which are intended to be granted to Participants in Ghana for privacy, tax or labour law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3" w:right="339" w:bottom="1440" w:gutter="0" w:footer="0" w:header="0"/>
        </w:sectPr>
      </w:pPr>
    </w:p>
    <w:bookmarkStart w:id="80" w:name="page81"/>
    <w:bookmarkEnd w:id="80"/>
    <w:p>
      <w:pPr>
        <w:ind w:right="20" w:firstLine="656"/>
        <w:spacing w:after="0" w:line="260" w:lineRule="auto"/>
        <w:tabs>
          <w:tab w:leader="none" w:pos="129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Whenever the PSUs vest, the Participant is liable to tax on it at the market value of the Shares which is the amount that an independent, reasonable person would pay on the open market to receive the Shares.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Agreement and the Plan the following defined terms have been amended and shall apply:</w:t>
      </w:r>
    </w:p>
    <w:p>
      <w:pPr>
        <w:spacing w:after="0" w:line="2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i.“Detrimental Activity” means the Participant’s having been convicted of, or pleading guilty to a felony under federal or state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200" w:lineRule="exact"/>
        <w:rPr>
          <w:sz w:val="20"/>
          <w:szCs w:val="20"/>
          <w:color w:val="auto"/>
        </w:rPr>
      </w:pPr>
    </w:p>
    <w:p>
      <w:pPr>
        <w:ind w:firstLine="1137"/>
        <w:spacing w:after="0" w:line="26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Participant’s employment on or after the date Participant is eligible to retire under the terms of his or her employment agreement with the Ghana Employer.</w:t>
      </w:r>
    </w:p>
    <w:p>
      <w:pPr>
        <w:spacing w:after="0" w:line="171" w:lineRule="exact"/>
        <w:rPr>
          <w:sz w:val="20"/>
          <w:szCs w:val="20"/>
          <w:color w:val="auto"/>
        </w:rPr>
      </w:pPr>
    </w:p>
    <w:p>
      <w:pPr>
        <w:ind w:left="5660" w:hanging="651"/>
        <w:spacing w:after="0"/>
        <w:tabs>
          <w:tab w:leader="none" w:pos="56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INDIA</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India</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India for tax, labour or securities law purposes.</w:t>
      </w:r>
    </w:p>
    <w:p>
      <w:pPr>
        <w:spacing w:after="0" w:line="124" w:lineRule="exact"/>
        <w:rPr>
          <w:sz w:val="20"/>
          <w:szCs w:val="20"/>
          <w:color w:val="auto"/>
        </w:rPr>
      </w:pPr>
    </w:p>
    <w:p>
      <w:pPr>
        <w:jc w:val="both"/>
        <w:ind w:firstLine="656"/>
        <w:spacing w:after="0" w:line="282"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PSUs Not Part Of Compensation</w:t>
      </w:r>
      <w:r>
        <w:rPr>
          <w:rFonts w:ascii="Arial" w:cs="Arial" w:eastAsia="Arial" w:hAnsi="Arial"/>
          <w:sz w:val="18"/>
          <w:szCs w:val="18"/>
          <w:color w:val="auto"/>
        </w:rPr>
        <w:t>. The PSUs are not part of normal or expected compensation, remuneration, salary, wages, allowances or emoluments of the Participants, for any purpose, including, without limitation, calculating severance, resignation, redundancy, end of service payments, gratuity, retrenchment compensation, bonuses, long-service awards, pension or retirement benefits, overtime, leave pay, social welfare contributions, or any other payment or benefit under any applicable Indian labor and employment laws.</w:t>
      </w:r>
    </w:p>
    <w:p>
      <w:pPr>
        <w:spacing w:after="0" w:line="161"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Key Managerial Personnel Notification Obligation</w:t>
      </w:r>
      <w:r>
        <w:rPr>
          <w:rFonts w:ascii="Arial" w:cs="Arial" w:eastAsia="Arial" w:hAnsi="Arial"/>
          <w:sz w:val="20"/>
          <w:szCs w:val="20"/>
          <w:color w:val="auto"/>
        </w:rPr>
        <w:t>. Participants who are directors or key managerial personnel of the Indian subsidiary shall provide such Indian subsidiary with details of securities held by them in the Company pursuant to the Plan and this Agreement, including inter alia the number thereof, price paid, date of acquisition, and mode of holding in order for such Indian subsidiary or Affiliate to comply with the applicable reporting requirements under Indian company law.</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Tax Considerations</w:t>
      </w:r>
      <w:r>
        <w:rPr>
          <w:rFonts w:ascii="Arial" w:cs="Arial" w:eastAsia="Arial" w:hAnsi="Arial"/>
          <w:sz w:val="19"/>
          <w:szCs w:val="19"/>
          <w:color w:val="auto"/>
        </w:rPr>
        <w:t>. The Employer shall have the right to withhold, or require the Participant to remit to the Employer, an amount towards taxes computed at the applicable rate at the time of allotment of the Shares to the Participant on the value of benefit (in the form of allotment of Shares) which shall be chargeable to tax in the hands of the Participant as salary.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value of benefit shall be the aggregate Fair Market Value (“</w:t>
      </w:r>
      <w:r>
        <w:rPr>
          <w:rFonts w:ascii="Arial" w:cs="Arial" w:eastAsia="Arial" w:hAnsi="Arial"/>
          <w:sz w:val="20"/>
          <w:szCs w:val="20"/>
          <w:u w:val="single" w:color="auto"/>
          <w:color w:val="auto"/>
        </w:rPr>
        <w:t>FMV</w:t>
      </w:r>
      <w:r>
        <w:rPr>
          <w:rFonts w:ascii="Arial" w:cs="Arial" w:eastAsia="Arial" w:hAnsi="Arial"/>
          <w:sz w:val="20"/>
          <w:szCs w:val="20"/>
          <w:color w:val="auto"/>
        </w:rPr>
        <w:t>”) of the Shares on the date of vesting.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FMV of the Shares shall be the value as determined by a Category I Merchant Banker registered with the Securities and Exchange Board of India on the specified date, being the vesting date or any date not being a date which is more than 180 days earlier than the date of vesting.</w:t>
      </w:r>
    </w:p>
    <w:p>
      <w:pPr>
        <w:spacing w:after="0" w:line="186" w:lineRule="exact"/>
        <w:rPr>
          <w:sz w:val="20"/>
          <w:szCs w:val="20"/>
          <w:color w:val="auto"/>
        </w:rPr>
      </w:pPr>
    </w:p>
    <w:p>
      <w:pPr>
        <w:ind w:firstLine="656"/>
        <w:spacing w:after="0" w:line="260" w:lineRule="auto"/>
        <w:tabs>
          <w:tab w:leader="none" w:pos="1296"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By entering into the Agreement, Participant consents to the processing, collection, disclosure and transfer of Data by Company for the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1" w:name="page82"/>
    <w:bookmarkEnd w:id="81"/>
    <w:p>
      <w:pPr>
        <w:ind w:left="3660"/>
        <w:spacing w:after="0"/>
        <w:tabs>
          <w:tab w:leader="none" w:pos="504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b w:val="1"/>
          <w:bCs w:val="1"/>
          <w:u w:val="single" w:color="auto"/>
          <w:color w:val="auto"/>
        </w:rPr>
        <w:t>INDONESIA</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Indonesia</w:t>
      </w:r>
      <w:r>
        <w:rPr>
          <w:rFonts w:ascii="Arial" w:cs="Arial" w:eastAsia="Arial" w:hAnsi="Arial"/>
          <w:sz w:val="20"/>
          <w:szCs w:val="20"/>
          <w:color w:val="auto"/>
        </w:rPr>
        <w:t xml:space="preserve"> provide additional definitions and conditions for the purpose of granting PSUs to Employees and corporate officers who are resident in Indonesia for tax, labour or securities law purposes.</w:t>
      </w:r>
    </w:p>
    <w:p>
      <w:pPr>
        <w:spacing w:after="0" w:line="169"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Award Plan</w:t>
      </w:r>
      <w:r>
        <w:rPr>
          <w:rFonts w:ascii="Arial" w:cs="Arial" w:eastAsia="Arial" w:hAnsi="Arial"/>
          <w:sz w:val="20"/>
          <w:szCs w:val="20"/>
          <w:color w:val="auto"/>
        </w:rPr>
        <w:t>. A copy of the Plan is attached to this Agreement.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Waiver of Article 1266 of the Indonesian Civil Code</w:t>
      </w:r>
      <w:r>
        <w:rPr>
          <w:rFonts w:ascii="Arial" w:cs="Arial" w:eastAsia="Arial" w:hAnsi="Arial"/>
          <w:sz w:val="20"/>
          <w:szCs w:val="20"/>
          <w:color w:val="auto"/>
        </w:rPr>
        <w:t>. For the purposes of termination of this Agreement, the Company and the Participant hereby waive the benefits of Article 1266 of the Indonesian Civil Code but only to the extent that judicial cancellation of this Agreement would otherwise be required to terminate this Agreement.</w:t>
      </w:r>
    </w:p>
    <w:p>
      <w:pPr>
        <w:spacing w:after="0" w:line="185"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In compliance with the Law No. 24 of 2009 regarding National Flag, Language, Coat of Arms, and National Anthem of the Republic of Indonesia (“</w:t>
      </w:r>
      <w:r>
        <w:rPr>
          <w:rFonts w:ascii="Arial" w:cs="Arial" w:eastAsia="Arial" w:hAnsi="Arial"/>
          <w:sz w:val="20"/>
          <w:szCs w:val="20"/>
          <w:b w:val="1"/>
          <w:bCs w:val="1"/>
          <w:color w:val="auto"/>
        </w:rPr>
        <w:t>Law 24</w:t>
      </w:r>
      <w:r>
        <w:rPr>
          <w:rFonts w:ascii="Arial" w:cs="Arial" w:eastAsia="Arial" w:hAnsi="Arial"/>
          <w:sz w:val="20"/>
          <w:szCs w:val="20"/>
          <w:color w:val="auto"/>
        </w:rPr>
        <w:t>”) and the Presidential Regulation No. 63 of 2019 regarding the Use of Indonesian Language (“</w:t>
      </w:r>
      <w:r>
        <w:rPr>
          <w:rFonts w:ascii="Arial" w:cs="Arial" w:eastAsia="Arial" w:hAnsi="Arial"/>
          <w:sz w:val="20"/>
          <w:szCs w:val="20"/>
          <w:b w:val="1"/>
          <w:bCs w:val="1"/>
          <w:color w:val="auto"/>
        </w:rPr>
        <w:t>Regulation 63</w:t>
      </w:r>
      <w:r>
        <w:rPr>
          <w:rFonts w:ascii="Arial" w:cs="Arial" w:eastAsia="Arial" w:hAnsi="Arial"/>
          <w:sz w:val="20"/>
          <w:szCs w:val="20"/>
          <w:color w:val="auto"/>
        </w:rPr>
        <w:t>”), the Agreement and the Plan are made in English and Indonesian language versions. The Participant and the Company agree to execute the Indonesian language version of the Agreement and the Plan simultaneously with the English language version of the Agreement and the Plan.</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avoidance of doubt, the existence of two versions of the Agreement and the Plan is not to be construed by any party as creating different rights and obligations, or duplication or multiplication of the rights and obligations, of the Participant and the Company under any version of the Agreement and the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Participant and the Company agree that:</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i.the English language version and the Bahasa Indonesia version of the Agreement and the Plan shall be equally authentic; and</w:t>
      </w:r>
    </w:p>
    <w:p>
      <w:pPr>
        <w:spacing w:after="0" w:line="262" w:lineRule="exact"/>
        <w:rPr>
          <w:sz w:val="20"/>
          <w:szCs w:val="20"/>
          <w:color w:val="auto"/>
        </w:rPr>
      </w:pPr>
    </w:p>
    <w:p>
      <w:pPr>
        <w:jc w:val="both"/>
        <w:ind w:firstLine="1137"/>
        <w:spacing w:after="0" w:line="244" w:lineRule="auto"/>
        <w:rPr>
          <w:sz w:val="20"/>
          <w:szCs w:val="20"/>
          <w:color w:val="auto"/>
        </w:rPr>
      </w:pPr>
      <w:r>
        <w:rPr>
          <w:rFonts w:ascii="Arial" w:cs="Arial" w:eastAsia="Arial" w:hAnsi="Arial"/>
          <w:sz w:val="20"/>
          <w:szCs w:val="20"/>
          <w:color w:val="auto"/>
        </w:rPr>
        <w:t>ii.in the event of any inconsistency or different interpretation between the Bahasa Indonesia version and the English version of the Agreement and the Plan, the English version shall prevail and the Participant shall, promptly upon request by the Company, amend the relevant Bahasa Indonesia text to conform with the relevant English text and the Participant and the Company shall execute such documentation as the Company may reasonably require to give full legal effect to such amendment(s), promptly and in any event not in excess of thirty (30) days after such request is made.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of the Participant and the Company in good faith agrees that it shall not (and it shall not allow or assist any party to) in any manner or forum in any jurisdiction:</w:t>
      </w:r>
    </w:p>
    <w:p>
      <w:pPr>
        <w:spacing w:after="0" w:line="163" w:lineRule="exact"/>
        <w:rPr>
          <w:sz w:val="20"/>
          <w:szCs w:val="20"/>
          <w:color w:val="auto"/>
        </w:rPr>
      </w:pPr>
    </w:p>
    <w:p>
      <w:pPr>
        <w:jc w:val="both"/>
        <w:ind w:firstLine="1192"/>
        <w:spacing w:after="0" w:line="260" w:lineRule="auto"/>
        <w:rPr>
          <w:sz w:val="20"/>
          <w:szCs w:val="20"/>
          <w:color w:val="auto"/>
        </w:rPr>
      </w:pPr>
      <w:r>
        <w:rPr>
          <w:rFonts w:ascii="Arial" w:cs="Arial" w:eastAsia="Arial" w:hAnsi="Arial"/>
          <w:sz w:val="20"/>
          <w:szCs w:val="20"/>
          <w:color w:val="auto"/>
        </w:rPr>
        <w:t>i.challenge the validity of, or raise or file any objection to, the Agreement and the Plan or the transactions contemplated in the Agreement and the Plan;</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ii.defend its non-performance or breach of its obligations under the Agreement and the Plan; or</w:t>
      </w:r>
    </w:p>
    <w:p>
      <w:pPr>
        <w:spacing w:after="0" w:line="216" w:lineRule="exact"/>
        <w:rPr>
          <w:sz w:val="20"/>
          <w:szCs w:val="20"/>
          <w:color w:val="auto"/>
        </w:rPr>
      </w:pPr>
    </w:p>
    <w:p>
      <w:pPr>
        <w:jc w:val="both"/>
        <w:ind w:firstLine="1082"/>
        <w:spacing w:after="0" w:line="250" w:lineRule="auto"/>
        <w:rPr>
          <w:sz w:val="20"/>
          <w:szCs w:val="20"/>
          <w:color w:val="auto"/>
        </w:rPr>
      </w:pPr>
      <w:r>
        <w:rPr>
          <w:rFonts w:ascii="Arial" w:cs="Arial" w:eastAsia="Arial" w:hAnsi="Arial"/>
          <w:sz w:val="20"/>
          <w:szCs w:val="20"/>
          <w:color w:val="auto"/>
        </w:rPr>
        <w:t>iii.allege that the Agreement and the Plan is against public policy or otherwise does not constitute its legal, valid and binding obligation, enforceable against it in accordance with its terms, in each case on the basis of any failure to comply with Law 24 or Regulation 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3"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20"/>
          <w:szCs w:val="20"/>
          <w:color w:val="auto"/>
        </w:rPr>
        <w:t>Each of the Participant and the Company:</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i.acknowledges that, with its agreement, the Agreement and the Plan have been predominantly negotiated in the English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language;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ii.represents that it has read and fully understands the contents and consequences of the Agreement and the Plan;</w:t>
      </w:r>
    </w:p>
    <w:p>
      <w:pPr>
        <w:spacing w:after="0" w:line="227" w:lineRule="exact"/>
        <w:rPr>
          <w:sz w:val="20"/>
          <w:szCs w:val="20"/>
          <w:color w:val="auto"/>
        </w:rPr>
      </w:pPr>
    </w:p>
    <w:p>
      <w:pPr>
        <w:ind w:right="20" w:firstLine="1082"/>
        <w:spacing w:after="0" w:line="260" w:lineRule="auto"/>
        <w:rPr>
          <w:sz w:val="20"/>
          <w:szCs w:val="20"/>
          <w:color w:val="auto"/>
        </w:rPr>
      </w:pPr>
      <w:r>
        <w:rPr>
          <w:rFonts w:ascii="Arial" w:cs="Arial" w:eastAsia="Arial" w:hAnsi="Arial"/>
          <w:sz w:val="20"/>
          <w:szCs w:val="20"/>
          <w:color w:val="auto"/>
        </w:rPr>
        <w:t>iii.agrees that the execution of the Agreement and the Plan in the English language will not affect the validity, binding effectiveness and enforceability of the Agreement and the Plan; and</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iv.represents that it has made and entered into the Agreement and the Plan freely and without duress.</w:t>
      </w:r>
    </w:p>
    <w:p>
      <w:pPr>
        <w:spacing w:after="0" w:line="216"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By entering into the Agreement, Participant consents to the processing of Data by Company for the Purposes.</w:t>
      </w:r>
    </w:p>
    <w:p>
      <w:pPr>
        <w:spacing w:after="0" w:line="238"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Termination of Service, Detrimental Activity,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subject to Indonesian law and its interpretation.</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 The Participant is advised to seek professional tax advice as to the Participant’s tax liabilities including, to the extent the Participant is a foreigner, how such gains or profits aforesaid will be taxed at the time the Participant ceases to work in Indonesia. All taxes (including income tax) arising from the award of any PSU or the vesting of any PSU thereon shall be borne by the Participant.</w:t>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ii.</w:t>
      </w:r>
      <w:r>
        <w:rPr>
          <w:rFonts w:ascii="Arial" w:cs="Arial" w:eastAsia="Arial" w:hAnsi="Arial"/>
          <w:sz w:val="20"/>
          <w:szCs w:val="20"/>
          <w:b w:val="1"/>
          <w:bCs w:val="1"/>
          <w:u w:val="single" w:color="auto"/>
          <w:color w:val="auto"/>
        </w:rPr>
        <w:t>ITALY</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Italy</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Italy for tax, labour or securities law purposes.</w:t>
      </w:r>
    </w:p>
    <w:p>
      <w:pPr>
        <w:spacing w:after="0" w:line="124" w:lineRule="exact"/>
        <w:rPr>
          <w:sz w:val="20"/>
          <w:szCs w:val="20"/>
          <w:color w:val="auto"/>
        </w:rPr>
      </w:pPr>
    </w:p>
    <w:p>
      <w:pPr>
        <w:jc w:val="both"/>
        <w:ind w:firstLine="656"/>
        <w:spacing w:after="0" w:line="243" w:lineRule="auto"/>
        <w:tabs>
          <w:tab w:leader="none" w:pos="1296"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Neither the PSUs nor the Shares are publicly offered or listed on any regulated market or multilateral trading facility in Italy. The offer of the PSUs and Shares is private and has not been cleared by the Commissione Nazionale per la Società e la Borsa (“CONSOB”) (the Italian securities exchange commission), pursuant to Italian securities legislation. Accordingly, the offer may be extended into Italy only in circumstances which are exempted from the rules on public offerings pursuant to Article 100 of Legislative Decree No. 58 of February 24, 1998, as amended and Article 34-ter of CONSOB Regulation No. 11971 of May 14, 1999, as amended.</w:t>
      </w:r>
    </w:p>
    <w:p>
      <w:pPr>
        <w:spacing w:after="0" w:line="195" w:lineRule="exact"/>
        <w:rPr>
          <w:rFonts w:ascii="Arial" w:cs="Arial" w:eastAsia="Arial" w:hAnsi="Arial"/>
          <w:sz w:val="20"/>
          <w:szCs w:val="20"/>
          <w:color w:val="auto"/>
        </w:rPr>
      </w:pPr>
    </w:p>
    <w:p>
      <w:pPr>
        <w:jc w:val="both"/>
        <w:ind w:firstLine="656"/>
        <w:spacing w:after="0" w:line="259"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In accepting the PSUs, Participant acknowledges that he or she has received a copy of the Plan and the Agreement and have reviewed the Plan and the Agreement, including this Schedule A, in their entirety and fully understand and accept all provisions of the Plan and the Agreement, including this Schedule A. Participant further acknowledges that he or she has read and specifically and expressly approves the following sections of the Agreement: Section 1: Vesting, Section 4: Rights and Obligations as Stockholder; Section 5: No Limitation on Rights of the Company; Section 10: Administration; Section 19: Funding; and the Authorization to Release Transfer Necessary Personal Information and Method of Payment provisions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3" w:name="page84"/>
    <w:bookmarkEnd w:id="83"/>
    <w:p>
      <w:pPr>
        <w:jc w:val="both"/>
        <w:ind w:firstLine="656"/>
        <w:spacing w:after="0" w:line="246" w:lineRule="auto"/>
        <w:tabs>
          <w:tab w:leader="none" w:pos="1296"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is required to report in his or her annual tax return any foreign investments or investments (including proceeds from the sale of PSUs acquired under the Plan) held outside of Italy, if the investment may give rise to income in Italy. This latter reporting obligation is not required in relation to bank accounts and bank deposits held outside of Italy whose maximum total value during the fiscal year does not exceed €15,000.</w:t>
      </w:r>
    </w:p>
    <w:p>
      <w:pPr>
        <w:spacing w:after="0" w:line="191" w:lineRule="exact"/>
        <w:rPr>
          <w:sz w:val="20"/>
          <w:szCs w:val="20"/>
          <w:color w:val="auto"/>
        </w:rPr>
      </w:pPr>
    </w:p>
    <w:p>
      <w:pPr>
        <w:jc w:val="both"/>
        <w:ind w:firstLine="656"/>
        <w:spacing w:after="0" w:line="269" w:lineRule="auto"/>
        <w:tabs>
          <w:tab w:leader="none" w:pos="129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In addition to the rights mentioned in clause 20 of the Agreement, Participant may issue directives for the purposes of deciding what should happen to the Data after his or her death pursuant to Article 2-terdecies of Legislative Decree no. 196 of 2013, by writing to the TechnipFMC Data Protection Office with the modalities provided under clause 20 of the Agreement.</w:t>
      </w:r>
    </w:p>
    <w:p>
      <w:pPr>
        <w:spacing w:after="0" w:line="164"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iii.</w:t>
      </w:r>
      <w:r>
        <w:rPr>
          <w:rFonts w:ascii="Arial" w:cs="Arial" w:eastAsia="Arial" w:hAnsi="Arial"/>
          <w:sz w:val="20"/>
          <w:szCs w:val="20"/>
          <w:b w:val="1"/>
          <w:bCs w:val="1"/>
          <w:u w:val="single" w:color="auto"/>
          <w:color w:val="auto"/>
        </w:rPr>
        <w:t>MALAYSIA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Malaysia</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Malaysia for tax, labour or securities law purposes.</w:t>
      </w:r>
    </w:p>
    <w:p>
      <w:pPr>
        <w:spacing w:after="0" w:line="183" w:lineRule="exact"/>
        <w:rPr>
          <w:sz w:val="20"/>
          <w:szCs w:val="20"/>
          <w:color w:val="auto"/>
        </w:rPr>
      </w:pPr>
    </w:p>
    <w:p>
      <w:pPr>
        <w:ind w:firstLine="656"/>
        <w:spacing w:after="0" w:line="260" w:lineRule="auto"/>
        <w:tabs>
          <w:tab w:leader="none" w:pos="12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in Malaysia shall be restricted to any person who is an Employee or a Non-Employee Director, as determined by the Administrator.</w:t>
      </w:r>
    </w:p>
    <w:p>
      <w:pPr>
        <w:spacing w:after="0" w:line="170"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Malaysian Insider Trading Notification</w:t>
      </w:r>
      <w:r>
        <w:rPr>
          <w:rFonts w:ascii="Arial" w:cs="Arial" w:eastAsia="Arial" w:hAnsi="Arial"/>
          <w:sz w:val="20"/>
          <w:szCs w:val="20"/>
          <w:color w:val="auto"/>
        </w:rPr>
        <w:t xml:space="preserve">. </w:t>
      </w:r>
      <w:r>
        <w:rPr>
          <w:rFonts w:ascii="Arial" w:cs="Arial" w:eastAsia="Arial" w:hAnsi="Arial"/>
          <w:sz w:val="20"/>
          <w:szCs w:val="20"/>
          <w:b w:val="1"/>
          <w:bCs w:val="1"/>
          <w:color w:val="auto"/>
        </w:rPr>
        <w:t>Participant</w:t>
      </w:r>
      <w:r>
        <w:rPr>
          <w:rFonts w:ascii="Arial" w:cs="Arial" w:eastAsia="Arial" w:hAnsi="Arial"/>
          <w:sz w:val="20"/>
          <w:szCs w:val="20"/>
          <w:color w:val="auto"/>
        </w:rPr>
        <w:t xml:space="preserve"> should be aware of the Malaysian insider-trading rules, which may impact </w:t>
      </w:r>
      <w:r>
        <w:rPr>
          <w:rFonts w:ascii="Arial" w:cs="Arial" w:eastAsia="Arial" w:hAnsi="Arial"/>
          <w:sz w:val="20"/>
          <w:szCs w:val="20"/>
          <w:b w:val="1"/>
          <w:bCs w:val="1"/>
          <w:color w:val="auto"/>
        </w:rPr>
        <w:t>Participant’s</w:t>
      </w:r>
      <w:r>
        <w:rPr>
          <w:rFonts w:ascii="Arial" w:cs="Arial" w:eastAsia="Arial" w:hAnsi="Arial"/>
          <w:sz w:val="20"/>
          <w:szCs w:val="20"/>
          <w:color w:val="auto"/>
        </w:rPr>
        <w:t xml:space="preserve"> acquisition or disposal of Shares or rights to Shares under the Plan. Under the Malaysian insider-trading rules, </w:t>
      </w:r>
      <w:r>
        <w:rPr>
          <w:rFonts w:ascii="Arial" w:cs="Arial" w:eastAsia="Arial" w:hAnsi="Arial"/>
          <w:sz w:val="20"/>
          <w:szCs w:val="20"/>
          <w:b w:val="1"/>
          <w:bCs w:val="1"/>
          <w:color w:val="auto"/>
        </w:rPr>
        <w:t xml:space="preserve">Participant is </w:t>
      </w:r>
      <w:r>
        <w:rPr>
          <w:rFonts w:ascii="Arial" w:cs="Arial" w:eastAsia="Arial" w:hAnsi="Arial"/>
          <w:sz w:val="20"/>
          <w:szCs w:val="20"/>
          <w:color w:val="auto"/>
        </w:rPr>
        <w:t>prohibited from acquiring or selling Shares or rights to Shares (e.g., an Award under the Plan) when</w:t>
      </w:r>
      <w:r>
        <w:rPr>
          <w:rFonts w:ascii="Arial" w:cs="Arial" w:eastAsia="Arial" w:hAnsi="Arial"/>
          <w:sz w:val="20"/>
          <w:szCs w:val="20"/>
          <w:b w:val="1"/>
          <w:bCs w:val="1"/>
          <w:color w:val="auto"/>
        </w:rPr>
        <w:t xml:space="preserve"> Participant is </w:t>
      </w:r>
      <w:r>
        <w:rPr>
          <w:rFonts w:ascii="Arial" w:cs="Arial" w:eastAsia="Arial" w:hAnsi="Arial"/>
          <w:sz w:val="20"/>
          <w:szCs w:val="20"/>
          <w:color w:val="auto"/>
        </w:rPr>
        <w:t>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possession of information which is not generally available and which </w:t>
      </w:r>
      <w:r>
        <w:rPr>
          <w:rFonts w:ascii="Arial" w:cs="Arial" w:eastAsia="Arial" w:hAnsi="Arial"/>
          <w:sz w:val="20"/>
          <w:szCs w:val="20"/>
          <w:b w:val="1"/>
          <w:bCs w:val="1"/>
          <w:color w:val="auto"/>
        </w:rPr>
        <w:t>Participant</w:t>
      </w:r>
      <w:r>
        <w:rPr>
          <w:rFonts w:ascii="Arial" w:cs="Arial" w:eastAsia="Arial" w:hAnsi="Arial"/>
          <w:sz w:val="20"/>
          <w:szCs w:val="20"/>
          <w:color w:val="auto"/>
        </w:rPr>
        <w:t xml:space="preserve"> know or should know will have a material effect on the price of Shares once such information is generally available.</w:t>
      </w:r>
    </w:p>
    <w:p>
      <w:pPr>
        <w:spacing w:after="0" w:line="184"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Director Notification Obligation</w:t>
      </w:r>
      <w:r>
        <w:rPr>
          <w:rFonts w:ascii="Arial" w:cs="Arial" w:eastAsia="Arial" w:hAnsi="Arial"/>
          <w:sz w:val="20"/>
          <w:szCs w:val="20"/>
          <w:color w:val="auto"/>
        </w:rPr>
        <w:t xml:space="preserve">. If </w:t>
      </w:r>
      <w:r>
        <w:rPr>
          <w:rFonts w:ascii="Arial" w:cs="Arial" w:eastAsia="Arial" w:hAnsi="Arial"/>
          <w:sz w:val="20"/>
          <w:szCs w:val="20"/>
          <w:b w:val="1"/>
          <w:bCs w:val="1"/>
          <w:color w:val="auto"/>
        </w:rPr>
        <w:t>Participant is</w:t>
      </w:r>
      <w:r>
        <w:rPr>
          <w:rFonts w:ascii="Arial" w:cs="Arial" w:eastAsia="Arial" w:hAnsi="Arial"/>
          <w:sz w:val="20"/>
          <w:szCs w:val="20"/>
          <w:color w:val="auto"/>
        </w:rPr>
        <w:t xml:space="preserve"> a director of a Malaysian Subsidiary or affiliate of the Company, </w:t>
      </w:r>
      <w:r>
        <w:rPr>
          <w:rFonts w:ascii="Arial" w:cs="Arial" w:eastAsia="Arial" w:hAnsi="Arial"/>
          <w:sz w:val="20"/>
          <w:szCs w:val="20"/>
          <w:b w:val="1"/>
          <w:bCs w:val="1"/>
          <w:color w:val="auto"/>
        </w:rPr>
        <w:t xml:space="preserve">Participant is </w:t>
      </w:r>
      <w:r>
        <w:rPr>
          <w:rFonts w:ascii="Arial" w:cs="Arial" w:eastAsia="Arial" w:hAnsi="Arial"/>
          <w:sz w:val="20"/>
          <w:szCs w:val="20"/>
          <w:color w:val="auto"/>
        </w:rPr>
        <w:t>subject to certain notification requirements under the Malaysian Companies Act. Among these requirements is an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notify the relevant Malaysian Subsidiary or affiliate in writing when </w:t>
      </w:r>
      <w:r>
        <w:rPr>
          <w:rFonts w:ascii="Arial" w:cs="Arial" w:eastAsia="Arial" w:hAnsi="Arial"/>
          <w:sz w:val="20"/>
          <w:szCs w:val="20"/>
          <w:b w:val="1"/>
          <w:bCs w:val="1"/>
          <w:color w:val="auto"/>
        </w:rPr>
        <w:t>Participant</w:t>
      </w:r>
      <w:r>
        <w:rPr>
          <w:rFonts w:ascii="Arial" w:cs="Arial" w:eastAsia="Arial" w:hAnsi="Arial"/>
          <w:sz w:val="20"/>
          <w:szCs w:val="20"/>
          <w:color w:val="auto"/>
        </w:rPr>
        <w:t xml:space="preserve"> receive or dispose of an interest (e.g., an Award under the Plan or Shares) in the Company or any related company. Such notifications must be made within 14 days of receiving or disposing of any interest in the Company or any related company.</w:t>
      </w:r>
    </w:p>
    <w:p>
      <w:pPr>
        <w:spacing w:after="0" w:line="190"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Securities Laws Notice</w:t>
      </w:r>
      <w:r>
        <w:rPr>
          <w:rFonts w:ascii="Arial" w:cs="Arial" w:eastAsia="Arial" w:hAnsi="Arial"/>
          <w:sz w:val="19"/>
          <w:szCs w:val="19"/>
          <w:color w:val="auto"/>
        </w:rPr>
        <w:t>. The Plan constitutes or relates to an “excluded offer,” “excluded invitation” or “excluded issue” pursuant to Sections 229 and 230 of the Malaysian Capital Markets and Services Act 2007. Copies of the Plan documents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w:t>
      </w:r>
    </w:p>
    <w:p>
      <w:pPr>
        <w:spacing w:after="0" w:line="180" w:lineRule="exact"/>
        <w:rPr>
          <w:rFonts w:ascii="Arial" w:cs="Arial" w:eastAsia="Arial" w:hAnsi="Arial"/>
          <w:sz w:val="19"/>
          <w:szCs w:val="19"/>
          <w:color w:val="auto"/>
        </w:rPr>
      </w:pPr>
    </w:p>
    <w:p>
      <w:pPr>
        <w:ind w:left="1300" w:hanging="644"/>
        <w:spacing w:after="0"/>
        <w:tabs>
          <w:tab w:leader="none" w:pos="130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Bahasa Malaysia translation of Data Privacy clause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Data Privasi</w:t>
      </w:r>
      <w:r>
        <w:rPr>
          <w:rFonts w:ascii="Arial" w:cs="Arial" w:eastAsia="Arial" w:hAnsi="Arial"/>
          <w:sz w:val="20"/>
          <w:szCs w:val="20"/>
          <w:i w:val="1"/>
          <w:iCs w:val="1"/>
          <w:color w:val="auto"/>
        </w:rPr>
        <w:t>. Klausa ini membatalkan dan menggantikan klausa 11.8 Pelan. Setiap Peserta mengakui bahawa bagi tujuan melancarkan, termasuk melaksanakan, mengurus dan mentadbir Pelan dan Perjanjian (“Tujuan”), ia adalah perlu bagi Syarikat untuk mengumpulkan informasi peribadi Peserta termasuk: nama Peserta, alamat rumah, nombor telefon, tarikh lahir, nombor keselamatan sosial (jika dibenarkan), nombor insurans atau nombor kad pengenalan (jika dibenarkan), nombor pasport (jika dibenarkan), gaji, kewarganegaraan, nama jawatan, dan informasi mengenai apa-apa saham atau stok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4" w:name="page85"/>
    <w:bookmarkEnd w:id="84"/>
    <w:p>
      <w:pPr>
        <w:jc w:val="both"/>
        <w:spacing w:after="0" w:line="250" w:lineRule="auto"/>
        <w:rPr>
          <w:sz w:val="20"/>
          <w:szCs w:val="20"/>
          <w:color w:val="auto"/>
        </w:rPr>
      </w:pPr>
      <w:r>
        <w:rPr>
          <w:rFonts w:ascii="Arial" w:cs="Arial" w:eastAsia="Arial" w:hAnsi="Arial"/>
          <w:sz w:val="20"/>
          <w:szCs w:val="20"/>
          <w:i w:val="1"/>
          <w:iCs w:val="1"/>
          <w:color w:val="auto"/>
        </w:rPr>
        <w:t>yang dipegang didalam Syarikat atau anak Syarikat, informasi mengenai semua Anugerah (“Data”). Syarikat, yang mempunyai alamat berdaftar di One St. Paul’s Churchyard, London, EC4M 8AP, United Kingdom, adalah ‘data controller” bagi pemprosesan data. Menurutnya, Data adalah dikumpulkan secara langsung daripada Peserta atau diberikan oleh Majikan.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Selain daripada Tujuan, Syarikat akan menggunakan Data (i) bagi tujuan pematuhan undang-undang sekuriti dan laporan kewangan dan kehendak undang-undang yang lain, dan (ii) atas dasar kepentingan sah bagi kes yang tertunggak dan/atau pertikaian yang diancam dan/atau tuntutan (undang-undang), penyiasatan oleh badan berkanun yang relevan, litigasi dan arbitrasi, untuk memastikan kedudukan undang-undang, untuk mendapatkan nasihat (luaran) dan/atau untuk membina atau mempertahankan kedudukan (undang-undang) dan/atau melaksanakan tuntutan (undang-undang).</w:t>
      </w:r>
    </w:p>
    <w:p>
      <w:pPr>
        <w:spacing w:after="0" w:line="194" w:lineRule="exact"/>
        <w:rPr>
          <w:sz w:val="20"/>
          <w:szCs w:val="20"/>
          <w:color w:val="auto"/>
        </w:rPr>
      </w:pPr>
    </w:p>
    <w:p>
      <w:pPr>
        <w:jc w:val="both"/>
        <w:ind w:firstLine="656"/>
        <w:spacing w:after="0" w:line="306" w:lineRule="auto"/>
        <w:tabs>
          <w:tab w:leader="none" w:pos="1296"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Data boleh didedahkan kepada anak Syarikat (termasuk Majikan) atau kepada pihak ketiga pentadbir pelan (termasuk bank-bank, broker-broker, pemilik kustodi, depositori sekuriti, bursa saham, dll) dan juga pengaudit, penasihat dan konsultan mereka dan mana-mana pihak yang dirasakan perlu dan sesuai bagi Tujuan. Syarikat juga boleh menjadikan tesedia Data Peserta bagi pihak-pihak berkuasa awam sekiranya diperlukan dibawah undang-undang atau peraturan dan boleh juga mendedahkan Data kepada mahkamah judisial and arbitrasi dan/atau jawatankuasa dan penasihat luar. Entiti-entiti tersebut dan badan-badan berkuasa mungkin bertempat di Amerika Syarikat, Kawasan Ekonomi Eropah, atau mana-mana sahaja, termasuk di kawasan dimana undang-undang perlindungan data tidak mempunyai perlindungan yang sama dengan bidang kuasa di mana Peserta menetap. Sekiranya relevan, Syarikat dan anak Syarikat akan melaksanakan perlindungan yang bersesuaian untuk memastikan perlindungan Data, umpamanya klausa kontrak yang standard seperti yang dicadangkan oleh Suruhanjaya Eropah. Sekiranya Peserta bekerja dengan anak Syarikat yang ditubuhkan di dalam Kawasan Ekonomi Eropah, sekiranya United Kingdom menjadi negara ketiga (untuk kegunaan GDPR) sebagai akibat daripada Brexit, Syarikat akan melaksanakan perlindungan yang bersesuaian untuk memastikan perlindungan Data dalam kes pemindahan Data dari dalam Kawasan Ekonomi Eropah ke luar Kawasan Ekonomi Eropah, seperti klausa kontrak yang standard seperti yang dicadangkan oleh Suruhanjaya Eropah. Peserta boleh meminta salinan perlindungan seperti itu dengan menghubungi Pejabat Perlindungan Data TechnipFMC di privacy@TechnipFMC.com atau wakil sumber manusia tempatan Peserta.</w:t>
      </w: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Peserta boleh meminta untuk mendapatkan akses kepada Data, untuk membetulkan mana-mana Data tersebut, untuk memadamkan Data, untuk menyekat pemprosesan Data, untuk membantah pemprosesan Data, serta permintaan pemindahan Data menurut Artikel 15 hingga 21 GDPR dan berhak memfailkan aduan dan / atau tuntutan dengan pihak berkuasa perlindungan data yang kompeten. Permintaan mengenai Data, pertanyaan atau aduan boleh ditangani dengan menghubungi Pejabat Perlindungan Data TechnipFMC di privacy@TechnipFMC.com atau wakil sumber manusia tempatan Peserta.</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Ia adalah wajib bagi Peserta untuk memberikan apa-apa Data yang diminta. Jika Peserta memilih untuk tidak memberikan sebarang Data yang diminta atau menyekat pemprosesan Data, Syarikat tidak akan dapat melaksanakan obligasinya di bawah Pelan.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Data akan dipegang dan digunakan hanya selagi diperlukan untuk Tujuan. Hanya di mana Syarikat dan / atau anak-anak Syarikatnya diwajibkan secara sah (contohnya untuk pematuhan dengan tujuan pelaporan undang-undang dan kewangan), atau jika ini perlu untuk mempertahankan kepentingan mereka dalam konteks prosiding kehakiman, Syarikat dan / atau anak-anak Syarikatnya akan menyimpan Data untuk tempoh yang lebih lama. Peserta boleh meminta maklumat lanjut mengenai tempoh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i w:val="1"/>
          <w:iCs w:val="1"/>
          <w:color w:val="auto"/>
        </w:rPr>
        <w:t>pengekalan yang terpakai bagi Data dengan menghubungi Pejabat Perlindungan Data TechnipFMC di privacy@TechnipFMC.com atau wakil sumber manusia tempatan Peserta.</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Peserta boleh merujuk selanjutnya maklumat khusus negara mengenai pemprosesan Data di bawah Jadual A Perjanjian, termasuk tetapi tidak terhad kepada butiran perhubungan Pegawai Perlindungan Data tempatan, jika ada.</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Jika Peserta bekerja dengan anak Syarikat yang ditubuhkan di luar Kawasan Ekonomi Eropah dan setakat persetujuannya untuk pemprosesan dan / atau pemindahan Data diperlukan (lihat maklumat khusus negara dalam Jadual A Perjanjian), Peserta dengan ini bersetuju untuk pemprosesan dan / atau pindahan sedemikian seperti yang dinyatakan dalam klausa 20 Perjanjian. Pada bila-bila masa, Peserta boleh menarik balik persetujuan yang diberikan di sini secara bertulis dengan menghubungi Pejabat Perlindungan Data TechnipFMC di privacy@TechnipFMC.com atau wakil sumber manusia tempatan Peserta. Peserta mengakui, bersetuju dan menerima bahawa sekiranya dia memilih untuk menarik balik persetujuannya, Syarikat mungkin tidak dapat melaksanakan tanggungjawabnya dan mentadbirkan Pelan dan Perjanjian.”</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b w:val="1"/>
          <w:bCs w:val="1"/>
          <w:u w:val="single" w:color="auto"/>
          <w:color w:val="auto"/>
        </w:rPr>
        <w:t>MEXICO</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The provisions of this </w:t>
      </w:r>
      <w:r>
        <w:rPr>
          <w:rFonts w:ascii="Arial" w:cs="Arial" w:eastAsia="Arial" w:hAnsi="Arial"/>
          <w:sz w:val="19"/>
          <w:szCs w:val="19"/>
          <w:b w:val="1"/>
          <w:bCs w:val="1"/>
          <w:color w:val="auto"/>
        </w:rPr>
        <w:t>Country Schedule for Mexico</w:t>
      </w:r>
      <w:r>
        <w:rPr>
          <w:rFonts w:ascii="Arial" w:cs="Arial" w:eastAsia="Arial" w:hAnsi="Arial"/>
          <w:sz w:val="19"/>
          <w:szCs w:val="19"/>
          <w:color w:val="auto"/>
        </w:rPr>
        <w:t xml:space="preserve"> provide additional definitions and conditions for the purpose of granting PSUs which are intended to be granted to Eligible Individuals who are resident in Mexico for tax, labour or securities law purposes.</w:t>
      </w:r>
    </w:p>
    <w:p>
      <w:pPr>
        <w:spacing w:after="0" w:line="148"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16" w:lineRule="exact"/>
        <w:rPr>
          <w:sz w:val="20"/>
          <w:szCs w:val="20"/>
          <w:color w:val="auto"/>
        </w:rPr>
      </w:pPr>
    </w:p>
    <w:p>
      <w:pPr>
        <w:jc w:val="both"/>
        <w:ind w:firstLine="1147"/>
        <w:spacing w:after="0" w:line="260"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Termination of Service</w:t>
      </w:r>
      <w:r>
        <w:rPr>
          <w:rFonts w:ascii="Arial" w:cs="Arial" w:eastAsia="Arial" w:hAnsi="Arial"/>
          <w:sz w:val="19"/>
          <w:szCs w:val="19"/>
          <w:color w:val="auto"/>
        </w:rPr>
        <w:t>”: For the purposes of this Agreement and the Plan, Participant will be deemed to have experienced a Termination of Service on the date when Participant is no longer providing active services to the Company and/or its Subsidiaries and affiliates, including without limitation, because of termination by the Company or a Subsidiary of its relationship with the Participant for any reason, with or without cause, termination by mutual consent, resignation, discharge, but excluding terminations where the Participant simultaneously commences or remains in service with the Company or any Subsidiary.</w:t>
      </w:r>
    </w:p>
    <w:p>
      <w:pPr>
        <w:spacing w:after="0" w:line="180" w:lineRule="exact"/>
        <w:rPr>
          <w:sz w:val="20"/>
          <w:szCs w:val="20"/>
          <w:color w:val="auto"/>
        </w:rPr>
      </w:pPr>
    </w:p>
    <w:p>
      <w:pPr>
        <w:jc w:val="both"/>
        <w:ind w:firstLine="1092"/>
        <w:spacing w:after="0" w:line="282" w:lineRule="auto"/>
        <w:rPr>
          <w:sz w:val="20"/>
          <w:szCs w:val="20"/>
          <w:color w:val="auto"/>
        </w:rPr>
      </w:pPr>
      <w:r>
        <w:rPr>
          <w:rFonts w:ascii="Arial" w:cs="Arial" w:eastAsia="Arial" w:hAnsi="Arial"/>
          <w:sz w:val="18"/>
          <w:szCs w:val="18"/>
          <w:color w:val="auto"/>
        </w:rPr>
        <w:t>vi.“Detrimental Activity”: For the purposes of this Agreement and the Plan, the definition of “Detrimental Activity” in section 23 shall be expanded to include any act or omission that to the Company or its Subsidiaries’ discretion constitutes cause for termination of the Participant’s relationship with the Company or its Subsidiaries under Applicable Law, without the Company or its Subsidiaries having to notify the termination with cause before any authority or follow any procedure before any authority to demonstrate such cause.</w:t>
      </w:r>
    </w:p>
    <w:p>
      <w:pPr>
        <w:spacing w:after="0" w:line="161" w:lineRule="exact"/>
        <w:rPr>
          <w:sz w:val="20"/>
          <w:szCs w:val="20"/>
          <w:color w:val="auto"/>
        </w:rPr>
      </w:pPr>
    </w:p>
    <w:p>
      <w:pPr>
        <w:jc w:val="both"/>
        <w:ind w:firstLine="1038"/>
        <w:spacing w:after="0" w:line="316" w:lineRule="auto"/>
        <w:rPr>
          <w:sz w:val="20"/>
          <w:szCs w:val="20"/>
          <w:color w:val="auto"/>
        </w:rPr>
      </w:pPr>
      <w:r>
        <w:rPr>
          <w:rFonts w:ascii="Arial" w:cs="Arial" w:eastAsia="Arial" w:hAnsi="Arial"/>
          <w:sz w:val="18"/>
          <w:szCs w:val="18"/>
          <w:color w:val="auto"/>
        </w:rPr>
        <w:t>vii.“</w:t>
      </w:r>
      <w:r>
        <w:rPr>
          <w:rFonts w:ascii="Arial" w:cs="Arial" w:eastAsia="Arial" w:hAnsi="Arial"/>
          <w:sz w:val="18"/>
          <w:szCs w:val="18"/>
          <w:u w:val="single" w:color="auto"/>
          <w:color w:val="auto"/>
        </w:rPr>
        <w:t>Good Reason</w:t>
      </w:r>
      <w:r>
        <w:rPr>
          <w:rFonts w:ascii="Arial" w:cs="Arial" w:eastAsia="Arial" w:hAnsi="Arial"/>
          <w:sz w:val="18"/>
          <w:szCs w:val="18"/>
          <w:color w:val="auto"/>
        </w:rPr>
        <w:t>”: For the purposes of this Agreement and the Plan, the definition of “Good Reason” in section 22(c) means, without the Participant’s express written consent, the occurrence of any one or more of the following during the Protection Period:</w:t>
      </w:r>
    </w:p>
    <w:p>
      <w:pPr>
        <w:spacing w:after="0" w:line="130" w:lineRule="exact"/>
        <w:rPr>
          <w:sz w:val="20"/>
          <w:szCs w:val="20"/>
          <w:color w:val="auto"/>
        </w:rPr>
      </w:pPr>
    </w:p>
    <w:p>
      <w:pPr>
        <w:jc w:val="both"/>
        <w:ind w:firstLine="1952"/>
        <w:spacing w:after="0" w:line="246" w:lineRule="auto"/>
        <w:tabs>
          <w:tab w:leader="none" w:pos="2581"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assignment of the Participant to duties materially inconsistent with the Participant’s authorities, duties, responsibilities, and status (including, without limitation, offices, titles and reporting requirements) (including, without limitation, any material adverse change in duties or status as a result of the stock of the Company ceasing to be publicly traded or of the Company becoming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6" w:name="page87"/>
    <w:bookmarkEnd w:id="86"/>
    <w:p>
      <w:pPr>
        <w:jc w:val="both"/>
        <w:spacing w:after="0" w:line="282" w:lineRule="auto"/>
        <w:rPr>
          <w:sz w:val="20"/>
          <w:szCs w:val="20"/>
          <w:color w:val="auto"/>
        </w:rPr>
      </w:pPr>
      <w:r>
        <w:rPr>
          <w:rFonts w:ascii="Arial" w:cs="Arial" w:eastAsia="Arial" w:hAnsi="Arial"/>
          <w:sz w:val="18"/>
          <w:szCs w:val="18"/>
          <w:color w:val="auto"/>
        </w:rPr>
        <w:t>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161" w:lineRule="exact"/>
        <w:rPr>
          <w:sz w:val="20"/>
          <w:szCs w:val="20"/>
          <w:color w:val="auto"/>
        </w:rPr>
      </w:pPr>
    </w:p>
    <w:p>
      <w:pPr>
        <w:jc w:val="both"/>
        <w:ind w:firstLine="1952"/>
        <w:spacing w:after="0" w:line="246" w:lineRule="auto"/>
        <w:tabs>
          <w:tab w:leader="none" w:pos="2592"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81" w:val="left"/>
        </w:tabs>
        <w:numPr>
          <w:ilvl w:val="0"/>
          <w:numId w:val="91"/>
        </w:numPr>
        <w:rPr>
          <w:rFonts w:ascii="Arial" w:cs="Arial" w:eastAsia="Arial" w:hAnsi="Arial"/>
          <w:sz w:val="20"/>
          <w:szCs w:val="20"/>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 or</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91"/>
        </w:numPr>
        <w:rPr>
          <w:rFonts w:ascii="Arial" w:cs="Arial" w:eastAsia="Arial" w:hAnsi="Arial"/>
          <w:sz w:val="20"/>
          <w:szCs w:val="20"/>
          <w:color w:val="auto"/>
        </w:rPr>
      </w:pPr>
      <w:r>
        <w:rPr>
          <w:rFonts w:ascii="Arial" w:cs="Arial" w:eastAsia="Arial" w:hAnsi="Arial"/>
          <w:sz w:val="20"/>
          <w:szCs w:val="20"/>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(a) on the Grant Date, (b) during the fiscal year immediately preceding the year of the Change in Control and (c) on the date immediately preceding the Change in Control.</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existence of Good Reason will not be affected by the Participant’s temporary incapacity due to physical or mental illness not constituting a Disability. The Participant’s continued service will not constitute a waiver of the Participant’s rights with respect to any circumstance constituting Good Reason; however, “Good Reason” for Participant’s separation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the Company effective not later than twenty four (24) months after the original occurrence of the “Good Reason” event. For sake of clarity, the event giving rise to a Good Reason termination must occur during the Protection Period, but Participant’s actual termination for Good Reason may occur after the end of the Protection Period, and such termination will be treated as if it occurred during the Protection Period for purposes of </w:t>
      </w:r>
      <w:r>
        <w:rPr>
          <w:rFonts w:ascii="Arial" w:cs="Arial" w:eastAsia="Arial" w:hAnsi="Arial"/>
          <w:sz w:val="20"/>
          <w:szCs w:val="20"/>
          <w:u w:val="single" w:color="auto"/>
          <w:color w:val="auto"/>
        </w:rPr>
        <w:t>Section 3(a)</w:t>
      </w:r>
      <w:r>
        <w:rPr>
          <w:rFonts w:ascii="Arial" w:cs="Arial" w:eastAsia="Arial" w:hAnsi="Arial"/>
          <w:sz w:val="20"/>
          <w:szCs w:val="20"/>
          <w:color w:val="auto"/>
        </w:rPr>
        <w:t>.</w:t>
      </w:r>
    </w:p>
    <w:p>
      <w:pPr>
        <w:spacing w:after="0" w:line="194" w:lineRule="exact"/>
        <w:rPr>
          <w:sz w:val="20"/>
          <w:szCs w:val="20"/>
          <w:color w:val="auto"/>
        </w:rPr>
      </w:pPr>
    </w:p>
    <w:p>
      <w:pPr>
        <w:jc w:val="both"/>
        <w:ind w:firstLine="656"/>
        <w:spacing w:after="0" w:line="273" w:lineRule="auto"/>
        <w:tabs>
          <w:tab w:leader="none" w:pos="129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Entitlement for Claims.</w:t>
      </w:r>
      <w:r>
        <w:rPr>
          <w:rFonts w:ascii="Arial" w:cs="Arial" w:eastAsia="Arial" w:hAnsi="Arial"/>
          <w:sz w:val="18"/>
          <w:szCs w:val="18"/>
          <w:color w:val="auto"/>
        </w:rPr>
        <w:t xml:space="preserve"> The Company has unilaterally, gratuitously and discretionally decided to grant the PSUs under the Plan. In accepting this Agreement, Participant expressly acknowledges and accepts that the PSUs and the Shares issued pursuant to vesting are granted directly by the Company; therefore, such are not part of the salary, payments, bonuses, premiums, commissions, employment benefits in money or in kind, or any other benefits paid out by the Mexican Subsidiary to the Participant because of his/her services. Consequently, the PSUs are granted on the assumption and condition that PSUs and the Shares issued pursuant to vesting of the PSUs are not part of the Participant’s remuneration by the Mexican Subsidiary of the Company and shall not be considered for any purposes in connection with such Mexican Subsidiary, including without limitation, for determining any severance payment or compensation otherwise due, or any payments resulting from any employment relationship that may be in place.</w:t>
      </w:r>
    </w:p>
    <w:p>
      <w:pPr>
        <w:spacing w:after="0" w:line="168" w:lineRule="exact"/>
        <w:rPr>
          <w:rFonts w:ascii="Arial" w:cs="Arial" w:eastAsia="Arial" w:hAnsi="Arial"/>
          <w:sz w:val="18"/>
          <w:szCs w:val="18"/>
          <w:color w:val="auto"/>
        </w:rPr>
      </w:pPr>
    </w:p>
    <w:p>
      <w:pPr>
        <w:ind w:firstLine="656"/>
        <w:spacing w:after="0" w:line="260" w:lineRule="auto"/>
        <w:tabs>
          <w:tab w:leader="none" w:pos="1296"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Tax</w:t>
      </w:r>
      <w:r>
        <w:rPr>
          <w:rFonts w:ascii="Arial" w:cs="Arial" w:eastAsia="Arial" w:hAnsi="Arial"/>
          <w:sz w:val="20"/>
          <w:szCs w:val="20"/>
          <w:color w:val="auto"/>
        </w:rPr>
        <w:t>. The Participant is advised to seek professional tax advice as to the Participant’s tax implications. All taxes (including income tax) arising from the award of any PSU or the vesting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7" w:name="page88"/>
    <w:bookmarkEnd w:id="87"/>
    <w:p>
      <w:pPr>
        <w:jc w:val="both"/>
        <w:spacing w:after="0" w:line="246" w:lineRule="auto"/>
        <w:rPr>
          <w:sz w:val="20"/>
          <w:szCs w:val="20"/>
          <w:color w:val="auto"/>
        </w:rPr>
      </w:pPr>
      <w:r>
        <w:rPr>
          <w:rFonts w:ascii="Arial" w:cs="Arial" w:eastAsia="Arial" w:hAnsi="Arial"/>
          <w:sz w:val="20"/>
          <w:szCs w:val="20"/>
          <w:color w:val="auto"/>
        </w:rPr>
        <w:t>PSU thereon shall be borne by the Participant, who shall pay such taxes pursuant to the Applicable Law and shall provide to the Company copies of the applicable tax return and the tax payment within the five (5) business days following to the date when the corresponding tax should have been paid. Likewise, the Participant shall deliver to the Company the applicable digital tax invoice, if any, to be issued pursuant to the Applicable Law and a copy thereof to a Mexican affiliate of the Company.</w:t>
      </w:r>
    </w:p>
    <w:p>
      <w:pPr>
        <w:spacing w:after="0" w:line="191" w:lineRule="exact"/>
        <w:rPr>
          <w:sz w:val="20"/>
          <w:szCs w:val="20"/>
          <w:color w:val="auto"/>
        </w:rPr>
      </w:pPr>
    </w:p>
    <w:p>
      <w:pPr>
        <w:jc w:val="both"/>
        <w:ind w:firstLine="656"/>
        <w:spacing w:after="0" w:line="250" w:lineRule="auto"/>
        <w:tabs>
          <w:tab w:leader="none" w:pos="1296"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By entering into the Agreement, Participant consents to the processing of Data by Company for the Purposes. The recipient of Participant’s personal data will retain the data in a secure network system at such standard as would be reasonably expected for the storage of valuable and proprietary for sensitive/confidential data.</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ii.NETHERLANDS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the Netherlands</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the Netherlands for tax, labour or securities law purposes.</w:t>
      </w:r>
    </w:p>
    <w:p>
      <w:pPr>
        <w:spacing w:after="0" w:line="183" w:lineRule="exact"/>
        <w:rPr>
          <w:sz w:val="20"/>
          <w:szCs w:val="20"/>
          <w:color w:val="auto"/>
        </w:rPr>
      </w:pPr>
    </w:p>
    <w:p>
      <w:pPr>
        <w:jc w:val="both"/>
        <w:ind w:firstLine="656"/>
        <w:spacing w:after="0" w:line="244" w:lineRule="auto"/>
        <w:tabs>
          <w:tab w:leader="none" w:pos="1296"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For the avoidance of doubt, taxes include social security contributions. The Participant shall indemnify the Company or the Employer from and against any liability for or obligation to pay any Tax Liability (a “Tax Liability” being any liability for income tax, withholding tax and any other employment related taxes in any jurisdiction, including but not limited to wage tax or social security contributions) that is attributable to (1) the grant or vesting of, or any benefit the Participant derives from, the PSUs, (2) the Participant’s acquisition of Shares, or (3) the disposal of any Shares.</w:t>
      </w:r>
    </w:p>
    <w:p>
      <w:pPr>
        <w:spacing w:after="0" w:line="194"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information contained herein does not constitute an offer of securities to the public in the Netherlands. Participation in the Plan is restricted to Employees of the Company and its subsidiaries who meet the eligibility criteria. The information contained herein is intended only for those Employees of the Company and its subsidiaries eligible to participate in the Plan.</w:t>
      </w:r>
    </w:p>
    <w:p>
      <w:pPr>
        <w:spacing w:after="0" w:line="151"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T</w:t>
      </w:r>
      <w:r>
        <w:rPr>
          <w:rFonts w:ascii="Arial" w:cs="Arial" w:eastAsia="Arial" w:hAnsi="Arial"/>
          <w:sz w:val="20"/>
          <w:szCs w:val="20"/>
          <w:color w:val="auto"/>
        </w:rPr>
        <w:t>ermination of Service. Detrimental Activity, Disability, Good Reason and Retirement. For the avoidance of doubt, the definitions of Termination of Service, Detrimental Activity, Disability, Good Reason and Retirement shall be subject to Dutch law and its interpretation.</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16" w:lineRule="exact"/>
        <w:rPr>
          <w:sz w:val="20"/>
          <w:szCs w:val="20"/>
          <w:color w:val="auto"/>
        </w:rPr>
      </w:pPr>
    </w:p>
    <w:p>
      <w:pPr>
        <w:ind w:firstLine="983"/>
        <w:spacing w:after="0" w:line="260" w:lineRule="auto"/>
        <w:rPr>
          <w:sz w:val="20"/>
          <w:szCs w:val="20"/>
          <w:color w:val="auto"/>
        </w:rPr>
      </w:pPr>
      <w:r>
        <w:rPr>
          <w:rFonts w:ascii="Arial" w:cs="Arial" w:eastAsia="Arial" w:hAnsi="Arial"/>
          <w:sz w:val="20"/>
          <w:szCs w:val="20"/>
          <w:color w:val="auto"/>
        </w:rPr>
        <w:t>viii.“</w:t>
      </w:r>
      <w:r>
        <w:rPr>
          <w:rFonts w:ascii="Arial" w:cs="Arial" w:eastAsia="Arial" w:hAnsi="Arial"/>
          <w:sz w:val="20"/>
          <w:szCs w:val="20"/>
          <w:u w:val="single" w:color="auto"/>
          <w:color w:val="auto"/>
        </w:rPr>
        <w:t>Employee</w:t>
      </w:r>
      <w:r>
        <w:rPr>
          <w:rFonts w:ascii="Arial" w:cs="Arial" w:eastAsia="Arial" w:hAnsi="Arial"/>
          <w:sz w:val="20"/>
          <w:szCs w:val="20"/>
          <w:color w:val="auto"/>
        </w:rPr>
        <w:t>” means: any officer or other employee (as determined in accordance with Article 7:610 of the Dutch Civil Code) of the Company or of any Subsidiary.</w:t>
      </w:r>
    </w:p>
    <w:p>
      <w:pPr>
        <w:spacing w:after="0" w:line="177" w:lineRule="exact"/>
        <w:rPr>
          <w:sz w:val="20"/>
          <w:szCs w:val="20"/>
          <w:color w:val="auto"/>
        </w:rPr>
      </w:pPr>
    </w:p>
    <w:p>
      <w:pPr>
        <w:ind w:firstLine="1092"/>
        <w:spacing w:after="0" w:line="260" w:lineRule="auto"/>
        <w:rPr>
          <w:sz w:val="20"/>
          <w:szCs w:val="20"/>
          <w:color w:val="auto"/>
        </w:rPr>
      </w:pPr>
      <w:r>
        <w:rPr>
          <w:rFonts w:ascii="Arial" w:cs="Arial" w:eastAsia="Arial" w:hAnsi="Arial"/>
          <w:sz w:val="20"/>
          <w:szCs w:val="20"/>
          <w:color w:val="auto"/>
        </w:rPr>
        <w:t>ix.“</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agreement at the time the State pension age (</w:t>
      </w:r>
      <w:r>
        <w:rPr>
          <w:rFonts w:ascii="Arial" w:cs="Arial" w:eastAsia="Arial" w:hAnsi="Arial"/>
          <w:sz w:val="20"/>
          <w:szCs w:val="20"/>
          <w:i w:val="1"/>
          <w:iCs w:val="1"/>
          <w:color w:val="auto"/>
        </w:rPr>
        <w:t>AOW-gerechtigde leeftijd</w:t>
      </w:r>
      <w:r>
        <w:rPr>
          <w:rFonts w:ascii="Arial" w:cs="Arial" w:eastAsia="Arial" w:hAnsi="Arial"/>
          <w:sz w:val="20"/>
          <w:szCs w:val="20"/>
          <w:color w:val="auto"/>
        </w:rPr>
        <w:t>) is reached.</w:t>
      </w:r>
    </w:p>
    <w:p>
      <w:pPr>
        <w:spacing w:after="0" w:line="177"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w:t>
      </w:r>
    </w:p>
    <w:p>
      <w:pPr>
        <w:spacing w:after="0" w:line="216" w:lineRule="exact"/>
        <w:rPr>
          <w:sz w:val="20"/>
          <w:szCs w:val="20"/>
          <w:color w:val="auto"/>
        </w:rPr>
      </w:pPr>
    </w:p>
    <w:p>
      <w:pPr>
        <w:ind w:right="20" w:firstLine="1147"/>
        <w:spacing w:after="0" w:line="260" w:lineRule="auto"/>
        <w:rPr>
          <w:sz w:val="20"/>
          <w:szCs w:val="20"/>
          <w:color w:val="auto"/>
        </w:rPr>
      </w:pPr>
      <w:r>
        <w:rPr>
          <w:rFonts w:ascii="Arial" w:cs="Arial" w:eastAsia="Arial" w:hAnsi="Arial"/>
          <w:sz w:val="20"/>
          <w:szCs w:val="20"/>
          <w:color w:val="auto"/>
        </w:rPr>
        <w:t>x.The Participant's citizen service number (</w:t>
      </w:r>
      <w:r>
        <w:rPr>
          <w:rFonts w:ascii="Arial" w:cs="Arial" w:eastAsia="Arial" w:hAnsi="Arial"/>
          <w:sz w:val="20"/>
          <w:szCs w:val="20"/>
          <w:i w:val="1"/>
          <w:iCs w:val="1"/>
          <w:color w:val="auto"/>
        </w:rPr>
        <w:t>burger service nummer</w:t>
      </w:r>
      <w:r>
        <w:rPr>
          <w:rFonts w:ascii="Arial" w:cs="Arial" w:eastAsia="Arial" w:hAnsi="Arial"/>
          <w:sz w:val="20"/>
          <w:szCs w:val="20"/>
          <w:color w:val="auto"/>
        </w:rPr>
        <w:t>) will not be processed by the Company nor disclosed to third parties unless a legal obligation exists to do so.</w:t>
      </w:r>
    </w:p>
    <w:p>
      <w:pPr>
        <w:spacing w:after="0" w:line="177" w:lineRule="exact"/>
        <w:rPr>
          <w:sz w:val="20"/>
          <w:szCs w:val="20"/>
          <w:color w:val="auto"/>
        </w:rPr>
      </w:pPr>
    </w:p>
    <w:p>
      <w:pPr>
        <w:ind w:right="20" w:firstLine="1092"/>
        <w:spacing w:after="0" w:line="287" w:lineRule="auto"/>
        <w:rPr>
          <w:sz w:val="20"/>
          <w:szCs w:val="20"/>
          <w:color w:val="auto"/>
        </w:rPr>
      </w:pPr>
      <w:r>
        <w:rPr>
          <w:rFonts w:ascii="Arial" w:cs="Arial" w:eastAsia="Arial" w:hAnsi="Arial"/>
          <w:sz w:val="19"/>
          <w:szCs w:val="19"/>
          <w:color w:val="auto"/>
        </w:rPr>
        <w:t>xi.The Participant has the right to object to the processing of his Data and to lodge a complaint with the Dutch Data Protection Authority (</w:t>
      </w:r>
      <w:r>
        <w:rPr>
          <w:rFonts w:ascii="Arial" w:cs="Arial" w:eastAsia="Arial" w:hAnsi="Arial"/>
          <w:sz w:val="19"/>
          <w:szCs w:val="19"/>
          <w:i w:val="1"/>
          <w:iCs w:val="1"/>
          <w:color w:val="auto"/>
        </w:rPr>
        <w:t>Autoriteit Persoonsgegevens</w:t>
      </w:r>
      <w:r>
        <w:rPr>
          <w:rFonts w:ascii="Arial" w:cs="Arial" w:eastAsia="Arial" w:hAnsi="Arial"/>
          <w:sz w:val="19"/>
          <w:szCs w:val="19"/>
          <w:color w:val="auto"/>
        </w:rPr>
        <w:t>) which can be done on the website www.autoriteitpersoonsgegevens.nl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8" w:name="page89"/>
    <w:bookmarkEnd w:id="88"/>
    <w:p>
      <w:pPr>
        <w:jc w:val="both"/>
        <w:ind w:firstLine="1038"/>
        <w:spacing w:after="0" w:line="246" w:lineRule="auto"/>
        <w:rPr>
          <w:sz w:val="20"/>
          <w:szCs w:val="20"/>
          <w:color w:val="auto"/>
        </w:rPr>
      </w:pPr>
      <w:r>
        <w:rPr>
          <w:rFonts w:ascii="Arial" w:cs="Arial" w:eastAsia="Arial" w:hAnsi="Arial"/>
          <w:sz w:val="20"/>
          <w:szCs w:val="20"/>
          <w:color w:val="auto"/>
        </w:rPr>
        <w:t>xii.Data will be held and used through the relevant time limitation period for claims under the Plan, and for as long as required by the law for compliance with legal and financial reporting purposes, which shall be for a period of at least 5 years after Participation to the Plan has ended and/or terminated or where the Data is part of the financial administration required for Dutch tax law purposes for a period of at least 7 years after the end of the relevant tax year.</w:t>
      </w:r>
    </w:p>
    <w:p>
      <w:pPr>
        <w:spacing w:after="0" w:line="185" w:lineRule="exact"/>
        <w:rPr>
          <w:sz w:val="20"/>
          <w:szCs w:val="20"/>
          <w:color w:val="auto"/>
        </w:rPr>
      </w:pPr>
    </w:p>
    <w:p>
      <w:pPr>
        <w:ind w:left="3680"/>
        <w:spacing w:after="0"/>
        <w:tabs>
          <w:tab w:leader="none" w:pos="516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20"/>
          <w:szCs w:val="20"/>
          <w:b w:val="1"/>
          <w:bCs w:val="1"/>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By entering into the Agreement, Participant consents to the processing of Data by Company for the Purposes.</w:t>
      </w:r>
    </w:p>
    <w:p>
      <w:pPr>
        <w:spacing w:after="0" w:line="216" w:lineRule="exact"/>
        <w:rPr>
          <w:sz w:val="20"/>
          <w:szCs w:val="20"/>
          <w:color w:val="auto"/>
        </w:rPr>
      </w:pPr>
    </w:p>
    <w:p>
      <w:pPr>
        <w:jc w:val="both"/>
        <w:ind w:firstLine="8"/>
        <w:spacing w:after="0" w:line="291" w:lineRule="auto"/>
        <w:tabs>
          <w:tab w:leader="none" w:pos="648" w:val="left"/>
        </w:tabs>
        <w:numPr>
          <w:ilvl w:val="0"/>
          <w:numId w:val="96"/>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Confidentiality and Non-Compete Agreement – Exhibit B:</w:t>
      </w:r>
      <w:r>
        <w:rPr>
          <w:rFonts w:ascii="Arial" w:cs="Arial" w:eastAsia="Arial" w:hAnsi="Arial"/>
          <w:sz w:val="18"/>
          <w:szCs w:val="18"/>
          <w:color w:val="auto"/>
        </w:rPr>
        <w:t xml:space="preserve"> The Participant hereby agrees that the restrictions in Clause 2 of the Confidentiality and Non-Compete Agreement set forth in Exhibit B protect the legitimate interest of the Company and its Subsidiaries; are reasonably necessary to protect the interests of the Company and its Subsidiaries; and are not unreasonable as regards the Participant.</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i.NORWAY</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Norway</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Norway for tax, labour or securities law purposes.</w:t>
      </w:r>
    </w:p>
    <w:p>
      <w:pPr>
        <w:spacing w:after="0" w:line="183" w:lineRule="exact"/>
        <w:rPr>
          <w:sz w:val="20"/>
          <w:szCs w:val="20"/>
          <w:color w:val="auto"/>
        </w:rPr>
      </w:pPr>
    </w:p>
    <w:p>
      <w:pPr>
        <w:jc w:val="both"/>
        <w:ind w:firstLine="656"/>
        <w:spacing w:after="0" w:line="282" w:lineRule="auto"/>
        <w:tabs>
          <w:tab w:leader="none" w:pos="129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PSUs</w:t>
      </w:r>
      <w:r>
        <w:rPr>
          <w:rFonts w:ascii="Arial" w:cs="Arial" w:eastAsia="Arial" w:hAnsi="Arial"/>
          <w:sz w:val="18"/>
          <w:szCs w:val="18"/>
          <w:color w:val="auto"/>
        </w:rPr>
        <w:t>. In accepting this Agreement, the Participant acknowledges that, in the event of termination of the Participant’s employment, the Participant’s rights to vest the PSUs under the Plan, if any, will terminate effective as of the date of the termination notice, and will not be extended by any notice period or agreed “garden leave”; the Administrator shall have the exclusive discretion to determine when the Participant is no longer actively employed for purposes of Participant’s PSUs.</w:t>
      </w:r>
    </w:p>
    <w:p>
      <w:pPr>
        <w:spacing w:after="0" w:line="161" w:lineRule="exact"/>
        <w:rPr>
          <w:rFonts w:ascii="Arial" w:cs="Arial" w:eastAsia="Arial" w:hAnsi="Arial"/>
          <w:sz w:val="18"/>
          <w:szCs w:val="18"/>
          <w:color w:val="auto"/>
        </w:rPr>
      </w:pPr>
    </w:p>
    <w:p>
      <w:pPr>
        <w:ind w:firstLine="656"/>
        <w:spacing w:after="0" w:line="260" w:lineRule="auto"/>
        <w:tabs>
          <w:tab w:leader="none" w:pos="1296"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Clause 23(c)(iv) and Clause 20(c)(v) regarding the Definition of the term “Good Reason” do not apply to Participants whose employment are governed by Norwegian Law.</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provisions on Confidentiality and Non-Compete in Exhibit A only apply as far as allowed subject to Norwegian law for Participants whose employment are governed by Norwegian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The provisions of this Country Schedule for Poland provide additional definitions and conditions for the purpose of granting PSUs which are intended to be granted to Employees and corporate officers who are resident in Poland for tax, labour or securities law purposes.</w:t>
      </w:r>
    </w:p>
    <w:p>
      <w:pPr>
        <w:spacing w:after="0" w:line="130" w:lineRule="exact"/>
        <w:rPr>
          <w:sz w:val="20"/>
          <w:szCs w:val="20"/>
          <w:color w:val="auto"/>
        </w:rPr>
      </w:pPr>
    </w:p>
    <w:p>
      <w:pPr>
        <w:ind w:right="20" w:firstLine="656"/>
        <w:spacing w:after="0" w:line="260" w:lineRule="auto"/>
        <w:tabs>
          <w:tab w:leader="none" w:pos="1296"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Detrimental Activity. For the purposes of this Agreement, the definition of “Detrimental Activity” in Section 23 shall be expanded to include termination of employment contract without notice (under art. 52 of the Polish Labour Code).</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No Entitlement for Claims</w:t>
      </w:r>
      <w:r>
        <w:rPr>
          <w:rFonts w:ascii="Arial" w:cs="Arial" w:eastAsia="Arial" w:hAnsi="Arial"/>
          <w:sz w:val="20"/>
          <w:szCs w:val="20"/>
          <w:color w:val="auto"/>
        </w:rPr>
        <w:t>. The PSUs and the Shares issued pursuant to vesting are not part of Employee’s work and pay conditions within the meaning of the Polish Labour Code and therefore, shall not be considered for the purposes of determining any severance pay, compensation, or any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89" w:name="page90"/>
    <w:bookmarkEnd w:id="89"/>
    <w:p>
      <w:pPr>
        <w:spacing w:after="0" w:line="260" w:lineRule="auto"/>
        <w:rPr>
          <w:sz w:val="20"/>
          <w:szCs w:val="20"/>
          <w:color w:val="auto"/>
        </w:rPr>
      </w:pPr>
      <w:r>
        <w:rPr>
          <w:rFonts w:ascii="Arial" w:cs="Arial" w:eastAsia="Arial" w:hAnsi="Arial"/>
          <w:sz w:val="20"/>
          <w:szCs w:val="20"/>
          <w:color w:val="auto"/>
        </w:rPr>
        <w:t>due to cessation of employment, any bonuses/awards, compensation related to non-competition arrangements, or any payments resulting from employment relationship, including payments towards employee capital plans (PPK).</w:t>
      </w:r>
    </w:p>
    <w:p>
      <w:pPr>
        <w:spacing w:after="0" w:line="177" w:lineRule="exact"/>
        <w:rPr>
          <w:sz w:val="20"/>
          <w:szCs w:val="20"/>
          <w:color w:val="auto"/>
        </w:rPr>
      </w:pPr>
    </w:p>
    <w:p>
      <w:pPr>
        <w:ind w:firstLine="656"/>
        <w:spacing w:after="0" w:line="316" w:lineRule="auto"/>
        <w:tabs>
          <w:tab w:leader="none" w:pos="129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Retirement and Disability</w:t>
      </w:r>
      <w:r>
        <w:rPr>
          <w:rFonts w:ascii="Arial" w:cs="Arial" w:eastAsia="Arial" w:hAnsi="Arial"/>
          <w:sz w:val="18"/>
          <w:szCs w:val="18"/>
          <w:color w:val="auto"/>
        </w:rPr>
        <w:t>. “Retirement” means termination of Participant’s employment on or after the date Participant would be entitled to retire under the Polish statutory provisions. ”Disability” means disability to work under the Polish statutory provisions.</w:t>
      </w:r>
    </w:p>
    <w:p>
      <w:pPr>
        <w:spacing w:after="0" w:line="129"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Employee</w:t>
      </w:r>
      <w:r>
        <w:rPr>
          <w:rFonts w:ascii="Arial" w:cs="Arial" w:eastAsia="Arial" w:hAnsi="Arial"/>
          <w:sz w:val="20"/>
          <w:szCs w:val="20"/>
          <w:color w:val="auto"/>
        </w:rPr>
        <w:t>. “Employee” means: any officer or other employee (as determined under Polish Labour Code) of the Company or of any Subsidiary.</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Plan and Awards under the Plan, specifically, the PSUs and Shares, are only addressed to selected and specific employees and the PSUs and Shares are not listed or meant to be listed on any regulated market or multilateral trading facility in Poland. The Awards under the Plan, specifically, the PSUs and Shares, can be offered in Poland without the requirement of publishing the prospectus under Regulation (EU) 2017/1129 of the European Parliament and of the Council of 14 June 2017 on a prospectus to be published when securities are offered to the public or admitted to trade on a regulated market, and repealing Directive 2003/71/ECT (Regulation): (i) if offered under one of the exemptions available under the Regulation, in particular, Article 1 section 4 letter (i) of the Regulation, provided that the document, drafted in Polish, is made available containing information on the number and nature of shares as well as reasons for and details of the offer, or (ii) if offered to less than 150 employees in Poland in a consecutive period of 12 months. Neither the Plan nor any related document has been approved or notified to the Polish Financial Supervisory Authority (“</w:t>
      </w:r>
      <w:r>
        <w:rPr>
          <w:rFonts w:ascii="Arial" w:cs="Arial" w:eastAsia="Arial" w:hAnsi="Arial"/>
          <w:sz w:val="19"/>
          <w:szCs w:val="19"/>
          <w:i w:val="1"/>
          <w:iCs w:val="1"/>
          <w:color w:val="auto"/>
        </w:rPr>
        <w:t>Komisja Nadzoru</w:t>
      </w:r>
      <w:r>
        <w:rPr>
          <w:rFonts w:ascii="Arial" w:cs="Arial" w:eastAsia="Arial" w:hAnsi="Arial"/>
          <w:sz w:val="19"/>
          <w:szCs w:val="19"/>
          <w:color w:val="auto"/>
        </w:rPr>
        <w:t xml:space="preserve"> </w:t>
      </w:r>
      <w:r>
        <w:rPr>
          <w:rFonts w:ascii="Arial" w:cs="Arial" w:eastAsia="Arial" w:hAnsi="Arial"/>
          <w:sz w:val="19"/>
          <w:szCs w:val="19"/>
          <w:i w:val="1"/>
          <w:iCs w:val="1"/>
          <w:color w:val="auto"/>
        </w:rPr>
        <w:t>Finansowego</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Participant is a resident or domiciled in Poland, the Participant will be required to file in the National Bank of Poland quarterly declarations of assets and liabilities held outside of Poland if at the end of a year the aggregate value of such assets and liabilities is equal to or greater than PLN 7,000,000. Additionally, the Participant must report annually if the Participant owns Shares that exceed 10% of the total voting capital of the Company.</w:t>
      </w:r>
    </w:p>
    <w:p>
      <w:pPr>
        <w:spacing w:after="0" w:line="191"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The Participant has the right to lodge a complaint with the Polish supervisory authority (President of the Personal Data Protection Office).</w:t>
      </w:r>
    </w:p>
    <w:p>
      <w:pPr>
        <w:spacing w:after="0" w:line="170" w:lineRule="exact"/>
        <w:rPr>
          <w:rFonts w:ascii="Arial" w:cs="Arial" w:eastAsia="Arial" w:hAnsi="Arial"/>
          <w:sz w:val="20"/>
          <w:szCs w:val="20"/>
          <w:color w:val="auto"/>
        </w:rPr>
      </w:pPr>
    </w:p>
    <w:p>
      <w:pPr>
        <w:ind w:left="5400" w:hanging="657"/>
        <w:spacing w:after="0"/>
        <w:tabs>
          <w:tab w:leader="none" w:pos="5400" w:val="left"/>
        </w:tabs>
        <w:numPr>
          <w:ilvl w:val="1"/>
          <w:numId w:val="9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PORTUGAL</w:t>
      </w:r>
    </w:p>
    <w:p>
      <w:pPr>
        <w:spacing w:after="0" w:line="216" w:lineRule="exact"/>
        <w:rPr>
          <w:sz w:val="20"/>
          <w:szCs w:val="20"/>
          <w:color w:val="auto"/>
        </w:rPr>
      </w:pPr>
    </w:p>
    <w:p>
      <w:pPr>
        <w:jc w:val="both"/>
        <w:ind w:firstLine="656"/>
        <w:spacing w:after="0" w:line="253" w:lineRule="auto"/>
        <w:tabs>
          <w:tab w:leader="none" w:pos="1296"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The provisions of this Country Schedule for Portugal provide additional definitions and conditions for the purpose of granting PSUs which are intended to be granted to Employees and corporate officers who are resident in Portugal for tax, labour or securities law purposes.</w:t>
      </w:r>
    </w:p>
    <w:p>
      <w:pPr>
        <w:spacing w:after="0" w:line="183" w:lineRule="exact"/>
        <w:rPr>
          <w:sz w:val="20"/>
          <w:szCs w:val="20"/>
          <w:color w:val="auto"/>
        </w:rPr>
      </w:pPr>
    </w:p>
    <w:p>
      <w:pPr>
        <w:jc w:val="both"/>
        <w:ind w:firstLine="656"/>
        <w:spacing w:after="0" w:line="243" w:lineRule="auto"/>
        <w:tabs>
          <w:tab w:leader="none" w:pos="1296"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Securities Law Information: Neither the PSUs nor the Shares are publicly offered</w:t>
      </w:r>
      <w:r>
        <w:rPr>
          <w:rFonts w:ascii="Arial" w:cs="Arial" w:eastAsia="Arial" w:hAnsi="Arial"/>
          <w:sz w:val="20"/>
          <w:szCs w:val="20"/>
          <w:color w:val="auto"/>
        </w:rPr>
        <w:t xml:space="preserve"> or listed on any regulated market or multilateral trading facility in Portugal. The offer of the PSUs and Shares is private and has not been communicated to, or cleared by, the Portuguese Securities Markets Commission (</w:t>
      </w:r>
      <w:r>
        <w:rPr>
          <w:rFonts w:ascii="Arial" w:cs="Arial" w:eastAsia="Arial" w:hAnsi="Arial"/>
          <w:sz w:val="20"/>
          <w:szCs w:val="20"/>
          <w:i w:val="1"/>
          <w:iCs w:val="1"/>
          <w:color w:val="auto"/>
        </w:rPr>
        <w:t>Comissão do Mercado de Valores Mobiliários</w:t>
      </w:r>
      <w:r>
        <w:rPr>
          <w:rFonts w:ascii="Arial" w:cs="Arial" w:eastAsia="Arial" w:hAnsi="Arial"/>
          <w:sz w:val="20"/>
          <w:szCs w:val="20"/>
          <w:color w:val="auto"/>
        </w:rPr>
        <w:t>), pursuant to the applicable Portuguese law. Accordingly, the offer may be made in Portugal only in circumstances which are exempted from the rules on public offerings pursuant to Portuguese Securities Code</w:t>
      </w:r>
      <w:r>
        <w:rPr>
          <w:rFonts w:ascii="Arial" w:cs="Arial" w:eastAsia="Arial" w:hAnsi="Arial"/>
          <w:sz w:val="20"/>
          <w:szCs w:val="20"/>
          <w:color w:val="545454"/>
        </w:rPr>
        <w:t>,</w:t>
      </w:r>
      <w:r>
        <w:rPr>
          <w:rFonts w:ascii="Arial" w:cs="Arial" w:eastAsia="Arial" w:hAnsi="Arial"/>
          <w:sz w:val="20"/>
          <w:szCs w:val="20"/>
          <w:color w:val="auto"/>
        </w:rPr>
        <w:t xml:space="preserve"> approved by Decree-Law no. 486/99, of 13 November. The Agreement and other materials relating to the granting of the PSUs and the Shares are strictly confidential and may not be distributed to any person or entity other than the Participant and other selected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0" w:name="page91"/>
    <w:bookmarkEnd w:id="90"/>
    <w:p>
      <w:pPr>
        <w:jc w:val="both"/>
        <w:ind w:firstLine="656"/>
        <w:spacing w:after="0" w:line="250" w:lineRule="auto"/>
        <w:tabs>
          <w:tab w:leader="none" w:pos="1296"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xml:space="preserve"> Detrimental Activity</w:t>
      </w:r>
      <w:r>
        <w:rPr>
          <w:rFonts w:ascii="Arial" w:cs="Arial" w:eastAsia="Arial" w:hAnsi="Arial"/>
          <w:sz w:val="20"/>
          <w:szCs w:val="20"/>
          <w:u w:val="single" w:color="auto"/>
          <w:color w:val="auto"/>
        </w:rPr>
        <w:t>,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interpreted in accordance with Portuguese labor law.</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Portugal shall be restricted to Employees or Non-Employee </w:t>
      </w:r>
      <w:r>
        <w:rPr>
          <w:rFonts w:ascii="Arial" w:cs="Arial" w:eastAsia="Arial" w:hAnsi="Arial"/>
          <w:sz w:val="18"/>
          <w:szCs w:val="18"/>
          <w:u w:val="single" w:color="auto"/>
          <w:color w:val="auto"/>
        </w:rPr>
        <w:t>Directors</w:t>
      </w:r>
      <w:r>
        <w:rPr>
          <w:rFonts w:ascii="Arial" w:cs="Arial" w:eastAsia="Arial" w:hAnsi="Arial"/>
          <w:sz w:val="18"/>
          <w:szCs w:val="18"/>
          <w:color w:val="auto"/>
        </w:rPr>
        <w:t>, as determined by the Administrator.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Employee</w:t>
      </w:r>
      <w:r>
        <w:rPr>
          <w:rFonts w:ascii="Arial" w:cs="Arial" w:eastAsia="Arial" w:hAnsi="Arial"/>
          <w:sz w:val="19"/>
          <w:szCs w:val="19"/>
          <w:color w:val="auto"/>
        </w:rPr>
        <w:t>. “Employee” means: any employee (as determined under Portuguese labor law) of the Company or of any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Subsidiary.</w:t>
      </w:r>
    </w:p>
    <w:p>
      <w:pPr>
        <w:spacing w:after="0" w:line="199"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No Entitlement for Claims or Compensation</w:t>
      </w:r>
      <w:r>
        <w:rPr>
          <w:rFonts w:ascii="Arial" w:cs="Arial" w:eastAsia="Arial" w:hAnsi="Arial"/>
          <w:sz w:val="20"/>
          <w:szCs w:val="20"/>
          <w:color w:val="auto"/>
        </w:rPr>
        <w:t>. The Company has unilaterally, gratuitously and discretionally decided to grant the PSUs under the Plan. Consequently, the PSUs are granted on the assumption and condition that PSUs and the Shares issued pursuant to vesting of the PSUs are not part of the Participant’s ordinary or expected remuneration and shall not be considered for the purposes of determining any severance payment, compensation or credits otherwise due.</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In case the Participant receives Shares under the Plan and the Agreement, the acquisition of such shares may need to be reported to the Bank of Portugal (</w:t>
      </w:r>
      <w:r>
        <w:rPr>
          <w:rFonts w:ascii="Arial" w:cs="Arial" w:eastAsia="Arial" w:hAnsi="Arial"/>
          <w:sz w:val="18"/>
          <w:szCs w:val="18"/>
          <w:i w:val="1"/>
          <w:iCs w:val="1"/>
          <w:color w:val="auto"/>
        </w:rPr>
        <w:t>Banco de Portugal</w:t>
      </w:r>
      <w:r>
        <w:rPr>
          <w:rFonts w:ascii="Arial" w:cs="Arial" w:eastAsia="Arial" w:hAnsi="Arial"/>
          <w:sz w:val="18"/>
          <w:szCs w:val="18"/>
          <w:color w:val="auto"/>
        </w:rPr>
        <w:t>) for statistical purposes. If the Shares are deposited with a bank or financial intermediary in Portugal, such bank or financial intermediary shall submit the report on behalf of the Participant.</w:t>
      </w:r>
    </w:p>
    <w:p>
      <w:pPr>
        <w:spacing w:after="0" w:line="145" w:lineRule="exact"/>
        <w:rPr>
          <w:rFonts w:ascii="Arial" w:cs="Arial" w:eastAsia="Arial" w:hAnsi="Arial"/>
          <w:sz w:val="18"/>
          <w:szCs w:val="18"/>
          <w:color w:val="auto"/>
        </w:rPr>
      </w:pPr>
    </w:p>
    <w:p>
      <w:pPr>
        <w:ind w:firstLine="656"/>
        <w:spacing w:after="0" w:line="323" w:lineRule="auto"/>
        <w:tabs>
          <w:tab w:leader="none" w:pos="129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hereby expressly declare that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have full knowledge of the English language and have read, understood and fully accepted and agreed with the terms and conditions set forth in the Plan and in the Agreement.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Conhecimento de Língua</w:t>
      </w:r>
      <w:r>
        <w:rPr>
          <w:rFonts w:ascii="Arial" w:cs="Arial" w:eastAsia="Arial" w:hAnsi="Arial"/>
          <w:sz w:val="20"/>
          <w:szCs w:val="20"/>
          <w:i w:val="1"/>
          <w:iCs w:val="1"/>
          <w:color w:val="auto"/>
        </w:rPr>
        <w:t>:</w:t>
      </w:r>
    </w:p>
    <w:p>
      <w:pPr>
        <w:spacing w:after="0" w:line="216" w:lineRule="exact"/>
        <w:rPr>
          <w:sz w:val="20"/>
          <w:szCs w:val="20"/>
          <w:color w:val="auto"/>
        </w:rPr>
      </w:pPr>
    </w:p>
    <w:p>
      <w:pPr>
        <w:ind w:firstLine="1276"/>
        <w:spacing w:after="0" w:line="260" w:lineRule="auto"/>
        <w:rPr>
          <w:sz w:val="20"/>
          <w:szCs w:val="20"/>
          <w:color w:val="auto"/>
        </w:rPr>
      </w:pPr>
      <w:r>
        <w:rPr>
          <w:rFonts w:ascii="Arial" w:cs="Arial" w:eastAsia="Arial" w:hAnsi="Arial"/>
          <w:sz w:val="20"/>
          <w:szCs w:val="20"/>
          <w:i w:val="1"/>
          <w:iCs w:val="1"/>
          <w:color w:val="auto"/>
        </w:rPr>
        <w:t>Pelo presente instrumento declara expressamente que tem pleno conhecimento da língua inglesa e que leu, compreendeu e livremente aceitou e concordou com os termos e condições estabelecidas no Plano e no Acordo.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QATAR</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Qatar</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Qatar for tax, labour or securities law purposes.</w:t>
      </w:r>
    </w:p>
    <w:p>
      <w:pPr>
        <w:spacing w:after="0" w:line="124" w:lineRule="exact"/>
        <w:rPr>
          <w:sz w:val="20"/>
          <w:szCs w:val="20"/>
          <w:color w:val="auto"/>
        </w:rPr>
      </w:pPr>
    </w:p>
    <w:p>
      <w:pPr>
        <w:jc w:val="both"/>
        <w:ind w:firstLine="656"/>
        <w:spacing w:after="0" w:line="263" w:lineRule="auto"/>
        <w:tabs>
          <w:tab w:leader="none" w:pos="129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Jurisdiction</w:t>
      </w:r>
      <w:r>
        <w:rPr>
          <w:rFonts w:ascii="Arial" w:cs="Arial" w:eastAsia="Arial" w:hAnsi="Arial"/>
          <w:sz w:val="19"/>
          <w:szCs w:val="19"/>
          <w:color w:val="auto"/>
        </w:rPr>
        <w:t>. Any dispute arising out of or in connection with this Agreement, including any question regarding its existence, validity or termination, shall be referred to and finally resolved by arbitration under the Arbitration Rules of the DIFC – LCIA Arbitration Centre, which Rules are deemed to be incorporated by reference into this clause. The number of arbitrators shall be one. The seat, or legal place, of arbitration shall be London. The language to be used in the arbitration shall be English.</w:t>
      </w:r>
    </w:p>
    <w:p>
      <w:pPr>
        <w:spacing w:after="0" w:line="176" w:lineRule="exact"/>
        <w:rPr>
          <w:rFonts w:ascii="Arial" w:cs="Arial" w:eastAsia="Arial" w:hAnsi="Arial"/>
          <w:sz w:val="19"/>
          <w:szCs w:val="19"/>
          <w:color w:val="auto"/>
        </w:rPr>
      </w:pPr>
    </w:p>
    <w:p>
      <w:pPr>
        <w:jc w:val="both"/>
        <w:ind w:firstLine="656"/>
        <w:spacing w:after="0" w:line="278" w:lineRule="auto"/>
        <w:tabs>
          <w:tab w:leader="none" w:pos="129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Securities Law</w:t>
      </w:r>
      <w:r>
        <w:rPr>
          <w:rFonts w:ascii="Arial" w:cs="Arial" w:eastAsia="Arial" w:hAnsi="Arial"/>
          <w:sz w:val="18"/>
          <w:szCs w:val="18"/>
          <w:color w:val="auto"/>
        </w:rPr>
        <w:t>. Nothing in this Agreement constitutes, is intended to constitute, shall be treated as constituting or shall be deemed to constitute, any offer or sale of securities in the State of Qatar or in the Qatar Financial Centre or the inward marketing of an investment fund or an attempt to do business, as a bank, an investment company or otherwise in the state of Qatar or in the Qatar Financial Centre. This Agreement and the underlying instruments have not been approved, registered or licensed by the Qatar Central Bank or the Qatar Financial Centre Regulatory Authority, the Qatar Financial Markets Authority or any other regulator in the state of Qatar.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1" w:name="page92"/>
    <w:bookmarkEnd w:id="91"/>
    <w:p>
      <w:pPr>
        <w:ind w:left="100" w:firstLine="656"/>
        <w:spacing w:after="0" w:line="260" w:lineRule="auto"/>
        <w:tabs>
          <w:tab w:leader="none" w:pos="1396"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Company and the Participant acknowledge that no sensitive data as defined in the Data Protection Law of Qatar (Law 13 of 2016) is being collected within the State of Qatar.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u w:val="single" w:color="auto"/>
          <w:color w:val="auto"/>
        </w:rPr>
        <w:t>RUSSIA</w:t>
      </w:r>
    </w:p>
    <w:p>
      <w:pPr>
        <w:spacing w:after="0" w:line="216" w:lineRule="exact"/>
        <w:rPr>
          <w:sz w:val="20"/>
          <w:szCs w:val="20"/>
          <w:color w:val="auto"/>
        </w:rPr>
      </w:pPr>
    </w:p>
    <w:p>
      <w:pPr>
        <w:ind w:left="100"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Russia</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Russia for tax, labour or securities law purposes.</w:t>
      </w:r>
    </w:p>
    <w:p>
      <w:pPr>
        <w:spacing w:after="0" w:line="124" w:lineRule="exact"/>
        <w:rPr>
          <w:sz w:val="20"/>
          <w:szCs w:val="20"/>
          <w:color w:val="auto"/>
        </w:rPr>
      </w:pPr>
    </w:p>
    <w:p>
      <w:pPr>
        <w:jc w:val="both"/>
        <w:ind w:left="100" w:firstLine="656"/>
        <w:spacing w:after="0" w:line="243" w:lineRule="auto"/>
        <w:tabs>
          <w:tab w:leader="none" w:pos="1396"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When processing personal data of Russian citizens / in Russia, the Company is also subject to Federal Law No. 152-FZ “On Personal Data” dated 27 July 2006 (as amended) and other applicable Russian laws (collectively, the “</w:t>
      </w:r>
      <w:r>
        <w:rPr>
          <w:rFonts w:ascii="Arial" w:cs="Arial" w:eastAsia="Arial" w:hAnsi="Arial"/>
          <w:sz w:val="20"/>
          <w:szCs w:val="20"/>
          <w:b w:val="1"/>
          <w:bCs w:val="1"/>
          <w:color w:val="auto"/>
        </w:rPr>
        <w:t>Russian FLs</w:t>
      </w:r>
      <w:r>
        <w:rPr>
          <w:rFonts w:ascii="Arial" w:cs="Arial" w:eastAsia="Arial" w:hAnsi="Arial"/>
          <w:sz w:val="20"/>
          <w:szCs w:val="20"/>
          <w:color w:val="auto"/>
        </w:rPr>
        <w:t xml:space="preserve">”). In addition to the provisions of </w:t>
      </w:r>
      <w:r>
        <w:rPr>
          <w:rFonts w:ascii="Arial" w:cs="Arial" w:eastAsia="Arial" w:hAnsi="Arial"/>
          <w:sz w:val="20"/>
          <w:szCs w:val="20"/>
          <w:u w:val="single" w:color="auto"/>
          <w:color w:val="auto"/>
        </w:rPr>
        <w:t>Section 20</w:t>
      </w:r>
      <w:r>
        <w:rPr>
          <w:rFonts w:ascii="Arial" w:cs="Arial" w:eastAsia="Arial" w:hAnsi="Arial"/>
          <w:sz w:val="20"/>
          <w:szCs w:val="20"/>
          <w:color w:val="auto"/>
        </w:rPr>
        <w:t xml:space="preserve"> of this Agreement, for the purposes of the Russian FLs, the collection of this Data with respect to Russian citizens will be made through a database located in Russia. Any requests to the Company in connection with the Russian FLs (including regarding the access to Data or revocation of consent for processing) may be addressed to the Company through the local human resources representative.</w:t>
      </w:r>
    </w:p>
    <w:p>
      <w:pPr>
        <w:spacing w:after="0" w:line="190" w:lineRule="exact"/>
        <w:rPr>
          <w:sz w:val="20"/>
          <w:szCs w:val="20"/>
          <w:color w:val="auto"/>
        </w:rPr>
      </w:pPr>
    </w:p>
    <w:p>
      <w:pPr>
        <w:jc w:val="both"/>
        <w:ind w:left="100" w:firstLine="544"/>
        <w:spacing w:after="0" w:line="253"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color w:val="auto"/>
        </w:rPr>
        <w:t>This Agreement does not constitute, and the Company and the Participant do not have an intention to execute, a derivative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of the “option” type in the meaning of and as sets out by Federal Law of the Russian Federation of 22 April 1996 No. 39-FZ “On Securities Market”.</w:t>
      </w:r>
    </w:p>
    <w:p>
      <w:pPr>
        <w:spacing w:after="0" w:line="177" w:lineRule="exact"/>
        <w:rPr>
          <w:sz w:val="20"/>
          <w:szCs w:val="20"/>
          <w:color w:val="auto"/>
        </w:rPr>
      </w:pPr>
    </w:p>
    <w:p>
      <w:pPr>
        <w:jc w:val="both"/>
        <w:ind w:left="100" w:firstLine="489"/>
        <w:spacing w:after="0" w:line="267" w:lineRule="auto"/>
        <w:rPr>
          <w:sz w:val="20"/>
          <w:szCs w:val="20"/>
          <w:color w:val="auto"/>
        </w:rPr>
      </w:pPr>
      <w:r>
        <w:rPr>
          <w:rFonts w:ascii="Arial" w:cs="Arial" w:eastAsia="Arial" w:hAnsi="Arial"/>
          <w:sz w:val="20"/>
          <w:szCs w:val="20"/>
          <w:b w:val="1"/>
          <w:bCs w:val="1"/>
          <w:color w:val="auto"/>
        </w:rPr>
        <w:t>ii.</w:t>
      </w:r>
      <w:r>
        <w:rPr>
          <w:rFonts w:ascii="Arial" w:cs="Arial" w:eastAsia="Arial" w:hAnsi="Arial"/>
          <w:sz w:val="20"/>
          <w:szCs w:val="20"/>
          <w:color w:val="auto"/>
        </w:rPr>
        <w:t>The Participant grants to the Company consent to processing of his or her personal data by signing and returning the separate consent</w:t>
      </w:r>
      <w:r>
        <w:rPr>
          <w:rFonts w:ascii="Arial" w:cs="Arial" w:eastAsia="Arial" w:hAnsi="Arial"/>
          <w:sz w:val="20"/>
          <w:szCs w:val="20"/>
          <w:b w:val="1"/>
          <w:bCs w:val="1"/>
          <w:color w:val="auto"/>
        </w:rPr>
        <w:t xml:space="preserve"> </w:t>
      </w:r>
      <w:r>
        <w:rPr>
          <w:rFonts w:ascii="Arial" w:cs="Arial" w:eastAsia="Arial" w:hAnsi="Arial"/>
          <w:sz w:val="20"/>
          <w:szCs w:val="20"/>
          <w:color w:val="auto"/>
        </w:rPr>
        <w:t>form provided to them by the Employer in Russia.</w:t>
      </w:r>
    </w:p>
    <w:p>
      <w:pPr>
        <w:spacing w:after="0" w:line="163" w:lineRule="exact"/>
        <w:rPr>
          <w:sz w:val="20"/>
          <w:szCs w:val="20"/>
          <w:color w:val="auto"/>
        </w:rPr>
      </w:pPr>
    </w:p>
    <w:p>
      <w:pPr>
        <w:jc w:val="both"/>
        <w:ind w:left="100" w:right="20" w:firstLine="434"/>
        <w:spacing w:after="0" w:line="253" w:lineRule="auto"/>
        <w:rPr>
          <w:sz w:val="20"/>
          <w:szCs w:val="20"/>
          <w:color w:val="auto"/>
        </w:rPr>
      </w:pPr>
      <w:r>
        <w:rPr>
          <w:rFonts w:ascii="Arial" w:cs="Arial" w:eastAsia="Arial" w:hAnsi="Arial"/>
          <w:sz w:val="20"/>
          <w:szCs w:val="20"/>
          <w:b w:val="1"/>
          <w:bCs w:val="1"/>
          <w:color w:val="auto"/>
        </w:rPr>
        <w:t>iii.</w:t>
      </w:r>
      <w:r>
        <w:rPr>
          <w:rFonts w:ascii="Arial" w:cs="Arial" w:eastAsia="Arial" w:hAnsi="Arial"/>
          <w:sz w:val="20"/>
          <w:szCs w:val="20"/>
          <w:color w:val="auto"/>
        </w:rPr>
        <w:t>The persons designated to be responsible for ensuring that the Company, as applicable, complies with applicable privacy and data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protection laws in Russia is the TechnipFMC Data Protection Office who can be reached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v.SAUDI ARABIA</w:t>
      </w:r>
    </w:p>
    <w:p>
      <w:pPr>
        <w:sectPr>
          <w:pgSz w:w="11900" w:h="16838" w:orient="portrait"/>
          <w:cols w:equalWidth="0" w:num="1">
            <w:col w:w="11340"/>
          </w:cols>
          <w:pgMar w:left="220" w:top="1419" w:right="339" w:bottom="1440" w:gutter="0" w:footer="0" w:header="0"/>
        </w:sectPr>
      </w:pPr>
    </w:p>
    <w:p>
      <w:pPr>
        <w:spacing w:after="0" w:line="216"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Saudi Arabia</w:t>
      </w:r>
      <w:r>
        <w:rPr>
          <w:rFonts w:ascii="Arial" w:cs="Arial" w:eastAsia="Arial" w:hAnsi="Arial"/>
          <w:sz w:val="20"/>
          <w:szCs w:val="20"/>
          <w:color w:val="auto"/>
        </w:rPr>
        <w:t xml:space="preserve"> PSUs which are intended to be granted to Employees and corporate or securities law purposes.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hanging="4"/>
        <w:spacing w:after="0" w:line="316" w:lineRule="auto"/>
        <w:rPr>
          <w:sz w:val="20"/>
          <w:szCs w:val="20"/>
          <w:color w:val="auto"/>
        </w:rPr>
      </w:pPr>
      <w:r>
        <w:rPr>
          <w:rFonts w:ascii="Arial" w:cs="Arial" w:eastAsia="Arial" w:hAnsi="Arial"/>
          <w:sz w:val="18"/>
          <w:szCs w:val="18"/>
          <w:color w:val="auto"/>
        </w:rPr>
        <w:t>provide additional definitions and conditions for the purpose of granting officers who are resident in the Kingdom of Saudi Arabia for tax, labor</w:t>
      </w:r>
    </w:p>
    <w:p>
      <w:pPr>
        <w:spacing w:after="0" w:line="359" w:lineRule="exact"/>
        <w:rPr>
          <w:sz w:val="20"/>
          <w:szCs w:val="20"/>
          <w:color w:val="auto"/>
        </w:rPr>
      </w:pPr>
    </w:p>
    <w:p>
      <w:pPr>
        <w:sectPr>
          <w:pgSz w:w="11900" w:h="16838" w:orient="portrait"/>
          <w:cols w:equalWidth="0" w:num="2">
            <w:col w:w="5540" w:space="60"/>
            <w:col w:w="5740"/>
          </w:cols>
          <w:pgMar w:left="220" w:top="1419" w:right="339" w:bottom="1440" w:gutter="0" w:footer="0" w:header="0"/>
          <w:type w:val="continuous"/>
        </w:sectPr>
      </w:pPr>
    </w:p>
    <w:p>
      <w:pPr>
        <w:jc w:val="both"/>
        <w:ind w:left="100" w:firstLine="656"/>
        <w:spacing w:after="0" w:line="257" w:lineRule="auto"/>
        <w:tabs>
          <w:tab w:leader="none" w:pos="139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Disclaimer</w:t>
      </w:r>
      <w:r>
        <w:rPr>
          <w:rFonts w:ascii="Arial" w:cs="Arial" w:eastAsia="Arial" w:hAnsi="Arial"/>
          <w:sz w:val="19"/>
          <w:szCs w:val="19"/>
          <w:color w:val="auto"/>
        </w:rPr>
        <w:t>. This Agreement has not been approved or licensed by Saudi Arabia Monetary Authority (“SAMA”), the Capital Market Authority (“CMA”) or any other relevant licensing authorities or governmental agencies in the Kingdom of Saudi Arabia. This Agreement is strictly private and confidential and the terms of the Agreement and the Plan have not been reviewed by, deposited or registered with or by SAMA, CMA or any other relevant licensing authorities or governmental agencies in the Kingdom of Saudi Arabia. This offer is being issued from outside the Kingdom of Saudi Arabia to a limited number of Employees of a Subsidiary of the Company and must not be provided to any person other than the original recipient and may not be reproduced or used for any other purpose. Further, the information contained in this Agreement and the Plan is not intended to lead to the issue of any securities or the conclusion of any other contract of whatsoever nature within the territory of the Kingdom of Saudi Arabia.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340"/>
          </w:cols>
          <w:pgMar w:left="220" w:top="1419" w:right="339" w:bottom="1440" w:gutter="0" w:footer="0" w:header="0"/>
          <w:type w:val="continuous"/>
        </w:sectPr>
      </w:pPr>
    </w:p>
    <w:bookmarkStart w:id="92" w:name="page93"/>
    <w:bookmarkEnd w:id="92"/>
    <w:p>
      <w:pPr>
        <w:jc w:val="both"/>
        <w:ind w:firstLine="656"/>
        <w:spacing w:after="0" w:line="282" w:lineRule="auto"/>
        <w:tabs>
          <w:tab w:leader="none" w:pos="129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Any dispute arising out of or in connection with this Agreement, including any question regarding its existence, validity or termination, shall be referred to and finally resolved by arbitration under the Arbitration Rules of the DIFC – LCIA Arbitration Centre, which Rules are deemed to be incorporated by reference into this clause. The number of arbitrators shall be one. The seat, or legal place, of arbitration shall be Dubai International Financial Centre The language to be used in the arbitration shall be English.</w:t>
      </w:r>
    </w:p>
    <w:p>
      <w:pPr>
        <w:spacing w:after="0" w:line="161" w:lineRule="exact"/>
        <w:rPr>
          <w:rFonts w:ascii="Arial" w:cs="Arial" w:eastAsia="Arial" w:hAnsi="Arial"/>
          <w:sz w:val="18"/>
          <w:szCs w:val="18"/>
          <w:color w:val="auto"/>
        </w:rPr>
      </w:pPr>
    </w:p>
    <w:p>
      <w:pPr>
        <w:jc w:val="both"/>
        <w:ind w:firstLine="656"/>
        <w:spacing w:after="0" w:line="244" w:lineRule="auto"/>
        <w:tabs>
          <w:tab w:leader="none" w:pos="1296"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Securities Law</w:t>
      </w:r>
      <w:r>
        <w:rPr>
          <w:rFonts w:ascii="Arial" w:cs="Arial" w:eastAsia="Arial" w:hAnsi="Arial"/>
          <w:sz w:val="20"/>
          <w:szCs w:val="20"/>
          <w:color w:val="auto"/>
        </w:rPr>
        <w:t>. Nothing in this Agreement constitutes, is intended to constitute, shall be treated as constituting or shall be deemed to constitute, any offer or sale of securities in the Kingdom of Saudi Arabia or the inward marketing of an investment fund or an attempt to do business, as a bank, an investment company or otherwise in the Kingdom of Saudi Arabia. This Agreement and the underlying instruments have not been approved, registered or licensed by SAMA, CMA or any other relevant licensing authorities or governmental agencies in the Kingdom of Saudi Arabia.</w:t>
      </w:r>
    </w:p>
    <w:p>
      <w:pPr>
        <w:spacing w:after="0" w:line="194"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gives its consent and formally agrees that that Company is fully entitled to disclose its bank account number in the Kingdom of Saudi Arabia to its subsidiaries or to third parties, on a need to know basis, for the purpose of managing and administrating the plan and to allow the vesting or transfer of any equity compensation grants or shares awarded to said participant.</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vi.SINGAPORE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Singapore</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Singapore for tax, labour or securities law purposes.</w:t>
      </w:r>
    </w:p>
    <w:p>
      <w:pPr>
        <w:spacing w:after="0" w:line="183" w:lineRule="exact"/>
        <w:rPr>
          <w:sz w:val="20"/>
          <w:szCs w:val="20"/>
          <w:color w:val="auto"/>
        </w:rPr>
      </w:pPr>
    </w:p>
    <w:p>
      <w:pPr>
        <w:jc w:val="both"/>
        <w:ind w:firstLine="656"/>
        <w:spacing w:after="0" w:line="250" w:lineRule="auto"/>
        <w:tabs>
          <w:tab w:leader="none" w:pos="129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award of the PSUs and the issuance and delivery of the Shares pursuant to the Plan is being made in reliance of section 273(1)(f) of the Securities and Futures Act, Chapter 289 of Singapore (“SFA”) for which it is exempt from the prospectus requirements under the SFA.</w:t>
      </w:r>
    </w:p>
    <w:p>
      <w:pPr>
        <w:spacing w:after="0" w:line="185" w:lineRule="exact"/>
        <w:rPr>
          <w:rFonts w:ascii="Arial" w:cs="Arial" w:eastAsia="Arial" w:hAnsi="Arial"/>
          <w:sz w:val="20"/>
          <w:szCs w:val="20"/>
          <w:color w:val="auto"/>
        </w:rPr>
      </w:pPr>
    </w:p>
    <w:p>
      <w:pPr>
        <w:jc w:val="both"/>
        <w:ind w:firstLine="656"/>
        <w:spacing w:after="0" w:line="243" w:lineRule="auto"/>
        <w:tabs>
          <w:tab w:leader="none" w:pos="129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Insider Trading</w:t>
      </w:r>
      <w:r>
        <w:rPr>
          <w:rFonts w:ascii="Arial" w:cs="Arial" w:eastAsia="Arial" w:hAnsi="Arial"/>
          <w:sz w:val="20"/>
          <w:szCs w:val="20"/>
          <w:color w:val="auto"/>
        </w:rPr>
        <w:t>. A Participant should be aware of the Singapore insider trading regulations, which may impact the Participant’s acquisition or disposal of Shares or rights to Shares under the Plan. Under Division 3 of the Part XII of the SFA, a Participant is prohibited from acquiring or selling Shares or rights to Shares (e.g. PSUs) when (a) the Participant possess information that is not generally available but, if the information were generally available, a reasonable person would expect it to have a material effect on the price or value of the Shares, and (b) the Participant knows that the information is not generally available and, if it were generally available, it might have a material effect on the price or value of those Shares.</w:t>
      </w:r>
    </w:p>
    <w:p>
      <w:pPr>
        <w:spacing w:after="0" w:line="195" w:lineRule="exact"/>
        <w:rPr>
          <w:rFonts w:ascii="Arial" w:cs="Arial" w:eastAsia="Arial" w:hAnsi="Arial"/>
          <w:sz w:val="20"/>
          <w:szCs w:val="20"/>
          <w:color w:val="auto"/>
        </w:rPr>
      </w:pPr>
    </w:p>
    <w:p>
      <w:pPr>
        <w:jc w:val="both"/>
        <w:ind w:firstLine="656"/>
        <w:spacing w:after="0" w:line="274" w:lineRule="auto"/>
        <w:tabs>
          <w:tab w:leader="none" w:pos="129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Director / CEO Notification Obligation</w:t>
      </w:r>
      <w:r>
        <w:rPr>
          <w:rFonts w:ascii="Arial" w:cs="Arial" w:eastAsia="Arial" w:hAnsi="Arial"/>
          <w:sz w:val="18"/>
          <w:szCs w:val="18"/>
          <w:color w:val="auto"/>
        </w:rPr>
        <w:t>. If the Participant is a director or chief executive officer (as applicable) of a company incorporated in Singapore which is related to the Company (“Singapore Company”), the Participant is subject to certain disclosure / notification requirements under the Companies Act, Chapter 50 of Singapore. Among these requirements is an obligation to notify the Singapore Company in writing when the Participant acquires an interest (such as shares, debentures, participatory interests, rights, options and contracts) in the Company (e.g. the PSUs). In addition, the Participant must notify the Singapore Company when the Participant disposes of such interest in the Company (including when the Participant acquires or transfers Shares issued upon vesting and settlement of the PSUs). These notifications must be made within two business days of acquiring or disposing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0"/>
          <w:szCs w:val="20"/>
          <w:color w:val="auto"/>
        </w:rPr>
        <w:t>any such interest in the Company. In addition, a notification of the Participant’s interests in the Company must be made within two business days of becoming a director or chief executive officer (as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this regard:</w:t>
      </w:r>
    </w:p>
    <w:p>
      <w:pPr>
        <w:spacing w:after="0" w:line="216" w:lineRule="exact"/>
        <w:rPr>
          <w:sz w:val="20"/>
          <w:szCs w:val="20"/>
          <w:color w:val="auto"/>
        </w:rPr>
      </w:pPr>
    </w:p>
    <w:p>
      <w:pPr>
        <w:jc w:val="both"/>
        <w:ind w:firstLine="1192"/>
        <w:spacing w:after="0" w:line="250" w:lineRule="auto"/>
        <w:rPr>
          <w:sz w:val="20"/>
          <w:szCs w:val="20"/>
          <w:color w:val="auto"/>
        </w:rPr>
      </w:pPr>
      <w:r>
        <w:rPr>
          <w:rFonts w:ascii="Arial" w:cs="Arial" w:eastAsia="Arial" w:hAnsi="Arial"/>
          <w:sz w:val="20"/>
          <w:szCs w:val="20"/>
          <w:color w:val="auto"/>
        </w:rPr>
        <w:t>i.A “director” includes any person occupying the position of a director of a corporation by whatever name called and includes a person in accordance with whose directions or instructions the directors or the majority of the directors of a corporation are accustomed to act and an alternate or substitute director.</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ii.A “chief executive officer”, in relation to a company, means any one or more persons, by whatever name described, who:</w:t>
      </w:r>
    </w:p>
    <w:p>
      <w:pPr>
        <w:spacing w:after="0" w:line="239" w:lineRule="exact"/>
        <w:rPr>
          <w:sz w:val="20"/>
          <w:szCs w:val="20"/>
          <w:color w:val="auto"/>
        </w:rPr>
      </w:pPr>
    </w:p>
    <w:p>
      <w:pPr>
        <w:ind w:left="2580" w:hanging="628"/>
        <w:spacing w:after="0"/>
        <w:tabs>
          <w:tab w:leader="none" w:pos="25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is in direct employment of, or acting for or by arrangement with, the company; and</w:t>
      </w:r>
    </w:p>
    <w:p>
      <w:pPr>
        <w:spacing w:after="0" w:line="215" w:lineRule="exact"/>
        <w:rPr>
          <w:rFonts w:ascii="Arial" w:cs="Arial" w:eastAsia="Arial" w:hAnsi="Arial"/>
          <w:sz w:val="20"/>
          <w:szCs w:val="20"/>
          <w:color w:val="auto"/>
        </w:rPr>
      </w:pPr>
    </w:p>
    <w:p>
      <w:pPr>
        <w:ind w:left="660" w:right="20" w:firstLine="1292"/>
        <w:spacing w:after="0" w:line="260" w:lineRule="auto"/>
        <w:tabs>
          <w:tab w:leader="none" w:pos="260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is principally responsible for the management and conduct of the business of the company, or part of the business of the company, as the case may be.</w:t>
      </w:r>
    </w:p>
    <w:p>
      <w:pPr>
        <w:spacing w:after="0" w:line="17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iii.The Singapore Company will be deemed to be related to the Company if the Singapore Company is:</w:t>
      </w:r>
    </w:p>
    <w:p>
      <w:pPr>
        <w:spacing w:after="0" w:line="216" w:lineRule="exact"/>
        <w:rPr>
          <w:sz w:val="20"/>
          <w:szCs w:val="20"/>
          <w:color w:val="auto"/>
        </w:rPr>
      </w:pPr>
    </w:p>
    <w:p>
      <w:pPr>
        <w:ind w:left="2580" w:hanging="628"/>
        <w:spacing w:after="0"/>
        <w:tabs>
          <w:tab w:leader="none" w:pos="2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holding company of the Company;</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 subsidiary of the Company; or</w:t>
      </w:r>
    </w:p>
    <w:p>
      <w:pPr>
        <w:spacing w:after="0" w:line="215" w:lineRule="exact"/>
        <w:rPr>
          <w:rFonts w:ascii="Arial" w:cs="Arial" w:eastAsia="Arial" w:hAnsi="Arial"/>
          <w:sz w:val="20"/>
          <w:szCs w:val="20"/>
          <w:color w:val="auto"/>
        </w:rPr>
      </w:pPr>
    </w:p>
    <w:p>
      <w:pPr>
        <w:ind w:left="2580" w:hanging="628"/>
        <w:spacing w:after="0"/>
        <w:tabs>
          <w:tab w:leader="none" w:pos="2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 subsidiary of the holding company of the Company.</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iv.“Business day” means any day other than a Saturday, Sunday or public holiday in Singapore.</w:t>
      </w:r>
    </w:p>
    <w:p>
      <w:pPr>
        <w:spacing w:after="0" w:line="216" w:lineRule="exact"/>
        <w:rPr>
          <w:sz w:val="20"/>
          <w:szCs w:val="20"/>
          <w:color w:val="auto"/>
        </w:rPr>
      </w:pPr>
    </w:p>
    <w:p>
      <w:pPr>
        <w:jc w:val="both"/>
        <w:ind w:firstLine="656"/>
        <w:spacing w:after="0" w:line="257" w:lineRule="auto"/>
        <w:tabs>
          <w:tab w:leader="none" w:pos="129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Taxation Information</w:t>
      </w:r>
      <w:r>
        <w:rPr>
          <w:rFonts w:ascii="Arial" w:cs="Arial" w:eastAsia="Arial" w:hAnsi="Arial"/>
          <w:sz w:val="19"/>
          <w:szCs w:val="19"/>
          <w:color w:val="auto"/>
        </w:rPr>
        <w:t>. In the event that a Participant should be granted an award of the PSU in connection with the Participant’s employment in Singapore, any gains or profits derived by the Participant arising from the vesting of such PSU will be taxable in Singapore as part of the Participant’s employment remuneration when the PSU vests, regardless of where the Participant is at the time the PSU vests. The Participant may, however, be eligible to enjoy deferment of the payment of tax, arising from PSU gains under incentive schemes operated by the Inland Revenue Authority of Singapore (“IRAS”) if the qualifying criteria relating thereto are met. Interest will be chargeable for the deferral of tax. If granted, the Employee can defer payment of tax on the PSU gains for any period of time up to a maximum of 5 years, subject to filing formalities to be made by the Participant.</w:t>
      </w:r>
    </w:p>
    <w:p>
      <w:pPr>
        <w:spacing w:after="0" w:line="18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Participant is advised to seek professional tax advice as to the Participant’s tax liabilities including, to the extent the Participant is a foreigner, how such gains or profits aforesaid will be taxed at the time the Participant ceases to work in Singapore.</w:t>
      </w:r>
    </w:p>
    <w:p>
      <w:pPr>
        <w:spacing w:after="0" w:line="15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All taxes (including income tax) arising from the award of any PSU or the vesting of any PSU thereon shall be borne by the Participant.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 the Participant is neither a Singapore citizen nor a Singapore Permanent Resident and is about to leave employment with the Employer (as defined below), the Employer may be required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4" w:name="page95"/>
    <w:bookmarkEnd w:id="94"/>
    <w:p>
      <w:pPr>
        <w:jc w:val="both"/>
        <w:spacing w:after="0" w:line="241" w:lineRule="auto"/>
        <w:rPr>
          <w:sz w:val="20"/>
          <w:szCs w:val="20"/>
          <w:color w:val="auto"/>
        </w:rPr>
      </w:pPr>
      <w:r>
        <w:rPr>
          <w:rFonts w:ascii="Arial" w:cs="Arial" w:eastAsia="Arial" w:hAnsi="Arial"/>
          <w:sz w:val="20"/>
          <w:szCs w:val="20"/>
          <w:color w:val="auto"/>
        </w:rPr>
        <w:t>the Income Tax Act, Chapter 134 of Singapore to deduct or withhold taxes arising from the vesting of the PSU from the Participant’s emoluments. The Employer is required to withhold all monies due to the Participant from the day the Employee notifies his/her intention to cease employment or when the Employer notifies the Employee of the termination of employment. An amount equal to the tax amount required to be deducted or withheld will have to be so deducted or withheld by the Employer and paid to the IRAS. Emoluments include income from gains or profits from any employment, which includes any wages, salary, leave pay, fee, commission, bonus, gratuity, perquisite or allowance (other than certain types of allowance) paid or granted in respect of the employment whether in money or otherwise, and any gains or profits, directly or indirectly, derived by any person from a right or benefit to acquire shares in any company where such right or benefit is obtained by reason of any office or employment held by him or her. “</w:t>
      </w:r>
      <w:r>
        <w:rPr>
          <w:rFonts w:ascii="Arial" w:cs="Arial" w:eastAsia="Arial" w:hAnsi="Arial"/>
          <w:sz w:val="20"/>
          <w:szCs w:val="20"/>
          <w:u w:val="single" w:color="auto"/>
          <w:color w:val="auto"/>
        </w:rPr>
        <w:t>Employer</w:t>
      </w:r>
      <w:r>
        <w:rPr>
          <w:rFonts w:ascii="Arial" w:cs="Arial" w:eastAsia="Arial" w:hAnsi="Arial"/>
          <w:sz w:val="20"/>
          <w:szCs w:val="20"/>
          <w:color w:val="auto"/>
        </w:rPr>
        <w:t>” shall mean the Company, a Singapore Subsidiary of the Company, other affiliated company or any other person paying such emoluments, whether on his or her account or on behalf of another person.</w:t>
      </w:r>
    </w:p>
    <w:p>
      <w:pPr>
        <w:spacing w:after="0" w:line="202"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By entering into the Agreement, Participant consents to the processing and transfer of Data by Company for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Purposes.</w:t>
      </w:r>
    </w:p>
    <w:p>
      <w:pPr>
        <w:spacing w:after="0" w:line="194"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vii.SPAIN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Spain</w:t>
      </w:r>
      <w:r>
        <w:rPr>
          <w:rFonts w:ascii="Arial" w:cs="Arial" w:eastAsia="Arial" w:hAnsi="Arial"/>
          <w:sz w:val="20"/>
          <w:szCs w:val="20"/>
          <w:color w:val="auto"/>
        </w:rPr>
        <w:t xml:space="preserve"> provide additional definitions and conditions for the purpose of granting PSUs which are intended to be granted to Spanish Employees and corporate officers who are resident in Spain for tax, labour and securities law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other provisions of the Plan, PSUs granted under this Country Schedule for Spain to Participants resident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Spain are subject to the following additional conditions:</w:t>
      </w:r>
    </w:p>
    <w:p>
      <w:pPr>
        <w:spacing w:after="0" w:line="200" w:lineRule="exact"/>
        <w:rPr>
          <w:sz w:val="20"/>
          <w:szCs w:val="20"/>
          <w:color w:val="auto"/>
        </w:rPr>
      </w:pPr>
    </w:p>
    <w:p>
      <w:pPr>
        <w:jc w:val="both"/>
        <w:ind w:firstLine="656"/>
        <w:spacing w:after="0" w:line="250" w:lineRule="auto"/>
        <w:tabs>
          <w:tab w:leader="none" w:pos="1296"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Non-transferability of PSUs</w:t>
      </w:r>
      <w:r>
        <w:rPr>
          <w:rFonts w:ascii="Arial" w:cs="Arial" w:eastAsia="Arial" w:hAnsi="Arial"/>
          <w:sz w:val="20"/>
          <w:szCs w:val="20"/>
          <w:color w:val="auto"/>
        </w:rPr>
        <w:t>. The PSUs may neither be sold, pledged, assigned nor transferred unless and until the Shares underlying the PSUs have been issued, and all restrictions applicable to such Shares have lapsed. Any effort to assign or transfer a PSU will be ineffective and may result in the Company terminating the PSUs.</w:t>
      </w:r>
    </w:p>
    <w:p>
      <w:pPr>
        <w:spacing w:after="0" w:line="185" w:lineRule="exact"/>
        <w:rPr>
          <w:rFonts w:ascii="Arial" w:cs="Arial" w:eastAsia="Arial" w:hAnsi="Arial"/>
          <w:sz w:val="20"/>
          <w:szCs w:val="20"/>
          <w:color w:val="auto"/>
        </w:rPr>
      </w:pPr>
    </w:p>
    <w:p>
      <w:pPr>
        <w:jc w:val="both"/>
        <w:ind w:firstLine="656"/>
        <w:spacing w:after="0" w:line="272" w:lineRule="auto"/>
        <w:tabs>
          <w:tab w:leader="none" w:pos="129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Whenever the PSUs are vested, the Company or its relevant subsidiary in which the Participant is an Employee (the “Relevant Subsidiary”), in accordance with the terms of the Plan, will comply with all applicable withholding tax laws and social security, and will be entitled to take any action necessary to effectuate such compliance. The Participant hereby agrees that the Company or the Relevant Subsidiary may withhold Shares otherwise issuable upon the settlement of the PSUs, sufficient for the Company or the Relevant Subsidiary to cover an amount required by law to be withheld or otherwise arising with respect to any taxable event arising as a result of any PSUs. The number of Shares which may be so withheld shall be limited to the number of Shares which have a fair market value, determined on the date when the amount of tax to be withheld is to be determined pursuant to the Applicable Law, no greater than the aggregate amount of such liabilities based on the maximum statutory withholding rates for tax purposes, in accordance with Applicable Law to such taxable income (or such other amount as would not result in adverse financial accounting consequences for the Company or any of its Subsidiaries).</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absolute discretion of the Administrator, the Company or the Relevant Subsidiary may authorize the Participant to satisfy the withholding amounts referred to above by means of a cash payment. Request for such cash payment shall be made in writing by the Participant in a form acceptable to the Administrator and shall be subject to the following restrictions: (i) the election must be made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5" w:name="page96"/>
    <w:bookmarkEnd w:id="95"/>
    <w:p>
      <w:pPr>
        <w:jc w:val="both"/>
        <w:spacing w:after="0" w:line="269" w:lineRule="auto"/>
        <w:rPr>
          <w:sz w:val="20"/>
          <w:szCs w:val="20"/>
          <w:color w:val="auto"/>
        </w:rPr>
      </w:pPr>
      <w:r>
        <w:rPr>
          <w:rFonts w:ascii="Arial" w:cs="Arial" w:eastAsia="Arial" w:hAnsi="Arial"/>
          <w:sz w:val="19"/>
          <w:szCs w:val="19"/>
          <w:color w:val="auto"/>
        </w:rPr>
        <w:t>prior to the date when the amount of tax to be withheld is to be determined pursuant to the Applicable Law; and (ii) once made, the election shall be irrevocable as to the particular Shares for which the election is made. Any adverse consequences for the Participant arising in connection with the withholding procedures described above shall be the sole responsibility of the Participant.</w:t>
      </w:r>
    </w:p>
    <w:p>
      <w:pPr>
        <w:spacing w:after="0" w:line="170" w:lineRule="exact"/>
        <w:rPr>
          <w:sz w:val="20"/>
          <w:szCs w:val="20"/>
          <w:color w:val="auto"/>
        </w:rPr>
      </w:pPr>
    </w:p>
    <w:p>
      <w:pPr>
        <w:jc w:val="both"/>
        <w:ind w:firstLine="656"/>
        <w:spacing w:after="0" w:line="250" w:lineRule="auto"/>
        <w:tabs>
          <w:tab w:leader="none" w:pos="1296"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No Stockholders Rights</w:t>
      </w:r>
      <w:r>
        <w:rPr>
          <w:rFonts w:ascii="Arial" w:cs="Arial" w:eastAsia="Arial" w:hAnsi="Arial"/>
          <w:sz w:val="20"/>
          <w:szCs w:val="20"/>
          <w:color w:val="auto"/>
        </w:rPr>
        <w:t>. Neither the Participant nor any other person entitled to exercise the PSUs will have any of the rights of a stockholder or Dividend Equivalents with respect to the Shares subject to the PSUs, except to the extent and until the Shares subject to the PSUs have been issued and the Participant has become the record owner of such Shares.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must declare the acquisition of Shares to the Spanish Dirección General de Comercio Internacional e Inversiones within the following month to the date of acquisition of the Shares. This declaration is provided to the Ministry of Economy and Competitiveness for statistical purposes only.</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 the event that the Shares acquired pursuant to this Plan exceed certain thresholds (whether in the stake in the share capital of the Company or in the value of such stake), Participant will have to make an annual declaration to the Spanish Dirección General de Comercio Internacional e Inversiones about the development of the investment in non-resident entities by, within the first nine months of each calendar year.</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Entitlement for Claims or Compensation</w:t>
      </w:r>
      <w:r>
        <w:rPr>
          <w:rFonts w:ascii="Arial" w:cs="Arial" w:eastAsia="Arial" w:hAnsi="Arial"/>
          <w:sz w:val="18"/>
          <w:szCs w:val="18"/>
          <w:color w:val="auto"/>
        </w:rPr>
        <w:t>. Participant understands that the Company has unilaterally, gratuitously and discretionally decided to grant the PSUs under the Plan, extraordinary in nature, to individuals who may be Employees throughout the world. The decision is a limited decision that is entered into upon the express assumption and condition that any grant will not economically or otherwise bind the Company or any of its Subsidiaries on an ongoing basis. Consequently, Participant understands that the PSUs are granted on the assumption and condition that PSUs and the Shares issued pursuant to vesting of the PSUs may not increase in value and that, in any event, are not part of Participant’s ordinary or expected compensation, and shall not be considered for the purposes of determining any severance pay (</w:t>
      </w:r>
      <w:r>
        <w:rPr>
          <w:rFonts w:ascii="Arial" w:cs="Arial" w:eastAsia="Arial" w:hAnsi="Arial"/>
          <w:sz w:val="18"/>
          <w:szCs w:val="18"/>
          <w:i w:val="1"/>
          <w:iCs w:val="1"/>
          <w:color w:val="auto"/>
        </w:rPr>
        <w:t>indemnización por despido o cese</w:t>
      </w:r>
      <w:r>
        <w:rPr>
          <w:rFonts w:ascii="Arial" w:cs="Arial" w:eastAsia="Arial" w:hAnsi="Arial"/>
          <w:sz w:val="18"/>
          <w:szCs w:val="18"/>
          <w:color w:val="auto"/>
        </w:rPr>
        <w:t>) or compensation otherwise due in the event of resignation (</w:t>
      </w:r>
      <w:r>
        <w:rPr>
          <w:rFonts w:ascii="Arial" w:cs="Arial" w:eastAsia="Arial" w:hAnsi="Arial"/>
          <w:sz w:val="18"/>
          <w:szCs w:val="18"/>
          <w:i w:val="1"/>
          <w:iCs w:val="1"/>
          <w:color w:val="auto"/>
        </w:rPr>
        <w:t>dimisión</w:t>
      </w:r>
      <w:r>
        <w:rPr>
          <w:rFonts w:ascii="Arial" w:cs="Arial" w:eastAsia="Arial" w:hAnsi="Arial"/>
          <w:sz w:val="18"/>
          <w:szCs w:val="18"/>
          <w:color w:val="auto"/>
        </w:rPr>
        <w:t>) or dismissal (</w:t>
      </w:r>
      <w:r>
        <w:rPr>
          <w:rFonts w:ascii="Arial" w:cs="Arial" w:eastAsia="Arial" w:hAnsi="Arial"/>
          <w:sz w:val="18"/>
          <w:szCs w:val="18"/>
          <w:i w:val="1"/>
          <w:iCs w:val="1"/>
          <w:color w:val="auto"/>
        </w:rPr>
        <w:t>despido</w:t>
      </w:r>
      <w:r>
        <w:rPr>
          <w:rFonts w:ascii="Arial" w:cs="Arial" w:eastAsia="Arial" w:hAnsi="Arial"/>
          <w:sz w:val="18"/>
          <w:szCs w:val="18"/>
          <w:color w:val="auto"/>
        </w:rPr>
        <w:t>), compensation under any collective dismissal scheme (</w:t>
      </w:r>
      <w:r>
        <w:rPr>
          <w:rFonts w:ascii="Arial" w:cs="Arial" w:eastAsia="Arial" w:hAnsi="Arial"/>
          <w:sz w:val="18"/>
          <w:szCs w:val="18"/>
          <w:i w:val="1"/>
          <w:iCs w:val="1"/>
          <w:color w:val="auto"/>
        </w:rPr>
        <w:t>expediente de regulación de empleo</w:t>
      </w:r>
      <w:r>
        <w:rPr>
          <w:rFonts w:ascii="Arial" w:cs="Arial" w:eastAsia="Arial" w:hAnsi="Arial"/>
          <w:sz w:val="18"/>
          <w:szCs w:val="18"/>
          <w:color w:val="auto"/>
        </w:rPr>
        <w:t>) or for termination of services (</w:t>
      </w:r>
      <w:r>
        <w:rPr>
          <w:rFonts w:ascii="Arial" w:cs="Arial" w:eastAsia="Arial" w:hAnsi="Arial"/>
          <w:sz w:val="18"/>
          <w:szCs w:val="18"/>
          <w:i w:val="1"/>
          <w:iCs w:val="1"/>
          <w:color w:val="auto"/>
        </w:rPr>
        <w:t>finalización de servicios</w:t>
      </w:r>
      <w:r>
        <w:rPr>
          <w:rFonts w:ascii="Arial" w:cs="Arial" w:eastAsia="Arial" w:hAnsi="Arial"/>
          <w:sz w:val="18"/>
          <w:szCs w:val="18"/>
          <w:color w:val="auto"/>
        </w:rPr>
        <w:t>), gratuity (</w:t>
      </w:r>
      <w:r>
        <w:rPr>
          <w:rFonts w:ascii="Arial" w:cs="Arial" w:eastAsia="Arial" w:hAnsi="Arial"/>
          <w:sz w:val="18"/>
          <w:szCs w:val="18"/>
          <w:i w:val="1"/>
          <w:iCs w:val="1"/>
          <w:color w:val="auto"/>
        </w:rPr>
        <w:t>gratificación</w:t>
      </w:r>
      <w:r>
        <w:rPr>
          <w:rFonts w:ascii="Arial" w:cs="Arial" w:eastAsia="Arial" w:hAnsi="Arial"/>
          <w:sz w:val="18"/>
          <w:szCs w:val="18"/>
          <w:color w:val="auto"/>
        </w:rPr>
        <w:t>), compensation under any non-compete covenant (</w:t>
      </w:r>
      <w:r>
        <w:rPr>
          <w:rFonts w:ascii="Arial" w:cs="Arial" w:eastAsia="Arial" w:hAnsi="Arial"/>
          <w:sz w:val="18"/>
          <w:szCs w:val="18"/>
          <w:i w:val="1"/>
          <w:iCs w:val="1"/>
          <w:color w:val="auto"/>
        </w:rPr>
        <w:t>no concurrencia</w:t>
      </w:r>
      <w:r>
        <w:rPr>
          <w:rFonts w:ascii="Arial" w:cs="Arial" w:eastAsia="Arial" w:hAnsi="Arial"/>
          <w:sz w:val="18"/>
          <w:szCs w:val="18"/>
          <w:color w:val="auto"/>
        </w:rPr>
        <w:t>), bonus for length of services (</w:t>
      </w:r>
      <w:r>
        <w:rPr>
          <w:rFonts w:ascii="Arial" w:cs="Arial" w:eastAsia="Arial" w:hAnsi="Arial"/>
          <w:sz w:val="18"/>
          <w:szCs w:val="18"/>
          <w:i w:val="1"/>
          <w:iCs w:val="1"/>
          <w:color w:val="auto"/>
        </w:rPr>
        <w:t>bonus por antigüedad</w:t>
      </w:r>
      <w:r>
        <w:rPr>
          <w:rFonts w:ascii="Arial" w:cs="Arial" w:eastAsia="Arial" w:hAnsi="Arial"/>
          <w:sz w:val="18"/>
          <w:szCs w:val="18"/>
          <w:color w:val="auto"/>
        </w:rPr>
        <w:t>), pension or retirement related benefits (</w:t>
      </w:r>
      <w:r>
        <w:rPr>
          <w:rFonts w:ascii="Arial" w:cs="Arial" w:eastAsia="Arial" w:hAnsi="Arial"/>
          <w:sz w:val="18"/>
          <w:szCs w:val="18"/>
          <w:i w:val="1"/>
          <w:iCs w:val="1"/>
          <w:color w:val="auto"/>
        </w:rPr>
        <w:t>pensión o prestación de jubilación</w:t>
      </w:r>
      <w:r>
        <w:rPr>
          <w:rFonts w:ascii="Arial" w:cs="Arial" w:eastAsia="Arial" w:hAnsi="Arial"/>
          <w:sz w:val="18"/>
          <w:szCs w:val="18"/>
          <w:color w:val="auto"/>
        </w:rPr>
        <w:t>), compensation for early retirement (</w:t>
      </w:r>
      <w:r>
        <w:rPr>
          <w:rFonts w:ascii="Arial" w:cs="Arial" w:eastAsia="Arial" w:hAnsi="Arial"/>
          <w:sz w:val="18"/>
          <w:szCs w:val="18"/>
          <w:i w:val="1"/>
          <w:iCs w:val="1"/>
          <w:color w:val="auto"/>
        </w:rPr>
        <w:t>compensación por prejubilación</w:t>
      </w:r>
      <w:r>
        <w:rPr>
          <w:rFonts w:ascii="Arial" w:cs="Arial" w:eastAsia="Arial" w:hAnsi="Arial"/>
          <w:sz w:val="18"/>
          <w:szCs w:val="18"/>
          <w:color w:val="auto"/>
        </w:rPr>
        <w:t>), damages or any other payment whatsoever. Further, unless otherwise expressly provided in the Plan, Participant understands that Participant will not be entitled to continue vesting the PSUs once Participant’s service with the Company or the relevant Subsidiary ceases. 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PSUs shall be null and void.</w:t>
      </w:r>
    </w:p>
    <w:p>
      <w:pPr>
        <w:spacing w:after="0" w:line="178" w:lineRule="exact"/>
        <w:rPr>
          <w:rFonts w:ascii="Arial" w:cs="Arial" w:eastAsia="Arial" w:hAnsi="Arial"/>
          <w:sz w:val="18"/>
          <w:szCs w:val="18"/>
          <w:color w:val="auto"/>
        </w:rPr>
      </w:pPr>
    </w:p>
    <w:p>
      <w:pPr>
        <w:ind w:left="1300" w:hanging="644"/>
        <w:spacing w:after="0"/>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15" w:lineRule="exact"/>
        <w:rPr>
          <w:rFonts w:ascii="Arial" w:cs="Arial" w:eastAsia="Arial" w:hAnsi="Arial"/>
          <w:sz w:val="20"/>
          <w:szCs w:val="20"/>
          <w:color w:val="auto"/>
        </w:rPr>
      </w:pPr>
    </w:p>
    <w:p>
      <w:pPr>
        <w:ind w:firstLine="1296"/>
        <w:spacing w:after="0" w:line="260" w:lineRule="auto"/>
        <w:rPr>
          <w:rFonts w:ascii="Arial" w:cs="Arial" w:eastAsia="Arial" w:hAnsi="Arial"/>
          <w:sz w:val="20"/>
          <w:szCs w:val="20"/>
          <w:color w:val="auto"/>
        </w:rPr>
      </w:pPr>
      <w:r>
        <w:rPr>
          <w:rFonts w:ascii="Arial" w:cs="Arial" w:eastAsia="Arial" w:hAnsi="Arial"/>
          <w:sz w:val="20"/>
          <w:szCs w:val="20"/>
          <w:color w:val="auto"/>
        </w:rPr>
        <w:t>a. “Detrimental Activity” means the Participant incurring in any of the grounds for disciplinary dismissal regulated in Article 54 of the Spanish Workers’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6" w:name="page97"/>
    <w:bookmarkEnd w:id="96"/>
    <w:p>
      <w:pPr>
        <w:jc w:val="both"/>
        <w:ind w:firstLine="1304"/>
        <w:spacing w:after="0" w:line="275" w:lineRule="auto"/>
        <w:tabs>
          <w:tab w:leader="none" w:pos="194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for an Employee, termination based on the grounds set forth in Article 50 of the Spanish Workers’ Statute. For senior executives (</w:t>
      </w:r>
      <w:r>
        <w:rPr>
          <w:rFonts w:ascii="Arial" w:cs="Arial" w:eastAsia="Arial" w:hAnsi="Arial"/>
          <w:sz w:val="18"/>
          <w:szCs w:val="18"/>
          <w:i w:val="1"/>
          <w:iCs w:val="1"/>
          <w:color w:val="auto"/>
        </w:rPr>
        <w:t>altos directivos</w:t>
      </w:r>
      <w:r>
        <w:rPr>
          <w:rFonts w:ascii="Arial" w:cs="Arial" w:eastAsia="Arial" w:hAnsi="Arial"/>
          <w:sz w:val="18"/>
          <w:szCs w:val="18"/>
          <w:color w:val="auto"/>
        </w:rPr>
        <w:t>), the termination based on the grounds set forth in Article 10.3, sections (a), (b) or</w:t>
      </w:r>
    </w:p>
    <w:p>
      <w:pPr>
        <w:jc w:val="both"/>
        <w:ind w:firstLine="8"/>
        <w:spacing w:after="0" w:line="281" w:lineRule="auto"/>
        <w:tabs>
          <w:tab w:leader="none" w:pos="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Royal Decree 1382/1985, of 1 August 1985, governing the special employment relationship of senior executives. For corporate officers (</w:t>
      </w:r>
      <w:r>
        <w:rPr>
          <w:rFonts w:ascii="Arial" w:cs="Arial" w:eastAsia="Arial" w:hAnsi="Arial"/>
          <w:sz w:val="18"/>
          <w:szCs w:val="18"/>
          <w:i w:val="1"/>
          <w:iCs w:val="1"/>
          <w:color w:val="auto"/>
        </w:rPr>
        <w:t>“consejeros ejecutivos”</w:t>
      </w:r>
      <w:r>
        <w:rPr>
          <w:rFonts w:ascii="Arial" w:cs="Arial" w:eastAsia="Arial" w:hAnsi="Arial"/>
          <w:sz w:val="18"/>
          <w:szCs w:val="18"/>
          <w:color w:val="auto"/>
        </w:rPr>
        <w:t xml:space="preserve">) not holding an employment status, the definition of “Good Reason” shall be that set forth in the relevant services agreement and, otherwise, the same as that set forth in the Agreement, adapted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 corporate officer.</w:t>
      </w:r>
    </w:p>
    <w:p>
      <w:pPr>
        <w:spacing w:after="0" w:line="161" w:lineRule="exact"/>
        <w:rPr>
          <w:rFonts w:ascii="Arial" w:cs="Arial" w:eastAsia="Arial" w:hAnsi="Arial"/>
          <w:sz w:val="18"/>
          <w:szCs w:val="18"/>
          <w:color w:val="auto"/>
        </w:rPr>
      </w:pPr>
    </w:p>
    <w:p>
      <w:pPr>
        <w:jc w:val="both"/>
        <w:ind w:firstLine="1304"/>
        <w:spacing w:after="0" w:line="250" w:lineRule="auto"/>
        <w:tabs>
          <w:tab w:leader="none" w:pos="1933" w:val="left"/>
        </w:tabs>
        <w:numPr>
          <w:ilvl w:val="1"/>
          <w:numId w:val="1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service agreement, by either party, at a time the Participant reaches the ordinary retirement age as determined in Article 205 and Seventh Transitory Provision of the Spanish Social Security Act (</w:t>
      </w:r>
      <w:r>
        <w:rPr>
          <w:rFonts w:ascii="Arial" w:cs="Arial" w:eastAsia="Arial" w:hAnsi="Arial"/>
          <w:sz w:val="20"/>
          <w:szCs w:val="20"/>
          <w:i w:val="1"/>
          <w:iCs w:val="1"/>
          <w:color w:val="auto"/>
        </w:rPr>
        <w:t>“Ley General de Seguridad Social”</w:t>
      </w:r>
      <w:r>
        <w:rPr>
          <w:rFonts w:ascii="Arial" w:cs="Arial" w:eastAsia="Arial" w:hAnsi="Arial"/>
          <w:sz w:val="20"/>
          <w:szCs w:val="20"/>
          <w:color w:val="auto"/>
        </w:rPr>
        <w:t>).</w:t>
      </w:r>
    </w:p>
    <w:p>
      <w:pPr>
        <w:spacing w:after="0" w:line="180" w:lineRule="exact"/>
        <w:rPr>
          <w:sz w:val="20"/>
          <w:szCs w:val="20"/>
          <w:color w:val="auto"/>
        </w:rPr>
      </w:pPr>
    </w:p>
    <w:p>
      <w:pPr>
        <w:ind w:left="3480"/>
        <w:spacing w:after="0"/>
        <w:tabs>
          <w:tab w:leader="none" w:pos="508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20"/>
          <w:szCs w:val="20"/>
          <w:b w:val="1"/>
          <w:bCs w:val="1"/>
          <w:color w:val="auto"/>
        </w:rPr>
        <w:t>THAILAND</w:t>
      </w:r>
    </w:p>
    <w:p>
      <w:pPr>
        <w:spacing w:after="0" w:line="222" w:lineRule="exact"/>
        <w:rPr>
          <w:sz w:val="20"/>
          <w:szCs w:val="20"/>
          <w:color w:val="auto"/>
        </w:rPr>
      </w:pPr>
    </w:p>
    <w:p>
      <w:pPr>
        <w:jc w:val="both"/>
        <w:ind w:firstLine="656"/>
        <w:spacing w:after="0" w:line="246" w:lineRule="auto"/>
        <w:tabs>
          <w:tab w:leader="none" w:pos="129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to the Company provided for in this Agreement shall be addressed to it in case of its Secretary, TechnipFMC plc, John T. Gremp Campus, 13450 Lockwood Road, Houston, Texas 77044, and any notice to the Participant (or other person entitled to receive the PSUs) will be addressed to such person at the Participant’s address now on file with the Company, or to such other address as either may designate to the other in writing.</w:t>
      </w:r>
    </w:p>
    <w:p>
      <w:pPr>
        <w:spacing w:after="0" w:line="1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Any document, notice or demand required or permitted to be given or made by any of the parties hereto shall be deemed to be sufficiently given or made by way of the following:</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i.if by letter, when delivered personally or on actual receipt; and</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ii.if by facsimile, when received in legible form.</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notice given in accordance with the above but received on a non-working day or after business hours in the place of receipt will only be deemed to be given on the next working day in that place.</w:t>
      </w:r>
    </w:p>
    <w:p>
      <w:pPr>
        <w:spacing w:after="0" w:line="177" w:lineRule="exact"/>
        <w:rPr>
          <w:sz w:val="20"/>
          <w:szCs w:val="20"/>
          <w:color w:val="auto"/>
        </w:rPr>
      </w:pPr>
    </w:p>
    <w:p>
      <w:pPr>
        <w:jc w:val="both"/>
        <w:ind w:firstLine="656"/>
        <w:spacing w:after="0" w:line="263" w:lineRule="auto"/>
        <w:tabs>
          <w:tab w:leader="none" w:pos="1296"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Choice of Law: The choice of law to be the laws of the State of Delaware will be recognized in the Thai court and applied to the extent to which such law is (a) proven to the satisfaction of the Courts which satisfaction is within the discretion of said Courts and (b) not considered contrary to the public order or good morals of the people of Thailand. The scope of public order and good morals of the people of Thailand are issues to be interpreted by the Supreme Court of Thailand.</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ix.UNITED ARAB EMIRATES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United Arab Emirates</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the UAE for tax, labour or securities law purposes.</w:t>
      </w:r>
    </w:p>
    <w:p>
      <w:pPr>
        <w:spacing w:after="0" w:line="183" w:lineRule="exact"/>
        <w:rPr>
          <w:sz w:val="20"/>
          <w:szCs w:val="20"/>
          <w:color w:val="auto"/>
        </w:rPr>
      </w:pPr>
    </w:p>
    <w:p>
      <w:pPr>
        <w:jc w:val="both"/>
        <w:ind w:firstLine="656"/>
        <w:spacing w:after="0" w:line="244" w:lineRule="auto"/>
        <w:tabs>
          <w:tab w:leader="none" w:pos="1296"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Disclaimer</w:t>
      </w:r>
      <w:r>
        <w:rPr>
          <w:rFonts w:ascii="Arial" w:cs="Arial" w:eastAsia="Arial" w:hAnsi="Arial"/>
          <w:sz w:val="20"/>
          <w:szCs w:val="20"/>
          <w:color w:val="auto"/>
        </w:rPr>
        <w:t>. This Agreement has not been approved or licensed by the Securities and Commodities Authority or any other relevant licensing authorities or governmental agencies in the United Arab Emirates. This Agreement is strictly private and confidential and the terms of the Agreement and the Plan have not been reviewed by, deposited or registered with the Securities and Commodities Authority or any other licensing authority or governmental agencies in the United Arab Emirates. This offer is being issued from outside the United Arab Emirates to a limited number of Employees of a Subsidiary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0"/>
          <w:szCs w:val="20"/>
          <w:color w:val="auto"/>
        </w:rPr>
        <w:t>the Company and must not be provided to any person other than the original recipient and may not be reproduced or used for any other purpose. Further, the information contained in this Agreement and the Plan is not intended to lead to the issue of any securities or the conclusion of any other contract of whatsoever nature within the territory of the United Arab Emirates.</w:t>
      </w:r>
    </w:p>
    <w:p>
      <w:pPr>
        <w:spacing w:after="0" w:line="186" w:lineRule="exact"/>
        <w:rPr>
          <w:sz w:val="20"/>
          <w:szCs w:val="20"/>
          <w:color w:val="auto"/>
        </w:rPr>
      </w:pPr>
    </w:p>
    <w:p>
      <w:pPr>
        <w:jc w:val="both"/>
        <w:ind w:firstLine="656"/>
        <w:spacing w:after="0" w:line="282" w:lineRule="auto"/>
        <w:tabs>
          <w:tab w:leader="none" w:pos="129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Any dispute arising out of or in connection with this Agreement, including any question regarding its existence, validity or termination, shall be referred to and finally resolved by arbitration under the Arbitration Rules of the DIFC – LCIA Arbitration Centre, which Rules are deemed to be incorporated by reference into this clause. The number of arbitrators shall be one. The seat, or legal place, of arbitration shall be Dubai International Financial Centre The language to be used in the arbitration shall be English.</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does not form part of the Participant’s employment for any purposes whatsoever.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x. UNITED KINGDOM</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PSUs. Other Eligible Individuals who are not Employees are not eligible to receive PSUs in the United Kingdom.</w:t>
      </w:r>
    </w:p>
    <w:p>
      <w:pPr>
        <w:spacing w:after="0" w:line="194" w:lineRule="exact"/>
        <w:rPr>
          <w:sz w:val="20"/>
          <w:szCs w:val="20"/>
          <w:color w:val="auto"/>
        </w:rPr>
      </w:pPr>
    </w:p>
    <w:p>
      <w:pPr>
        <w:jc w:val="both"/>
        <w:ind w:firstLine="656"/>
        <w:spacing w:after="0" w:line="270" w:lineRule="auto"/>
        <w:tabs>
          <w:tab w:leader="none" w:pos="129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Participant agrees to indemnify and keep indemnified the Company, any Subsidiary, any Parent and his/her Employer, if different, from and against any liability for or obligation to pay any Tax Liability (a “Tax Liability” being any liability for income tax, employee’s National Insurance contributions and (at the discretion of the Company) employer’s National Contributions (or other similar obligations to pay tax and social security wherever in the world arising) that is attributable to (1) the grant and/or vesting of the PSUs;</w:t>
      </w:r>
    </w:p>
    <w:p>
      <w:pPr>
        <w:spacing w:after="0" w:line="2" w:lineRule="exact"/>
        <w:rPr>
          <w:rFonts w:ascii="Arial" w:cs="Arial" w:eastAsia="Arial" w:hAnsi="Arial"/>
          <w:sz w:val="18"/>
          <w:szCs w:val="18"/>
          <w:color w:val="auto"/>
        </w:rPr>
      </w:pPr>
    </w:p>
    <w:p>
      <w:pPr>
        <w:ind w:firstLine="8"/>
        <w:spacing w:after="0" w:line="269" w:lineRule="auto"/>
        <w:tabs>
          <w:tab w:leader="none" w:pos="28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acquisition by Participant of the Shares (3) any or all of the restrictions that apply to any of the Shares ceasing to apply to the Shares or otherwise being varied, or (4) the disposal of any Shares (each of those events referred to as a “Taxable Event”)).</w:t>
      </w:r>
    </w:p>
    <w:p>
      <w:pPr>
        <w:spacing w:after="0" w:line="169" w:lineRule="exact"/>
        <w:rPr>
          <w:rFonts w:ascii="Arial" w:cs="Arial" w:eastAsia="Arial" w:hAnsi="Arial"/>
          <w:sz w:val="19"/>
          <w:szCs w:val="19"/>
          <w:color w:val="auto"/>
        </w:rPr>
      </w:pPr>
    </w:p>
    <w:p>
      <w:pPr>
        <w:jc w:val="both"/>
        <w:ind w:firstLine="656"/>
        <w:spacing w:after="0" w:line="246" w:lineRule="auto"/>
        <w:tabs>
          <w:tab w:leader="none" w:pos="1296" w:val="left"/>
        </w:tabs>
        <w:numPr>
          <w:ilvl w:val="1"/>
          <w:numId w:val="122"/>
        </w:numPr>
        <w:rPr>
          <w:rFonts w:ascii="Arial" w:cs="Arial" w:eastAsia="Arial" w:hAnsi="Arial"/>
          <w:sz w:val="20"/>
          <w:szCs w:val="20"/>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PSUs will not vest or be acquired by Participant until Participant has made such arrangements as the 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296"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Participant undertakes that, upon request by the Company, he/she will (on or within 14 days of acquiring the Shares) join with his/her Employer in electing, pursuant to Section 431(1) of the Income Tax (Earnings and Pensions) Act 2003 (“ITEPA”) that, for relevant tax purposes, the market value of the Shares acquired on Vesting of the PSUs on any occasion will be calculated as if the Shares were not restricted and Sections 425 to 430 (inclusive) of ITEPA are not to apply to such Shares.</w:t>
      </w:r>
    </w:p>
    <w:p>
      <w:pPr>
        <w:spacing w:after="0" w:line="176" w:lineRule="exact"/>
        <w:rPr>
          <w:rFonts w:ascii="Arial" w:cs="Arial" w:eastAsia="Arial" w:hAnsi="Arial"/>
          <w:sz w:val="19"/>
          <w:szCs w:val="19"/>
          <w:color w:val="auto"/>
        </w:rPr>
      </w:pPr>
    </w:p>
    <w:p>
      <w:pPr>
        <w:jc w:val="both"/>
        <w:ind w:right="20" w:firstLine="656"/>
        <w:spacing w:after="0" w:line="250" w:lineRule="auto"/>
        <w:tabs>
          <w:tab w:leader="none" w:pos="1296" w:val="left"/>
        </w:tabs>
        <w:numPr>
          <w:ilvl w:val="1"/>
          <w:numId w:val="122"/>
        </w:numPr>
        <w:rPr>
          <w:rFonts w:ascii="Arial" w:cs="Arial" w:eastAsia="Arial" w:hAnsi="Arial"/>
          <w:sz w:val="20"/>
          <w:szCs w:val="20"/>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8" w:name="page99"/>
    <w:bookmarkEnd w:id="98"/>
    <w:p>
      <w:pPr>
        <w:jc w:val="both"/>
        <w:spacing w:after="0" w:line="269" w:lineRule="auto"/>
        <w:rPr>
          <w:sz w:val="20"/>
          <w:szCs w:val="20"/>
          <w:color w:val="auto"/>
        </w:rPr>
      </w:pPr>
      <w:r>
        <w:rPr>
          <w:rFonts w:ascii="Arial" w:cs="Arial" w:eastAsia="Arial" w:hAnsi="Arial"/>
          <w:sz w:val="19"/>
          <w:szCs w:val="19"/>
          <w:color w:val="auto"/>
        </w:rPr>
        <w:t>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170"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For the purposes of this Agreement and the Plan, the following defined term applies:</w:t>
      </w:r>
    </w:p>
    <w:p>
      <w:pPr>
        <w:spacing w:after="0" w:line="216" w:lineRule="exact"/>
        <w:rPr>
          <w:sz w:val="20"/>
          <w:szCs w:val="20"/>
          <w:color w:val="auto"/>
        </w:rPr>
      </w:pPr>
    </w:p>
    <w:p>
      <w:pPr>
        <w:ind w:firstLine="1082"/>
        <w:spacing w:after="0" w:line="260"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the Participant’s employment at the age when he or she becomes eligible to receive a state pension in the UK.</w:t>
      </w:r>
    </w:p>
    <w:p>
      <w:pPr>
        <w:spacing w:after="0" w:line="177" w:lineRule="exact"/>
        <w:rPr>
          <w:sz w:val="20"/>
          <w:szCs w:val="20"/>
          <w:color w:val="auto"/>
        </w:rPr>
      </w:pPr>
    </w:p>
    <w:p>
      <w:pPr>
        <w:ind w:right="20" w:firstLine="1092"/>
        <w:spacing w:after="0" w:line="260"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|EU-DOCS\32493268.1||</w:t>
      </w:r>
    </w:p>
    <w:p>
      <w:pPr>
        <w:sectPr>
          <w:pgSz w:w="11900" w:h="16838" w:orient="portrait"/>
          <w:cols w:equalWidth="0" w:num="1">
            <w:col w:w="11240"/>
          </w:cols>
          <w:pgMar w:left="320" w:top="1419" w:right="339" w:bottom="1440" w:gutter="0" w:footer="0" w:header="0"/>
        </w:sectPr>
      </w:pPr>
    </w:p>
    <w:bookmarkStart w:id="99" w:name="page100"/>
    <w:bookmarkEnd w:id="99"/>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THE</w:t>
      </w: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Restricted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 ] (the “</w:t>
      </w:r>
      <w:r>
        <w:rPr>
          <w:rFonts w:ascii="Arial" w:cs="Arial" w:eastAsia="Arial" w:hAnsi="Arial"/>
          <w:sz w:val="19"/>
          <w:szCs w:val="19"/>
          <w:u w:val="single" w:color="auto"/>
          <w:color w:val="auto"/>
        </w:rPr>
        <w:t>Grant Date</w:t>
      </w:r>
      <w:r>
        <w:rPr>
          <w:rFonts w:ascii="Arial" w:cs="Arial" w:eastAsia="Arial" w:hAnsi="Arial"/>
          <w:sz w:val="19"/>
          <w:szCs w:val="19"/>
          <w:color w:val="auto"/>
        </w:rPr>
        <w:t>”) by TechnipFMC plc, a public limited company incorporated under the laws of England and Wales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w:t>
      </w:r>
      <w:r>
        <w:rPr>
          <w:rFonts w:ascii="Arial" w:cs="Arial" w:eastAsia="Arial" w:hAnsi="Arial"/>
          <w:sz w:val="19"/>
          <w:szCs w:val="19"/>
          <w:color w:val="auto"/>
          <w:highlight w:val="yellow"/>
        </w:rPr>
        <w:t>&lt;&lt;Participant Name&gt;&gt;</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an award of restricted stock units to the Participant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The Committee, on behalf of the Company, grants to the Participant an award of </w:t>
      </w:r>
      <w:r>
        <w:rPr>
          <w:rFonts w:ascii="Arial" w:cs="Arial" w:eastAsia="Arial" w:hAnsi="Arial"/>
          <w:sz w:val="19"/>
          <w:szCs w:val="19"/>
          <w:color w:val="auto"/>
          <w:highlight w:val="yellow"/>
        </w:rPr>
        <w:t>&lt;&lt;Shares Granted&gt;&gt;</w:t>
      </w:r>
      <w:r>
        <w:rPr>
          <w:rFonts w:ascii="Arial" w:cs="Arial" w:eastAsia="Arial" w:hAnsi="Arial"/>
          <w:sz w:val="19"/>
          <w:szCs w:val="19"/>
          <w:color w:val="auto"/>
        </w:rPr>
        <w:t xml:space="preserve">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of the Company’s ordinary shares (the “</w:t>
      </w:r>
      <w:r>
        <w:rPr>
          <w:rFonts w:ascii="Arial" w:cs="Arial" w:eastAsia="Arial" w:hAnsi="Arial"/>
          <w:sz w:val="19"/>
          <w:szCs w:val="19"/>
          <w:u w:val="single" w:color="auto"/>
          <w:color w:val="auto"/>
        </w:rPr>
        <w:t>Shares</w:t>
      </w:r>
      <w:r>
        <w:rPr>
          <w:rFonts w:ascii="Arial" w:cs="Arial" w:eastAsia="Arial" w:hAnsi="Arial"/>
          <w:sz w:val="19"/>
          <w:szCs w:val="19"/>
          <w:color w:val="auto"/>
        </w:rPr>
        <w:t>”). The award is made upon the following terms and conditions:</w:t>
      </w:r>
    </w:p>
    <w:p>
      <w:pPr>
        <w:spacing w:after="0" w:line="152" w:lineRule="exact"/>
        <w:rPr>
          <w:sz w:val="20"/>
          <w:szCs w:val="20"/>
          <w:color w:val="auto"/>
        </w:rPr>
      </w:pPr>
    </w:p>
    <w:p>
      <w:pPr>
        <w:jc w:val="both"/>
        <w:ind w:firstLine="544"/>
        <w:spacing w:after="0" w:line="244"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Vesting</w:t>
      </w:r>
      <w:r>
        <w:rPr>
          <w:rFonts w:ascii="Arial" w:cs="Arial" w:eastAsia="Arial" w:hAnsi="Arial"/>
          <w:sz w:val="20"/>
          <w:szCs w:val="20"/>
          <w:color w:val="auto"/>
        </w:rPr>
        <w:t>. The RSUs will vest on [ ] (the “</w:t>
      </w:r>
      <w:r>
        <w:rPr>
          <w:rFonts w:ascii="Arial" w:cs="Arial" w:eastAsia="Arial" w:hAnsi="Arial"/>
          <w:sz w:val="20"/>
          <w:szCs w:val="20"/>
          <w:u w:val="single" w:color="auto"/>
          <w:color w:val="auto"/>
        </w:rPr>
        <w:t>Vesting Date</w:t>
      </w:r>
      <w:r>
        <w:rPr>
          <w:rFonts w:ascii="Arial" w:cs="Arial" w:eastAsia="Arial" w:hAnsi="Arial"/>
          <w:sz w:val="20"/>
          <w:szCs w:val="20"/>
          <w:color w:val="auto"/>
        </w:rPr>
        <w:t xml:space="preserve">”), subject to the Participant’s continued employment, appointment or service through the Vesting Date, unless otherwise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On the Vesting Date, the Company will deliver an equal number of Shares as the number of vested RSUs as freely transferable Shares. All RSUs will be forfeited upon Participant’s Termination of Service before the Vesting Date other than as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w:t>
      </w:r>
      <w:r>
        <w:rPr>
          <w:rFonts w:ascii="Arial" w:cs="Arial" w:eastAsia="Arial" w:hAnsi="Arial"/>
          <w:sz w:val="20"/>
          <w:szCs w:val="20"/>
          <w:b w:val="1"/>
          <w:bCs w:val="1"/>
          <w:color w:val="auto"/>
        </w:rPr>
        <w:t>Prior to the Vesting Date, an Award remains subject to</w:t>
      </w:r>
      <w:r>
        <w:rPr>
          <w:rFonts w:ascii="Arial" w:cs="Arial" w:eastAsia="Arial" w:hAnsi="Arial"/>
          <w:sz w:val="20"/>
          <w:szCs w:val="20"/>
          <w:color w:val="auto"/>
        </w:rPr>
        <w:t xml:space="preserve"> </w:t>
      </w:r>
      <w:r>
        <w:rPr>
          <w:rFonts w:ascii="Arial" w:cs="Arial" w:eastAsia="Arial" w:hAnsi="Arial"/>
          <w:sz w:val="20"/>
          <w:szCs w:val="20"/>
          <w:b w:val="1"/>
          <w:bCs w:val="1"/>
          <w:color w:val="auto"/>
        </w:rPr>
        <w:t>substantial risk of forfeiture.</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spacing w:after="0" w:line="243" w:lineRule="exact"/>
        <w:rPr>
          <w:sz w:val="20"/>
          <w:szCs w:val="20"/>
          <w:color w:val="auto"/>
        </w:rPr>
      </w:pPr>
    </w:p>
    <w:p>
      <w:pPr>
        <w:ind w:right="20" w:firstLine="1304"/>
        <w:spacing w:after="0" w:line="238"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Participant’s death or Disability (as defined below) prior to the Vesting Date, the RSUs will vest and be immediately transferable as of the date of such death or Disability.</w:t>
      </w:r>
    </w:p>
    <w:p>
      <w:pPr>
        <w:spacing w:after="0" w:line="223" w:lineRule="exact"/>
        <w:rPr>
          <w:rFonts w:ascii="Arial" w:cs="Arial" w:eastAsia="Arial" w:hAnsi="Arial"/>
          <w:sz w:val="22"/>
          <w:szCs w:val="22"/>
          <w:color w:val="auto"/>
        </w:rPr>
      </w:pPr>
    </w:p>
    <w:p>
      <w:pPr>
        <w:ind w:firstLine="1304"/>
        <w:spacing w:after="0" w:line="238"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Participant’s Retirement (as defined below) prior to the Vesting Date, the Participant will retain the right to receive vested RSUs on the Vesting Date.</w:t>
      </w:r>
    </w:p>
    <w:p>
      <w:pPr>
        <w:spacing w:after="0" w:line="196" w:lineRule="exact"/>
        <w:rPr>
          <w:sz w:val="20"/>
          <w:szCs w:val="20"/>
          <w:color w:val="auto"/>
        </w:rPr>
      </w:pPr>
    </w:p>
    <w:p>
      <w:pPr>
        <w:ind w:firstLine="434"/>
        <w:spacing w:after="0" w:line="260"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the foregoing, upon a Change in Control where the surviving corporation or any parent corporation thereof:</w:t>
      </w:r>
    </w:p>
    <w:p>
      <w:pPr>
        <w:spacing w:after="0" w:line="204" w:lineRule="exact"/>
        <w:rPr>
          <w:sz w:val="20"/>
          <w:szCs w:val="20"/>
          <w:color w:val="auto"/>
        </w:rPr>
      </w:pPr>
    </w:p>
    <w:p>
      <w:pPr>
        <w:jc w:val="both"/>
        <w:ind w:firstLine="1304"/>
        <w:spacing w:after="0" w:line="306" w:lineRule="auto"/>
        <w:tabs>
          <w:tab w:leader="none" w:pos="1944" w:val="left"/>
        </w:tabs>
        <w:numPr>
          <w:ilvl w:val="0"/>
          <w:numId w:val="125"/>
        </w:numPr>
        <w:rPr>
          <w:rFonts w:ascii="Arial" w:cs="Arial" w:eastAsia="Arial" w:hAnsi="Arial"/>
          <w:sz w:val="18"/>
          <w:szCs w:val="18"/>
          <w:color w:val="auto"/>
        </w:rPr>
      </w:pPr>
      <w:r>
        <w:rPr>
          <w:rFonts w:ascii="Arial" w:cs="Arial" w:eastAsia="Arial" w:hAnsi="Arial"/>
          <w:sz w:val="17"/>
          <w:szCs w:val="17"/>
          <w:color w:val="auto"/>
        </w:rPr>
        <w:t xml:space="preserve">assumes or continues the Award, the RSUs shall continue to be subject to vesting and forfeiture as provided in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w:t>
      </w:r>
      <w:r>
        <w:rPr>
          <w:rFonts w:ascii="Arial" w:cs="Arial" w:eastAsia="Arial" w:hAnsi="Arial"/>
          <w:sz w:val="17"/>
          <w:szCs w:val="17"/>
          <w:color w:val="auto"/>
        </w:rPr>
        <w:t>, payable on the Vesting Date; provided, however, in the event of the Participant’s Termination of Service prior to the Vesting Date for a reason other than Participant’s engaging in a Detrimental Activity (as defined below) or by Participant for Good Reason (as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16" w:lineRule="auto"/>
        <w:rPr>
          <w:sz w:val="20"/>
          <w:szCs w:val="20"/>
          <w:color w:val="auto"/>
        </w:rPr>
      </w:pPr>
      <w:r>
        <w:rPr>
          <w:rFonts w:ascii="Arial" w:cs="Arial" w:eastAsia="Arial" w:hAnsi="Arial"/>
          <w:sz w:val="18"/>
          <w:szCs w:val="18"/>
          <w:color w:val="auto"/>
        </w:rPr>
        <w:t>defined below) and within the twenty-four month period following the consummation of a Change in Control (the “</w:t>
      </w:r>
      <w:r>
        <w:rPr>
          <w:rFonts w:ascii="Arial" w:cs="Arial" w:eastAsia="Arial" w:hAnsi="Arial"/>
          <w:sz w:val="18"/>
          <w:szCs w:val="18"/>
          <w:u w:val="single" w:color="auto"/>
          <w:color w:val="auto"/>
        </w:rPr>
        <w:t>Protection Period</w:t>
      </w:r>
      <w:r>
        <w:rPr>
          <w:rFonts w:ascii="Arial" w:cs="Arial" w:eastAsia="Arial" w:hAnsi="Arial"/>
          <w:sz w:val="18"/>
          <w:szCs w:val="18"/>
          <w:color w:val="auto"/>
        </w:rPr>
        <w:t xml:space="preserve">”), such RSUs shall be payable upon the date of Participant’s Termination of Service, subject to any required delay as provided under </w:t>
      </w:r>
      <w:r>
        <w:rPr>
          <w:rFonts w:ascii="Arial" w:cs="Arial" w:eastAsia="Arial" w:hAnsi="Arial"/>
          <w:sz w:val="18"/>
          <w:szCs w:val="18"/>
          <w:u w:val="single" w:color="auto"/>
          <w:color w:val="auto"/>
        </w:rPr>
        <w:t>Section 16</w:t>
      </w:r>
      <w:r>
        <w:rPr>
          <w:rFonts w:ascii="Arial" w:cs="Arial" w:eastAsia="Arial" w:hAnsi="Arial"/>
          <w:sz w:val="18"/>
          <w:szCs w:val="18"/>
          <w:color w:val="auto"/>
        </w:rPr>
        <w:t>; or</w:t>
      </w:r>
    </w:p>
    <w:p>
      <w:pPr>
        <w:spacing w:after="0" w:line="157" w:lineRule="exact"/>
        <w:rPr>
          <w:sz w:val="20"/>
          <w:szCs w:val="20"/>
          <w:color w:val="auto"/>
        </w:rPr>
      </w:pPr>
    </w:p>
    <w:p>
      <w:pPr>
        <w:ind w:left="1960" w:hanging="656"/>
        <w:spacing w:after="0"/>
        <w:tabs>
          <w:tab w:leader="none" w:pos="1960" w:val="left"/>
        </w:tabs>
        <w:numPr>
          <w:ilvl w:val="0"/>
          <w:numId w:val="126"/>
        </w:numPr>
        <w:rPr>
          <w:rFonts w:ascii="Arial" w:cs="Arial" w:eastAsia="Arial" w:hAnsi="Arial"/>
          <w:sz w:val="19"/>
          <w:szCs w:val="19"/>
          <w:color w:val="auto"/>
        </w:rPr>
      </w:pPr>
      <w:r>
        <w:rPr>
          <w:rFonts w:ascii="Arial" w:cs="Arial" w:eastAsia="Arial" w:hAnsi="Arial"/>
          <w:sz w:val="18"/>
          <w:szCs w:val="18"/>
          <w:color w:val="auto"/>
        </w:rPr>
        <w:t>does not assume or continue the Award, such RSUs shall vest in full and be payable on the consummation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Change in Control</w:t>
      </w:r>
      <w:r>
        <w:rPr>
          <w:rFonts w:ascii="Arial" w:cs="Arial" w:eastAsia="Arial" w:hAnsi="Arial"/>
          <w:sz w:val="20"/>
          <w:szCs w:val="20"/>
          <w:color w:val="1F497D"/>
        </w:rPr>
        <w:t>.</w:t>
      </w:r>
    </w:p>
    <w:p>
      <w:pPr>
        <w:spacing w:after="0" w:line="200" w:lineRule="exact"/>
        <w:rPr>
          <w:sz w:val="20"/>
          <w:szCs w:val="20"/>
          <w:color w:val="auto"/>
        </w:rPr>
      </w:pPr>
    </w:p>
    <w:p>
      <w:pPr>
        <w:jc w:val="both"/>
        <w:ind w:firstLine="444"/>
        <w:spacing w:after="0" w:line="242" w:lineRule="auto"/>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Confidentiality and Non-Competition</w:t>
      </w:r>
      <w:r>
        <w:rPr>
          <w:rFonts w:ascii="Arial" w:cs="Arial" w:eastAsia="Arial" w:hAnsi="Arial"/>
          <w:sz w:val="20"/>
          <w:szCs w:val="20"/>
          <w:color w:val="auto"/>
        </w:rPr>
        <w:t xml:space="preserve">. The Participant acknowledges that Participant is in possession of and has access to Confidential Information, as defined in </w:t>
      </w:r>
      <w:r>
        <w:rPr>
          <w:rFonts w:ascii="Arial" w:cs="Arial" w:eastAsia="Arial" w:hAnsi="Arial"/>
          <w:sz w:val="20"/>
          <w:szCs w:val="20"/>
          <w:u w:val="single" w:color="auto"/>
          <w:color w:val="auto"/>
        </w:rPr>
        <w:t>Exhibit A</w:t>
      </w:r>
      <w:r>
        <w:rPr>
          <w:rFonts w:ascii="Arial" w:cs="Arial" w:eastAsia="Arial" w:hAnsi="Arial"/>
          <w:sz w:val="20"/>
          <w:szCs w:val="20"/>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 partners, and other relationships of the Company. Participant acknowledges that the business, products, and services of the Company and its Subsidiaries are highly specialized and that it is essential that they be protected. Accordingly, by acceptance of the RSU, Participant agrees to be bound by the terms and conditions of the Confidentiality and Non-Compete Agreement (the “</w:t>
      </w:r>
      <w:r>
        <w:rPr>
          <w:rFonts w:ascii="Arial" w:cs="Arial" w:eastAsia="Arial" w:hAnsi="Arial"/>
          <w:sz w:val="20"/>
          <w:szCs w:val="20"/>
          <w:u w:val="single" w:color="auto"/>
          <w:color w:val="auto"/>
        </w:rPr>
        <w:t>Confidentiality and Non-Compete Agreement</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which is incorporated herein by reference.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Rights and Obligations as Stockholder.</w:t>
      </w:r>
    </w:p>
    <w:p>
      <w:pPr>
        <w:spacing w:after="0" w:line="243" w:lineRule="exact"/>
        <w:rPr>
          <w:sz w:val="20"/>
          <w:szCs w:val="20"/>
          <w:color w:val="auto"/>
        </w:rPr>
      </w:pPr>
    </w:p>
    <w:p>
      <w:pPr>
        <w:jc w:val="both"/>
        <w:ind w:firstLine="1304"/>
        <w:spacing w:after="0" w:line="238" w:lineRule="auto"/>
        <w:tabs>
          <w:tab w:leader="none" w:pos="1944" w:val="left"/>
        </w:tabs>
        <w:numPr>
          <w:ilvl w:val="0"/>
          <w:numId w:val="127"/>
        </w:numPr>
        <w:rPr>
          <w:rFonts w:ascii="Arial" w:cs="Arial" w:eastAsia="Arial" w:hAnsi="Arial"/>
          <w:sz w:val="22"/>
          <w:szCs w:val="22"/>
          <w:color w:val="auto"/>
        </w:rPr>
      </w:pPr>
      <w:r>
        <w:rPr>
          <w:rFonts w:ascii="Arial" w:cs="Arial" w:eastAsia="Arial" w:hAnsi="Arial"/>
          <w:sz w:val="20"/>
          <w:szCs w:val="20"/>
          <w:color w:val="auto"/>
        </w:rPr>
        <w:t>Prior to the Vesting Date, the Participant may not vote, sell, exchange, transfer, pledge, hypothecate or otherwise dispose of any of the RSUs. The Participant will receive Dividend Equivalents on the RSUs, provided, however, that no Dividend Equivalents shall be payable prior to the Vesting Date on any unvested RSUs. All Dividend Equivalents paid on unvested RSUs shall be held by the Company until such RSUs become vested RSUs.</w:t>
      </w:r>
    </w:p>
    <w:p>
      <w:pPr>
        <w:spacing w:after="0" w:line="225" w:lineRule="exact"/>
        <w:rPr>
          <w:rFonts w:ascii="Arial" w:cs="Arial" w:eastAsia="Arial" w:hAnsi="Arial"/>
          <w:sz w:val="22"/>
          <w:szCs w:val="22"/>
          <w:color w:val="auto"/>
        </w:rPr>
      </w:pPr>
    </w:p>
    <w:p>
      <w:pPr>
        <w:ind w:firstLine="1304"/>
        <w:spacing w:after="0" w:line="238" w:lineRule="auto"/>
        <w:tabs>
          <w:tab w:leader="none" w:pos="1944" w:val="left"/>
        </w:tabs>
        <w:numPr>
          <w:ilvl w:val="0"/>
          <w:numId w:val="127"/>
        </w:numPr>
        <w:rPr>
          <w:rFonts w:ascii="Arial" w:cs="Arial" w:eastAsia="Arial" w:hAnsi="Arial"/>
          <w:sz w:val="22"/>
          <w:szCs w:val="22"/>
          <w:color w:val="auto"/>
        </w:rPr>
      </w:pPr>
      <w:r>
        <w:rPr>
          <w:rFonts w:ascii="Arial" w:cs="Arial" w:eastAsia="Arial" w:hAnsi="Arial"/>
          <w:sz w:val="20"/>
          <w:szCs w:val="20"/>
          <w:color w:val="auto"/>
        </w:rPr>
        <w:t xml:space="preserve">After the Vesting Date, the Participant agrees to comply with any and all Applicable Laws, the Company Policies (as defined in </w:t>
      </w:r>
      <w:r>
        <w:rPr>
          <w:rFonts w:ascii="Arial" w:cs="Arial" w:eastAsia="Arial" w:hAnsi="Arial"/>
          <w:sz w:val="20"/>
          <w:szCs w:val="20"/>
          <w:u w:val="single" w:color="auto"/>
          <w:color w:val="auto"/>
        </w:rPr>
        <w:t>Section 20</w:t>
      </w:r>
      <w:r>
        <w:rPr>
          <w:rFonts w:ascii="Arial" w:cs="Arial" w:eastAsia="Arial" w:hAnsi="Arial"/>
          <w:sz w:val="20"/>
          <w:szCs w:val="20"/>
          <w:color w:val="auto"/>
        </w:rPr>
        <w:t>) and all other applicable Company policies regarding trading in the Shares received.</w:t>
      </w:r>
    </w:p>
    <w:p>
      <w:pPr>
        <w:spacing w:after="0" w:line="196" w:lineRule="exact"/>
        <w:rPr>
          <w:sz w:val="20"/>
          <w:szCs w:val="20"/>
          <w:color w:val="auto"/>
        </w:rPr>
      </w:pPr>
    </w:p>
    <w:p>
      <w:pPr>
        <w:jc w:val="both"/>
        <w:ind w:firstLine="444"/>
        <w:spacing w:after="0" w:line="250" w:lineRule="auto"/>
        <w:rPr>
          <w:sz w:val="20"/>
          <w:szCs w:val="20"/>
          <w:color w:val="auto"/>
        </w:rPr>
      </w:pPr>
      <w:r>
        <w:rPr>
          <w:rFonts w:ascii="Arial" w:cs="Arial" w:eastAsia="Arial" w:hAnsi="Arial"/>
          <w:sz w:val="20"/>
          <w:szCs w:val="20"/>
          <w:color w:val="auto"/>
        </w:rPr>
        <w:t>vi.</w:t>
      </w: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RSUs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186" w:lineRule="exact"/>
        <w:rPr>
          <w:sz w:val="20"/>
          <w:szCs w:val="20"/>
          <w:color w:val="auto"/>
        </w:rPr>
      </w:pPr>
    </w:p>
    <w:p>
      <w:pPr>
        <w:jc w:val="both"/>
        <w:ind w:firstLine="390"/>
        <w:spacing w:after="0" w:line="269" w:lineRule="auto"/>
        <w:rPr>
          <w:sz w:val="20"/>
          <w:szCs w:val="20"/>
          <w:color w:val="auto"/>
        </w:rPr>
      </w:pPr>
      <w:r>
        <w:rPr>
          <w:rFonts w:ascii="Arial" w:cs="Arial" w:eastAsia="Arial" w:hAnsi="Arial"/>
          <w:sz w:val="19"/>
          <w:szCs w:val="19"/>
          <w:color w:val="auto"/>
        </w:rPr>
        <w:t>vii.</w:t>
      </w:r>
      <w:r>
        <w:rPr>
          <w:rFonts w:ascii="Arial" w:cs="Arial" w:eastAsia="Arial" w:hAnsi="Arial"/>
          <w:sz w:val="19"/>
          <w:szCs w:val="19"/>
          <w:u w:val="single" w:color="auto"/>
          <w:color w:val="auto"/>
        </w:rPr>
        <w:t>Employment</w:t>
      </w:r>
      <w:r>
        <w:rPr>
          <w:rFonts w:ascii="Arial" w:cs="Arial" w:eastAsia="Arial" w:hAnsi="Arial"/>
          <w:sz w:val="19"/>
          <w:szCs w:val="19"/>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pacing w:after="0" w:line="170" w:lineRule="exact"/>
        <w:rPr>
          <w:sz w:val="20"/>
          <w:szCs w:val="20"/>
          <w:color w:val="auto"/>
        </w:rPr>
      </w:pPr>
    </w:p>
    <w:p>
      <w:pPr>
        <w:jc w:val="both"/>
        <w:ind w:firstLine="335"/>
        <w:spacing w:after="0" w:line="316" w:lineRule="auto"/>
        <w:rPr>
          <w:sz w:val="20"/>
          <w:szCs w:val="20"/>
          <w:color w:val="auto"/>
        </w:rPr>
      </w:pPr>
      <w:r>
        <w:rPr>
          <w:rFonts w:ascii="Arial" w:cs="Arial" w:eastAsia="Arial" w:hAnsi="Arial"/>
          <w:sz w:val="18"/>
          <w:szCs w:val="18"/>
          <w:color w:val="auto"/>
        </w:rPr>
        <w:t>viii.</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The Company’s obligation to deliver Shares following the Vesting Date will be subject to all Applicable Laws, rules and regulations and to such approvals by any governmental agencies or national securities exchanges as may be required.</w:t>
      </w:r>
    </w:p>
    <w:p>
      <w:pPr>
        <w:spacing w:after="0" w:line="130" w:lineRule="exact"/>
        <w:rPr>
          <w:sz w:val="20"/>
          <w:szCs w:val="20"/>
          <w:color w:val="auto"/>
        </w:rPr>
      </w:pPr>
    </w:p>
    <w:p>
      <w:pPr>
        <w:jc w:val="both"/>
        <w:ind w:firstLine="444"/>
        <w:spacing w:after="0" w:line="243" w:lineRule="auto"/>
        <w:rPr>
          <w:sz w:val="20"/>
          <w:szCs w:val="20"/>
          <w:color w:val="auto"/>
        </w:rPr>
      </w:pPr>
      <w:r>
        <w:rPr>
          <w:rFonts w:ascii="Arial" w:cs="Arial" w:eastAsia="Arial" w:hAnsi="Arial"/>
          <w:sz w:val="20"/>
          <w:szCs w:val="20"/>
          <w:color w:val="auto"/>
        </w:rPr>
        <w:t>ix.</w:t>
      </w:r>
      <w:r>
        <w:rPr>
          <w:rFonts w:ascii="Arial" w:cs="Arial" w:eastAsia="Arial" w:hAnsi="Arial"/>
          <w:sz w:val="20"/>
          <w:szCs w:val="20"/>
          <w:u w:val="single" w:color="auto"/>
          <w:color w:val="auto"/>
        </w:rPr>
        <w:t>Withholding</w:t>
      </w:r>
      <w:r>
        <w:rPr>
          <w:rFonts w:ascii="Arial" w:cs="Arial" w:eastAsia="Arial" w:hAnsi="Arial"/>
          <w:sz w:val="20"/>
          <w:szCs w:val="20"/>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Shares on the Vesting Date, or, if the Vesting Date is not a business day, the next business day immediately following the Vesting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01" w:name="page102"/>
    <w:bookmarkEnd w:id="101"/>
    <w:p>
      <w:pPr>
        <w:jc w:val="both"/>
        <w:ind w:firstLine="499"/>
        <w:spacing w:after="0" w:line="263" w:lineRule="auto"/>
        <w:rPr>
          <w:sz w:val="20"/>
          <w:szCs w:val="20"/>
          <w:color w:val="auto"/>
        </w:rPr>
      </w:pPr>
      <w:r>
        <w:rPr>
          <w:rFonts w:ascii="Arial" w:cs="Arial" w:eastAsia="Arial" w:hAnsi="Arial"/>
          <w:sz w:val="19"/>
          <w:szCs w:val="19"/>
          <w:color w:val="auto"/>
        </w:rPr>
        <w:t>x.</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Any notice to the Company provided for in this Agreement will be addressed to it in care of its Secretary, TechnipFMC plc, John T. Gremp Campus, 13450 Lockwood Road, Houston, Texas 77044, and any notice to the Participant (or other person entitled to receive the RSUs) will be addressed to such person at the Participant’s address last on file with the Company, or to such other address as either may designate to the other in writing. All notices will be deemed to be duly given as provided in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176" w:lineRule="exact"/>
        <w:rPr>
          <w:sz w:val="20"/>
          <w:szCs w:val="20"/>
          <w:color w:val="auto"/>
        </w:rPr>
      </w:pPr>
    </w:p>
    <w:p>
      <w:pPr>
        <w:jc w:val="both"/>
        <w:ind w:firstLine="444"/>
        <w:spacing w:after="0" w:line="269" w:lineRule="auto"/>
        <w:rPr>
          <w:sz w:val="20"/>
          <w:szCs w:val="20"/>
          <w:color w:val="auto"/>
        </w:rPr>
      </w:pPr>
      <w:r>
        <w:rPr>
          <w:rFonts w:ascii="Arial" w:cs="Arial" w:eastAsia="Arial" w:hAnsi="Arial"/>
          <w:sz w:val="19"/>
          <w:szCs w:val="19"/>
          <w:color w:val="auto"/>
        </w:rPr>
        <w:t>xi.</w:t>
      </w: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pacing w:after="0" w:line="170" w:lineRule="exact"/>
        <w:rPr>
          <w:sz w:val="20"/>
          <w:szCs w:val="20"/>
          <w:color w:val="auto"/>
        </w:rPr>
      </w:pPr>
    </w:p>
    <w:p>
      <w:pPr>
        <w:jc w:val="both"/>
        <w:ind w:right="20" w:firstLine="390"/>
        <w:spacing w:after="0" w:line="260" w:lineRule="auto"/>
        <w:rPr>
          <w:sz w:val="20"/>
          <w:szCs w:val="20"/>
          <w:color w:val="auto"/>
        </w:rPr>
      </w:pPr>
      <w:r>
        <w:rPr>
          <w:rFonts w:ascii="Arial" w:cs="Arial" w:eastAsia="Arial" w:hAnsi="Arial"/>
          <w:sz w:val="20"/>
          <w:szCs w:val="20"/>
          <w:color w:val="auto"/>
        </w:rPr>
        <w:t>xii.</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177" w:lineRule="exact"/>
        <w:rPr>
          <w:sz w:val="20"/>
          <w:szCs w:val="20"/>
          <w:color w:val="auto"/>
        </w:rPr>
      </w:pPr>
    </w:p>
    <w:p>
      <w:pPr>
        <w:jc w:val="both"/>
        <w:ind w:firstLine="335"/>
        <w:spacing w:after="0" w:line="250" w:lineRule="auto"/>
        <w:rPr>
          <w:sz w:val="20"/>
          <w:szCs w:val="20"/>
          <w:color w:val="auto"/>
        </w:rPr>
      </w:pPr>
      <w:r>
        <w:rPr>
          <w:rFonts w:ascii="Arial" w:cs="Arial" w:eastAsia="Arial" w:hAnsi="Arial"/>
          <w:sz w:val="20"/>
          <w:szCs w:val="20"/>
          <w:color w:val="auto"/>
        </w:rPr>
        <w:t>xiii.</w:t>
      </w: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RSUs and supersedes any and all prior oral and written representations. This Agreement may only be amended by written agreement between the Company and the Participant.</w:t>
      </w:r>
    </w:p>
    <w:p>
      <w:pPr>
        <w:spacing w:after="0" w:line="186" w:lineRule="exact"/>
        <w:rPr>
          <w:sz w:val="20"/>
          <w:szCs w:val="20"/>
          <w:color w:val="auto"/>
        </w:rPr>
      </w:pPr>
    </w:p>
    <w:p>
      <w:pPr>
        <w:jc w:val="both"/>
        <w:ind w:firstLine="346"/>
        <w:spacing w:after="0" w:line="276" w:lineRule="auto"/>
        <w:rPr>
          <w:sz w:val="20"/>
          <w:szCs w:val="20"/>
          <w:color w:val="auto"/>
        </w:rPr>
      </w:pPr>
      <w:r>
        <w:rPr>
          <w:rFonts w:ascii="Arial" w:cs="Arial" w:eastAsia="Arial" w:hAnsi="Arial"/>
          <w:sz w:val="18"/>
          <w:szCs w:val="18"/>
          <w:color w:val="auto"/>
        </w:rPr>
        <w:t>xiv.</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165"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9"/>
          <w:szCs w:val="19"/>
          <w:color w:val="auto"/>
        </w:rPr>
        <w:t>xv.</w:t>
      </w:r>
      <w:r>
        <w:rPr>
          <w:rFonts w:ascii="Arial" w:cs="Arial" w:eastAsia="Arial" w:hAnsi="Arial"/>
          <w:sz w:val="19"/>
          <w:szCs w:val="19"/>
          <w:u w:val="single" w:color="auto"/>
          <w:color w:val="auto"/>
        </w:rPr>
        <w:t>Description of Electronic Delivery</w:t>
      </w:r>
      <w:r>
        <w:rPr>
          <w:rFonts w:ascii="Arial" w:cs="Arial" w:eastAsia="Arial" w:hAnsi="Arial"/>
          <w:sz w:val="19"/>
          <w:szCs w:val="19"/>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184" w:lineRule="exact"/>
        <w:rPr>
          <w:sz w:val="20"/>
          <w:szCs w:val="20"/>
          <w:color w:val="auto"/>
        </w:rPr>
      </w:pPr>
    </w:p>
    <w:p>
      <w:pPr>
        <w:jc w:val="both"/>
        <w:ind w:firstLine="346"/>
        <w:spacing w:after="0" w:line="260" w:lineRule="auto"/>
        <w:rPr>
          <w:sz w:val="20"/>
          <w:szCs w:val="20"/>
          <w:color w:val="auto"/>
        </w:rPr>
      </w:pPr>
      <w:r>
        <w:rPr>
          <w:rFonts w:ascii="Arial" w:cs="Arial" w:eastAsia="Arial" w:hAnsi="Arial"/>
          <w:sz w:val="19"/>
          <w:szCs w:val="19"/>
          <w:color w:val="auto"/>
        </w:rPr>
        <w:t>xvi.</w:t>
      </w:r>
      <w:r>
        <w:rPr>
          <w:rFonts w:ascii="Arial" w:cs="Arial" w:eastAsia="Arial" w:hAnsi="Arial"/>
          <w:sz w:val="19"/>
          <w:szCs w:val="19"/>
          <w:u w:val="single" w:color="auto"/>
          <w:color w:val="auto"/>
        </w:rPr>
        <w:t>Paper Copies</w:t>
      </w:r>
      <w:r>
        <w:rPr>
          <w:rFonts w:ascii="Arial" w:cs="Arial" w:eastAsia="Arial" w:hAnsi="Arial"/>
          <w:sz w:val="19"/>
          <w:szCs w:val="19"/>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02" w:name="page103"/>
    <w:bookmarkEnd w:id="102"/>
    <w:p>
      <w:pPr>
        <w:jc w:val="both"/>
        <w:ind w:firstLine="291"/>
        <w:spacing w:after="0" w:line="255" w:lineRule="auto"/>
        <w:rPr>
          <w:sz w:val="20"/>
          <w:szCs w:val="20"/>
          <w:color w:val="auto"/>
        </w:rPr>
      </w:pPr>
      <w:r>
        <w:rPr>
          <w:rFonts w:ascii="Arial" w:cs="Arial" w:eastAsia="Arial" w:hAnsi="Arial"/>
          <w:sz w:val="19"/>
          <w:szCs w:val="19"/>
          <w:color w:val="auto"/>
        </w:rPr>
        <w:t>xvii.</w:t>
      </w: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then (a) to the extent necessary to avoid any imposition of taxes under Section 409A on the Participant, and payment of the Award is made upon the Participant’s termination of employment or service, then such payment will only be made if such termination is a “separation from service” within the meaning of Section 409A and if the Participant is a “specified employee” as defined in Section 409A, then such payment will be delayed until the first business day following the six month anniversary of such separation from service, and (b)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2" w:lineRule="exact"/>
        <w:rPr>
          <w:sz w:val="20"/>
          <w:szCs w:val="20"/>
          <w:color w:val="auto"/>
        </w:rPr>
      </w:pPr>
    </w:p>
    <w:p>
      <w:pPr>
        <w:jc w:val="both"/>
        <w:ind w:firstLine="236"/>
        <w:spacing w:after="0" w:line="244" w:lineRule="auto"/>
        <w:rPr>
          <w:sz w:val="20"/>
          <w:szCs w:val="20"/>
          <w:color w:val="auto"/>
        </w:rPr>
      </w:pPr>
      <w:r>
        <w:rPr>
          <w:rFonts w:ascii="Arial" w:cs="Arial" w:eastAsia="Arial" w:hAnsi="Arial"/>
          <w:sz w:val="20"/>
          <w:szCs w:val="20"/>
          <w:color w:val="auto"/>
        </w:rPr>
        <w:t>xviii.</w:t>
      </w:r>
      <w:r>
        <w:rPr>
          <w:rFonts w:ascii="Arial" w:cs="Arial" w:eastAsia="Arial" w:hAnsi="Arial"/>
          <w:sz w:val="20"/>
          <w:szCs w:val="20"/>
          <w:u w:val="single" w:color="auto"/>
          <w:color w:val="auto"/>
        </w:rPr>
        <w:t>Clawback</w:t>
      </w:r>
      <w:r>
        <w:rPr>
          <w:rFonts w:ascii="Arial" w:cs="Arial" w:eastAsia="Arial" w:hAnsi="Arial"/>
          <w:sz w:val="20"/>
          <w:szCs w:val="20"/>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Arial" w:cs="Arial" w:eastAsia="Arial" w:hAnsi="Arial"/>
          <w:sz w:val="20"/>
          <w:szCs w:val="20"/>
          <w:i w:val="1"/>
          <w:iCs w:val="1"/>
          <w:color w:val="auto"/>
        </w:rPr>
        <w:t>Clawback Policy</w:t>
      </w:r>
      <w:r>
        <w:rPr>
          <w:rFonts w:ascii="Arial" w:cs="Arial" w:eastAsia="Arial" w:hAnsi="Arial"/>
          <w:sz w:val="20"/>
          <w:szCs w:val="20"/>
          <w:color w:val="auto"/>
        </w:rPr>
        <w:t xml:space="preserve"> as in effect from time to 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194" w:lineRule="exact"/>
        <w:rPr>
          <w:sz w:val="20"/>
          <w:szCs w:val="20"/>
          <w:color w:val="auto"/>
        </w:rPr>
      </w:pPr>
    </w:p>
    <w:p>
      <w:pPr>
        <w:jc w:val="both"/>
        <w:ind w:firstLine="346"/>
        <w:spacing w:after="0" w:line="260" w:lineRule="auto"/>
        <w:rPr>
          <w:sz w:val="20"/>
          <w:szCs w:val="20"/>
          <w:color w:val="auto"/>
        </w:rPr>
      </w:pPr>
      <w:r>
        <w:rPr>
          <w:rFonts w:ascii="Arial" w:cs="Arial" w:eastAsia="Arial" w:hAnsi="Arial"/>
          <w:sz w:val="20"/>
          <w:szCs w:val="20"/>
          <w:color w:val="auto"/>
        </w:rPr>
        <w:t>xix.</w:t>
      </w: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will be governed by the laws of the State of Delaware.</w:t>
      </w:r>
    </w:p>
    <w:p>
      <w:pPr>
        <w:spacing w:after="0" w:line="177" w:lineRule="exact"/>
        <w:rPr>
          <w:sz w:val="20"/>
          <w:szCs w:val="20"/>
          <w:color w:val="auto"/>
        </w:rPr>
      </w:pPr>
    </w:p>
    <w:p>
      <w:pPr>
        <w:jc w:val="both"/>
        <w:ind w:firstLine="400"/>
        <w:spacing w:after="0" w:line="274" w:lineRule="auto"/>
        <w:rPr>
          <w:sz w:val="20"/>
          <w:szCs w:val="20"/>
          <w:color w:val="auto"/>
        </w:rPr>
      </w:pPr>
      <w:r>
        <w:rPr>
          <w:rFonts w:ascii="Arial" w:cs="Arial" w:eastAsia="Arial" w:hAnsi="Arial"/>
          <w:sz w:val="18"/>
          <w:szCs w:val="18"/>
          <w:color w:val="auto"/>
        </w:rPr>
        <w:t>xx.</w:t>
      </w:r>
      <w:r>
        <w:rPr>
          <w:rFonts w:ascii="Arial" w:cs="Arial" w:eastAsia="Arial" w:hAnsi="Arial"/>
          <w:sz w:val="18"/>
          <w:szCs w:val="18"/>
          <w:u w:val="single" w:color="auto"/>
          <w:color w:val="auto"/>
        </w:rPr>
        <w:t>Data Privacy</w:t>
      </w:r>
      <w:r>
        <w:rPr>
          <w:rFonts w:ascii="Arial" w:cs="Arial" w:eastAsia="Arial" w:hAnsi="Arial"/>
          <w:sz w:val="18"/>
          <w:szCs w:val="18"/>
          <w:color w:val="auto"/>
        </w:rPr>
        <w:t>. This clause cancels and supersedes clause 11.8 of the Plan. Each Participant acknowledges that, in order to perform, including to implement, manage and administer the Plan and the Agreement (“</w:t>
      </w:r>
      <w:r>
        <w:rPr>
          <w:rFonts w:ascii="Arial" w:cs="Arial" w:eastAsia="Arial" w:hAnsi="Arial"/>
          <w:sz w:val="18"/>
          <w:szCs w:val="18"/>
          <w:u w:val="single" w:color="auto"/>
          <w:color w:val="auto"/>
        </w:rPr>
        <w:t>Purposes</w:t>
      </w:r>
      <w:r>
        <w:rPr>
          <w:rFonts w:ascii="Arial" w:cs="Arial" w:eastAsia="Arial" w:hAnsi="Arial"/>
          <w:sz w:val="18"/>
          <w:szCs w:val="18"/>
          <w:color w:val="auto"/>
        </w:rPr>
        <w:t>”), it is necessary to collect and process personal information concerning the Participant including: Participant’s name, home address, telephone number, date of birth, social security number (where allowed), or insurance number, or national identification number (where allowed), passport number (where allowed), salary, nationality, job title(s), any shares of stock held in the Company or any of its Subsidiaries, details of all Awards (“</w:t>
      </w:r>
      <w:r>
        <w:rPr>
          <w:rFonts w:ascii="Arial" w:cs="Arial" w:eastAsia="Arial" w:hAnsi="Arial"/>
          <w:sz w:val="18"/>
          <w:szCs w:val="18"/>
          <w:u w:val="single" w:color="auto"/>
          <w:color w:val="auto"/>
        </w:rPr>
        <w:t>Data</w:t>
      </w:r>
      <w:r>
        <w:rPr>
          <w:rFonts w:ascii="Arial" w:cs="Arial" w:eastAsia="Arial" w:hAnsi="Arial"/>
          <w:sz w:val="18"/>
          <w:szCs w:val="18"/>
          <w:color w:val="auto"/>
        </w:rPr>
        <w:t>”). Company, having its registered office at One St. Paul’s Churchyard, London, EC4M 8AP, United Kingdom, is the data controller for such processing. As the case may be, Data are collected directly from the Participant or are provided by the Employer.</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Data collected for the Purposes are processed on the basis of the performance of the Agreement. In addition, Company uses the Data (i) in order to comply with securities law and financial reporting and other legal requirements, and (ii) on the basis of its legitimate interest in case of a pending and/or threatening dispute and/or (legal) claim, investigation by a relevant supervisory authority, litigation or arbitration, to determine its legal position, in order to obtain (external) advice and/or to establish and/or defend its (legal) position and/or to exercise a (legal) claim.</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Data may be disclosed to Subsidiaries’ (including Employer) or to third-party stock plan administrators (including banks, brokers, custodians, central securities depositories, stock exchanges, etc.), their respective auditors, advisors and consultants and any other parties as may be required or appropriate for the Purposes. Data may also be made available to public authorities where required by law or regulation and may also be disclosed to judicial and arbitration courts and/or committees and external advisors. These entities and authorities may be located in the United States,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03" w:name="page104"/>
    <w:bookmarkEnd w:id="103"/>
    <w:p>
      <w:pPr>
        <w:jc w:val="both"/>
        <w:spacing w:after="0" w:line="243" w:lineRule="auto"/>
        <w:rPr>
          <w:sz w:val="20"/>
          <w:szCs w:val="20"/>
          <w:color w:val="auto"/>
        </w:rPr>
      </w:pPr>
      <w:r>
        <w:rPr>
          <w:rFonts w:ascii="Arial" w:cs="Arial" w:eastAsia="Arial" w:hAnsi="Arial"/>
          <w:sz w:val="20"/>
          <w:szCs w:val="20"/>
          <w:color w:val="auto"/>
        </w:rPr>
        <w:t xml:space="preserve">or elsewhere, including in territories where data protection laws may not be as protective as in the Participant’s jurisdiction of residence. Where relevant, the Company and its Subsidiaries will implement appropriate safeguards as required by applicable law to ensure the protection of the Data when disclosing the Data to a third party or transferring data to a third country, such as implementing the standard contractual clauses adopted by the European Commission and the UK Government or relying on an adequacy decision (if available). Participant may request a copy of such safeguards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Participant may request to have access to the Data, to rectify any such Data, to erase the Data, to restrict processing of the Data, to object to the processing of the Data, as well as request Data portability pursuant to Articles 15 to 21 of the GDPR and the UK GDPR, and has the right to file complaints and/or claims with the competent data protection authority. Requests regarding the Data, questions or complaints may be addressed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It is obligatory for the Participant to provide any Data requested for the purposes of entering into the Agreement. If the Participant chooses not to furnish any Data requested or restrict the processing of the Data, Company will not be able to perform its obligations under the Plan.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Data will be held and used only as long as is necessary for the Purposes. Only where the Company and/or its Subsidiaries are legally obliged to (e.g. for compliance with legal and financial reporting purposes), or where this is necessary for defending their interests in the context of judicial proceedings, the Company and/or its Subsidiaries will store the Data for longer periods. Participant may request further information on retention period applicable to the Data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Participant may find further country-specific information on the processing of the Data under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of the Agreement, including but not limited to the contact details of the local Data Protection Officer, if any.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If Participant is employed by a Subsidiary established outside of the UK or European Economic Area and to the extent its consent to the processing and/or the transfer of Data is required by applicable law (see country-specific information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Agreement), Participant hereby consents to such processing and/or transfer as described in this clause 20 of the Agreement. At any time, Participant may withdraw the consent given herein in writing by contacting the TechnipFMC Data Protection Office at </w:t>
      </w:r>
      <w:r>
        <w:rPr>
          <w:rFonts w:ascii="Arial" w:cs="Arial" w:eastAsia="Arial" w:hAnsi="Arial"/>
          <w:sz w:val="18"/>
          <w:szCs w:val="18"/>
          <w:u w:val="single" w:color="auto"/>
          <w:color w:val="0000FF"/>
        </w:rPr>
        <w:t>privacy@TechnipFMC.com</w:t>
      </w:r>
      <w:r>
        <w:rPr>
          <w:rFonts w:ascii="Arial" w:cs="Arial" w:eastAsia="Arial" w:hAnsi="Arial"/>
          <w:sz w:val="18"/>
          <w:szCs w:val="18"/>
          <w:color w:val="auto"/>
        </w:rPr>
        <w:t xml:space="preserve"> or Participant’s local human resources representative. Participants acknowledges, agrees and accepts that in the event he or she chooses to withdraw his or her consent, Company may not be able to perform its obligations and administer the Plan and the Agreement.</w:t>
      </w:r>
    </w:p>
    <w:p>
      <w:pPr>
        <w:spacing w:after="0" w:line="165" w:lineRule="exact"/>
        <w:rPr>
          <w:sz w:val="20"/>
          <w:szCs w:val="20"/>
          <w:color w:val="auto"/>
        </w:rPr>
      </w:pPr>
    </w:p>
    <w:p>
      <w:pPr>
        <w:jc w:val="both"/>
        <w:ind w:firstLine="346"/>
        <w:spacing w:after="0" w:line="242" w:lineRule="auto"/>
        <w:rPr>
          <w:sz w:val="20"/>
          <w:szCs w:val="20"/>
          <w:color w:val="auto"/>
        </w:rPr>
      </w:pPr>
      <w:r>
        <w:rPr>
          <w:rFonts w:ascii="Arial" w:cs="Arial" w:eastAsia="Arial" w:hAnsi="Arial"/>
          <w:sz w:val="20"/>
          <w:szCs w:val="20"/>
          <w:color w:val="auto"/>
        </w:rPr>
        <w:t>xxi.</w:t>
      </w:r>
      <w:r>
        <w:rPr>
          <w:rFonts w:ascii="Arial" w:cs="Arial" w:eastAsia="Arial" w:hAnsi="Arial"/>
          <w:sz w:val="20"/>
          <w:szCs w:val="20"/>
          <w:u w:val="single" w:color="auto"/>
          <w:color w:val="auto"/>
        </w:rPr>
        <w:t>Securities Law Notification and Restrictions on Trading</w:t>
      </w:r>
      <w:r>
        <w:rPr>
          <w:rFonts w:ascii="Arial" w:cs="Arial" w:eastAsia="Arial" w:hAnsi="Arial"/>
          <w:sz w:val="20"/>
          <w:szCs w:val="20"/>
          <w:color w:val="auto"/>
        </w:rPr>
        <w:t xml:space="preserve">. The Company’s </w:t>
      </w:r>
      <w:r>
        <w:rPr>
          <w:rFonts w:ascii="Arial" w:cs="Arial" w:eastAsia="Arial" w:hAnsi="Arial"/>
          <w:sz w:val="20"/>
          <w:szCs w:val="20"/>
          <w:i w:val="1"/>
          <w:iCs w:val="1"/>
          <w:color w:val="auto"/>
        </w:rPr>
        <w:t>Code of Business Conduct</w:t>
      </w:r>
      <w:r>
        <w:rPr>
          <w:rFonts w:ascii="Arial" w:cs="Arial" w:eastAsia="Arial" w:hAnsi="Arial"/>
          <w:sz w:val="20"/>
          <w:szCs w:val="20"/>
          <w:color w:val="auto"/>
        </w:rPr>
        <w:t xml:space="preserve"> and </w:t>
      </w:r>
      <w:r>
        <w:rPr>
          <w:rFonts w:ascii="Arial" w:cs="Arial" w:eastAsia="Arial" w:hAnsi="Arial"/>
          <w:sz w:val="20"/>
          <w:szCs w:val="20"/>
          <w:i w:val="1"/>
          <w:iCs w:val="1"/>
          <w:color w:val="auto"/>
        </w:rPr>
        <w:t>Insider Trading Policy</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Company Policies</w:t>
      </w:r>
      <w:r>
        <w:rPr>
          <w:rFonts w:ascii="Arial" w:cs="Arial" w:eastAsia="Arial" w:hAnsi="Arial"/>
          <w:sz w:val="20"/>
          <w:szCs w:val="20"/>
          <w:color w:val="auto"/>
        </w:rPr>
        <w:t>”) and the insider trading and anti-market abuse rules of the U.S. Securities Exchange Act, the Market Abuse Regulation ((EU) No 596/2014 (</w:t>
      </w:r>
      <w:r>
        <w:rPr>
          <w:rFonts w:ascii="Arial" w:cs="Arial" w:eastAsia="Arial" w:hAnsi="Arial"/>
          <w:sz w:val="20"/>
          <w:szCs w:val="20"/>
          <w:b w:val="1"/>
          <w:bCs w:val="1"/>
          <w:color w:val="auto"/>
        </w:rPr>
        <w:t>MAR</w:t>
      </w:r>
      <w:r>
        <w:rPr>
          <w:rFonts w:ascii="Arial" w:cs="Arial" w:eastAsia="Arial" w:hAnsi="Arial"/>
          <w:sz w:val="20"/>
          <w:szCs w:val="20"/>
          <w:color w:val="auto"/>
        </w:rPr>
        <w:t>) and the UK Market Abuse Exit Regulations 2019 (collectively the “</w:t>
      </w:r>
      <w:r>
        <w:rPr>
          <w:rFonts w:ascii="Arial" w:cs="Arial" w:eastAsia="Arial" w:hAnsi="Arial"/>
          <w:sz w:val="20"/>
          <w:szCs w:val="20"/>
          <w:u w:val="single" w:color="auto"/>
          <w:color w:val="auto"/>
        </w:rPr>
        <w:t>Insider Trading Rules</w:t>
      </w:r>
      <w:r>
        <w:rPr>
          <w:rFonts w:ascii="Arial" w:cs="Arial" w:eastAsia="Arial" w:hAnsi="Arial"/>
          <w:sz w:val="20"/>
          <w:szCs w:val="20"/>
          <w:color w:val="auto"/>
        </w:rPr>
        <w:t>”), may impact the ability to sell Shares acquired under this Agreement and the Plan while the Participant has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RSUs granted hereunder and participating in the Plan, Participant acknowledges having read and understood this Securities Law Notification and further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acknowledges that it is Participant’s responsibility to comply with the Company Policies and the Insider Trading Rules.</w:t>
      </w:r>
    </w:p>
    <w:p>
      <w:pPr>
        <w:spacing w:after="0" w:line="216" w:lineRule="exact"/>
        <w:rPr>
          <w:sz w:val="20"/>
          <w:szCs w:val="20"/>
          <w:color w:val="auto"/>
        </w:rPr>
      </w:pPr>
    </w:p>
    <w:p>
      <w:pPr>
        <w:jc w:val="both"/>
        <w:ind w:firstLine="291"/>
        <w:spacing w:after="0" w:line="244" w:lineRule="auto"/>
        <w:rPr>
          <w:sz w:val="20"/>
          <w:szCs w:val="20"/>
          <w:color w:val="auto"/>
        </w:rPr>
      </w:pPr>
      <w:r>
        <w:rPr>
          <w:rFonts w:ascii="Arial" w:cs="Arial" w:eastAsia="Arial" w:hAnsi="Arial"/>
          <w:sz w:val="20"/>
          <w:szCs w:val="20"/>
          <w:color w:val="auto"/>
        </w:rPr>
        <w:t>xxii.</w:t>
      </w:r>
      <w:r>
        <w:rPr>
          <w:rFonts w:ascii="Arial" w:cs="Arial" w:eastAsia="Arial" w:hAnsi="Arial"/>
          <w:sz w:val="20"/>
          <w:szCs w:val="20"/>
          <w:u w:val="single" w:color="auto"/>
          <w:color w:val="auto"/>
        </w:rPr>
        <w:t>Funding</w:t>
      </w:r>
      <w:r>
        <w:rPr>
          <w:rFonts w:ascii="Arial" w:cs="Arial" w:eastAsia="Arial" w:hAnsi="Arial"/>
          <w:sz w:val="20"/>
          <w:szCs w:val="20"/>
          <w:color w:val="auto"/>
        </w:rPr>
        <w:t>. The RSUs represent an unfunded promise to pay and deliver Shares in the future. The Company may settle the RSUs through newly issued Shares, treasury Shares or Shares held in an employee benefit trust (EBT) established for the administrative convenience of the Company for the purpose of issuing Shares in settlement on behalf of the Company of Awards under the Plan, in its sole discretion and not for the purposes of funding the Plan. The Participant has no right to any Shares held in any EBT, or to have the RSUs settled on behalf of the Company in any Shares held by an EBT.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xxiii.</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240" w:lineRule="exact"/>
        <w:rPr>
          <w:sz w:val="20"/>
          <w:szCs w:val="20"/>
          <w:color w:val="auto"/>
        </w:rPr>
      </w:pPr>
    </w:p>
    <w:p>
      <w:pPr>
        <w:ind w:left="1960" w:hanging="656"/>
        <w:spacing w:after="0"/>
        <w:tabs>
          <w:tab w:leader="none" w:pos="1960" w:val="left"/>
        </w:tabs>
        <w:numPr>
          <w:ilvl w:val="1"/>
          <w:numId w:val="12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Detrimental Activity</w:t>
      </w:r>
      <w:r>
        <w:rPr>
          <w:rFonts w:ascii="Arial" w:cs="Arial" w:eastAsia="Arial" w:hAnsi="Arial"/>
          <w:sz w:val="20"/>
          <w:szCs w:val="20"/>
          <w:color w:val="auto"/>
        </w:rPr>
        <w:t>” means</w:t>
      </w:r>
    </w:p>
    <w:p>
      <w:pPr>
        <w:spacing w:after="0" w:line="222" w:lineRule="exact"/>
        <w:rPr>
          <w:rFonts w:ascii="Arial" w:cs="Arial" w:eastAsia="Arial" w:hAnsi="Arial"/>
          <w:sz w:val="22"/>
          <w:szCs w:val="22"/>
          <w:color w:val="auto"/>
        </w:rPr>
      </w:pPr>
    </w:p>
    <w:p>
      <w:pPr>
        <w:jc w:val="both"/>
        <w:ind w:right="40" w:firstLine="1952"/>
        <w:spacing w:after="0" w:line="267" w:lineRule="auto"/>
        <w:tabs>
          <w:tab w:leader="none" w:pos="2580" w:val="left"/>
        </w:tabs>
        <w:numPr>
          <w:ilvl w:val="2"/>
          <w:numId w:val="128"/>
        </w:numPr>
        <w:rPr>
          <w:rFonts w:ascii="Arial" w:cs="Arial" w:eastAsia="Arial" w:hAnsi="Arial"/>
          <w:sz w:val="19"/>
          <w:szCs w:val="19"/>
          <w:color w:val="auto"/>
        </w:rPr>
      </w:pPr>
      <w:r>
        <w:rPr>
          <w:rFonts w:ascii="Arial" w:cs="Arial" w:eastAsia="Arial" w:hAnsi="Arial"/>
          <w:sz w:val="18"/>
          <w:szCs w:val="18"/>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w:t>
      </w:r>
    </w:p>
    <w:p>
      <w:pPr>
        <w:ind w:left="380" w:hanging="372"/>
        <w:spacing w:after="0"/>
        <w:tabs>
          <w:tab w:leader="none" w:pos="38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calendar days of receiving such demand;</w:t>
      </w:r>
    </w:p>
    <w:p>
      <w:pPr>
        <w:spacing w:after="0" w:line="226" w:lineRule="exact"/>
        <w:rPr>
          <w:rFonts w:ascii="Arial" w:cs="Arial" w:eastAsia="Arial" w:hAnsi="Arial"/>
          <w:sz w:val="20"/>
          <w:szCs w:val="20"/>
          <w:color w:val="auto"/>
        </w:rPr>
      </w:pPr>
    </w:p>
    <w:p>
      <w:pPr>
        <w:ind w:left="2600" w:hanging="648"/>
        <w:spacing w:after="0"/>
        <w:tabs>
          <w:tab w:leader="none" w:pos="2600" w:val="left"/>
        </w:tabs>
        <w:numPr>
          <w:ilvl w:val="2"/>
          <w:numId w:val="129"/>
        </w:numPr>
        <w:rPr>
          <w:rFonts w:ascii="Arial" w:cs="Arial" w:eastAsia="Arial" w:hAnsi="Arial"/>
          <w:sz w:val="19"/>
          <w:szCs w:val="19"/>
          <w:color w:val="auto"/>
        </w:rPr>
      </w:pPr>
      <w:r>
        <w:rPr>
          <w:rFonts w:ascii="Arial" w:cs="Arial" w:eastAsia="Arial" w:hAnsi="Arial"/>
          <w:sz w:val="18"/>
          <w:szCs w:val="18"/>
          <w:color w:val="auto"/>
        </w:rPr>
        <w:t>the Participant’s willfully engaging in other conduct which is demonstrably and materially injurious to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 or an affiliate;</w:t>
      </w:r>
    </w:p>
    <w:p>
      <w:pPr>
        <w:spacing w:after="0" w:line="226" w:lineRule="exact"/>
        <w:rPr>
          <w:rFonts w:ascii="Arial" w:cs="Arial" w:eastAsia="Arial" w:hAnsi="Arial"/>
          <w:sz w:val="19"/>
          <w:szCs w:val="19"/>
          <w:color w:val="auto"/>
        </w:rPr>
      </w:pPr>
    </w:p>
    <w:p>
      <w:pPr>
        <w:ind w:left="2580" w:hanging="628"/>
        <w:spacing w:after="0"/>
        <w:tabs>
          <w:tab w:leader="none" w:pos="2580" w:val="left"/>
        </w:tabs>
        <w:numPr>
          <w:ilvl w:val="2"/>
          <w:numId w:val="129"/>
        </w:numPr>
        <w:rPr>
          <w:rFonts w:ascii="Arial" w:cs="Arial" w:eastAsia="Arial" w:hAnsi="Arial"/>
          <w:sz w:val="19"/>
          <w:szCs w:val="19"/>
          <w:color w:val="auto"/>
        </w:rPr>
      </w:pPr>
      <w:r>
        <w:rPr>
          <w:rFonts w:ascii="Arial" w:cs="Arial" w:eastAsia="Arial" w:hAnsi="Arial"/>
          <w:sz w:val="18"/>
          <w:szCs w:val="18"/>
          <w:color w:val="auto"/>
        </w:rPr>
        <w:t>the Participant’s having been convicted of, or pleading guilty or nolo contendere to, a felony under federal or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state law; or</w:t>
      </w:r>
    </w:p>
    <w:p>
      <w:pPr>
        <w:spacing w:after="0" w:line="223" w:lineRule="exact"/>
        <w:rPr>
          <w:rFonts w:ascii="Arial" w:cs="Arial" w:eastAsia="Arial" w:hAnsi="Arial"/>
          <w:sz w:val="19"/>
          <w:szCs w:val="19"/>
          <w:color w:val="auto"/>
        </w:rPr>
      </w:pPr>
    </w:p>
    <w:p>
      <w:pPr>
        <w:ind w:left="2600" w:hanging="648"/>
        <w:spacing w:after="0"/>
        <w:tabs>
          <w:tab w:leader="none" w:pos="2600" w:val="left"/>
        </w:tabs>
        <w:numPr>
          <w:ilvl w:val="2"/>
          <w:numId w:val="129"/>
        </w:numPr>
        <w:rPr>
          <w:rFonts w:ascii="Arial" w:cs="Arial" w:eastAsia="Arial" w:hAnsi="Arial"/>
          <w:sz w:val="22"/>
          <w:szCs w:val="22"/>
          <w:color w:val="auto"/>
        </w:rPr>
      </w:pPr>
      <w:r>
        <w:rPr>
          <w:rFonts w:ascii="Arial" w:cs="Arial" w:eastAsia="Arial" w:hAnsi="Arial"/>
          <w:sz w:val="20"/>
          <w:szCs w:val="20"/>
          <w:color w:val="auto"/>
        </w:rPr>
        <w:t>the Participant’s breach of any provision of the Confidentiality and Non-Compete Agreement.</w:t>
      </w:r>
    </w:p>
    <w:p>
      <w:pPr>
        <w:spacing w:after="0" w:line="222" w:lineRule="exact"/>
        <w:rPr>
          <w:rFonts w:ascii="Arial" w:cs="Arial" w:eastAsia="Arial" w:hAnsi="Arial"/>
          <w:sz w:val="22"/>
          <w:szCs w:val="22"/>
          <w:color w:val="auto"/>
        </w:rPr>
      </w:pPr>
    </w:p>
    <w:p>
      <w:pPr>
        <w:jc w:val="both"/>
        <w:ind w:firstLine="1304"/>
        <w:spacing w:after="0" w:line="238" w:lineRule="auto"/>
        <w:tabs>
          <w:tab w:leader="none" w:pos="1944" w:val="left"/>
        </w:tabs>
        <w:numPr>
          <w:ilvl w:val="1"/>
          <w:numId w:val="12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24" w:lineRule="exact"/>
        <w:rPr>
          <w:rFonts w:ascii="Arial" w:cs="Arial" w:eastAsia="Arial" w:hAnsi="Arial"/>
          <w:sz w:val="22"/>
          <w:szCs w:val="22"/>
          <w:color w:val="auto"/>
        </w:rPr>
      </w:pPr>
    </w:p>
    <w:p>
      <w:pPr>
        <w:ind w:right="20" w:firstLine="1304"/>
        <w:spacing w:after="0" w:line="238" w:lineRule="auto"/>
        <w:tabs>
          <w:tab w:leader="none" w:pos="1944" w:val="left"/>
        </w:tabs>
        <w:numPr>
          <w:ilvl w:val="1"/>
          <w:numId w:val="12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pacing w:after="0" w:line="223"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2"/>
          <w:numId w:val="130"/>
        </w:numPr>
        <w:rPr>
          <w:rFonts w:ascii="Arial" w:cs="Arial" w:eastAsia="Arial" w:hAnsi="Arial"/>
          <w:sz w:val="21"/>
          <w:szCs w:val="21"/>
          <w:color w:val="auto"/>
        </w:rPr>
      </w:pPr>
      <w:r>
        <w:rPr>
          <w:rFonts w:ascii="Arial" w:cs="Arial" w:eastAsia="Arial" w:hAnsi="Arial"/>
          <w:sz w:val="19"/>
          <w:szCs w:val="19"/>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05" w:name="page106"/>
    <w:bookmarkEnd w:id="105"/>
    <w:p>
      <w:pPr>
        <w:jc w:val="both"/>
        <w:ind w:left="660" w:firstLine="1292"/>
        <w:spacing w:after="0" w:line="254" w:lineRule="auto"/>
        <w:tabs>
          <w:tab w:leader="none" w:pos="2604" w:val="left"/>
        </w:tabs>
        <w:numPr>
          <w:ilvl w:val="0"/>
          <w:numId w:val="131"/>
        </w:numPr>
        <w:rPr>
          <w:rFonts w:ascii="Arial" w:cs="Arial" w:eastAsia="Arial" w:hAnsi="Arial"/>
          <w:sz w:val="21"/>
          <w:szCs w:val="21"/>
          <w:color w:val="auto"/>
        </w:rPr>
      </w:pPr>
      <w:r>
        <w:rPr>
          <w:rFonts w:ascii="Arial" w:cs="Arial" w:eastAsia="Arial" w:hAnsi="Arial"/>
          <w:sz w:val="19"/>
          <w:szCs w:val="19"/>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211" w:lineRule="exact"/>
        <w:rPr>
          <w:rFonts w:ascii="Arial" w:cs="Arial" w:eastAsia="Arial" w:hAnsi="Arial"/>
          <w:sz w:val="21"/>
          <w:szCs w:val="21"/>
          <w:color w:val="auto"/>
        </w:rPr>
      </w:pPr>
    </w:p>
    <w:p>
      <w:pPr>
        <w:jc w:val="both"/>
        <w:ind w:left="660" w:firstLine="1292"/>
        <w:spacing w:after="0" w:line="238" w:lineRule="auto"/>
        <w:tabs>
          <w:tab w:leader="none" w:pos="2592" w:val="left"/>
        </w:tabs>
        <w:numPr>
          <w:ilvl w:val="0"/>
          <w:numId w:val="131"/>
        </w:numPr>
        <w:rPr>
          <w:rFonts w:ascii="Arial" w:cs="Arial" w:eastAsia="Arial" w:hAnsi="Arial"/>
          <w:sz w:val="22"/>
          <w:szCs w:val="22"/>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224" w:lineRule="exact"/>
        <w:rPr>
          <w:rFonts w:ascii="Arial" w:cs="Arial" w:eastAsia="Arial" w:hAnsi="Arial"/>
          <w:sz w:val="22"/>
          <w:szCs w:val="22"/>
          <w:color w:val="auto"/>
        </w:rPr>
      </w:pPr>
    </w:p>
    <w:p>
      <w:pPr>
        <w:jc w:val="both"/>
        <w:ind w:left="660" w:firstLine="1292"/>
        <w:spacing w:after="0" w:line="254" w:lineRule="auto"/>
        <w:tabs>
          <w:tab w:leader="none" w:pos="2604" w:val="left"/>
        </w:tabs>
        <w:numPr>
          <w:ilvl w:val="0"/>
          <w:numId w:val="131"/>
        </w:numPr>
        <w:rPr>
          <w:rFonts w:ascii="Arial" w:cs="Arial" w:eastAsia="Arial" w:hAnsi="Arial"/>
          <w:sz w:val="21"/>
          <w:szCs w:val="21"/>
          <w:color w:val="auto"/>
        </w:rPr>
      </w:pPr>
      <w:r>
        <w:rPr>
          <w:rFonts w:ascii="Arial" w:cs="Arial" w:eastAsia="Arial" w:hAnsi="Arial"/>
          <w:sz w:val="19"/>
          <w:szCs w:val="19"/>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(a) on the Grant Date, (b) during the fiscal year immediately preceding the year of the Change in Control and (c) on the date immediately preceding the Change in Control; or</w:t>
      </w:r>
    </w:p>
    <w:p>
      <w:pPr>
        <w:spacing w:after="0" w:line="211" w:lineRule="exact"/>
        <w:rPr>
          <w:rFonts w:ascii="Arial" w:cs="Arial" w:eastAsia="Arial" w:hAnsi="Arial"/>
          <w:sz w:val="21"/>
          <w:szCs w:val="21"/>
          <w:color w:val="auto"/>
        </w:rPr>
      </w:pPr>
    </w:p>
    <w:p>
      <w:pPr>
        <w:jc w:val="both"/>
        <w:ind w:left="660" w:firstLine="1292"/>
        <w:spacing w:after="0" w:line="238" w:lineRule="auto"/>
        <w:tabs>
          <w:tab w:leader="none" w:pos="2592" w:val="left"/>
        </w:tabs>
        <w:numPr>
          <w:ilvl w:val="0"/>
          <w:numId w:val="131"/>
        </w:numPr>
        <w:rPr>
          <w:rFonts w:ascii="Arial" w:cs="Arial" w:eastAsia="Arial" w:hAnsi="Arial"/>
          <w:sz w:val="22"/>
          <w:szCs w:val="22"/>
          <w:color w:val="auto"/>
        </w:rPr>
      </w:pPr>
      <w:r>
        <w:rPr>
          <w:rFonts w:ascii="Arial" w:cs="Arial" w:eastAsia="Arial" w:hAnsi="Arial"/>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Arial" w:cs="Arial" w:eastAsia="Arial" w:hAnsi="Arial"/>
          <w:sz w:val="19"/>
          <w:szCs w:val="19"/>
          <w:u w:val="single" w:color="auto"/>
          <w:color w:val="auto"/>
        </w:rPr>
        <w:t>Section 3(a)</w:t>
      </w:r>
      <w:r>
        <w:rPr>
          <w:rFonts w:ascii="Arial" w:cs="Arial" w:eastAsia="Arial" w:hAnsi="Arial"/>
          <w:sz w:val="19"/>
          <w:szCs w:val="19"/>
          <w:color w:val="auto"/>
        </w:rPr>
        <w:t>.</w:t>
      </w:r>
    </w:p>
    <w:p>
      <w:pPr>
        <w:spacing w:after="0" w:line="211" w:lineRule="exact"/>
        <w:rPr>
          <w:sz w:val="20"/>
          <w:szCs w:val="20"/>
          <w:color w:val="auto"/>
        </w:rPr>
      </w:pPr>
    </w:p>
    <w:p>
      <w:pPr>
        <w:ind w:left="1960" w:hanging="656"/>
        <w:spacing w:after="0"/>
        <w:tabs>
          <w:tab w:leader="none" w:pos="1960" w:val="left"/>
        </w:tabs>
        <w:numPr>
          <w:ilvl w:val="0"/>
          <w:numId w:val="13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termination of Participant’s employment on or after the date Participant reaches the age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62.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Grant Date.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6120" w:type="dxa"/>
            <w:vAlign w:val="bottom"/>
            <w:gridSpan w:val="2"/>
          </w:tcPr>
          <w:p>
            <w:pPr>
              <w:ind w:left="20"/>
              <w:spacing w:after="0"/>
              <w:rPr>
                <w:sz w:val="20"/>
                <w:szCs w:val="20"/>
                <w:color w:val="auto"/>
              </w:rPr>
            </w:pPr>
            <w:r>
              <w:rPr>
                <w:rFonts w:ascii="Arial" w:cs="Arial" w:eastAsia="Arial" w:hAnsi="Arial"/>
                <w:sz w:val="20"/>
                <w:szCs w:val="20"/>
                <w:color w:val="auto"/>
              </w:rPr>
              <w:t>Agnieszka KMIECIAK</w:t>
            </w:r>
          </w:p>
        </w:tc>
        <w:tc>
          <w:tcPr>
            <w:tcW w:w="4320" w:type="dxa"/>
            <w:vAlign w:val="bottom"/>
          </w:tcPr>
          <w:p>
            <w:pPr>
              <w:spacing w:after="0"/>
              <w:rPr>
                <w:sz w:val="21"/>
                <w:szCs w:val="21"/>
                <w:color w:val="auto"/>
              </w:rPr>
            </w:pPr>
          </w:p>
        </w:tc>
      </w:tr>
      <w:tr>
        <w:trPr>
          <w:trHeight w:val="36"/>
        </w:trPr>
        <w:tc>
          <w:tcPr>
            <w:tcW w:w="760" w:type="dxa"/>
            <w:vAlign w:val="bottom"/>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r>
      <w:tr>
        <w:trPr>
          <w:trHeight w:val="268"/>
        </w:trPr>
        <w:tc>
          <w:tcPr>
            <w:tcW w:w="76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People &amp; Culture</w:t>
            </w:r>
          </w:p>
        </w:tc>
        <w:tc>
          <w:tcPr>
            <w:tcW w:w="4320" w:type="dxa"/>
            <w:vAlign w:val="bottom"/>
          </w:tcPr>
          <w:p>
            <w:pPr>
              <w:ind w:left="20"/>
              <w:spacing w:after="0"/>
              <w:rPr>
                <w:sz w:val="20"/>
                <w:szCs w:val="20"/>
                <w:color w:val="auto"/>
              </w:rPr>
            </w:pPr>
            <w:r>
              <w:rPr>
                <w:rFonts w:ascii="Arial" w:cs="Arial" w:eastAsia="Arial" w:hAnsi="Arial"/>
                <w:sz w:val="20"/>
                <w:szCs w:val="20"/>
                <w:color w:val="auto"/>
              </w:rPr>
              <w:t>&lt;&lt;Signed Electronically&gt;&gt;</w:t>
            </w:r>
          </w:p>
        </w:tc>
      </w:tr>
    </w:tbl>
    <w:p>
      <w:pPr>
        <w:spacing w:after="0" w:line="33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&lt;&lt;Acceptance Date&gt;&gt;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32" w:right="339" w:bottom="1440" w:gutter="0" w:footer="0" w:header="0"/>
        </w:sectPr>
      </w:pPr>
    </w:p>
    <w:bookmarkStart w:id="106" w:name="page107"/>
    <w:bookmarkEnd w:id="106"/>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document constitutes part of a prospectus covering securities that have been registered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0540"/>
          </w:cols>
          <w:pgMar w:left="320" w:top="1440" w:right="10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AND NON-COMPETE</w:t>
      </w:r>
    </w:p>
    <w:p>
      <w:pPr>
        <w:spacing w:after="0" w:line="195" w:lineRule="exact"/>
        <w:rPr>
          <w:sz w:val="20"/>
          <w:szCs w:val="20"/>
          <w:color w:val="auto"/>
        </w:rPr>
      </w:pPr>
    </w:p>
    <w:p>
      <w:pPr>
        <w:ind w:right="20" w:firstLine="656"/>
        <w:spacing w:after="0" w:line="260" w:lineRule="auto"/>
        <w:tabs>
          <w:tab w:leader="none" w:pos="1296"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Participant must not (except in the proper performance of Participant’s duties) while employed by the Employer or at any time without limit after the date on which Participant’s employment with the Employer terminates:</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use for Participant’s own purposes or for any purposes other than those of the Employer or, as appropriate, any of its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clients; or</w:t>
      </w:r>
    </w:p>
    <w:p>
      <w:pPr>
        <w:spacing w:after="0" w:line="199" w:lineRule="exact"/>
        <w:rPr>
          <w:rFonts w:ascii="Arial" w:cs="Arial" w:eastAsia="Arial" w:hAnsi="Arial"/>
          <w:sz w:val="18"/>
          <w:szCs w:val="18"/>
          <w:color w:val="auto"/>
        </w:rPr>
      </w:pPr>
    </w:p>
    <w:p>
      <w:pPr>
        <w:ind w:left="1940" w:hanging="636"/>
        <w:spacing w:after="0"/>
        <w:tabs>
          <w:tab w:leader="none" w:pos="19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unauthorized disclosure of;</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any trade secrets, confidential, or proprietary information relating to the Company or any Subsidiary or any of its clients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 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192" w:lineRule="exact"/>
        <w:rPr>
          <w:sz w:val="20"/>
          <w:szCs w:val="20"/>
          <w:color w:val="auto"/>
        </w:rPr>
      </w:pPr>
    </w:p>
    <w:p>
      <w:pPr>
        <w:jc w:val="both"/>
        <w:ind w:firstLine="656"/>
        <w:spacing w:after="0" w:line="243" w:lineRule="auto"/>
        <w:tabs>
          <w:tab w:leader="none" w:pos="1296"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spacing w:after="0" w:line="195" w:lineRule="exact"/>
        <w:rPr>
          <w:rFonts w:ascii="Arial" w:cs="Arial" w:eastAsia="Arial" w:hAnsi="Arial"/>
          <w:sz w:val="20"/>
          <w:szCs w:val="20"/>
          <w:color w:val="auto"/>
        </w:rPr>
      </w:pPr>
    </w:p>
    <w:p>
      <w:pPr>
        <w:jc w:val="both"/>
        <w:ind w:firstLine="1200"/>
        <w:spacing w:after="0" w:line="276" w:lineRule="auto"/>
        <w:tabs>
          <w:tab w:leader="none" w:pos="13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Participant will not during the period of Participant’s employment with the Employer and for a period of 12 months after the termination of Participant’s employment (the “</w:t>
      </w:r>
      <w:r>
        <w:rPr>
          <w:rFonts w:ascii="Arial" w:cs="Arial" w:eastAsia="Arial" w:hAnsi="Arial"/>
          <w:sz w:val="18"/>
          <w:szCs w:val="18"/>
          <w:b w:val="1"/>
          <w:bCs w:val="1"/>
          <w:color w:val="auto"/>
        </w:rPr>
        <w:t>Restricted Period</w:t>
      </w:r>
      <w:r>
        <w:rPr>
          <w:rFonts w:ascii="Arial" w:cs="Arial" w:eastAsia="Arial" w:hAnsi="Arial"/>
          <w:sz w:val="18"/>
          <w:szCs w:val="18"/>
          <w:color w:val="auto"/>
        </w:rPr>
        <w:t>”), either directly, or indirectly through any other person, firm, or other organization (each, a “</w:t>
      </w:r>
      <w:r>
        <w:rPr>
          <w:rFonts w:ascii="Arial" w:cs="Arial" w:eastAsia="Arial" w:hAnsi="Arial"/>
          <w:sz w:val="18"/>
          <w:szCs w:val="18"/>
          <w:b w:val="1"/>
          <w:bCs w:val="1"/>
          <w:color w:val="auto"/>
        </w:rPr>
        <w:t>Person</w:t>
      </w:r>
      <w:r>
        <w:rPr>
          <w:rFonts w:ascii="Arial" w:cs="Arial" w:eastAsia="Arial" w:hAnsi="Arial"/>
          <w:sz w:val="18"/>
          <w:szCs w:val="18"/>
          <w:color w:val="auto"/>
        </w:rPr>
        <w:t>”), that is engaged in the business of projects, technologies, systems and services in the field of oil, gas and petrochemicals (the “</w:t>
      </w:r>
      <w:r>
        <w:rPr>
          <w:rFonts w:ascii="Arial" w:cs="Arial" w:eastAsia="Arial" w:hAnsi="Arial"/>
          <w:sz w:val="18"/>
          <w:szCs w:val="18"/>
          <w:b w:val="1"/>
          <w:bCs w:val="1"/>
          <w:color w:val="auto"/>
        </w:rPr>
        <w:t>Business</w:t>
      </w:r>
      <w:r>
        <w:rPr>
          <w:rFonts w:ascii="Arial" w:cs="Arial" w:eastAsia="Arial" w:hAnsi="Arial"/>
          <w:sz w:val="18"/>
          <w:szCs w:val="18"/>
          <w:color w:val="auto"/>
        </w:rPr>
        <w:t>”), including but not limited to: Baker Hughes Company, Halliburton Company, John Wood Group plc, McDermott International, Inc., National Oilwell Varco, Inc., Saipem S.p.A, Schlumberger Limited, Subsea 7 S.A., Weatherford International plc, and any companies in their respective corporate groups and any successors thereto (each a “</w:t>
      </w:r>
      <w:r>
        <w:rPr>
          <w:rFonts w:ascii="Arial" w:cs="Arial" w:eastAsia="Arial" w:hAnsi="Arial"/>
          <w:sz w:val="18"/>
          <w:szCs w:val="18"/>
          <w:b w:val="1"/>
          <w:bCs w:val="1"/>
          <w:color w:val="auto"/>
        </w:rPr>
        <w:t>Restricted Entity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399" w:right="339" w:bottom="1440" w:gutter="0" w:footer="0" w:header="0"/>
        </w:sectPr>
      </w:pPr>
    </w:p>
    <w:bookmarkStart w:id="108" w:name="page109"/>
    <w:bookmarkEnd w:id="108"/>
    <w:p>
      <w:pPr>
        <w:jc w:val="both"/>
        <w:ind w:left="1300" w:hanging="644"/>
        <w:spacing w:after="0" w:line="243" w:lineRule="auto"/>
        <w:tabs>
          <w:tab w:leader="none" w:pos="1289"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solicit, entice, or induce any Person that at any time during the last year of Participant’s employment with the Employer (that period referred to as the “</w:t>
      </w:r>
      <w:r>
        <w:rPr>
          <w:rFonts w:ascii="Arial" w:cs="Arial" w:eastAsia="Arial" w:hAnsi="Arial"/>
          <w:sz w:val="20"/>
          <w:szCs w:val="20"/>
          <w:b w:val="1"/>
          <w:bCs w:val="1"/>
          <w:color w:val="auto"/>
        </w:rPr>
        <w:t>Relevant Period</w:t>
      </w:r>
      <w:r>
        <w:rPr>
          <w:rFonts w:ascii="Arial" w:cs="Arial" w:eastAsia="Arial" w:hAnsi="Arial"/>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pacing w:after="0" w:line="195" w:lineRule="exact"/>
        <w:rPr>
          <w:rFonts w:ascii="Arial" w:cs="Arial" w:eastAsia="Arial" w:hAnsi="Arial"/>
          <w:sz w:val="20"/>
          <w:szCs w:val="20"/>
          <w:color w:val="auto"/>
        </w:rPr>
      </w:pPr>
    </w:p>
    <w:p>
      <w:pPr>
        <w:jc w:val="both"/>
        <w:ind w:left="1300" w:hanging="644"/>
        <w:spacing w:after="0" w:line="241" w:lineRule="auto"/>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Arial" w:cs="Arial" w:eastAsia="Arial" w:hAnsi="Arial"/>
          <w:sz w:val="20"/>
          <w:szCs w:val="20"/>
          <w:b w:val="1"/>
          <w:b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color w:val="auto"/>
        </w:rPr>
        <w:t>Business</w:t>
      </w:r>
      <w:r>
        <w:rPr>
          <w:rFonts w:ascii="Arial" w:cs="Arial" w:eastAsia="Arial" w:hAnsi="Arial"/>
          <w:sz w:val="20"/>
          <w:szCs w:val="20"/>
          <w:color w:val="auto"/>
        </w:rPr>
        <w:t>”) from any Person that at any time during the Relevant Period was a customer or client of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201" w:lineRule="exact"/>
        <w:rPr>
          <w:rFonts w:ascii="Arial" w:cs="Arial" w:eastAsia="Arial" w:hAnsi="Arial"/>
          <w:sz w:val="20"/>
          <w:szCs w:val="20"/>
          <w:color w:val="auto"/>
        </w:rPr>
      </w:pPr>
    </w:p>
    <w:p>
      <w:pPr>
        <w:jc w:val="both"/>
        <w:ind w:left="1300" w:hanging="644"/>
        <w:spacing w:after="0" w:line="302" w:lineRule="auto"/>
        <w:tabs>
          <w:tab w:leader="none" w:pos="128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within the Restricted Area (as defined below) during the Restricted Period or for any period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w:t>
      </w:r>
    </w:p>
    <w:p>
      <w:pPr>
        <w:spacing w:after="0" w:line="3" w:lineRule="exact"/>
        <w:rPr>
          <w:rFonts w:ascii="Arial" w:cs="Arial" w:eastAsia="Arial" w:hAnsi="Arial"/>
          <w:sz w:val="16"/>
          <w:szCs w:val="16"/>
          <w:color w:val="auto"/>
        </w:rPr>
      </w:pPr>
    </w:p>
    <w:p>
      <w:pPr>
        <w:jc w:val="both"/>
        <w:ind w:left="1300" w:firstLine="4"/>
        <w:spacing w:after="0" w:line="257" w:lineRule="auto"/>
        <w:tabs>
          <w:tab w:leader="none" w:pos="1627"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in which the Company or any Subsidiary had a work site, job site, facility, or office at which the Participant had work activity for the Company or any Subsidiary in the one-year period preceding (the “</w:t>
      </w:r>
      <w:r>
        <w:rPr>
          <w:rFonts w:ascii="Arial" w:cs="Arial" w:eastAsia="Arial" w:hAnsi="Arial"/>
          <w:sz w:val="19"/>
          <w:szCs w:val="19"/>
          <w:b w:val="1"/>
          <w:bCs w:val="1"/>
          <w:color w:val="auto"/>
        </w:rPr>
        <w:t>Restricted Area</w:t>
      </w:r>
      <w:r>
        <w:rPr>
          <w:rFonts w:ascii="Arial" w:cs="Arial" w:eastAsia="Arial" w:hAnsi="Arial"/>
          <w:sz w:val="19"/>
          <w:szCs w:val="19"/>
          <w:color w:val="auto"/>
        </w:rPr>
        <w:t>”). The restrictions of this Clause 2 shall likewise apply if, although Participant’s place of work is located outside the Restricted Area, Participant’s activity is performed for the benefit of a Restricted Business located in the Restricted Area.</w:t>
      </w:r>
    </w:p>
    <w:p>
      <w:pPr>
        <w:spacing w:after="0" w:line="182" w:lineRule="exact"/>
        <w:rPr>
          <w:sz w:val="20"/>
          <w:szCs w:val="20"/>
          <w:color w:val="auto"/>
        </w:rPr>
      </w:pPr>
    </w:p>
    <w:p>
      <w:pPr>
        <w:jc w:val="both"/>
        <w:ind w:firstLine="1385"/>
        <w:spacing w:after="0" w:line="244" w:lineRule="auto"/>
        <w:tabs>
          <w:tab w:leader="none" w:pos="1944" w:val="left"/>
        </w:tabs>
        <w:numPr>
          <w:ilvl w:val="1"/>
          <w:numId w:val="136"/>
        </w:numPr>
        <w:rPr>
          <w:rFonts w:ascii="Arial" w:cs="Arial" w:eastAsia="Arial" w:hAnsi="Arial"/>
          <w:sz w:val="20"/>
          <w:szCs w:val="20"/>
          <w:color w:val="auto"/>
        </w:rPr>
      </w:pPr>
      <w:r>
        <w:rPr>
          <w:rFonts w:ascii="Arial" w:cs="Arial" w:eastAsia="Arial" w:hAnsi="Arial"/>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 Participant or any other Person, and Participant will not approach any such person for such purpose or authorize or approve the taking of such actions by any other Person.</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Limitations and amendments.</w:t>
      </w:r>
      <w:r>
        <w:rPr>
          <w:rFonts w:ascii="Arial" w:cs="Arial" w:eastAsia="Arial" w:hAnsi="Arial"/>
          <w:sz w:val="20"/>
          <w:szCs w:val="20"/>
          <w:color w:val="auto"/>
        </w:rPr>
        <w:t xml:space="preserve"> The following amendments and limitations shall apply to restrictions in Clause 2;</w:t>
      </w:r>
    </w:p>
    <w:p>
      <w:pPr>
        <w:spacing w:after="0" w:line="216" w:lineRule="exact"/>
        <w:rPr>
          <w:sz w:val="20"/>
          <w:szCs w:val="20"/>
          <w:color w:val="auto"/>
        </w:rPr>
      </w:pPr>
    </w:p>
    <w:p>
      <w:pPr>
        <w:ind w:firstLine="1137"/>
        <w:spacing w:after="0" w:line="260" w:lineRule="auto"/>
        <w:rPr>
          <w:sz w:val="20"/>
          <w:szCs w:val="20"/>
          <w:color w:val="auto"/>
        </w:rPr>
      </w:pPr>
      <w:r>
        <w:rPr>
          <w:rFonts w:ascii="Arial" w:cs="Arial" w:eastAsia="Arial" w:hAnsi="Arial"/>
          <w:sz w:val="20"/>
          <w:szCs w:val="20"/>
          <w:color w:val="auto"/>
        </w:rPr>
        <w:t>ii.The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09" w:name="page110"/>
    <w:bookmarkEnd w:id="109"/>
    <w:p>
      <w:pPr>
        <w:jc w:val="both"/>
        <w:ind w:firstLine="1082"/>
        <w:spacing w:after="0" w:line="246" w:lineRule="auto"/>
        <w:rPr>
          <w:sz w:val="20"/>
          <w:szCs w:val="20"/>
          <w:color w:val="auto"/>
        </w:rPr>
      </w:pPr>
      <w:r>
        <w:rPr>
          <w:rFonts w:ascii="Arial" w:cs="Arial" w:eastAsia="Arial" w:hAnsi="Arial"/>
          <w:sz w:val="20"/>
          <w:szCs w:val="20"/>
          <w:color w:val="auto"/>
        </w:rPr>
        <w:t>iii.If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pacing w:after="0" w:line="191" w:lineRule="exact"/>
        <w:rPr>
          <w:sz w:val="20"/>
          <w:szCs w:val="20"/>
          <w:color w:val="auto"/>
        </w:rPr>
      </w:pPr>
    </w:p>
    <w:p>
      <w:pPr>
        <w:jc w:val="both"/>
        <w:ind w:firstLine="1092"/>
        <w:spacing w:after="0" w:line="250" w:lineRule="auto"/>
        <w:rPr>
          <w:sz w:val="20"/>
          <w:szCs w:val="20"/>
          <w:color w:val="auto"/>
        </w:rPr>
      </w:pPr>
      <w:r>
        <w:rPr>
          <w:rFonts w:ascii="Arial" w:cs="Arial" w:eastAsia="Arial" w:hAnsi="Arial"/>
          <w:sz w:val="20"/>
          <w:szCs w:val="20"/>
          <w:color w:val="auto"/>
        </w:rPr>
        <w:t>iv.The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spacing w:after="0" w:line="159" w:lineRule="exact"/>
        <w:rPr>
          <w:sz w:val="20"/>
          <w:szCs w:val="20"/>
          <w:color w:val="auto"/>
        </w:rPr>
      </w:pPr>
    </w:p>
    <w:p>
      <w:pPr>
        <w:jc w:val="both"/>
        <w:ind w:firstLine="1147"/>
        <w:spacing w:after="0" w:line="243" w:lineRule="auto"/>
        <w:rPr>
          <w:sz w:val="20"/>
          <w:szCs w:val="20"/>
          <w:color w:val="auto"/>
        </w:rPr>
      </w:pPr>
      <w:r>
        <w:rPr>
          <w:rFonts w:ascii="Arial" w:cs="Arial" w:eastAsia="Arial" w:hAnsi="Arial"/>
          <w:sz w:val="20"/>
          <w:szCs w:val="20"/>
          <w:color w:val="auto"/>
        </w:rPr>
        <w:t>v.Each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 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179" w:lineRule="exact"/>
        <w:rPr>
          <w:sz w:val="20"/>
          <w:szCs w:val="20"/>
          <w:color w:val="auto"/>
        </w:rPr>
      </w:pPr>
    </w:p>
    <w:p>
      <w:pPr>
        <w:jc w:val="both"/>
        <w:ind w:firstLine="1092"/>
        <w:spacing w:after="0" w:line="243" w:lineRule="auto"/>
        <w:rPr>
          <w:sz w:val="20"/>
          <w:szCs w:val="20"/>
          <w:color w:val="auto"/>
        </w:rPr>
      </w:pPr>
      <w:r>
        <w:rPr>
          <w:rFonts w:ascii="Arial" w:cs="Arial" w:eastAsia="Arial" w:hAnsi="Arial"/>
          <w:sz w:val="20"/>
          <w:szCs w:val="20"/>
          <w:color w:val="auto"/>
        </w:rPr>
        <w:t>vi.Participant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 Participant to reasonably perform a business activity in line with Participant’s acquired skills and expertise without breaching the restrictions contained within Clause 2.</w:t>
      </w:r>
    </w:p>
    <w:p>
      <w:pPr>
        <w:spacing w:after="0" w:line="182" w:lineRule="exact"/>
        <w:rPr>
          <w:sz w:val="20"/>
          <w:szCs w:val="20"/>
          <w:color w:val="auto"/>
        </w:rPr>
      </w:pPr>
    </w:p>
    <w:p>
      <w:pPr>
        <w:ind w:firstLine="656"/>
        <w:spacing w:after="0" w:line="260" w:lineRule="auto"/>
        <w:tabs>
          <w:tab w:leader="none" w:pos="1296"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Participant acknowledges that the grant of the RSUs is sufficient consideration for entering into the restrictions in Clauses 1 and 2.</w:t>
      </w:r>
    </w:p>
    <w:p>
      <w:pPr>
        <w:spacing w:after="0" w:line="149"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Non-Interference with Whistleblower Rights</w:t>
      </w:r>
      <w:r>
        <w:rPr>
          <w:rFonts w:ascii="Arial" w:cs="Arial" w:eastAsia="Arial" w:hAnsi="Arial"/>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spacing w:after="0" w:line="172" w:lineRule="exact"/>
        <w:rPr>
          <w:rFonts w:ascii="Arial" w:cs="Arial" w:eastAsia="Arial" w:hAnsi="Arial"/>
          <w:sz w:val="20"/>
          <w:szCs w:val="20"/>
          <w:color w:val="auto"/>
        </w:rPr>
      </w:pPr>
    </w:p>
    <w:p>
      <w:pPr>
        <w:jc w:val="both"/>
        <w:ind w:left="140" w:firstLine="644"/>
        <w:spacing w:after="0" w:line="241" w:lineRule="auto"/>
        <w:tabs>
          <w:tab w:leader="none" w:pos="1301"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Enforcement of Covenants</w:t>
      </w:r>
      <w:r>
        <w:rPr>
          <w:rFonts w:ascii="Arial" w:cs="Arial" w:eastAsia="Arial" w:hAnsi="Arial"/>
          <w:sz w:val="20"/>
          <w:szCs w:val="20"/>
          <w:color w:val="auto"/>
        </w:rPr>
        <w:t>. The Company may take any and all action that it determines necessary and legally permissible 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 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10" w:name="page111"/>
    <w:bookmarkEnd w:id="110"/>
    <w:p>
      <w:pPr>
        <w:ind w:left="140"/>
        <w:spacing w:after="0"/>
        <w:rPr>
          <w:sz w:val="20"/>
          <w:szCs w:val="20"/>
          <w:color w:val="auto"/>
        </w:rPr>
      </w:pPr>
      <w:r>
        <w:rPr>
          <w:rFonts w:ascii="Arial" w:cs="Arial" w:eastAsia="Arial" w:hAnsi="Arial"/>
          <w:sz w:val="16"/>
          <w:szCs w:val="16"/>
          <w:color w:val="auto"/>
        </w:rPr>
        <w:t>other rights and remedies available to the Company at law and in equity, including recovery of specific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0139"/>
          </w:cols>
          <w:pgMar w:left="320" w:top="1405" w:right="1440" w:bottom="1440" w:gutter="0" w:footer="0" w:header="0"/>
        </w:sectPr>
      </w:pPr>
    </w:p>
    <w:bookmarkStart w:id="111" w:name="page112"/>
    <w:bookmarkEnd w:id="111"/>
    <w:p>
      <w:pPr>
        <w:ind w:left="5076"/>
        <w:spacing w:after="0"/>
        <w:rPr>
          <w:sz w:val="20"/>
          <w:szCs w:val="20"/>
          <w:color w:val="auto"/>
        </w:rPr>
      </w:pPr>
      <w:r>
        <w:rPr>
          <w:rFonts w:ascii="Arial" w:cs="Arial" w:eastAsia="Arial" w:hAnsi="Arial"/>
          <w:sz w:val="20"/>
          <w:szCs w:val="20"/>
          <w:b w:val="1"/>
          <w:bCs w:val="1"/>
          <w:u w:val="single" w:color="auto"/>
          <w:color w:val="auto"/>
        </w:rPr>
        <w:t>SCHEDULE A</w:t>
      </w:r>
    </w:p>
    <w:p>
      <w:pPr>
        <w:spacing w:after="0" w:line="189" w:lineRule="exact"/>
        <w:rPr>
          <w:sz w:val="20"/>
          <w:szCs w:val="20"/>
          <w:color w:val="auto"/>
        </w:rPr>
      </w:pPr>
    </w:p>
    <w:p>
      <w:pPr>
        <w:ind w:left="3396"/>
        <w:spacing w:after="0"/>
        <w:rPr>
          <w:sz w:val="20"/>
          <w:szCs w:val="20"/>
          <w:color w:val="auto"/>
        </w:rPr>
      </w:pPr>
      <w:r>
        <w:rPr>
          <w:rFonts w:ascii="Arial" w:cs="Arial" w:eastAsia="Arial" w:hAnsi="Arial"/>
          <w:sz w:val="20"/>
          <w:szCs w:val="20"/>
          <w:b w:val="1"/>
          <w:bCs w:val="1"/>
          <w:u w:val="single" w:color="auto"/>
          <w:color w:val="auto"/>
        </w:rPr>
        <w:t>TO TECHNIPFMC PLC INCENTIVE AWARD PLAN</w:t>
      </w:r>
    </w:p>
    <w:p>
      <w:pPr>
        <w:spacing w:after="0" w:line="22"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u w:val="single" w:color="auto"/>
          <w:color w:val="auto"/>
        </w:rPr>
        <w:t>RESTRICTED STOCK UNIT AWARD AGREEMENT</w:t>
      </w:r>
    </w:p>
    <w:p>
      <w:pPr>
        <w:spacing w:after="0" w:line="194"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u w:val="single" w:color="auto"/>
          <w:color w:val="auto"/>
        </w:rPr>
        <w:t>COUNTRY SCHEDULE</w:t>
      </w:r>
    </w:p>
    <w:p>
      <w:pPr>
        <w:spacing w:after="0" w:line="222" w:lineRule="exact"/>
        <w:rPr>
          <w:sz w:val="20"/>
          <w:szCs w:val="20"/>
          <w:color w:val="auto"/>
        </w:rPr>
      </w:pPr>
    </w:p>
    <w:p>
      <w:pPr>
        <w:jc w:val="both"/>
        <w:ind w:left="96" w:firstLine="648"/>
        <w:spacing w:after="0" w:line="26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includes (i) additional terms and conditions applicable to all Participants,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without definition shall have the meaning ascribed to such term in the Plan or the Agreement, as applicable.</w:t>
      </w:r>
    </w:p>
    <w:p>
      <w:pPr>
        <w:spacing w:after="0" w:line="174" w:lineRule="exact"/>
        <w:rPr>
          <w:sz w:val="20"/>
          <w:szCs w:val="20"/>
          <w:color w:val="auto"/>
        </w:rPr>
      </w:pPr>
    </w:p>
    <w:p>
      <w:pPr>
        <w:jc w:val="both"/>
        <w:ind w:left="96" w:firstLine="648"/>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63" w:lineRule="exact"/>
        <w:rPr>
          <w:sz w:val="20"/>
          <w:szCs w:val="20"/>
          <w:color w:val="auto"/>
        </w:rPr>
      </w:pPr>
    </w:p>
    <w:p>
      <w:pPr>
        <w:ind w:left="756" w:hanging="756"/>
        <w:spacing w:after="0"/>
        <w:tabs>
          <w:tab w:leader="none" w:pos="756"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GLOBAL PROVISIONS APPLICABLE TO ALL PARTICIPANTS</w:t>
      </w:r>
    </w:p>
    <w:p>
      <w:pPr>
        <w:spacing w:after="0" w:line="222" w:lineRule="exact"/>
        <w:rPr>
          <w:sz w:val="20"/>
          <w:szCs w:val="20"/>
          <w:color w:val="auto"/>
        </w:rPr>
      </w:pPr>
    </w:p>
    <w:p>
      <w:pPr>
        <w:ind w:left="756"/>
        <w:spacing w:after="0"/>
        <w:rPr>
          <w:sz w:val="20"/>
          <w:szCs w:val="20"/>
          <w:color w:val="auto"/>
        </w:rPr>
      </w:pPr>
      <w:r>
        <w:rPr>
          <w:rFonts w:ascii="Arial" w:cs="Arial" w:eastAsia="Arial" w:hAnsi="Arial"/>
          <w:sz w:val="20"/>
          <w:szCs w:val="20"/>
          <w:color w:val="auto"/>
        </w:rPr>
        <w:t>By acceptance of the Award, the Participant acknowledges and agrees that:</w:t>
      </w:r>
    </w:p>
    <w:p>
      <w:pPr>
        <w:spacing w:after="0" w:line="94" w:lineRule="exact"/>
        <w:rPr>
          <w:sz w:val="20"/>
          <w:szCs w:val="20"/>
          <w:color w:val="auto"/>
        </w:rPr>
      </w:pPr>
    </w:p>
    <w:p>
      <w:pPr>
        <w:jc w:val="both"/>
        <w:ind w:left="96" w:firstLine="1192"/>
        <w:spacing w:after="0" w:line="241" w:lineRule="auto"/>
        <w:rPr>
          <w:sz w:val="20"/>
          <w:szCs w:val="20"/>
          <w:color w:val="auto"/>
        </w:rPr>
      </w:pPr>
      <w:r>
        <w:rPr>
          <w:rFonts w:ascii="Arial" w:cs="Arial" w:eastAsia="Arial" w:hAnsi="Arial"/>
          <w:sz w:val="20"/>
          <w:szCs w:val="20"/>
          <w:color w:val="auto"/>
        </w:rPr>
        <w:t>i.No Guarantee of Continued Service. THE VESTING OF THE RESTRICTED STOCK UNITS PURSUANT TO THE VESTING SCHEDULE WILL OCCUR ONLY IF THE PARTICIPANT CONTINUES AS A DIRECTOR, OR EMPLOYEE (AS APPLICABLE) OF THE COMPANY OR A SUBSIDIARY THROUGH THE APPLICABLE VESTING DATE UNLESS OTHERWISE SPECIFICALLY PROVIDED IN THE AGREEMENT. THE TRANSACTIONS CONTEMPLATED HEREUNDER AND THE VESTING SCHEDULE DO NOT CONSTITUTE AN EXPRESS OR IMPLIED PROMISE OF CONTINUED ENGAGEMENT AS A DIRECTOR OR EMPLOYEE FOR THE VESTING PERIOD, FOR ANY PERIOD, OR AT ALL, AND WILL NOT INTERFERE IN ANY WAY WITH THE RIGHT OF THE COMPANY OR ANY SUBSIDIARY TO EFFECT A TERMINATION OF SERVICES AT ANY TIME,AND FOR ANY REASON, NOR SHALL IT BE CONSTRUED TO AMEND OR MODIFY THE TERMS OF ANY CONSULTANCY, DIRECTORSHIP, EMPLOYMENT OR OTHER SERVICE AGREEMENT BETWEEN A PARTICIPANT AND THE COMPANY OR ANY SUBSIDIARY.</w:t>
      </w:r>
    </w:p>
    <w:p>
      <w:pPr>
        <w:spacing w:after="0" w:line="202" w:lineRule="exact"/>
        <w:rPr>
          <w:sz w:val="20"/>
          <w:szCs w:val="20"/>
          <w:color w:val="auto"/>
        </w:rPr>
      </w:pPr>
    </w:p>
    <w:p>
      <w:pPr>
        <w:jc w:val="both"/>
        <w:ind w:left="96" w:firstLine="1137"/>
        <w:spacing w:after="0" w:line="260" w:lineRule="auto"/>
        <w:rPr>
          <w:sz w:val="20"/>
          <w:szCs w:val="20"/>
          <w:color w:val="auto"/>
        </w:rPr>
      </w:pPr>
      <w:r>
        <w:rPr>
          <w:rFonts w:ascii="Arial" w:cs="Arial" w:eastAsia="Arial" w:hAnsi="Arial"/>
          <w:sz w:val="20"/>
          <w:szCs w:val="20"/>
          <w:color w:val="auto"/>
        </w:rPr>
        <w:t>ii.The Plan is discretionary in nature and that, subject to the terms of the Plan, the Company can amend, cancel or terminate the Plan at any time.</w:t>
      </w:r>
    </w:p>
    <w:p>
      <w:pPr>
        <w:spacing w:after="0" w:line="177" w:lineRule="exact"/>
        <w:rPr>
          <w:sz w:val="20"/>
          <w:szCs w:val="20"/>
          <w:color w:val="auto"/>
        </w:rPr>
      </w:pPr>
    </w:p>
    <w:p>
      <w:pPr>
        <w:jc w:val="both"/>
        <w:ind w:left="96" w:right="20" w:firstLine="1082"/>
        <w:spacing w:after="0" w:line="287" w:lineRule="auto"/>
        <w:rPr>
          <w:sz w:val="20"/>
          <w:szCs w:val="20"/>
          <w:color w:val="auto"/>
        </w:rPr>
      </w:pPr>
      <w:r>
        <w:rPr>
          <w:rFonts w:ascii="Arial" w:cs="Arial" w:eastAsia="Arial" w:hAnsi="Arial"/>
          <w:sz w:val="19"/>
          <w:szCs w:val="19"/>
          <w:color w:val="auto"/>
        </w:rPr>
        <w:t>iii.The grant of the RSUs under the Plan is voluntary and occasional and does not give Participant any contractual or other right to receive RSUs or benefits in lieu of RSUs in the future, even if a Participant has received RSUs repeatedly in the past.</w:t>
      </w:r>
    </w:p>
    <w:p>
      <w:pPr>
        <w:spacing w:after="0" w:line="152" w:lineRule="exact"/>
        <w:rPr>
          <w:sz w:val="20"/>
          <w:szCs w:val="20"/>
          <w:color w:val="auto"/>
        </w:rPr>
      </w:pPr>
    </w:p>
    <w:p>
      <w:pPr>
        <w:jc w:val="both"/>
        <w:ind w:left="96" w:firstLine="1092"/>
        <w:spacing w:after="0" w:line="250" w:lineRule="auto"/>
        <w:rPr>
          <w:sz w:val="20"/>
          <w:szCs w:val="20"/>
          <w:color w:val="auto"/>
        </w:rPr>
      </w:pPr>
      <w:r>
        <w:rPr>
          <w:rFonts w:ascii="Arial" w:cs="Arial" w:eastAsia="Arial" w:hAnsi="Arial"/>
          <w:sz w:val="20"/>
          <w:szCs w:val="20"/>
          <w:color w:val="auto"/>
        </w:rPr>
        <w:t>iv.All determinations with respect to any future awards, including, but not limited to, the times when awards under the Plan shall be granted and the terms thereof, including the time or times when any RSUs may vest, will be at the sole discretion of the Administrator.</w:t>
      </w:r>
    </w:p>
    <w:p>
      <w:pPr>
        <w:spacing w:after="0" w:line="186" w:lineRule="exact"/>
        <w:rPr>
          <w:sz w:val="20"/>
          <w:szCs w:val="20"/>
          <w:color w:val="auto"/>
        </w:rPr>
      </w:pPr>
    </w:p>
    <w:p>
      <w:pPr>
        <w:ind w:left="1256"/>
        <w:spacing w:after="0"/>
        <w:rPr>
          <w:sz w:val="20"/>
          <w:szCs w:val="20"/>
          <w:color w:val="auto"/>
        </w:rPr>
      </w:pPr>
      <w:r>
        <w:rPr>
          <w:rFonts w:ascii="Arial" w:cs="Arial" w:eastAsia="Arial" w:hAnsi="Arial"/>
          <w:sz w:val="20"/>
          <w:szCs w:val="20"/>
          <w:color w:val="auto"/>
        </w:rPr>
        <w:t>v.Participation in the Plan is voluntary.</w:t>
      </w:r>
    </w:p>
    <w:p>
      <w:pPr>
        <w:spacing w:after="0" w:line="216" w:lineRule="exact"/>
        <w:rPr>
          <w:sz w:val="20"/>
          <w:szCs w:val="20"/>
          <w:color w:val="auto"/>
        </w:rPr>
      </w:pPr>
    </w:p>
    <w:p>
      <w:pPr>
        <w:jc w:val="both"/>
        <w:ind w:left="96" w:firstLine="1092"/>
        <w:spacing w:after="0" w:line="260" w:lineRule="auto"/>
        <w:rPr>
          <w:sz w:val="20"/>
          <w:szCs w:val="20"/>
          <w:color w:val="auto"/>
        </w:rPr>
      </w:pPr>
      <w:r>
        <w:rPr>
          <w:rFonts w:ascii="Arial" w:cs="Arial" w:eastAsia="Arial" w:hAnsi="Arial"/>
          <w:sz w:val="20"/>
          <w:szCs w:val="20"/>
          <w:color w:val="auto"/>
        </w:rPr>
        <w:t>vi.The value of the RSUs is an extraordinary item of compensation that is outside of the scope of any directorship, consultancy or employment contract or relationship.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
        <w:spacing w:after="0"/>
        <w:tabs>
          <w:tab w:leader="none" w:pos="1656"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336"/>
          </w:cols>
          <w:pgMar w:left="224" w:top="1413" w:right="339" w:bottom="1440" w:gutter="0" w:footer="0" w:header="0"/>
        </w:sectPr>
      </w:pPr>
    </w:p>
    <w:bookmarkStart w:id="112" w:name="page113"/>
    <w:bookmarkEnd w:id="112"/>
    <w:p>
      <w:pPr>
        <w:jc w:val="both"/>
        <w:ind w:right="20" w:firstLine="1038"/>
        <w:spacing w:after="0" w:line="250" w:lineRule="auto"/>
        <w:rPr>
          <w:sz w:val="20"/>
          <w:szCs w:val="20"/>
          <w:color w:val="auto"/>
        </w:rPr>
      </w:pPr>
      <w:r>
        <w:rPr>
          <w:rFonts w:ascii="Arial" w:cs="Arial" w:eastAsia="Arial" w:hAnsi="Arial"/>
          <w:sz w:val="20"/>
          <w:szCs w:val="20"/>
          <w:color w:val="auto"/>
        </w:rPr>
        <w:t>vii.The RSUs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186" w:lineRule="exact"/>
        <w:rPr>
          <w:sz w:val="20"/>
          <w:szCs w:val="20"/>
          <w:color w:val="auto"/>
        </w:rPr>
      </w:pPr>
    </w:p>
    <w:p>
      <w:pPr>
        <w:jc w:val="both"/>
        <w:ind w:right="20" w:firstLine="983"/>
        <w:spacing w:after="0" w:line="260" w:lineRule="auto"/>
        <w:rPr>
          <w:sz w:val="20"/>
          <w:szCs w:val="20"/>
          <w:color w:val="auto"/>
        </w:rPr>
      </w:pPr>
      <w:r>
        <w:rPr>
          <w:rFonts w:ascii="Arial" w:cs="Arial" w:eastAsia="Arial" w:hAnsi="Arial"/>
          <w:sz w:val="20"/>
          <w:szCs w:val="20"/>
          <w:color w:val="auto"/>
        </w:rPr>
        <w:t>viii.The RSUs shall expire, terminate and be forfeited upon Termination of Services for any reason, except as otherwise explicitly provided in this Agreement as may be modified by this Schedule A and/or the Plan.</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ix.The future value of the Shares that may be issued upon vesting of the RSUs is unknown and cannot be predicted with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certainty.</w:t>
      </w:r>
    </w:p>
    <w:p>
      <w:pPr>
        <w:spacing w:after="0" w:line="200" w:lineRule="exact"/>
        <w:rPr>
          <w:sz w:val="20"/>
          <w:szCs w:val="20"/>
          <w:color w:val="auto"/>
        </w:rPr>
      </w:pPr>
    </w:p>
    <w:p>
      <w:pPr>
        <w:jc w:val="both"/>
        <w:ind w:right="20" w:firstLine="1147"/>
        <w:spacing w:after="0" w:line="260" w:lineRule="auto"/>
        <w:rPr>
          <w:sz w:val="20"/>
          <w:szCs w:val="20"/>
          <w:color w:val="auto"/>
        </w:rPr>
      </w:pPr>
      <w:r>
        <w:rPr>
          <w:rFonts w:ascii="Arial" w:cs="Arial" w:eastAsia="Arial" w:hAnsi="Arial"/>
          <w:sz w:val="20"/>
          <w:szCs w:val="20"/>
          <w:color w:val="auto"/>
        </w:rPr>
        <w:t>x.No claim or entitlement to compensation or damages arises from the expiration, termination or forfeiture of the RSUs or any portion thereof.</w:t>
      </w:r>
    </w:p>
    <w:p>
      <w:pPr>
        <w:spacing w:after="0" w:line="177" w:lineRule="exact"/>
        <w:rPr>
          <w:sz w:val="20"/>
          <w:szCs w:val="20"/>
          <w:color w:val="auto"/>
        </w:rPr>
      </w:pPr>
    </w:p>
    <w:p>
      <w:pPr>
        <w:jc w:val="both"/>
        <w:ind w:firstLine="1092"/>
        <w:spacing w:after="0" w:line="246" w:lineRule="auto"/>
        <w:rPr>
          <w:sz w:val="20"/>
          <w:szCs w:val="20"/>
          <w:color w:val="auto"/>
        </w:rPr>
      </w:pPr>
      <w:r>
        <w:rPr>
          <w:rFonts w:ascii="Arial" w:cs="Arial" w:eastAsia="Arial" w:hAnsi="Arial"/>
          <w:sz w:val="20"/>
          <w:szCs w:val="20"/>
          <w:color w:val="auto"/>
        </w:rPr>
        <w:t>xi.Neither the Company nor any Subsidiary has provided, nor will they provide, any Participant with specific tax, legal or financial advice with respect to the RSUs, the Shares issuable upon vesting of RSUs, this Agreement, this Schedule A or the Plan. Neither the Company nor any Subsidiary is making, nor have they made, any recommendations relating to participation in the Plan, the receipt of the RSUs or the acquisition or sale of Shares upon receipt of RSUs.</w:t>
      </w:r>
    </w:p>
    <w:p>
      <w:pPr>
        <w:spacing w:after="0" w:line="191" w:lineRule="exact"/>
        <w:rPr>
          <w:sz w:val="20"/>
          <w:szCs w:val="20"/>
          <w:color w:val="auto"/>
        </w:rPr>
      </w:pPr>
    </w:p>
    <w:p>
      <w:pPr>
        <w:jc w:val="both"/>
        <w:ind w:right="20" w:firstLine="1038"/>
        <w:spacing w:after="0" w:line="316" w:lineRule="auto"/>
        <w:rPr>
          <w:sz w:val="20"/>
          <w:szCs w:val="20"/>
          <w:color w:val="auto"/>
        </w:rPr>
      </w:pPr>
      <w:r>
        <w:rPr>
          <w:rFonts w:ascii="Arial" w:cs="Arial" w:eastAsia="Arial" w:hAnsi="Arial"/>
          <w:sz w:val="18"/>
          <w:szCs w:val="18"/>
          <w:color w:val="auto"/>
        </w:rPr>
        <w:t>xii.The Participant shall bear any and all risk associated with the exchange of currency and the fluctuation of currency exchange rates in connection with this Award, including without limitation in connection with the sale of any Shares issued upon vesting of the RSUs.</w:t>
      </w:r>
    </w:p>
    <w:p>
      <w:pPr>
        <w:spacing w:after="0" w:line="130" w:lineRule="exact"/>
        <w:rPr>
          <w:sz w:val="20"/>
          <w:szCs w:val="20"/>
          <w:color w:val="auto"/>
        </w:rPr>
      </w:pPr>
    </w:p>
    <w:p>
      <w:pPr>
        <w:jc w:val="both"/>
        <w:ind w:firstLine="983"/>
        <w:spacing w:after="0" w:line="250" w:lineRule="auto"/>
        <w:rPr>
          <w:sz w:val="20"/>
          <w:szCs w:val="20"/>
          <w:color w:val="auto"/>
        </w:rPr>
      </w:pPr>
      <w:r>
        <w:rPr>
          <w:rFonts w:ascii="Arial" w:cs="Arial" w:eastAsia="Arial" w:hAnsi="Arial"/>
          <w:sz w:val="20"/>
          <w:szCs w:val="20"/>
          <w:color w:val="auto"/>
        </w:rPr>
        <w:t>xiii.It shall be the Participant’s responsibility to comply with any and all exchange control requirements applicable to the RSUs and the sale of Shares issued upon vesting of the RSUs and any resulting funds including, without limitation, reporting or repatriation requirements.</w:t>
      </w:r>
    </w:p>
    <w:p>
      <w:pPr>
        <w:spacing w:after="0" w:line="186" w:lineRule="exact"/>
        <w:rPr>
          <w:sz w:val="20"/>
          <w:szCs w:val="20"/>
          <w:color w:val="auto"/>
        </w:rPr>
      </w:pPr>
    </w:p>
    <w:p>
      <w:pPr>
        <w:jc w:val="both"/>
        <w:ind w:firstLine="994"/>
        <w:spacing w:after="0" w:line="269" w:lineRule="auto"/>
        <w:rPr>
          <w:sz w:val="20"/>
          <w:szCs w:val="20"/>
          <w:color w:val="auto"/>
        </w:rPr>
      </w:pPr>
      <w:r>
        <w:rPr>
          <w:rFonts w:ascii="Arial" w:cs="Arial" w:eastAsia="Arial" w:hAnsi="Arial"/>
          <w:sz w:val="19"/>
          <w:szCs w:val="19"/>
          <w:color w:val="auto"/>
        </w:rPr>
        <w:t>xiv.The Participant shall be responsible for legal compliance requirements relating to the RSUs or the ownership and possible sale of any Shares issued upon vesting of the RSUs, including, but not limited to, tax reporting, the exchange of U.S. dollars into or from local currency, the transfer of funds to or from the United States, and the opening and use of a U.S. brokerage account.</w:t>
      </w:r>
    </w:p>
    <w:p>
      <w:pPr>
        <w:spacing w:after="0" w:line="170" w:lineRule="exact"/>
        <w:rPr>
          <w:sz w:val="20"/>
          <w:szCs w:val="20"/>
          <w:color w:val="auto"/>
        </w:rPr>
      </w:pPr>
    </w:p>
    <w:p>
      <w:pPr>
        <w:jc w:val="both"/>
        <w:ind w:firstLine="1048"/>
        <w:spacing w:after="0" w:line="244" w:lineRule="auto"/>
        <w:rPr>
          <w:sz w:val="20"/>
          <w:szCs w:val="20"/>
          <w:color w:val="auto"/>
        </w:rPr>
      </w:pPr>
      <w:r>
        <w:rPr>
          <w:rFonts w:ascii="Arial" w:cs="Arial" w:eastAsia="Arial" w:hAnsi="Arial"/>
          <w:sz w:val="20"/>
          <w:szCs w:val="20"/>
          <w:color w:val="auto"/>
        </w:rPr>
        <w:t>xv.If this Agreement, the Plan, any website or any other document related to the RSUs is translated into a language other than English, and if the translated version is different from the English version, the English language version will take precedence. By acceptance of the RSUs, the Participant confirms having read and understood the documents relating to the Plan and the RSUs, including, without limitation, this Agreement and this Schedule A, which were provided in English, and waives any requirement for the Company to provide these documents in any other language.</w:t>
      </w:r>
    </w:p>
    <w:p>
      <w:pPr>
        <w:spacing w:after="0" w:line="194" w:lineRule="exact"/>
        <w:rPr>
          <w:sz w:val="20"/>
          <w:szCs w:val="20"/>
          <w:color w:val="auto"/>
        </w:rPr>
      </w:pPr>
    </w:p>
    <w:p>
      <w:pPr>
        <w:jc w:val="both"/>
        <w:ind w:firstLine="994"/>
        <w:spacing w:after="0" w:line="244" w:lineRule="auto"/>
        <w:rPr>
          <w:sz w:val="20"/>
          <w:szCs w:val="20"/>
          <w:color w:val="auto"/>
        </w:rPr>
      </w:pPr>
      <w:r>
        <w:rPr>
          <w:rFonts w:ascii="Arial" w:cs="Arial" w:eastAsia="Arial" w:hAnsi="Arial"/>
          <w:sz w:val="20"/>
          <w:szCs w:val="20"/>
          <w:color w:val="auto"/>
        </w:rPr>
        <w:t>xvi.The Participant’s right to vest in the RSUs will terminate effective as of the date that is the earlier of (1) the effective date of the Participant’s Termination of Services (whether or not in breach of local labor laws), or (2) the date he or 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RSUs.</w:t>
      </w:r>
    </w:p>
    <w:p>
      <w:pPr>
        <w:spacing w:after="0" w:line="194" w:lineRule="exact"/>
        <w:rPr>
          <w:sz w:val="20"/>
          <w:szCs w:val="20"/>
          <w:color w:val="auto"/>
        </w:rPr>
      </w:pPr>
    </w:p>
    <w:p>
      <w:pPr>
        <w:jc w:val="both"/>
        <w:ind w:firstLine="939"/>
        <w:spacing w:after="0" w:line="260" w:lineRule="auto"/>
        <w:rPr>
          <w:sz w:val="20"/>
          <w:szCs w:val="20"/>
          <w:color w:val="auto"/>
        </w:rPr>
      </w:pPr>
      <w:r>
        <w:rPr>
          <w:rFonts w:ascii="Arial" w:cs="Arial" w:eastAsia="Arial" w:hAnsi="Arial"/>
          <w:sz w:val="20"/>
          <w:szCs w:val="20"/>
          <w:color w:val="auto"/>
        </w:rPr>
        <w:t xml:space="preserve">xvii.To the extent the Participant is providing services in a country identified in Section II of this </w:t>
      </w:r>
      <w:r>
        <w:rPr>
          <w:rFonts w:ascii="Arial" w:cs="Arial" w:eastAsia="Arial" w:hAnsi="Arial"/>
          <w:sz w:val="20"/>
          <w:szCs w:val="20"/>
          <w:u w:val="single" w:color="auto"/>
          <w:color w:val="auto"/>
        </w:rPr>
        <w:t>Schedule A</w:t>
      </w:r>
      <w:r>
        <w:rPr>
          <w:rFonts w:ascii="Arial" w:cs="Arial" w:eastAsia="Arial" w:hAnsi="Arial"/>
          <w:sz w:val="20"/>
          <w:szCs w:val="20"/>
          <w:color w:val="auto"/>
        </w:rPr>
        <w:t>, such Participant understands and agrees that the provisions for such country apply and are incorporated into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13" w:name="page114"/>
    <w:bookmarkEnd w:id="113"/>
    <w:p>
      <w:pPr>
        <w:ind w:left="756" w:right="900" w:hanging="756"/>
        <w:spacing w:after="0" w:line="267" w:lineRule="auto"/>
        <w:tabs>
          <w:tab w:leader="none" w:pos="756"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163" w:lineRule="exact"/>
        <w:rPr>
          <w:rFonts w:ascii="Arial" w:cs="Arial" w:eastAsia="Arial" w:hAnsi="Arial"/>
          <w:sz w:val="20"/>
          <w:szCs w:val="20"/>
          <w:b w:val="1"/>
          <w:bCs w:val="1"/>
          <w:color w:val="auto"/>
        </w:rPr>
      </w:pPr>
    </w:p>
    <w:p>
      <w:pPr>
        <w:ind w:left="5436" w:hanging="645"/>
        <w:spacing w:after="0"/>
        <w:tabs>
          <w:tab w:leader="none" w:pos="5436" w:val="left"/>
        </w:tabs>
        <w:numPr>
          <w:ilvl w:val="3"/>
          <w:numId w:val="1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ARGENTINA</w:t>
      </w:r>
    </w:p>
    <w:p>
      <w:pPr>
        <w:spacing w:after="0" w:line="215" w:lineRule="exact"/>
        <w:rPr>
          <w:rFonts w:ascii="Arial" w:cs="Arial" w:eastAsia="Arial" w:hAnsi="Arial"/>
          <w:sz w:val="20"/>
          <w:szCs w:val="20"/>
          <w:b w:val="1"/>
          <w:bCs w:val="1"/>
          <w:color w:val="auto"/>
        </w:rPr>
      </w:pPr>
    </w:p>
    <w:p>
      <w:pPr>
        <w:jc w:val="both"/>
        <w:ind w:left="96" w:right="20" w:firstLine="1284"/>
        <w:spacing w:after="0" w:line="253" w:lineRule="auto"/>
        <w:tabs>
          <w:tab w:leader="none" w:pos="2034" w:val="left"/>
        </w:tabs>
        <w:numPr>
          <w:ilvl w:val="2"/>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The provisions of this Country Schedule for Argentina provide additional definitions and conditions for the purpose of granting RSUs which are intended to be granted to Employees and corporate officers who are resident in Argentina for tax, labour or securities law purposes.</w:t>
      </w:r>
    </w:p>
    <w:p>
      <w:pPr>
        <w:spacing w:after="0" w:line="183" w:lineRule="exact"/>
        <w:rPr>
          <w:rFonts w:ascii="Arial" w:cs="Arial" w:eastAsia="Arial" w:hAnsi="Arial"/>
          <w:sz w:val="20"/>
          <w:szCs w:val="20"/>
          <w:b w:val="1"/>
          <w:bCs w:val="1"/>
          <w:color w:val="auto"/>
        </w:rPr>
      </w:pPr>
    </w:p>
    <w:p>
      <w:pPr>
        <w:ind w:left="96" w:firstLine="656"/>
        <w:spacing w:after="0" w:line="287" w:lineRule="auto"/>
        <w:tabs>
          <w:tab w:leader="none" w:pos="1392"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Discretion</w:t>
      </w:r>
      <w:r>
        <w:rPr>
          <w:rFonts w:ascii="Arial" w:cs="Arial" w:eastAsia="Arial" w:hAnsi="Arial"/>
          <w:sz w:val="19"/>
          <w:szCs w:val="19"/>
          <w:color w:val="auto"/>
        </w:rPr>
        <w:t>. All discretionary authority granted under the Plan, including the interpretation of the documentation, shall be exercised reasonably as defined under Argentinean law in compliance with the principles of non-discriminatory equal treatment.</w:t>
      </w:r>
    </w:p>
    <w:p>
      <w:pPr>
        <w:spacing w:after="0" w:line="152" w:lineRule="exact"/>
        <w:rPr>
          <w:rFonts w:ascii="Arial" w:cs="Arial" w:eastAsia="Arial" w:hAnsi="Arial"/>
          <w:sz w:val="19"/>
          <w:szCs w:val="19"/>
          <w:color w:val="auto"/>
        </w:rPr>
      </w:pPr>
    </w:p>
    <w:p>
      <w:pPr>
        <w:jc w:val="both"/>
        <w:ind w:left="96" w:firstLine="656"/>
        <w:spacing w:after="0" w:line="250" w:lineRule="auto"/>
        <w:tabs>
          <w:tab w:leader="none" w:pos="1392"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Termination of Service, Detrimental Activity,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in accordance with Argentinean law.</w:t>
      </w:r>
    </w:p>
    <w:p>
      <w:pPr>
        <w:spacing w:after="0" w:line="185" w:lineRule="exact"/>
        <w:rPr>
          <w:rFonts w:ascii="Arial" w:cs="Arial" w:eastAsia="Arial" w:hAnsi="Arial"/>
          <w:sz w:val="20"/>
          <w:szCs w:val="20"/>
          <w:color w:val="auto"/>
        </w:rPr>
      </w:pPr>
    </w:p>
    <w:p>
      <w:pPr>
        <w:ind w:left="1396" w:hanging="644"/>
        <w:spacing w:after="0"/>
        <w:tabs>
          <w:tab w:leader="none" w:pos="139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in Argentina shall be restricted to Employees or Non-Employee Directors, as determined by the Administrator.</w:t>
      </w:r>
    </w:p>
    <w:p>
      <w:pPr>
        <w:spacing w:after="0" w:line="238" w:lineRule="exact"/>
        <w:rPr>
          <w:rFonts w:ascii="Arial" w:cs="Arial" w:eastAsia="Arial" w:hAnsi="Arial"/>
          <w:sz w:val="18"/>
          <w:szCs w:val="18"/>
          <w:color w:val="auto"/>
        </w:rPr>
      </w:pPr>
    </w:p>
    <w:p>
      <w:pPr>
        <w:jc w:val="both"/>
        <w:ind w:left="96" w:firstLine="656"/>
        <w:spacing w:after="0" w:line="246" w:lineRule="auto"/>
        <w:tabs>
          <w:tab w:leader="none" w:pos="1392"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No Entitlement for Claims or Compensation</w:t>
      </w:r>
      <w:r>
        <w:rPr>
          <w:rFonts w:ascii="Arial" w:cs="Arial" w:eastAsia="Arial" w:hAnsi="Arial"/>
          <w:sz w:val="20"/>
          <w:szCs w:val="20"/>
          <w:color w:val="auto"/>
        </w:rPr>
        <w:t>. The Company has unilaterally, gratuitously and discretionally decided to grant the RSUs under the Plan. Consequently, the RSUs are granted on the assumption and condition that RSUs and the Shares issued pursuant to vesting of the RSUs are not part of the Participant’s ordinary or expected remuneration and shall not be considered for the purposes of determining any severance payment or compensation otherwise due.</w:t>
      </w:r>
    </w:p>
    <w:p>
      <w:pPr>
        <w:spacing w:after="0" w:line="191" w:lineRule="exact"/>
        <w:rPr>
          <w:rFonts w:ascii="Arial" w:cs="Arial" w:eastAsia="Arial" w:hAnsi="Arial"/>
          <w:sz w:val="20"/>
          <w:szCs w:val="20"/>
          <w:color w:val="auto"/>
        </w:rPr>
      </w:pPr>
    </w:p>
    <w:p>
      <w:pPr>
        <w:jc w:val="both"/>
        <w:ind w:left="96" w:firstLine="656"/>
        <w:spacing w:after="0" w:line="250" w:lineRule="auto"/>
        <w:tabs>
          <w:tab w:leader="none" w:pos="1392"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Information to the Central Bank</w:t>
      </w:r>
      <w:r>
        <w:rPr>
          <w:rFonts w:ascii="Arial" w:cs="Arial" w:eastAsia="Arial" w:hAnsi="Arial"/>
          <w:sz w:val="20"/>
          <w:szCs w:val="20"/>
          <w:color w:val="auto"/>
        </w:rPr>
        <w:t>. If the participant is a resident or is domiciled in Argentina, he will be required to submit an annual affidavit on assets and rights outside of Argentina to the Central Bank. This affidavit will be mandatory if the added value of such assets is equivalent or exceeds USD 1M (this rule is applicable for the period FY 2017 to FY 2019).</w:t>
      </w:r>
    </w:p>
    <w:p>
      <w:pPr>
        <w:spacing w:after="0" w:line="186" w:lineRule="exact"/>
        <w:rPr>
          <w:sz w:val="20"/>
          <w:szCs w:val="20"/>
          <w:color w:val="auto"/>
        </w:rPr>
      </w:pPr>
    </w:p>
    <w:p>
      <w:pPr>
        <w:ind w:left="96" w:right="20"/>
        <w:spacing w:after="0" w:line="260" w:lineRule="auto"/>
        <w:rPr>
          <w:sz w:val="20"/>
          <w:szCs w:val="20"/>
          <w:color w:val="auto"/>
        </w:rPr>
      </w:pPr>
      <w:r>
        <w:rPr>
          <w:rFonts w:ascii="Arial" w:cs="Arial" w:eastAsia="Arial" w:hAnsi="Arial"/>
          <w:sz w:val="20"/>
          <w:szCs w:val="20"/>
          <w:color w:val="auto"/>
        </w:rPr>
        <w:t>The affidavit will be mandatory since FY 2020 only if the added value of the assets exceeds USD 50M. Additionally, any liability outside of Argentina should be reported to the Central Bank on a quarterly basis.</w:t>
      </w:r>
    </w:p>
    <w:p>
      <w:pPr>
        <w:spacing w:after="0" w:line="177" w:lineRule="exact"/>
        <w:rPr>
          <w:sz w:val="20"/>
          <w:szCs w:val="20"/>
          <w:color w:val="auto"/>
        </w:rPr>
      </w:pPr>
    </w:p>
    <w:p>
      <w:pPr>
        <w:ind w:left="96" w:firstLine="656"/>
        <w:spacing w:after="0" w:line="260" w:lineRule="auto"/>
        <w:tabs>
          <w:tab w:leader="none" w:pos="1392"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Argentinean law. In case of any discrepancy between Argentinean Law and the law of the State of Delaware, then Argentinean law will prevail.</w:t>
      </w:r>
    </w:p>
    <w:p>
      <w:pPr>
        <w:spacing w:after="0" w:line="176" w:lineRule="exact"/>
        <w:rPr>
          <w:rFonts w:ascii="Arial" w:cs="Arial" w:eastAsia="Arial" w:hAnsi="Arial"/>
          <w:sz w:val="20"/>
          <w:szCs w:val="20"/>
          <w:color w:val="auto"/>
        </w:rPr>
      </w:pPr>
    </w:p>
    <w:p>
      <w:pPr>
        <w:jc w:val="both"/>
        <w:ind w:left="96" w:right="20" w:firstLine="656"/>
        <w:spacing w:after="0" w:line="250" w:lineRule="auto"/>
        <w:tabs>
          <w:tab w:leader="none" w:pos="139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in Argentina means termination of the Participant’s employment on or after the date that the Participant reaches the age of 70 and has been granted the retirement benefit by the Social Security Authority or after one year the employee was formally requested by the employer to start proceedings to obtain the retirement benefit.</w:t>
      </w:r>
    </w:p>
    <w:p>
      <w:pPr>
        <w:spacing w:after="0" w:line="185" w:lineRule="exact"/>
        <w:rPr>
          <w:rFonts w:ascii="Arial" w:cs="Arial" w:eastAsia="Arial" w:hAnsi="Arial"/>
          <w:sz w:val="20"/>
          <w:szCs w:val="20"/>
          <w:color w:val="auto"/>
        </w:rPr>
      </w:pPr>
    </w:p>
    <w:p>
      <w:pPr>
        <w:ind w:left="1396" w:hanging="644"/>
        <w:spacing w:after="0"/>
        <w:tabs>
          <w:tab w:leader="none" w:pos="13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By entering into the Agreement, Participant consents to the transfer of Data by Company for the Purposes.</w:t>
      </w:r>
    </w:p>
    <w:p>
      <w:pPr>
        <w:spacing w:after="0" w:line="232" w:lineRule="exact"/>
        <w:rPr>
          <w:rFonts w:ascii="Arial" w:cs="Arial" w:eastAsia="Arial" w:hAnsi="Arial"/>
          <w:sz w:val="18"/>
          <w:szCs w:val="18"/>
          <w:color w:val="auto"/>
        </w:rPr>
      </w:pPr>
    </w:p>
    <w:p>
      <w:pPr>
        <w:ind w:left="5456" w:hanging="643"/>
        <w:spacing w:after="0"/>
        <w:tabs>
          <w:tab w:leader="none" w:pos="5456" w:val="left"/>
        </w:tabs>
        <w:numPr>
          <w:ilvl w:val="1"/>
          <w:numId w:val="1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AUSTRALIA</w:t>
      </w:r>
    </w:p>
    <w:p>
      <w:pPr>
        <w:spacing w:after="0" w:line="216" w:lineRule="exact"/>
        <w:rPr>
          <w:sz w:val="20"/>
          <w:szCs w:val="20"/>
          <w:color w:val="auto"/>
        </w:rPr>
      </w:pPr>
    </w:p>
    <w:p>
      <w:pPr>
        <w:jc w:val="both"/>
        <w:ind w:left="96"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Australia</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Australia for tax, labour or securities law purposes.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6"/>
        <w:spacing w:after="0"/>
        <w:tabs>
          <w:tab w:leader="none" w:pos="1656"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336"/>
          </w:cols>
          <w:pgMar w:left="224" w:top="1399" w:right="339" w:bottom="1440" w:gutter="0" w:footer="0" w:header="0"/>
        </w:sectPr>
      </w:pPr>
    </w:p>
    <w:bookmarkStart w:id="114" w:name="page115"/>
    <w:bookmarkEnd w:id="114"/>
    <w:p>
      <w:pPr>
        <w:ind w:left="1300" w:hanging="644"/>
        <w:spacing w:after="0"/>
        <w:tabs>
          <w:tab w:leader="none" w:pos="130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Award Plan</w:t>
      </w:r>
      <w:r>
        <w:rPr>
          <w:rFonts w:ascii="Arial" w:cs="Arial" w:eastAsia="Arial" w:hAnsi="Arial"/>
          <w:sz w:val="20"/>
          <w:szCs w:val="20"/>
          <w:color w:val="auto"/>
        </w:rPr>
        <w:t>. A copy of the Plan is attached to this Agreement.</w:t>
      </w:r>
    </w:p>
    <w:p>
      <w:pPr>
        <w:spacing w:after="0" w:line="215" w:lineRule="exact"/>
        <w:rPr>
          <w:rFonts w:ascii="Arial" w:cs="Arial" w:eastAsia="Arial" w:hAnsi="Arial"/>
          <w:sz w:val="20"/>
          <w:szCs w:val="20"/>
          <w:color w:val="auto"/>
        </w:rPr>
      </w:pPr>
    </w:p>
    <w:p>
      <w:pPr>
        <w:ind w:firstLine="656"/>
        <w:spacing w:after="0" w:line="316"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Plan and this Agreement do not constitute financial advice. Any advice given by the Company in relation to the RSUs or the Shares does not constitute financial advice and does not take into account the Participant’s objectives, financial situation and needs.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considering the RSUs and the Shares that the Participant will hold on vesting of the RSUs, the Participant should consider the risk factors that could affect the performance of the Company. The Participant should be aware that there are risks associated with any stock market investment. It is important to recognize that stock prices and dividends might fall or rise. Factors affecting the market price include domestic and international economic conditions and outlook, changes in government fiscal, monetary and regulatory policies, changes in interest rates and inflation rates, the announcement of new technologies and variations in general market conditions and/or market conditions which are specific to a particular industry. In addition, share prices of many companies are affected by factors which might be unrelated to the operating performance of the relevant company. Such factors might adversely affect the market price of the Shares in the Company. Further, there is no guarantee that the Company’s Shares will trade at a particular volume or that there will be an ongoing liquid market for the Shares, accordingly there is a risk that, should the market for the Shares become illiquid, the Participant will be unable to realize the Participant’s investment.</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Participant should carefully consider these risks in light of the Participant’s investment objectives, financial situation and particular needs (including financial and tax issues) and seek professional guidance from your stockbroker, solicitor, accountant, financial adviser or other independent professional adviser before deciding whether to accept the offer of RSUs or to acquire Shares.</w:t>
      </w:r>
    </w:p>
    <w:p>
      <w:pPr>
        <w:spacing w:after="0" w:line="170" w:lineRule="exact"/>
        <w:rPr>
          <w:sz w:val="20"/>
          <w:szCs w:val="20"/>
          <w:color w:val="auto"/>
        </w:rPr>
      </w:pPr>
    </w:p>
    <w:p>
      <w:pPr>
        <w:jc w:val="both"/>
        <w:ind w:firstLine="656"/>
        <w:spacing w:after="0" w:line="246" w:lineRule="auto"/>
        <w:tabs>
          <w:tab w:leader="none" w:pos="129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How to Calculate Values in Australian Dollars</w:t>
      </w:r>
      <w:r>
        <w:rPr>
          <w:rFonts w:ascii="Arial" w:cs="Arial" w:eastAsia="Arial" w:hAnsi="Arial"/>
          <w:sz w:val="20"/>
          <w:szCs w:val="20"/>
          <w:color w:val="auto"/>
        </w:rPr>
        <w:t>. The Participant may be paid earned RSUs which have vested in accordance with the vesting schedule outlined above in accordance with the terms of the Plan by delivery of Shares in the Company or the payment of cash of an amount equal to the Fair Market Value of those shares (or a combination of both). The Participant will not be required to pay any amount for the payment of earned RSUs.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Participant can ascertain the market price of a Share in the Company from time to time by visiting either:</w:t>
      </w:r>
    </w:p>
    <w:p>
      <w:pPr>
        <w:spacing w:after="0" w:line="216"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Company’s website (</w:t>
      </w:r>
      <w:r>
        <w:rPr>
          <w:rFonts w:ascii="Arial" w:cs="Arial" w:eastAsia="Arial" w:hAnsi="Arial"/>
          <w:sz w:val="20"/>
          <w:szCs w:val="20"/>
          <w:u w:val="single" w:color="auto"/>
          <w:color w:val="0000FF"/>
        </w:rPr>
        <w:t>http://www.technipfmc.com/en/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right="20" w:hanging="644"/>
        <w:spacing w:after="0" w:line="260" w:lineRule="auto"/>
        <w:tabs>
          <w:tab w:leader="none" w:pos="128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United States Dollars (“</w:t>
      </w:r>
      <w:r>
        <w:rPr>
          <w:rFonts w:ascii="Arial" w:cs="Arial" w:eastAsia="Arial" w:hAnsi="Arial"/>
          <w:sz w:val="20"/>
          <w:szCs w:val="20"/>
          <w:u w:val="single" w:color="auto"/>
          <w:color w:val="auto"/>
        </w:rPr>
        <w:t>USD</w:t>
      </w:r>
      <w:r>
        <w:rPr>
          <w:rFonts w:ascii="Arial" w:cs="Arial" w:eastAsia="Arial" w:hAnsi="Arial"/>
          <w:sz w:val="20"/>
          <w:szCs w:val="20"/>
          <w:color w:val="auto"/>
        </w:rPr>
        <w:t>”) on the New York Stock Exchange website (</w:t>
      </w:r>
      <w:r>
        <w:rPr>
          <w:rFonts w:ascii="Arial" w:cs="Arial" w:eastAsia="Arial" w:hAnsi="Arial"/>
          <w:sz w:val="20"/>
          <w:szCs w:val="20"/>
          <w:u w:val="single" w:color="auto"/>
          <w:color w:val="0000FF"/>
        </w:rPr>
        <w:t>https://www.nyse.com/index</w:t>
      </w:r>
      <w:r>
        <w:rPr>
          <w:rFonts w:ascii="Arial" w:cs="Arial" w:eastAsia="Arial" w:hAnsi="Arial"/>
          <w:sz w:val="20"/>
          <w:szCs w:val="20"/>
          <w:color w:val="auto"/>
        </w:rPr>
        <w:t>) and searching for “TechnipFMC” or “FTI”; or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Euros (“</w:t>
      </w:r>
      <w:r>
        <w:rPr>
          <w:rFonts w:ascii="Arial" w:cs="Arial" w:eastAsia="Arial" w:hAnsi="Arial"/>
          <w:sz w:val="20"/>
          <w:szCs w:val="20"/>
          <w:u w:val="single" w:color="auto"/>
          <w:color w:val="auto"/>
        </w:rPr>
        <w:t>EUR</w:t>
      </w:r>
      <w:r>
        <w:rPr>
          <w:rFonts w:ascii="Arial" w:cs="Arial" w:eastAsia="Arial" w:hAnsi="Arial"/>
          <w:sz w:val="20"/>
          <w:szCs w:val="20"/>
          <w:color w:val="auto"/>
        </w:rPr>
        <w:t>”) on the Euronext website (</w:t>
      </w:r>
      <w:r>
        <w:rPr>
          <w:rFonts w:ascii="Arial" w:cs="Arial" w:eastAsia="Arial" w:hAnsi="Arial"/>
          <w:sz w:val="20"/>
          <w:szCs w:val="20"/>
          <w:u w:val="single" w:color="auto"/>
          <w:color w:val="0000FF"/>
        </w:rPr>
        <w:t>https://www.euronext.com/</w:t>
      </w:r>
      <w:r>
        <w:rPr>
          <w:rFonts w:ascii="Arial" w:cs="Arial" w:eastAsia="Arial" w:hAnsi="Arial"/>
          <w:sz w:val="20"/>
          <w:szCs w:val="20"/>
          <w:color w:val="auto"/>
        </w:rPr>
        <w:t>) and searching for “TechnipFMC” or “FTI”.</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To determine the market value of a Share in Australian Dollars (“</w:t>
      </w:r>
      <w:r>
        <w:rPr>
          <w:rFonts w:ascii="Arial" w:cs="Arial" w:eastAsia="Arial" w:hAnsi="Arial"/>
          <w:sz w:val="20"/>
          <w:szCs w:val="20"/>
          <w:u w:val="single" w:color="auto"/>
          <w:color w:val="auto"/>
        </w:rPr>
        <w:t>AUD</w:t>
      </w:r>
      <w:r>
        <w:rPr>
          <w:rFonts w:ascii="Arial" w:cs="Arial" w:eastAsia="Arial" w:hAnsi="Arial"/>
          <w:sz w:val="20"/>
          <w:szCs w:val="20"/>
          <w:color w:val="auto"/>
        </w:rPr>
        <w:t xml:space="preserve">”), you will need to apply the prevailing USD : AUD or EUR:AUD exchange rate (as relevant). For example, if the exchange rate is 1 USD : 1.5 AUD, and one Share has a value of USD $1 on the NYSE, its equivalent value will be AUD $1.50. Please contact your bank for the prevailing USD: AUD exchange rate or for an approximate exchange rate published by the Reserve Bank of Australia you can follow this link: </w:t>
      </w:r>
      <w:r>
        <w:rPr>
          <w:rFonts w:ascii="Arial" w:cs="Arial" w:eastAsia="Arial" w:hAnsi="Arial"/>
          <w:sz w:val="20"/>
          <w:szCs w:val="20"/>
          <w:u w:val="single" w:color="auto"/>
          <w:color w:val="0000FF"/>
        </w:rPr>
        <w:t>http://www.rba.gov.au/statistics/frequency/exchange-rates.html</w:t>
      </w:r>
      <w:r>
        <w:rPr>
          <w:rFonts w:ascii="Arial" w:cs="Arial" w:eastAsia="Arial" w:hAnsi="Arial"/>
          <w:sz w:val="20"/>
          <w:szCs w:val="20"/>
          <w:color w:val="000000"/>
        </w:rPr>
        <w:t>.</w:t>
      </w:r>
    </w:p>
    <w:p>
      <w:pPr>
        <w:spacing w:after="0" w:line="194" w:lineRule="exact"/>
        <w:rPr>
          <w:sz w:val="20"/>
          <w:szCs w:val="20"/>
          <w:color w:val="auto"/>
        </w:rPr>
      </w:pPr>
    </w:p>
    <w:p>
      <w:pPr>
        <w:jc w:val="both"/>
        <w:ind w:firstLine="656"/>
        <w:spacing w:after="0" w:line="250" w:lineRule="auto"/>
        <w:tabs>
          <w:tab w:leader="none" w:pos="129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Exchange Control Information</w:t>
      </w:r>
      <w:r>
        <w:rPr>
          <w:rFonts w:ascii="Arial" w:cs="Arial" w:eastAsia="Arial" w:hAnsi="Arial"/>
          <w:sz w:val="20"/>
          <w:szCs w:val="20"/>
          <w:u w:val="single" w:color="auto"/>
          <w:color w:val="auto"/>
        </w:rPr>
        <w:t>.</w:t>
      </w:r>
      <w:r>
        <w:rPr>
          <w:rFonts w:ascii="Arial" w:cs="Arial" w:eastAsia="Arial" w:hAnsi="Arial"/>
          <w:sz w:val="20"/>
          <w:szCs w:val="20"/>
          <w:color w:val="auto"/>
        </w:rPr>
        <w:t xml:space="preserve"> Exchange control reporting is required for cash transactions exceeding A$10,000 and international fund transfers coming into or going out of Australia. The Australian bank assisting with the transaction will file the report. If there is no Australian bank involved in the transfer, the Participant will be required to file the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15" w:name="page116"/>
    <w:bookmarkEnd w:id="115"/>
    <w:p>
      <w:pPr>
        <w:ind w:left="5560" w:hanging="639"/>
        <w:spacing w:after="0"/>
        <w:tabs>
          <w:tab w:leader="none" w:pos="556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BRAZIL</w:t>
      </w:r>
    </w:p>
    <w:p>
      <w:pPr>
        <w:spacing w:after="0" w:line="216" w:lineRule="exact"/>
        <w:rPr>
          <w:sz w:val="20"/>
          <w:szCs w:val="20"/>
          <w:color w:val="auto"/>
        </w:rPr>
      </w:pPr>
    </w:p>
    <w:p>
      <w:pPr>
        <w:ind w:right="20"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Brazil</w:t>
      </w:r>
      <w:r>
        <w:rPr>
          <w:rFonts w:ascii="Arial" w:cs="Arial" w:eastAsia="Arial" w:hAnsi="Arial"/>
          <w:sz w:val="18"/>
          <w:szCs w:val="18"/>
          <w:color w:val="auto"/>
        </w:rPr>
        <w:t xml:space="preserve"> provide additional definitions and conditions for the purpose of granting RSUs which are intended to be granted to Employees and corporate officers who are resident in Brazil for tax, labour or securities law purposes.</w:t>
      </w:r>
    </w:p>
    <w:p>
      <w:pPr>
        <w:spacing w:after="0" w:line="124" w:lineRule="exact"/>
        <w:rPr>
          <w:sz w:val="20"/>
          <w:szCs w:val="20"/>
          <w:color w:val="auto"/>
        </w:rPr>
      </w:pPr>
    </w:p>
    <w:p>
      <w:pPr>
        <w:jc w:val="both"/>
        <w:ind w:firstLine="656"/>
        <w:spacing w:after="0" w:line="243" w:lineRule="auto"/>
        <w:tabs>
          <w:tab w:leader="none" w:pos="1296"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Acknowledgment of Nature of Plan and RSUs</w:t>
      </w:r>
      <w:r>
        <w:rPr>
          <w:rFonts w:ascii="Arial" w:cs="Arial" w:eastAsia="Arial" w:hAnsi="Arial"/>
          <w:sz w:val="20"/>
          <w:szCs w:val="20"/>
          <w:color w:val="auto"/>
        </w:rPr>
        <w:t>. In accepting this Agreement, Participant acknowledges that in the event of termination of Participant’s employment (whether or not in breach of local labor laws), Participant’s rights to unvested RSUs under the Plan, if any, will terminate effective as of the date that Participant is no longer actively employed and will not be extended by any notice period mandated under applicable local laws (e.g., active employment would not include a period of “garden leave” or notice period). The Administrator shall have the exclusive discretion to determine when Participant is no longer actively employed for purposes of Participant’s RSUs.</w:t>
      </w:r>
    </w:p>
    <w:p>
      <w:pPr>
        <w:spacing w:after="0" w:line="19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is a resident or domiciled in Brazil, Participant will be required to submit an annual declaration of assets and rights held outside of Brazil to the Central Bank of Brazil if the aggregate value of such assets and rights is equal to or greater than the applicable statutory threshold from time to time. Please note that the threshold may be changed annually.</w:t>
      </w:r>
    </w:p>
    <w:p>
      <w:pPr>
        <w:spacing w:after="0" w:line="151"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Acknowledgment of Forfeiture and Claw-Back Provisions</w:t>
      </w:r>
      <w:r>
        <w:rPr>
          <w:rFonts w:ascii="Arial" w:cs="Arial" w:eastAsia="Arial" w:hAnsi="Arial"/>
          <w:sz w:val="20"/>
          <w:szCs w:val="20"/>
          <w:color w:val="auto"/>
        </w:rPr>
        <w:t>. In accepting this Agreement, Participant acknowledges being subject to the provisions of any forfeiture and claw-back policy implemented by the Company, including, without limitation, any claw-back policy adopted to comply with the requirements of Applicable Law.</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Securities Restrictions</w:t>
      </w:r>
      <w:r>
        <w:rPr>
          <w:rFonts w:ascii="Arial" w:cs="Arial" w:eastAsia="Arial" w:hAnsi="Arial"/>
          <w:sz w:val="18"/>
          <w:szCs w:val="18"/>
          <w:color w:val="auto"/>
        </w:rPr>
        <w:t>. Awards granted under the Plan do not constitute a public offer of the Shares. The Plan and this Agreement are only addressed to the Participant and other selected Employees and have not been offered or solicited by means of any public communication services. The Shares deliverable upon settlement of the RSUs under the Plan are not negotiable in Brazil.</w:t>
      </w:r>
    </w:p>
    <w:p>
      <w:pPr>
        <w:spacing w:after="0" w:line="145" w:lineRule="exact"/>
        <w:rPr>
          <w:rFonts w:ascii="Arial" w:cs="Arial" w:eastAsia="Arial" w:hAnsi="Arial"/>
          <w:sz w:val="18"/>
          <w:szCs w:val="18"/>
          <w:color w:val="auto"/>
        </w:rPr>
      </w:pPr>
    </w:p>
    <w:p>
      <w:pPr>
        <w:ind w:left="5520" w:hanging="644"/>
        <w:spacing w:after="0"/>
        <w:tabs>
          <w:tab w:leader="none" w:pos="5520" w:val="left"/>
        </w:tabs>
        <w:numPr>
          <w:ilvl w:val="1"/>
          <w:numId w:val="1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CANADA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Canada</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Canada for tax, labour or securities law purposes.</w:t>
      </w:r>
    </w:p>
    <w:p>
      <w:pPr>
        <w:spacing w:after="0" w:line="183" w:lineRule="exact"/>
        <w:rPr>
          <w:sz w:val="20"/>
          <w:szCs w:val="20"/>
          <w:color w:val="auto"/>
        </w:rPr>
      </w:pPr>
    </w:p>
    <w:p>
      <w:pPr>
        <w:jc w:val="both"/>
        <w:ind w:firstLine="656"/>
        <w:spacing w:after="0" w:line="246" w:lineRule="auto"/>
        <w:tabs>
          <w:tab w:leader="none" w:pos="1296"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For the purposes of this Agreement, Participant will be deemed to have experienced a Termination of Service on the date when Participant is no longer providing active services to the Company and its Subsidiaries and affiliates. Such date shall not be extended by any notice of termination period or payment in lieu of notice required to be provided under applicable local law, including common law.</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Special Provisions for Participants in Canada</w:t>
      </w:r>
      <w:r>
        <w:rPr>
          <w:rFonts w:ascii="Arial" w:cs="Arial" w:eastAsia="Arial" w:hAnsi="Arial"/>
          <w:sz w:val="20"/>
          <w:szCs w:val="20"/>
          <w:color w:val="auto"/>
        </w:rPr>
        <w:t>.</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French Language Provision</w:t>
      </w:r>
      <w:r>
        <w:rPr>
          <w:rFonts w:ascii="Arial" w:cs="Arial" w:eastAsia="Arial" w:hAnsi="Arial"/>
          <w:sz w:val="20"/>
          <w:szCs w:val="20"/>
          <w:color w:val="auto"/>
        </w:rPr>
        <w:t>. The following provisions will apply if Participant is a resident of Quebec:</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7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(“Agreement”), ainsi que de tous documents exécutés, avis donnés et procédures judiciaires intentées, directement ou indirectement, relativement a la présente convention.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399" w:right="339" w:bottom="1440" w:gutter="0" w:footer="0" w:header="0"/>
        </w:sectPr>
      </w:pPr>
    </w:p>
    <w:bookmarkStart w:id="116" w:name="page117"/>
    <w:bookmarkEnd w:id="116"/>
    <w:p>
      <w:pPr>
        <w:jc w:val="both"/>
        <w:ind w:firstLine="1137"/>
        <w:spacing w:after="0" w:line="291" w:lineRule="auto"/>
        <w:rPr>
          <w:sz w:val="20"/>
          <w:szCs w:val="20"/>
          <w:color w:val="auto"/>
        </w:rPr>
      </w:pPr>
      <w:r>
        <w:rPr>
          <w:rFonts w:ascii="Arial" w:cs="Arial" w:eastAsia="Arial" w:hAnsi="Arial"/>
          <w:sz w:val="18"/>
          <w:szCs w:val="18"/>
          <w:color w:val="auto"/>
        </w:rPr>
        <w:t>ii.The Company reserves the right to impose other requirements on this RSU and the Shares acquired upon vesting of this RSU,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52" w:lineRule="exact"/>
        <w:rPr>
          <w:sz w:val="20"/>
          <w:szCs w:val="20"/>
          <w:color w:val="auto"/>
        </w:rPr>
      </w:pPr>
    </w:p>
    <w:p>
      <w:pPr>
        <w:jc w:val="both"/>
        <w:ind w:firstLine="656"/>
        <w:spacing w:after="0" w:line="250" w:lineRule="auto"/>
        <w:tabs>
          <w:tab w:leader="none" w:pos="129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Detrimental Activity. For the purposes of this Agreement, the definition of “Detrimental Activity” in paragraph 23 shall be expanded to include any act or omission constituting cause for termination of the Participant’s employment or relationship with the Company or its Subsidiaries without notice or other obligation under Applicable Law.</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Canadian Securities Law Compliance.</w:t>
      </w:r>
      <w:r>
        <w:rPr>
          <w:rFonts w:ascii="Arial" w:cs="Arial" w:eastAsia="Arial" w:hAnsi="Arial"/>
          <w:sz w:val="20"/>
          <w:szCs w:val="20"/>
          <w:color w:val="auto"/>
        </w:rPr>
        <w:t xml:space="preserve"> Participant acknowledges that he/she shall only be permitted to sell any Shares acquired pursuant to the Plan through the facilities of the stock exchange(s) on which the shares are listed at that time.</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Pursuant to Section 20 of the Agreement, Participant hereby consents to the collection, use and disclosure of his/her Data by the Employer and the Company (and each of their service providers) for the Purposes. Canadian Participants’ Data will be kept at St. John’s, Newfoundland and Calgary, Alberta and accessible to limited People and Culture employees. The persons designated to be responsible for ensuring that the Employer and/or the Company, as applicable, complies with applicable privacy and data protection laws in Canada are the Senior Human Resources Manager for TechnipFMC Canada Ltd. and the Manager, Human Resources &amp; Administration for TechnipFMC Canada Ltd. who can be respectively reached at the following contact details: + 1 403 781 3267 and +1 709 724 1858. Canadian Participants may contact them to request access to their Data and/or to rectify any such Data, subject to certain required or permitted exceptions under Applicable Law. Participants may also contact them with any questions or complaints, including any questions about the collection, use, disclosure or storage of personal information by the Employer’s service providers and affiliates outside Canada (including the Company) or to obtain written information about the Employer’s policies and practices with respect to such service providers and affiliates outside Canada.</w:t>
      </w:r>
    </w:p>
    <w:p>
      <w:pPr>
        <w:spacing w:after="0" w:line="181" w:lineRule="exact"/>
        <w:rPr>
          <w:sz w:val="20"/>
          <w:szCs w:val="20"/>
          <w:color w:val="auto"/>
        </w:rPr>
      </w:pPr>
    </w:p>
    <w:p>
      <w:pPr>
        <w:ind w:left="3660"/>
        <w:spacing w:after="0"/>
        <w:tabs>
          <w:tab w:leader="none" w:pos="504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b w:val="1"/>
          <w:bCs w:val="1"/>
          <w:u w:val="single" w:color="auto"/>
          <w:color w:val="auto"/>
        </w:rPr>
        <w:t>COLOMBIA</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Columbia</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Columbia for tax, labour or securities law purposes.</w:t>
      </w:r>
    </w:p>
    <w:p>
      <w:pPr>
        <w:spacing w:after="0" w:line="183" w:lineRule="exact"/>
        <w:rPr>
          <w:sz w:val="20"/>
          <w:szCs w:val="20"/>
          <w:color w:val="auto"/>
        </w:rPr>
      </w:pPr>
    </w:p>
    <w:p>
      <w:pPr>
        <w:jc w:val="both"/>
        <w:ind w:firstLine="656"/>
        <w:spacing w:after="0" w:line="246" w:lineRule="auto"/>
        <w:tabs>
          <w:tab w:leader="none" w:pos="1296"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In accepting the RSUs, Participant acknowledges that the Participant’s rights to vest the RSUs under the Plan, if any, have not and will not be offered, sold or distributed in Colombia or to Colombian residents except in circumstances which do not constitute a public offer of securities in Colombia within the meaning of article 6.1.1.1.1 of Decree 2555 of 2010, as amended from time to time.</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Participant acknowledges that the RSUs will not be registered nor will a prospectus be filed before the Colombian National Registry of Securities and Issuers (Registro Nacional de Valores y Emisores) or on any Colombian stock exchange, as this offer is considered a private placement and is directed to less than 100 Participants.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Agreement is for the sole and exclusive use of the Participant and cannot be understood as addressed for the use of any third party or addressed to the public at large in Colombia. The Participant acknowledges the Colombian laws and regulations (specifically foreign exchange and tax regulations) applicable to any transaction or investment consummated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17" w:name="page118"/>
    <w:bookmarkEnd w:id="117"/>
    <w:p>
      <w:pPr>
        <w:jc w:val="both"/>
        <w:ind w:firstLine="656"/>
        <w:spacing w:after="0" w:line="278" w:lineRule="auto"/>
        <w:tabs>
          <w:tab w:leader="none" w:pos="129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RSUs not Part of Salary</w:t>
      </w:r>
      <w:r>
        <w:rPr>
          <w:rFonts w:ascii="Arial" w:cs="Arial" w:eastAsia="Arial" w:hAnsi="Arial"/>
          <w:sz w:val="18"/>
          <w:szCs w:val="18"/>
          <w:color w:val="auto"/>
        </w:rPr>
        <w:t>. Participant acknowledges and agrees that the RSUs are an extralegal benefit that the Company may provide, so long as the Employee is eligible to such extralegal benefit, and do not constitute salary. The RSUs, if vested, are not and will not be a part of the Participant’s salary and consequently will not be taken into account when calculating vacation entitlements, fringe benefits, indemnities, social security contributions, payroll taxes or any other labor obligations. The Participant reiterates his agreement on the non-salary nature of the RSUs based on the prerogative granted by Article 15 Law 50, 1990.</w:t>
      </w:r>
    </w:p>
    <w:p>
      <w:pPr>
        <w:spacing w:after="0" w:line="159" w:lineRule="exact"/>
        <w:rPr>
          <w:sz w:val="20"/>
          <w:szCs w:val="20"/>
          <w:color w:val="auto"/>
        </w:rPr>
      </w:pPr>
    </w:p>
    <w:p>
      <w:pPr>
        <w:ind w:left="3760"/>
        <w:spacing w:after="0"/>
        <w:tabs>
          <w:tab w:leader="none" w:pos="520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20"/>
          <w:szCs w:val="20"/>
          <w:b w:val="1"/>
          <w:bCs w:val="1"/>
          <w:u w:val="single" w:color="auto"/>
          <w:color w:val="auto"/>
        </w:rPr>
        <w:t>FRANCE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France</w:t>
      </w:r>
      <w:r>
        <w:rPr>
          <w:rFonts w:ascii="Arial" w:cs="Arial" w:eastAsia="Arial" w:hAnsi="Arial"/>
          <w:sz w:val="20"/>
          <w:szCs w:val="20"/>
          <w:color w:val="auto"/>
        </w:rPr>
        <w:t xml:space="preserve"> provide additional definitions and conditions for the purpose of granting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20"/>
          <w:szCs w:val="20"/>
          <w:i w:val="1"/>
          <w:iCs w:val="1"/>
          <w:color w:val="auto"/>
        </w:rPr>
        <w:t>Code de</w:t>
      </w:r>
      <w:r>
        <w:rPr>
          <w:rFonts w:ascii="Arial" w:cs="Arial" w:eastAsia="Arial" w:hAnsi="Arial"/>
          <w:sz w:val="20"/>
          <w:szCs w:val="20"/>
          <w:color w:val="auto"/>
        </w:rPr>
        <w:t xml:space="preserve"> </w:t>
      </w:r>
      <w:r>
        <w:rPr>
          <w:rFonts w:ascii="Arial" w:cs="Arial" w:eastAsia="Arial" w:hAnsi="Arial"/>
          <w:sz w:val="20"/>
          <w:szCs w:val="20"/>
          <w:i w:val="1"/>
          <w:iCs w:val="1"/>
          <w:color w:val="auto"/>
        </w:rPr>
        <w:t>Commerce</w:t>
      </w:r>
      <w:r>
        <w:rPr>
          <w:rFonts w:ascii="Arial" w:cs="Arial" w:eastAsia="Arial" w:hAnsi="Arial"/>
          <w:sz w:val="20"/>
          <w:szCs w:val="20"/>
          <w:color w:val="auto"/>
        </w:rPr>
        <w:t>), for 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 in France for French tax purposes</w:t>
      </w:r>
      <w:r>
        <w:rPr>
          <w:rFonts w:ascii="Arial" w:cs="Arial" w:eastAsia="Arial" w:hAnsi="Arial"/>
          <w:sz w:val="20"/>
          <w:szCs w:val="20"/>
          <w:i w:val="1"/>
          <w:iCs w:val="1"/>
          <w:color w:val="auto"/>
        </w:rPr>
        <w:t xml:space="preserve"> </w:t>
      </w:r>
      <w:r>
        <w:rPr>
          <w:rFonts w:ascii="Arial" w:cs="Arial" w:eastAsia="Arial" w:hAnsi="Arial"/>
          <w:sz w:val="20"/>
          <w:szCs w:val="20"/>
          <w:color w:val="auto"/>
        </w:rPr>
        <w:t>and/or subject to the French social security regime.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other provisions of the Plan and the Sub-Plan, RSUs granted under this Country Schedule France to Participants resident in France are subject to the additional following conditions:</w:t>
      </w:r>
    </w:p>
    <w:p>
      <w:pPr>
        <w:spacing w:after="0" w:line="177" w:lineRule="exact"/>
        <w:rPr>
          <w:sz w:val="20"/>
          <w:szCs w:val="20"/>
          <w:color w:val="auto"/>
        </w:rPr>
      </w:pPr>
    </w:p>
    <w:p>
      <w:pPr>
        <w:jc w:val="both"/>
        <w:ind w:firstLine="656"/>
        <w:spacing w:after="0" w:line="244" w:lineRule="auto"/>
        <w:tabs>
          <w:tab w:leader="none" w:pos="1296"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 In the event of Participant’s death prior to the Vesting Date, all of the RSUs will vest immediately and the underlying Shares shall be issued to his or her heirs, at their request made within 6 months following the Participant’s date of death. In the event of the Participant’s Disability (as defined below) prior to the Vesting Date, all of the RSUs will vest and be immediately transferable as of the date of such Disability. In the event of Participant’s Retirement (as defined below) prior to the Vesting Date, the Participant will retain the right to receive vested RSUs on the Vesting Date.</w:t>
      </w:r>
    </w:p>
    <w:p>
      <w:pPr>
        <w:spacing w:after="0" w:line="194" w:lineRule="exact"/>
        <w:rPr>
          <w:rFonts w:ascii="Arial" w:cs="Arial" w:eastAsia="Arial" w:hAnsi="Arial"/>
          <w:sz w:val="20"/>
          <w:szCs w:val="20"/>
          <w:color w:val="auto"/>
        </w:rPr>
      </w:pPr>
    </w:p>
    <w:p>
      <w:pPr>
        <w:ind w:firstLine="656"/>
        <w:spacing w:after="0" w:line="260" w:lineRule="auto"/>
        <w:tabs>
          <w:tab w:leader="none" w:pos="1296"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Dividends - Dividend Equivalents - Right to Vote</w:t>
      </w:r>
      <w:r>
        <w:rPr>
          <w:rFonts w:ascii="Arial" w:cs="Arial" w:eastAsia="Arial" w:hAnsi="Arial"/>
          <w:sz w:val="20"/>
          <w:szCs w:val="20"/>
          <w:color w:val="auto"/>
        </w:rPr>
        <w:t>. Prior to the Vesting Date, the Participant will not be entitled to receive Dividend Equivalents on the RSUs.</w:t>
      </w:r>
    </w:p>
    <w:p>
      <w:pPr>
        <w:spacing w:after="0" w:line="177" w:lineRule="exact"/>
        <w:rPr>
          <w:sz w:val="20"/>
          <w:szCs w:val="20"/>
          <w:color w:val="auto"/>
        </w:rPr>
      </w:pPr>
    </w:p>
    <w:p>
      <w:pPr>
        <w:jc w:val="both"/>
        <w:ind w:firstLine="226"/>
        <w:spacing w:after="0" w:line="250" w:lineRule="auto"/>
        <w:rPr>
          <w:sz w:val="20"/>
          <w:szCs w:val="20"/>
          <w:color w:val="auto"/>
        </w:rPr>
      </w:pPr>
      <w:r>
        <w:rPr>
          <w:rFonts w:ascii="Arial" w:cs="Arial" w:eastAsia="Arial" w:hAnsi="Arial"/>
          <w:sz w:val="20"/>
          <w:szCs w:val="20"/>
          <w:color w:val="auto"/>
        </w:rPr>
        <w:t>The Participant is not a shareholder and shall not be entitled to any shareholder’s rights, including but not limited to right to dividends or other distributions made or right to vote, in respect of the RSUs, until the underlying shares have been issued or delivered to the French Participant.</w:t>
      </w:r>
    </w:p>
    <w:p>
      <w:pPr>
        <w:spacing w:after="0" w:line="186" w:lineRule="exact"/>
        <w:rPr>
          <w:sz w:val="20"/>
          <w:szCs w:val="20"/>
          <w:color w:val="auto"/>
        </w:rPr>
      </w:pPr>
    </w:p>
    <w:p>
      <w:pPr>
        <w:jc w:val="both"/>
        <w:ind w:right="20" w:firstLine="245"/>
        <w:spacing w:after="0" w:line="260" w:lineRule="auto"/>
        <w:rPr>
          <w:sz w:val="20"/>
          <w:szCs w:val="20"/>
          <w:color w:val="auto"/>
        </w:rPr>
      </w:pPr>
      <w:r>
        <w:rPr>
          <w:rFonts w:ascii="Arial" w:cs="Arial" w:eastAsia="Arial" w:hAnsi="Arial"/>
          <w:sz w:val="20"/>
          <w:szCs w:val="20"/>
          <w:color w:val="auto"/>
        </w:rPr>
        <w:t>As from the settlement of the RSUs, the French Participant shall be entitled to dividends, distributions, right to vote or any other rights attached to the shares as they arise.</w:t>
      </w:r>
    </w:p>
    <w:p>
      <w:pPr>
        <w:spacing w:after="0" w:line="177" w:lineRule="exact"/>
        <w:rPr>
          <w:sz w:val="20"/>
          <w:szCs w:val="20"/>
          <w:color w:val="auto"/>
        </w:rPr>
      </w:pPr>
    </w:p>
    <w:p>
      <w:pPr>
        <w:jc w:val="both"/>
        <w:ind w:firstLine="656"/>
        <w:spacing w:after="0" w:line="246" w:lineRule="auto"/>
        <w:tabs>
          <w:tab w:leader="none" w:pos="1296"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RSUs or underlying Shares may be made only in accordance with the Plan and the Agreement, in which cases the RSUs may no longer qualify for specific French personal income tax and social security treatment.</w:t>
      </w:r>
    </w:p>
    <w:p>
      <w:pPr>
        <w:spacing w:after="0" w:line="191" w:lineRule="exact"/>
        <w:rPr>
          <w:rFonts w:ascii="Arial" w:cs="Arial" w:eastAsia="Arial" w:hAnsi="Arial"/>
          <w:sz w:val="20"/>
          <w:szCs w:val="20"/>
          <w:color w:val="auto"/>
        </w:rPr>
      </w:pPr>
    </w:p>
    <w:p>
      <w:pPr>
        <w:ind w:firstLine="656"/>
        <w:spacing w:after="0" w:line="260" w:lineRule="auto"/>
        <w:tabs>
          <w:tab w:leader="none" w:pos="1296"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In addition to the rights mentioned in Section 17 of the Agreement, Participant also has a right to issue directives for the purposes of deciding what should happen to his or her Data after his or her death.</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18" w:name="page119"/>
    <w:bookmarkEnd w:id="118"/>
    <w:p>
      <w:pPr>
        <w:ind w:left="120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Disability</w:t>
      </w:r>
      <w:r>
        <w:rPr>
          <w:rFonts w:ascii="Arial" w:cs="Arial" w:eastAsia="Arial" w:hAnsi="Arial"/>
          <w:sz w:val="18"/>
          <w:szCs w:val="18"/>
          <w:color w:val="auto"/>
        </w:rPr>
        <w:t>” means: Participant’s inability corresponding to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or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category among the categories set forth in Article L.</w:t>
      </w:r>
    </w:p>
    <w:p>
      <w:pPr>
        <w:spacing w:after="0"/>
        <w:rPr>
          <w:sz w:val="20"/>
          <w:szCs w:val="20"/>
          <w:color w:val="auto"/>
        </w:rPr>
      </w:pPr>
      <w:r>
        <w:rPr>
          <w:rFonts w:ascii="Arial" w:cs="Arial" w:eastAsia="Arial" w:hAnsi="Arial"/>
          <w:sz w:val="20"/>
          <w:szCs w:val="20"/>
          <w:color w:val="auto"/>
        </w:rPr>
        <w:t>341-4 of the French Social Security Code.</w:t>
      </w:r>
    </w:p>
    <w:p>
      <w:pPr>
        <w:spacing w:after="0" w:line="200" w:lineRule="exact"/>
        <w:rPr>
          <w:sz w:val="20"/>
          <w:szCs w:val="20"/>
          <w:color w:val="auto"/>
        </w:rPr>
      </w:pPr>
    </w:p>
    <w:p>
      <w:pPr>
        <w:jc w:val="both"/>
        <w:ind w:firstLine="1137"/>
        <w:spacing w:after="0" w:line="246"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Good Reason</w:t>
      </w:r>
      <w:r>
        <w:rPr>
          <w:rFonts w:ascii="Arial" w:cs="Arial" w:eastAsia="Arial" w:hAnsi="Arial"/>
          <w:sz w:val="20"/>
          <w:szCs w:val="20"/>
          <w:color w:val="auto"/>
        </w:rPr>
        <w:t>” means, for an Employee, termination for alleged economic reasons for dismissal as defined by 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191" w:lineRule="exact"/>
        <w:rPr>
          <w:sz w:val="20"/>
          <w:szCs w:val="20"/>
          <w:color w:val="auto"/>
        </w:rPr>
      </w:pPr>
    </w:p>
    <w:p>
      <w:pPr>
        <w:jc w:val="both"/>
        <w:ind w:firstLine="1082"/>
        <w:spacing w:after="0" w:line="260"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retraite à taux plein</w:t>
      </w:r>
      <w:r>
        <w:rPr>
          <w:rFonts w:ascii="Arial" w:cs="Arial" w:eastAsia="Arial" w:hAnsi="Arial"/>
          <w:sz w:val="20"/>
          <w:szCs w:val="20"/>
          <w:color w:val="auto"/>
        </w:rPr>
        <w:t>).</w:t>
      </w:r>
    </w:p>
    <w:p>
      <w:pPr>
        <w:spacing w:after="0" w:line="177" w:lineRule="exact"/>
        <w:rPr>
          <w:sz w:val="20"/>
          <w:szCs w:val="20"/>
          <w:color w:val="auto"/>
        </w:rPr>
      </w:pPr>
    </w:p>
    <w:p>
      <w:pPr>
        <w:ind w:left="1080" w:hanging="343"/>
        <w:spacing w:after="0"/>
        <w:tabs>
          <w:tab w:leader="none" w:pos="108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Confidentiality and Non-Compete Agreement – Exhibit A</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avoidance of doubt, the specific provisions in paragraphs (a) through (c) below to the Confidentiality and Non-Compete supersede the Confidentiality and Non-Compete and its French translation in Exhibit A.1.</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A.1.</w:t>
      </w:r>
    </w:p>
    <w:p>
      <w:pPr>
        <w:spacing w:after="0" w:line="177" w:lineRule="exact"/>
        <w:rPr>
          <w:sz w:val="20"/>
          <w:szCs w:val="20"/>
          <w:color w:val="auto"/>
        </w:rPr>
      </w:pPr>
    </w:p>
    <w:p>
      <w:pPr>
        <w:ind w:firstLine="656"/>
        <w:spacing w:after="0" w:line="260" w:lineRule="auto"/>
        <w:tabs>
          <w:tab w:leader="none" w:pos="112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covenant contained in Clause 1 of the Confidentiality and Non-Compete Agreement applies during employment and for only a period of ten years following termination of employment.</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pacing w:after="0" w:line="152" w:lineRule="exact"/>
        <w:rPr>
          <w:sz w:val="20"/>
          <w:szCs w:val="20"/>
          <w:color w:val="auto"/>
        </w:rPr>
      </w:pPr>
    </w:p>
    <w:p>
      <w:pPr>
        <w:ind w:left="1160" w:hanging="504"/>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Restricted Area as defined in Clause 2(a)(iii) of the Confidentiality and Non-Compete Agreement shall instead be defined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 France, the United Kingdom of Great Britain and Northern Ireland, Norway and the State of Texas (U.S.A.).</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52" w:lineRule="exact"/>
        <w:rPr>
          <w:sz w:val="20"/>
          <w:szCs w:val="20"/>
          <w:color w:val="auto"/>
        </w:rPr>
      </w:pPr>
    </w:p>
    <w:p>
      <w:pPr>
        <w:jc w:val="both"/>
        <w:ind w:firstLine="656"/>
        <w:spacing w:after="0" w:line="246" w:lineRule="auto"/>
        <w:tabs>
          <w:tab w:leader="none" w:pos="111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Employer has the unilateral and discretionary right to waive the covenant(s) contained in Clauses 2(a)(i), (ii) and/or (iii) 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386" w:right="339" w:bottom="1440" w:gutter="0" w:footer="0" w:header="0"/>
        </w:sectPr>
      </w:pPr>
    </w:p>
    <w:bookmarkStart w:id="119" w:name="page120"/>
    <w:bookmarkEnd w:id="119"/>
    <w:p>
      <w:pPr>
        <w:ind w:firstLine="648"/>
        <w:spacing w:after="0" w:line="260" w:lineRule="auto"/>
        <w:rPr>
          <w:sz w:val="20"/>
          <w:szCs w:val="20"/>
          <w:color w:val="auto"/>
        </w:rPr>
      </w:pPr>
      <w:r>
        <w:rPr>
          <w:rFonts w:ascii="Arial" w:cs="Arial" w:eastAsia="Arial" w:hAnsi="Arial"/>
          <w:sz w:val="20"/>
          <w:szCs w:val="20"/>
          <w:color w:val="auto"/>
        </w:rPr>
        <w:t>A French translation of Exhibit A is enclosed below (“Exhibit A.1”). In case of discrepancy between the English version and the French translation, the French translation shall prevail.</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i w:val="1"/>
          <w:iCs w:val="1"/>
          <w:color w:val="auto"/>
        </w:rPr>
        <w:t>Une traduction française de l’Exhibit A figure ci-après (l’« Exhibit A.1 »). En cas de divergence entre la version anglaise et la traduction française, la traduction française prévaudra.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French translation of the Confidentiality and Non-Compete – Exhibit A.1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u w:val="single" w:color="auto"/>
          <w:color w:val="auto"/>
        </w:rPr>
        <w:t>Traduction française de la Clause de Confidentialité et de Non-Concurrence – Exhibit A.1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60"/>
        <w:spacing w:after="0"/>
        <w:rPr>
          <w:sz w:val="20"/>
          <w:szCs w:val="20"/>
          <w:color w:val="auto"/>
        </w:rPr>
      </w:pPr>
      <w:r>
        <w:rPr>
          <w:rFonts w:ascii="Arial" w:cs="Arial" w:eastAsia="Arial" w:hAnsi="Arial"/>
          <w:sz w:val="20"/>
          <w:szCs w:val="20"/>
          <w:b w:val="1"/>
          <w:bCs w:val="1"/>
          <w:i w:val="1"/>
          <w:iCs w:val="1"/>
          <w:color w:val="auto"/>
        </w:rPr>
        <w:t>CONFIDENTIALITE ET NON-CONCURRENCE</w:t>
      </w:r>
    </w:p>
    <w:p>
      <w:pPr>
        <w:spacing w:after="0" w:line="216" w:lineRule="exact"/>
        <w:rPr>
          <w:sz w:val="20"/>
          <w:szCs w:val="20"/>
          <w:color w:val="auto"/>
        </w:rPr>
      </w:pPr>
    </w:p>
    <w:p>
      <w:pPr>
        <w:ind w:firstLine="656"/>
        <w:spacing w:after="0" w:line="316" w:lineRule="auto"/>
        <w:tabs>
          <w:tab w:leader="none" w:pos="1296" w:val="left"/>
        </w:tabs>
        <w:numPr>
          <w:ilvl w:val="0"/>
          <w:numId w:val="158"/>
        </w:numPr>
        <w:rPr>
          <w:rFonts w:ascii="Arial" w:cs="Arial" w:eastAsia="Arial" w:hAnsi="Arial"/>
          <w:sz w:val="18"/>
          <w:szCs w:val="18"/>
          <w:color w:val="auto"/>
        </w:rPr>
      </w:pPr>
      <w:r>
        <w:rPr>
          <w:rFonts w:ascii="Arial" w:cs="Arial" w:eastAsia="Arial" w:hAnsi="Arial"/>
          <w:sz w:val="18"/>
          <w:szCs w:val="18"/>
          <w:i w:val="1"/>
          <w:iCs w:val="1"/>
          <w:u w:val="single" w:color="auto"/>
          <w:color w:val="auto"/>
        </w:rPr>
        <w:t>Confidentialité</w:t>
      </w:r>
      <w:r>
        <w:rPr>
          <w:rFonts w:ascii="Arial" w:cs="Arial" w:eastAsia="Arial" w:hAnsi="Arial"/>
          <w:sz w:val="18"/>
          <w:szCs w:val="18"/>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13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de divulguer ou de communiquer à toute personne</w:t>
      </w:r>
      <w:r>
        <w:rPr>
          <w:rFonts w:ascii="Arial" w:cs="Arial" w:eastAsia="Arial" w:hAnsi="Arial"/>
          <w:sz w:val="20"/>
          <w:szCs w:val="20"/>
          <w:color w:val="auto"/>
        </w:rPr>
        <w:t xml:space="preserve"> ;</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i w:val="1"/>
          <w:iCs w:val="1"/>
          <w:color w:val="auto"/>
        </w:rPr>
        <w:t>d’utiliser à des fins personnelles ou à des fins étrangères à celles de l’Employeur ou, le cas échéant, celles d’un de ses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clients ; ou</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iii.</w:t>
      </w:r>
      <w:r>
        <w:rPr>
          <w:rFonts w:ascii="Arial" w:cs="Arial" w:eastAsia="Arial" w:hAnsi="Arial"/>
          <w:sz w:val="20"/>
          <w:szCs w:val="20"/>
          <w:i w:val="1"/>
          <w:iCs w:val="1"/>
          <w:color w:val="auto"/>
        </w:rPr>
        <w:t>de causer, par négligence, la divulgation non autorisée de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tout secret d’affaires, information confidentielle ou exclusive de la Société, de l'une de ses filiales directes ou indirectes (ci-après une</w:t>
      </w:r>
    </w:p>
    <w:p>
      <w:pPr>
        <w:spacing w:after="0" w:line="39" w:lineRule="exact"/>
        <w:rPr>
          <w:sz w:val="20"/>
          <w:szCs w:val="20"/>
          <w:color w:val="auto"/>
        </w:rPr>
      </w:pPr>
    </w:p>
    <w:p>
      <w:pPr>
        <w:jc w:val="both"/>
        <w:ind w:firstLine="8"/>
        <w:spacing w:after="0" w:line="268" w:lineRule="auto"/>
        <w:tabs>
          <w:tab w:leader="none" w:pos="148" w:val="left"/>
        </w:tabs>
        <w:numPr>
          <w:ilvl w:val="0"/>
          <w:numId w:val="15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Filiale </w:t>
      </w:r>
      <w:r>
        <w:rPr>
          <w:rFonts w:ascii="Arial" w:cs="Arial" w:eastAsia="Arial" w:hAnsi="Arial"/>
          <w:sz w:val="18"/>
          <w:szCs w:val="18"/>
          <w:i w:val="1"/>
          <w:iCs w:val="1"/>
          <w:color w:val="auto"/>
        </w:rPr>
        <w:t>») ou de l’un de ses clients («</w:t>
      </w:r>
      <w:r>
        <w:rPr>
          <w:rFonts w:ascii="Arial" w:cs="Arial" w:eastAsia="Arial" w:hAnsi="Arial"/>
          <w:sz w:val="18"/>
          <w:szCs w:val="18"/>
          <w:b w:val="1"/>
          <w:bCs w:val="1"/>
          <w:i w:val="1"/>
          <w:iCs w:val="1"/>
          <w:color w:val="auto"/>
        </w:rPr>
        <w:t xml:space="preserve"> Information Confidentielle </w:t>
      </w:r>
      <w:r>
        <w:rPr>
          <w:rFonts w:ascii="Arial" w:cs="Arial" w:eastAsia="Arial" w:hAnsi="Arial"/>
          <w:sz w:val="18"/>
          <w:szCs w:val="18"/>
          <w:i w:val="1"/>
          <w:iCs w:val="1"/>
          <w:color w:val="auto"/>
        </w:rPr>
        <w:t>»). Ne sont pas considérées comme des Informations Confidentielles, les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informations qui (i) sont ou deviennent généralement accessibles au public autrement qu’en raison, en tout ou en partie, de la divulgation ou d'un acte fautif du Participant ; (ii) étaient accessibles au Participant sous une forme 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 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 personnel, d'un téléphone mobile, de disques durs externes, de lecteurs « 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Arial" w:cs="Arial" w:eastAsia="Arial" w:hAnsi="Arial"/>
          <w:sz w:val="18"/>
          <w:szCs w:val="18"/>
          <w:color w:val="auto"/>
        </w:rPr>
        <w:t>.</w:t>
      </w:r>
    </w:p>
    <w:p>
      <w:pPr>
        <w:spacing w:after="0" w:line="173" w:lineRule="exact"/>
        <w:rPr>
          <w:rFonts w:ascii="Arial" w:cs="Arial" w:eastAsia="Arial" w:hAnsi="Arial"/>
          <w:sz w:val="18"/>
          <w:szCs w:val="18"/>
          <w:i w:val="1"/>
          <w:iCs w:val="1"/>
          <w:color w:val="auto"/>
        </w:rPr>
      </w:pPr>
    </w:p>
    <w:p>
      <w:pPr>
        <w:jc w:val="both"/>
        <w:ind w:firstLine="656"/>
        <w:spacing w:after="0" w:line="263" w:lineRule="auto"/>
        <w:tabs>
          <w:tab w:leader="none" w:pos="1296" w:val="left"/>
        </w:tabs>
        <w:numPr>
          <w:ilvl w:val="1"/>
          <w:numId w:val="159"/>
        </w:numPr>
        <w:rPr>
          <w:rFonts w:ascii="Arial" w:cs="Arial" w:eastAsia="Arial" w:hAnsi="Arial"/>
          <w:sz w:val="19"/>
          <w:szCs w:val="19"/>
          <w:color w:val="auto"/>
        </w:rPr>
      </w:pPr>
      <w:r>
        <w:rPr>
          <w:rFonts w:ascii="Arial" w:cs="Arial" w:eastAsia="Arial" w:hAnsi="Arial"/>
          <w:sz w:val="19"/>
          <w:szCs w:val="19"/>
          <w:i w:val="1"/>
          <w:iCs w:val="1"/>
          <w:u w:val="single" w:color="auto"/>
          <w:color w:val="auto"/>
        </w:rPr>
        <w:t>Restrictions.</w:t>
      </w:r>
      <w:r>
        <w:rPr>
          <w:rFonts w:ascii="Arial" w:cs="Arial" w:eastAsia="Arial" w:hAnsi="Arial"/>
          <w:sz w:val="19"/>
          <w:szCs w:val="19"/>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0" w:name="page121"/>
    <w:bookmarkEnd w:id="120"/>
    <w:p>
      <w:pPr>
        <w:jc w:val="both"/>
        <w:spacing w:after="0" w:line="260" w:lineRule="auto"/>
        <w:rPr>
          <w:sz w:val="20"/>
          <w:szCs w:val="20"/>
          <w:color w:val="auto"/>
        </w:rPr>
      </w:pPr>
      <w:r>
        <w:rPr>
          <w:rFonts w:ascii="Arial" w:cs="Arial" w:eastAsia="Arial" w:hAnsi="Arial"/>
          <w:sz w:val="20"/>
          <w:szCs w:val="20"/>
          <w:i w:val="1"/>
          <w:iCs w:val="1"/>
          <w:color w:val="auto"/>
        </w:rPr>
        <w:t>relations importantes, de la Société et de ses Filiales. A ce titre, la Société confiera au Participant son goodwill ainsi que des Informations Confidentielles. Par conséquent, sous réserve des modalités de l'article 3, le Participant s’engage à :</w:t>
      </w:r>
    </w:p>
    <w:p>
      <w:pPr>
        <w:spacing w:after="0" w:line="177" w:lineRule="exact"/>
        <w:rPr>
          <w:sz w:val="20"/>
          <w:szCs w:val="20"/>
          <w:color w:val="auto"/>
        </w:rPr>
      </w:pPr>
    </w:p>
    <w:p>
      <w:pPr>
        <w:jc w:val="both"/>
        <w:ind w:firstLine="1192"/>
        <w:spacing w:after="0" w:line="276" w:lineRule="auto"/>
        <w:rPr>
          <w:sz w:val="20"/>
          <w:szCs w:val="20"/>
          <w:color w:val="auto"/>
        </w:rPr>
      </w:pPr>
      <w:r>
        <w:rPr>
          <w:rFonts w:ascii="Arial" w:cs="Arial" w:eastAsia="Arial" w:hAnsi="Arial"/>
          <w:sz w:val="18"/>
          <w:szCs w:val="18"/>
          <w:color w:val="auto"/>
        </w:rPr>
        <w:t>i.</w:t>
      </w:r>
      <w:r>
        <w:rPr>
          <w:rFonts w:ascii="Arial" w:cs="Arial" w:eastAsia="Arial" w:hAnsi="Arial"/>
          <w:sz w:val="18"/>
          <w:szCs w:val="18"/>
          <w:i w:val="1"/>
          <w:iCs w:val="1"/>
          <w:color w:val="auto"/>
        </w:rPr>
        <w:t>au cours de l’exécution de son contrat de travail ou de son mandat social et pendant une durée de 12 mois suivant le départ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effectif de l’entreprise (la « </w:t>
      </w:r>
      <w:r>
        <w:rPr>
          <w:rFonts w:ascii="Arial" w:cs="Arial" w:eastAsia="Arial" w:hAnsi="Arial"/>
          <w:sz w:val="18"/>
          <w:szCs w:val="18"/>
          <w:b w:val="1"/>
          <w:bCs w:val="1"/>
          <w:i w:val="1"/>
          <w:iCs w:val="1"/>
          <w:color w:val="auto"/>
        </w:rPr>
        <w:t>Période de Restriction</w:t>
      </w:r>
      <w:r>
        <w:rPr>
          <w:rFonts w:ascii="Arial" w:cs="Arial" w:eastAsia="Arial" w:hAnsi="Arial"/>
          <w:sz w:val="18"/>
          <w:szCs w:val="18"/>
          <w:i w:val="1"/>
          <w:iCs w:val="1"/>
          <w:color w:val="auto"/>
        </w:rPr>
        <w:t xml:space="preserve"> »), ne pas, directement ou indirectement par l'entremise d'une personne physique ou morale (chacune, une « </w:t>
      </w:r>
      <w:r>
        <w:rPr>
          <w:rFonts w:ascii="Arial" w:cs="Arial" w:eastAsia="Arial" w:hAnsi="Arial"/>
          <w:sz w:val="18"/>
          <w:szCs w:val="18"/>
          <w:b w:val="1"/>
          <w:bCs w:val="1"/>
          <w:i w:val="1"/>
          <w:iCs w:val="1"/>
          <w:color w:val="auto"/>
        </w:rPr>
        <w:t>Personne »</w:t>
      </w:r>
      <w:r>
        <w:rPr>
          <w:rFonts w:ascii="Arial" w:cs="Arial" w:eastAsia="Arial" w:hAnsi="Arial"/>
          <w:sz w:val="18"/>
          <w:szCs w:val="18"/>
          <w:i w:val="1"/>
          <w:iCs w:val="1"/>
          <w:color w:val="auto"/>
        </w:rPr>
        <w:t xml:space="preserve">), ayant des activités de génie civil, de construction et de services connexes dans le domaine du pétrole, du gaz et des produits pétrochimiques (l’« </w:t>
      </w:r>
      <w:r>
        <w:rPr>
          <w:rFonts w:ascii="Arial" w:cs="Arial" w:eastAsia="Arial" w:hAnsi="Arial"/>
          <w:sz w:val="18"/>
          <w:szCs w:val="18"/>
          <w:b w:val="1"/>
          <w:bCs w:val="1"/>
          <w:i w:val="1"/>
          <w:iCs w:val="1"/>
          <w:color w:val="auto"/>
        </w:rPr>
        <w:t>Activité</w:t>
      </w:r>
      <w:r>
        <w:rPr>
          <w:rFonts w:ascii="Arial" w:cs="Arial" w:eastAsia="Arial" w:hAnsi="Arial"/>
          <w:sz w:val="18"/>
          <w:szCs w:val="18"/>
          <w:i w:val="1"/>
          <w:iCs w:val="1"/>
          <w:color w:val="auto"/>
        </w:rPr>
        <w:t xml:space="preserve"> »), et notamment, sans y être limitée : Baker Hughes Company, Halliburton Company, John Wood Group plc, McDermott International Inc., National Oilwell Varco Inc., Saipem S.p.A., Schlumberger Ltd., Subsea 7 S.A., Weatherford International plc, ainsi que leurs sociétés affiliées et toute entité leur succédant (l’« </w:t>
      </w:r>
      <w:r>
        <w:rPr>
          <w:rFonts w:ascii="Arial" w:cs="Arial" w:eastAsia="Arial" w:hAnsi="Arial"/>
          <w:sz w:val="18"/>
          <w:szCs w:val="18"/>
          <w:b w:val="1"/>
          <w:bCs w:val="1"/>
          <w:i w:val="1"/>
          <w:iCs w:val="1"/>
          <w:color w:val="auto"/>
        </w:rPr>
        <w:t>Entreprise Concurrente »</w:t>
      </w:r>
      <w:r>
        <w:rPr>
          <w:rFonts w:ascii="Arial" w:cs="Arial" w:eastAsia="Arial" w:hAnsi="Arial"/>
          <w:sz w:val="18"/>
          <w:szCs w:val="18"/>
          <w:i w:val="1"/>
          <w:iCs w:val="1"/>
          <w:color w:val="auto"/>
        </w:rPr>
        <w:t xml:space="preserve">) de </w:t>
      </w:r>
      <w:r>
        <w:rPr>
          <w:rFonts w:ascii="Arial" w:cs="Arial" w:eastAsia="Arial" w:hAnsi="Arial"/>
          <w:sz w:val="18"/>
          <w:szCs w:val="18"/>
          <w:color w:val="auto"/>
        </w:rPr>
        <w:t>:</w:t>
      </w:r>
    </w:p>
    <w:p>
      <w:pPr>
        <w:spacing w:after="0" w:line="165" w:lineRule="exact"/>
        <w:rPr>
          <w:sz w:val="20"/>
          <w:szCs w:val="20"/>
          <w:color w:val="auto"/>
        </w:rPr>
      </w:pPr>
    </w:p>
    <w:p>
      <w:pPr>
        <w:jc w:val="both"/>
        <w:ind w:firstLine="1952"/>
        <w:spacing w:after="0" w:line="243" w:lineRule="auto"/>
        <w:tabs>
          <w:tab w:leader="none" w:pos="2592" w:val="left"/>
        </w:tabs>
        <w:numPr>
          <w:ilvl w:val="0"/>
          <w:numId w:val="160"/>
        </w:numPr>
        <w:rPr>
          <w:rFonts w:ascii="Arial" w:cs="Arial" w:eastAsia="Arial" w:hAnsi="Arial"/>
          <w:sz w:val="20"/>
          <w:szCs w:val="20"/>
          <w:color w:val="auto"/>
        </w:rPr>
      </w:pPr>
      <w:r>
        <w:rPr>
          <w:rFonts w:ascii="Arial" w:cs="Arial" w:eastAsia="Arial" w:hAnsi="Arial"/>
          <w:sz w:val="20"/>
          <w:szCs w:val="20"/>
          <w:i w:val="1"/>
          <w:iCs w:val="1"/>
          <w:color w:val="auto"/>
        </w:rPr>
        <w:t xml:space="preserve">solliciter, inciter, persuader toute Personne, qui, à un quelconque moment au cours de la dernière année d’emploi ou de mandat du Participant au sein de l’Employeur (la « </w:t>
      </w:r>
      <w:r>
        <w:rPr>
          <w:rFonts w:ascii="Arial" w:cs="Arial" w:eastAsia="Arial" w:hAnsi="Arial"/>
          <w:sz w:val="20"/>
          <w:szCs w:val="20"/>
          <w:b w:val="1"/>
          <w:bCs w:val="1"/>
          <w:i w:val="1"/>
          <w:iCs w:val="1"/>
          <w:color w:val="auto"/>
        </w:rPr>
        <w:t>Période Considérée</w:t>
      </w:r>
      <w:r>
        <w:rPr>
          <w:rFonts w:ascii="Arial" w:cs="Arial" w:eastAsia="Arial" w:hAnsi="Arial"/>
          <w:sz w:val="20"/>
          <w:szCs w:val="20"/>
          <w:i w:val="1"/>
          <w:iCs w:val="1"/>
          <w:color w:val="auto"/>
        </w:rPr>
        <w:t xml:space="preserve"> »), était 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1952"/>
        <w:spacing w:after="0" w:line="272" w:lineRule="auto"/>
        <w:tabs>
          <w:tab w:leader="none" w:pos="2592"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 ces activités étant définie comme l'« </w:t>
      </w:r>
      <w:r>
        <w:rPr>
          <w:rFonts w:ascii="Arial" w:cs="Arial" w:eastAsia="Arial" w:hAnsi="Arial"/>
          <w:sz w:val="18"/>
          <w:szCs w:val="18"/>
          <w:b w:val="1"/>
          <w:bCs w:val="1"/>
          <w:i w:val="1"/>
          <w:iCs w:val="1"/>
          <w:color w:val="auto"/>
        </w:rPr>
        <w:t>Activité Concurrente</w:t>
      </w:r>
      <w:r>
        <w:rPr>
          <w:rFonts w:ascii="Arial" w:cs="Arial" w:eastAsia="Arial" w:hAnsi="Arial"/>
          <w:sz w:val="18"/>
          <w:szCs w:val="18"/>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952"/>
        <w:spacing w:after="0" w:line="271" w:lineRule="auto"/>
        <w:tabs>
          <w:tab w:leader="none" w:pos="2592"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être employé, embauché ou fournir activement ses services à toute Entreprise Concurrente ou à toute entreprise ayant une activité identique ou similaire à l’Activité, située à l’intérieur de la Zone Géographique Prohibée (telle que définie ci-dessous) pendant la Période de Restriction ou pour toute période au cours de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 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Arial" w:cs="Arial" w:eastAsia="Arial" w:hAnsi="Arial"/>
          <w:sz w:val="18"/>
          <w:szCs w:val="18"/>
          <w:b w:val="1"/>
          <w:bCs w:val="1"/>
          <w:i w:val="1"/>
          <w:iCs w:val="1"/>
          <w:color w:val="auto"/>
        </w:rPr>
        <w:t>Zone Géographique Prohibée</w:t>
      </w:r>
      <w:r>
        <w:rPr>
          <w:rFonts w:ascii="Arial" w:cs="Arial" w:eastAsia="Arial" w:hAnsi="Arial"/>
          <w:sz w:val="18"/>
          <w:szCs w:val="18"/>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1" w:name="page122"/>
    <w:bookmarkEnd w:id="121"/>
    <w:p>
      <w:pPr>
        <w:jc w:val="both"/>
        <w:ind w:firstLine="1137"/>
        <w:spacing w:after="0" w:line="278" w:lineRule="auto"/>
        <w:rPr>
          <w:sz w:val="20"/>
          <w:szCs w:val="20"/>
          <w:color w:val="auto"/>
        </w:rPr>
      </w:pPr>
      <w:r>
        <w:rPr>
          <w:rFonts w:ascii="Arial" w:cs="Arial" w:eastAsia="Arial" w:hAnsi="Arial"/>
          <w:sz w:val="18"/>
          <w:szCs w:val="18"/>
          <w:color w:val="auto"/>
        </w:rPr>
        <w:t>ii.</w:t>
      </w:r>
      <w:r>
        <w:rPr>
          <w:rFonts w:ascii="Arial" w:cs="Arial" w:eastAsia="Arial" w:hAnsi="Arial"/>
          <w:sz w:val="18"/>
          <w:szCs w:val="18"/>
          <w:i w:val="1"/>
          <w:iCs w:val="1"/>
          <w:color w:val="auto"/>
        </w:rPr>
        <w:t>Pendant la Période de Restriction, ne pas employer, embaucher, solliciter, inciter ou persuader toute personne qui, au cours</w:t>
      </w:r>
      <w:r>
        <w:rPr>
          <w:rFonts w:ascii="Arial" w:cs="Arial" w:eastAsia="Arial" w:hAnsi="Arial"/>
          <w:sz w:val="18"/>
          <w:szCs w:val="18"/>
          <w:color w:val="auto"/>
        </w:rPr>
        <w:t xml:space="preserve"> </w:t>
      </w:r>
      <w:r>
        <w:rPr>
          <w:rFonts w:ascii="Arial" w:cs="Arial" w:eastAsia="Arial" w:hAnsi="Arial"/>
          <w:sz w:val="18"/>
          <w:szCs w:val="18"/>
          <w:i w:val="1"/>
          <w:iCs w:val="1"/>
          <w:color w:val="auto"/>
        </w:rPr>
        <w:t>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Arial" w:cs="Arial" w:eastAsia="Arial" w:hAnsi="Arial"/>
          <w:sz w:val="18"/>
          <w:szCs w:val="18"/>
          <w:color w:val="auto"/>
        </w:rPr>
        <w:t>.</w:t>
      </w:r>
    </w:p>
    <w:p>
      <w:pPr>
        <w:spacing w:after="0" w:line="165"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Limitations et modifications.</w:t>
      </w:r>
      <w:r>
        <w:rPr>
          <w:rFonts w:ascii="Arial" w:cs="Arial" w:eastAsia="Arial" w:hAnsi="Arial"/>
          <w:sz w:val="18"/>
          <w:szCs w:val="18"/>
          <w:i w:val="1"/>
          <w:iCs w:val="1"/>
          <w:color w:val="auto"/>
        </w:rPr>
        <w:t xml:space="preserve"> Les modifications et limitations suivantes s’appliquent aux restrictions prévues à l’article 2 ;</w:t>
      </w:r>
    </w:p>
    <w:p>
      <w:pPr>
        <w:spacing w:after="0" w:line="239" w:lineRule="exact"/>
        <w:rPr>
          <w:sz w:val="20"/>
          <w:szCs w:val="20"/>
          <w:color w:val="auto"/>
        </w:rPr>
      </w:pPr>
    </w:p>
    <w:p>
      <w:pPr>
        <w:jc w:val="both"/>
        <w:ind w:right="20" w:firstLine="1082"/>
        <w:spacing w:after="0" w:line="31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i w:val="1"/>
          <w:iCs w:val="1"/>
          <w:color w:val="auto"/>
        </w:rPr>
        <w:t>Les restrictions prévues à l’article 2 ne s’appliquent pas lorsque le Participant a reçu une autorisation écrite et préalable de</w:t>
      </w:r>
      <w:r>
        <w:rPr>
          <w:rFonts w:ascii="Arial" w:cs="Arial" w:eastAsia="Arial" w:hAnsi="Arial"/>
          <w:sz w:val="18"/>
          <w:szCs w:val="18"/>
          <w:color w:val="auto"/>
        </w:rPr>
        <w:t xml:space="preserve"> </w:t>
      </w:r>
      <w:r>
        <w:rPr>
          <w:rFonts w:ascii="Arial" w:cs="Arial" w:eastAsia="Arial" w:hAnsi="Arial"/>
          <w:sz w:val="18"/>
          <w:szCs w:val="18"/>
          <w:i w:val="1"/>
          <w:iCs w:val="1"/>
          <w:color w:val="auto"/>
        </w:rPr>
        <w:t>la Société pour exercer ses activités ou lorsque les activités exercées par le Participant ne sont pas concurrentes de l’Activité de la Société</w:t>
      </w:r>
      <w:r>
        <w:rPr>
          <w:rFonts w:ascii="Arial" w:cs="Arial" w:eastAsia="Arial" w:hAnsi="Arial"/>
          <w:sz w:val="18"/>
          <w:szCs w:val="18"/>
          <w:color w:val="auto"/>
        </w:rPr>
        <w:t>.</w:t>
      </w:r>
    </w:p>
    <w:p>
      <w:pPr>
        <w:spacing w:after="0" w:line="130" w:lineRule="exact"/>
        <w:rPr>
          <w:sz w:val="20"/>
          <w:szCs w:val="20"/>
          <w:color w:val="auto"/>
        </w:rPr>
      </w:pPr>
    </w:p>
    <w:p>
      <w:pPr>
        <w:jc w:val="both"/>
        <w:ind w:right="20" w:firstLine="1092"/>
        <w:spacing w:after="0" w:line="260" w:lineRule="auto"/>
        <w:rPr>
          <w:sz w:val="20"/>
          <w:szCs w:val="20"/>
          <w:color w:val="auto"/>
        </w:rPr>
      </w:pPr>
      <w:r>
        <w:rPr>
          <w:rFonts w:ascii="Arial" w:cs="Arial" w:eastAsia="Arial" w:hAnsi="Arial"/>
          <w:sz w:val="20"/>
          <w:szCs w:val="20"/>
          <w:color w:val="auto"/>
        </w:rPr>
        <w:t>iv.</w:t>
      </w:r>
      <w:r>
        <w:rPr>
          <w:rFonts w:ascii="Arial" w:cs="Arial" w:eastAsia="Arial" w:hAnsi="Arial"/>
          <w:sz w:val="20"/>
          <w:szCs w:val="20"/>
          <w:i w:val="1"/>
          <w:iCs w:val="1"/>
          <w:color w:val="auto"/>
        </w:rPr>
        <w:t>Au cas où l’Employeur dispenserait le Participant de l’exécution d’un éventuel préavis de fin de contrat, le point de départ</w:t>
      </w:r>
      <w:r>
        <w:rPr>
          <w:rFonts w:ascii="Arial" w:cs="Arial" w:eastAsia="Arial" w:hAnsi="Arial"/>
          <w:sz w:val="20"/>
          <w:szCs w:val="20"/>
          <w:color w:val="auto"/>
        </w:rPr>
        <w:t xml:space="preserve"> </w:t>
      </w:r>
      <w:r>
        <w:rPr>
          <w:rFonts w:ascii="Arial" w:cs="Arial" w:eastAsia="Arial" w:hAnsi="Arial"/>
          <w:sz w:val="20"/>
          <w:szCs w:val="20"/>
          <w:i w:val="1"/>
          <w:iCs w:val="1"/>
          <w:color w:val="auto"/>
        </w:rPr>
        <w:t>de la Période de Restriction sera fixé au dernier jour de travail effectif du Participant pour l’Employeur.</w:t>
      </w:r>
    </w:p>
    <w:p>
      <w:pPr>
        <w:spacing w:after="0" w:line="177" w:lineRule="exact"/>
        <w:rPr>
          <w:sz w:val="20"/>
          <w:szCs w:val="20"/>
          <w:color w:val="auto"/>
        </w:rPr>
      </w:pPr>
    </w:p>
    <w:p>
      <w:pPr>
        <w:jc w:val="both"/>
        <w:ind w:firstLine="1147"/>
        <w:spacing w:after="0" w:line="250" w:lineRule="auto"/>
        <w:rPr>
          <w:sz w:val="20"/>
          <w:szCs w:val="20"/>
          <w:color w:val="auto"/>
        </w:rPr>
      </w:pPr>
      <w:r>
        <w:rPr>
          <w:rFonts w:ascii="Arial" w:cs="Arial" w:eastAsia="Arial" w:hAnsi="Arial"/>
          <w:sz w:val="20"/>
          <w:szCs w:val="20"/>
          <w:color w:val="auto"/>
        </w:rPr>
        <w:t>v.</w:t>
      </w:r>
      <w:r>
        <w:rPr>
          <w:rFonts w:ascii="Arial" w:cs="Arial" w:eastAsia="Arial" w:hAnsi="Arial"/>
          <w:sz w:val="20"/>
          <w:szCs w:val="20"/>
          <w:i w:val="1"/>
          <w:iCs w:val="1"/>
          <w:color w:val="auto"/>
        </w:rPr>
        <w:t>La Société peut ajouter ou retirer des entreprises de la liste des Entreprises Concurrentes en cas de réorganisation, de</w:t>
      </w:r>
      <w:r>
        <w:rPr>
          <w:rFonts w:ascii="Arial" w:cs="Arial" w:eastAsia="Arial" w:hAnsi="Arial"/>
          <w:sz w:val="20"/>
          <w:szCs w:val="20"/>
          <w:color w:val="auto"/>
        </w:rPr>
        <w:t xml:space="preserve"> </w:t>
      </w:r>
      <w:r>
        <w:rPr>
          <w:rFonts w:ascii="Arial" w:cs="Arial" w:eastAsia="Arial" w:hAnsi="Arial"/>
          <w:sz w:val="20"/>
          <w:szCs w:val="20"/>
          <w:i w:val="1"/>
          <w:iCs w:val="1"/>
          <w:color w:val="auto"/>
        </w:rPr>
        <w:t>fusion, d'acquisition, de cession ou de tout autre changement important dans la structure organisationnelle d’une Entreprise Concurrente et avisera par écrit le Participant de toute modification apportée à cette liste, le cas échéant</w:t>
      </w:r>
      <w:r>
        <w:rPr>
          <w:rFonts w:ascii="Arial" w:cs="Arial" w:eastAsia="Arial" w:hAnsi="Arial"/>
          <w:sz w:val="20"/>
          <w:szCs w:val="20"/>
          <w:color w:val="auto"/>
        </w:rPr>
        <w:t>.</w:t>
      </w:r>
    </w:p>
    <w:p>
      <w:pPr>
        <w:spacing w:after="0" w:line="159" w:lineRule="exact"/>
        <w:rPr>
          <w:sz w:val="20"/>
          <w:szCs w:val="20"/>
          <w:color w:val="auto"/>
        </w:rPr>
      </w:pPr>
    </w:p>
    <w:p>
      <w:pPr>
        <w:jc w:val="both"/>
        <w:ind w:firstLine="1092"/>
        <w:spacing w:after="0" w:line="257" w:lineRule="auto"/>
        <w:rPr>
          <w:sz w:val="20"/>
          <w:szCs w:val="20"/>
          <w:color w:val="auto"/>
        </w:rPr>
      </w:pPr>
      <w:r>
        <w:rPr>
          <w:rFonts w:ascii="Arial" w:cs="Arial" w:eastAsia="Arial" w:hAnsi="Arial"/>
          <w:sz w:val="19"/>
          <w:szCs w:val="19"/>
          <w:color w:val="auto"/>
        </w:rPr>
        <w:t>vi.</w:t>
      </w:r>
      <w:r>
        <w:rPr>
          <w:rFonts w:ascii="Arial" w:cs="Arial" w:eastAsia="Arial" w:hAnsi="Arial"/>
          <w:sz w:val="19"/>
          <w:szCs w:val="19"/>
          <w:i w:val="1"/>
          <w:iCs w:val="1"/>
          <w:color w:val="auto"/>
        </w:rPr>
        <w:t>Chacune des restrictions énoncées à l’article 2 est distincte et indépendante. Elles sont considérées par les parties comme</w:t>
      </w:r>
      <w:r>
        <w:rPr>
          <w:rFonts w:ascii="Arial" w:cs="Arial" w:eastAsia="Arial" w:hAnsi="Arial"/>
          <w:sz w:val="19"/>
          <w:szCs w:val="19"/>
          <w:color w:val="auto"/>
        </w:rPr>
        <w:t xml:space="preserve"> </w:t>
      </w:r>
      <w:r>
        <w:rPr>
          <w:rFonts w:ascii="Arial" w:cs="Arial" w:eastAsia="Arial" w:hAnsi="Arial"/>
          <w:sz w:val="19"/>
          <w:szCs w:val="19"/>
          <w:i w:val="1"/>
          <w:iCs w:val="1"/>
          <w:color w:val="auto"/>
        </w:rPr>
        <w:t>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 être modifiée et était considérée inapplicable, elle pourrait être réputée non écrite sans porter atteinte à la validité ou l’effectivité de toute autre disposition du présent accord</w:t>
      </w:r>
      <w:r>
        <w:rPr>
          <w:rFonts w:ascii="Arial" w:cs="Arial" w:eastAsia="Arial" w:hAnsi="Arial"/>
          <w:sz w:val="19"/>
          <w:szCs w:val="19"/>
          <w:color w:val="auto"/>
        </w:rPr>
        <w:t>.</w:t>
      </w:r>
    </w:p>
    <w:p>
      <w:pPr>
        <w:spacing w:after="0" w:line="171" w:lineRule="exact"/>
        <w:rPr>
          <w:sz w:val="20"/>
          <w:szCs w:val="20"/>
          <w:color w:val="auto"/>
        </w:rPr>
      </w:pPr>
    </w:p>
    <w:p>
      <w:pPr>
        <w:jc w:val="both"/>
        <w:ind w:firstLine="1038"/>
        <w:spacing w:after="0" w:line="276" w:lineRule="auto"/>
        <w:rPr>
          <w:sz w:val="20"/>
          <w:szCs w:val="20"/>
          <w:color w:val="auto"/>
        </w:rPr>
      </w:pPr>
      <w:r>
        <w:rPr>
          <w:rFonts w:ascii="Arial" w:cs="Arial" w:eastAsia="Arial" w:hAnsi="Arial"/>
          <w:sz w:val="18"/>
          <w:szCs w:val="18"/>
          <w:color w:val="auto"/>
        </w:rPr>
        <w:t>vii.</w:t>
      </w:r>
      <w:r>
        <w:rPr>
          <w:rFonts w:ascii="Arial" w:cs="Arial" w:eastAsia="Arial" w:hAnsi="Arial"/>
          <w:sz w:val="18"/>
          <w:szCs w:val="18"/>
          <w:i w:val="1"/>
          <w:iCs w:val="1"/>
          <w:color w:val="auto"/>
        </w:rPr>
        <w:t>Le Participant reconnaît qu'il a volontairement accepté les engagements énoncés à l’article 2 et que les limitations et</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Arial" w:cs="Arial" w:eastAsia="Arial" w:hAnsi="Arial"/>
          <w:sz w:val="18"/>
          <w:szCs w:val="18"/>
          <w:color w:val="auto"/>
        </w:rPr>
        <w:t>.</w:t>
      </w:r>
    </w:p>
    <w:p>
      <w:pPr>
        <w:spacing w:after="0" w:line="151" w:lineRule="exact"/>
        <w:rPr>
          <w:sz w:val="20"/>
          <w:szCs w:val="20"/>
          <w:color w:val="auto"/>
        </w:rPr>
      </w:pPr>
    </w:p>
    <w:p>
      <w:pPr>
        <w:ind w:firstLine="656"/>
        <w:spacing w:after="0" w:line="260" w:lineRule="auto"/>
        <w:tabs>
          <w:tab w:leader="none" w:pos="1296" w:val="left"/>
        </w:tabs>
        <w:numPr>
          <w:ilvl w:val="0"/>
          <w:numId w:val="162"/>
        </w:numPr>
        <w:rPr>
          <w:rFonts w:ascii="Arial" w:cs="Arial" w:eastAsia="Arial" w:hAnsi="Arial"/>
          <w:sz w:val="20"/>
          <w:szCs w:val="20"/>
          <w:color w:val="auto"/>
        </w:rPr>
      </w:pPr>
      <w:r>
        <w:rPr>
          <w:rFonts w:ascii="Arial" w:cs="Arial" w:eastAsia="Arial" w:hAnsi="Arial"/>
          <w:sz w:val="20"/>
          <w:szCs w:val="20"/>
          <w:i w:val="1"/>
          <w:iCs w:val="1"/>
          <w:u w:val="single" w:color="auto"/>
          <w:color w:val="auto"/>
        </w:rPr>
        <w:t>Contrepartie.</w:t>
      </w:r>
      <w:r>
        <w:rPr>
          <w:rFonts w:ascii="Arial" w:cs="Arial" w:eastAsia="Arial" w:hAnsi="Arial"/>
          <w:sz w:val="20"/>
          <w:szCs w:val="20"/>
          <w:i w:val="1"/>
          <w:iCs w:val="1"/>
          <w:color w:val="auto"/>
        </w:rPr>
        <w:t xml:space="preserve"> Le Participant reconnaît que l'octroi de RSUs constitue une contrepartie suffisante aux restrictions prévues aux articles 1 et 2</w:t>
      </w:r>
      <w:r>
        <w:rPr>
          <w:rFonts w:ascii="Arial" w:cs="Arial" w:eastAsia="Arial" w:hAnsi="Arial"/>
          <w:sz w:val="20"/>
          <w:szCs w:val="20"/>
          <w:color w:val="auto"/>
        </w:rPr>
        <w:t>.</w:t>
      </w:r>
    </w:p>
    <w:p>
      <w:pPr>
        <w:spacing w:after="0" w:line="149"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62"/>
        </w:numPr>
        <w:rPr>
          <w:rFonts w:ascii="Arial" w:cs="Arial" w:eastAsia="Arial" w:hAnsi="Arial"/>
          <w:sz w:val="20"/>
          <w:szCs w:val="20"/>
          <w:color w:val="auto"/>
        </w:rPr>
      </w:pPr>
      <w:r>
        <w:rPr>
          <w:rFonts w:ascii="Arial" w:cs="Arial" w:eastAsia="Arial" w:hAnsi="Arial"/>
          <w:sz w:val="20"/>
          <w:szCs w:val="20"/>
          <w:i w:val="1"/>
          <w:iCs w:val="1"/>
          <w:u w:val="single" w:color="auto"/>
          <w:color w:val="auto"/>
        </w:rPr>
        <w:t>Non-interférence avec les droits du lanceur d’alerte</w:t>
      </w:r>
      <w:r>
        <w:rPr>
          <w:rFonts w:ascii="Arial" w:cs="Arial" w:eastAsia="Arial" w:hAnsi="Arial"/>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i w:val="1"/>
          <w:iCs w:val="1"/>
          <w:color w:val="auto"/>
        </w:rPr>
        <w:t>administrative et/ou de faire des révélations conformément aux dispositions législatives relatives à la protection des lanceurs d’alerte</w:t>
      </w:r>
      <w:r>
        <w:rPr>
          <w:rFonts w:ascii="Arial" w:cs="Arial" w:eastAsia="Arial" w:hAnsi="Arial"/>
          <w:sz w:val="19"/>
          <w:szCs w:val="19"/>
          <w:color w:val="auto"/>
        </w:rPr>
        <w:t>.</w:t>
      </w:r>
    </w:p>
    <w:p>
      <w:pPr>
        <w:spacing w:after="0" w:line="200" w:lineRule="exact"/>
        <w:rPr>
          <w:sz w:val="20"/>
          <w:szCs w:val="20"/>
          <w:color w:val="auto"/>
        </w:rPr>
      </w:pPr>
    </w:p>
    <w:p>
      <w:pPr>
        <w:jc w:val="both"/>
        <w:ind w:left="140" w:firstLine="644"/>
        <w:spacing w:after="0" w:line="270" w:lineRule="auto"/>
        <w:tabs>
          <w:tab w:leader="none" w:pos="1301" w:val="left"/>
        </w:tabs>
        <w:numPr>
          <w:ilvl w:val="0"/>
          <w:numId w:val="163"/>
        </w:numPr>
        <w:rPr>
          <w:rFonts w:ascii="Arial" w:cs="Arial" w:eastAsia="Arial" w:hAnsi="Arial"/>
          <w:sz w:val="18"/>
          <w:szCs w:val="18"/>
          <w:color w:val="auto"/>
        </w:rPr>
      </w:pPr>
      <w:r>
        <w:rPr>
          <w:rFonts w:ascii="Arial" w:cs="Arial" w:eastAsia="Arial" w:hAnsi="Arial"/>
          <w:sz w:val="18"/>
          <w:szCs w:val="18"/>
          <w:i w:val="1"/>
          <w:iCs w:val="1"/>
          <w:u w:val="single" w:color="auto"/>
          <w:color w:val="auto"/>
        </w:rPr>
        <w:t>Exécution forcée des engagements.</w:t>
      </w:r>
      <w:r>
        <w:rPr>
          <w:rFonts w:ascii="Arial" w:cs="Arial" w:eastAsia="Arial" w:hAnsi="Arial"/>
          <w:sz w:val="18"/>
          <w:szCs w:val="18"/>
          <w:i w:val="1"/>
          <w:iCs w:val="1"/>
          <w:color w:val="auto"/>
        </w:rPr>
        <w:t xml:space="preserve"> La Société pourra engager toute action qu’ellel estime nécessaire et juridiquement 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 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 menace de violation de ces engagements, mais s'ajoute à tous les autres droits et recours dont la Société dispose en droit et en équité, en ce compris l’obtention d’une indemnisation spécifique</w:t>
      </w:r>
      <w:r>
        <w:rPr>
          <w:rFonts w:ascii="Arial" w:cs="Arial" w:eastAsia="Arial" w:hAnsi="Arial"/>
          <w:sz w:val="18"/>
          <w:szCs w:val="18"/>
          <w:color w:val="auto"/>
        </w:rPr>
        <w:t>.</w:t>
      </w:r>
    </w:p>
    <w:p>
      <w:pPr>
        <w:spacing w:after="0" w:line="156" w:lineRule="exact"/>
        <w:rPr>
          <w:sz w:val="20"/>
          <w:szCs w:val="20"/>
          <w:color w:val="auto"/>
        </w:rPr>
      </w:pPr>
    </w:p>
    <w:p>
      <w:pPr>
        <w:ind w:left="3700"/>
        <w:spacing w:after="0"/>
        <w:tabs>
          <w:tab w:leader="none" w:pos="508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Germany</w:t>
      </w:r>
      <w:r>
        <w:rPr>
          <w:rFonts w:ascii="Arial" w:cs="Arial" w:eastAsia="Arial" w:hAnsi="Arial"/>
          <w:sz w:val="20"/>
          <w:szCs w:val="20"/>
          <w:color w:val="auto"/>
        </w:rPr>
        <w:t xml:space="preserve"> provide additional definitions and conditions for the purpose of granting RSUs to Employees and corporate officers who are resident in Germany for tax, labour or securities law purposes.</w:t>
      </w:r>
    </w:p>
    <w:p>
      <w:pPr>
        <w:spacing w:after="0" w:line="169" w:lineRule="exact"/>
        <w:rPr>
          <w:sz w:val="20"/>
          <w:szCs w:val="20"/>
          <w:color w:val="auto"/>
        </w:rPr>
      </w:pPr>
    </w:p>
    <w:p>
      <w:pPr>
        <w:jc w:val="both"/>
        <w:ind w:firstLine="656"/>
        <w:spacing w:after="0" w:line="263" w:lineRule="auto"/>
        <w:tabs>
          <w:tab w:leader="none" w:pos="1296"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Discretion</w:t>
      </w:r>
      <w:r>
        <w:rPr>
          <w:rFonts w:ascii="Arial" w:cs="Arial" w:eastAsia="Arial" w:hAnsi="Arial"/>
          <w:sz w:val="19"/>
          <w:szCs w:val="19"/>
          <w:color w:val="auto"/>
        </w:rPr>
        <w:t>. The Company’s, Board of Directors’, Committee’s and Administrator’s discretion under the Plan, the Agreement and this Country Schedule Germany, including the interpretation of such documentation, shall be exercised (a) reasonably (nach billigem Ermessen) as defined under German law and (b) in a way complying with the German labour law principle of equal treatment (arbeitsrechtlicher Gleichbehandlungsgrundsatz) and the prohibition of discrimination (Diskriminierungsverbot).</w:t>
      </w:r>
    </w:p>
    <w:p>
      <w:pPr>
        <w:spacing w:after="0" w:line="176"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For the avoidance of doubt, taxes always include German social security contributions, and in this regard also Participants portions, and any mandatory withholding or required actions shall be made by the German Employer of Participant as required by German law. Whenever the RSUs are settled, the Company or the German Employer of Participant shall notify the Participant of the amount of tax, if any, which must be withheld by the Company or the German Employer of Participant under all applicable federal, state and local or foreign tax laws (including German social security or similar contributions). For purposes of withholding, Fair Market Value shall be determined under applicable German law and its interpretation by the German tax authorities. The Participant shall indemnify the Company or the Employer from and against any liability for or obligation to pay any Tax Liability (a “Tax Liability” being any liability for income tax, withholding tax and any other employment related taxes in any jurisdiction, including but not limited to wage tax, solidarity surcharge, church tax or German social security contributions) that is attributable to (1) the grant or vesting of, or any benefit the Participant derives from, the RSUs, (2) the Participant’s acquisition of Shares on settlement of the RSUs, or (3) the disposal of any Shares.</w:t>
      </w:r>
    </w:p>
    <w:p>
      <w:pPr>
        <w:spacing w:after="0" w:line="173"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monthly to the German Federal Bank. If a Participant uses a German bank to transfer a cross-border payment in excess of €12,500 in connection with the sale of Shares acquired under the Plan, the bank will make the report for the Participant. In addition, a Participant must report any receivables,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3" w:name="page124"/>
    <w:bookmarkEnd w:id="123"/>
    <w:p>
      <w:pPr>
        <w:spacing w:after="0" w:line="260" w:lineRule="auto"/>
        <w:rPr>
          <w:sz w:val="20"/>
          <w:szCs w:val="20"/>
          <w:color w:val="auto"/>
        </w:rPr>
      </w:pPr>
      <w:r>
        <w:rPr>
          <w:rFonts w:ascii="Arial" w:cs="Arial" w:eastAsia="Arial" w:hAnsi="Arial"/>
          <w:sz w:val="20"/>
          <w:szCs w:val="20"/>
          <w:color w:val="auto"/>
        </w:rPr>
        <w:t>payables, or debts in foreign currency exceeding an amount of €5,000,000 on a monthly basis. Finally, a Participant must report on an annual basis if the Participant holds Shares that exceed 10% of the total voting capital of the Company.</w:t>
      </w:r>
    </w:p>
    <w:p>
      <w:pPr>
        <w:spacing w:after="0" w:line="177" w:lineRule="exact"/>
        <w:rPr>
          <w:sz w:val="20"/>
          <w:szCs w:val="20"/>
          <w:color w:val="auto"/>
        </w:rPr>
      </w:pPr>
    </w:p>
    <w:p>
      <w:pPr>
        <w:jc w:val="both"/>
        <w:ind w:firstLine="656"/>
        <w:spacing w:after="0" w:line="250" w:lineRule="auto"/>
        <w:tabs>
          <w:tab w:leader="none" w:pos="129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20"/>
          <w:szCs w:val="20"/>
          <w:u w:val="single" w:color="auto"/>
          <w:color w:val="auto"/>
        </w:rPr>
        <w:t>ermination of Service,</w:t>
      </w:r>
      <w:r>
        <w:rPr>
          <w:rFonts w:ascii="Arial" w:cs="Arial" w:eastAsia="Arial" w:hAnsi="Arial"/>
          <w:sz w:val="20"/>
          <w:szCs w:val="20"/>
          <w:color w:val="auto"/>
        </w:rPr>
        <w:t xml:space="preserve"> Detrimental Activity</w:t>
      </w:r>
      <w:r>
        <w:rPr>
          <w:rFonts w:ascii="Arial" w:cs="Arial" w:eastAsia="Arial" w:hAnsi="Arial"/>
          <w:sz w:val="20"/>
          <w:szCs w:val="20"/>
          <w:u w:val="single" w:color="auto"/>
          <w:color w:val="auto"/>
        </w:rPr>
        <w:t>,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subject to German law and its interpretation.</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For any further request regarding data privacy, Participant may contact the German Data Protection Officer at privacy@TechnipFMC.com.</w:t>
      </w:r>
    </w:p>
    <w:p>
      <w:pPr>
        <w:spacing w:after="0" w:line="171" w:lineRule="exact"/>
        <w:rPr>
          <w:sz w:val="20"/>
          <w:szCs w:val="20"/>
          <w:color w:val="auto"/>
        </w:rPr>
      </w:pPr>
    </w:p>
    <w:p>
      <w:pPr>
        <w:ind w:left="3800"/>
        <w:spacing w:after="0"/>
        <w:tabs>
          <w:tab w:leader="none" w:pos="524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20"/>
          <w:szCs w:val="20"/>
          <w:b w:val="1"/>
          <w:bCs w:val="1"/>
          <w:u w:val="single" w:color="auto"/>
          <w:color w:val="auto"/>
        </w:rPr>
        <w:t>GHANA</w:t>
      </w:r>
    </w:p>
    <w:p>
      <w:pPr>
        <w:spacing w:after="0" w:line="216" w:lineRule="exact"/>
        <w:rPr>
          <w:sz w:val="20"/>
          <w:szCs w:val="20"/>
          <w:color w:val="auto"/>
        </w:rPr>
      </w:pPr>
    </w:p>
    <w:p>
      <w:pPr>
        <w:ind w:firstLine="434"/>
        <w:spacing w:after="0" w:line="293" w:lineRule="auto"/>
        <w:rPr>
          <w:sz w:val="20"/>
          <w:szCs w:val="20"/>
          <w:color w:val="auto"/>
        </w:rPr>
      </w:pPr>
      <w:r>
        <w:rPr>
          <w:rFonts w:ascii="Arial" w:cs="Arial" w:eastAsia="Arial" w:hAnsi="Arial"/>
          <w:sz w:val="19"/>
          <w:szCs w:val="19"/>
          <w:b w:val="1"/>
          <w:bCs w:val="1"/>
          <w:color w:val="auto"/>
        </w:rPr>
        <w:t>iii.The provisions of this Country Schedule for Ghana provide additional definitions and conditions for the purpose of granting RSUs which are intended to be granted to Participants in Ghana for privacy, tax or labour law purposes.</w:t>
      </w:r>
    </w:p>
    <w:p>
      <w:pPr>
        <w:spacing w:after="0" w:line="148" w:lineRule="exact"/>
        <w:rPr>
          <w:sz w:val="20"/>
          <w:szCs w:val="20"/>
          <w:color w:val="auto"/>
        </w:rPr>
      </w:pPr>
    </w:p>
    <w:p>
      <w:pPr>
        <w:ind w:firstLine="656"/>
        <w:spacing w:after="0" w:line="260" w:lineRule="auto"/>
        <w:tabs>
          <w:tab w:leader="none" w:pos="1296"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Whenever the RSUs vest, the Participant is liable to tax on it at the market value of the Shares which is the amount that an independent, reasonable person would pay on the open market to receive the Shares.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Agreement and the Plan the following defined terms have been amended and shall apply:</w:t>
      </w:r>
    </w:p>
    <w:p>
      <w:pPr>
        <w:spacing w:after="0" w:line="23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i.“Detrimental Activity” means the Participant’s having been convicted of, or pleading guilty to a felony under federal or state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w:t>
      </w:r>
    </w:p>
    <w:p>
      <w:pPr>
        <w:spacing w:after="0" w:line="200" w:lineRule="exact"/>
        <w:rPr>
          <w:sz w:val="20"/>
          <w:szCs w:val="20"/>
          <w:color w:val="auto"/>
        </w:rPr>
      </w:pPr>
    </w:p>
    <w:p>
      <w:pPr>
        <w:ind w:firstLine="1137"/>
        <w:spacing w:after="0" w:line="26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Participant’s employment on or after the date Participant is eligible to retire under the terms of his or her employment agreement with the Ghana Employer.</w:t>
      </w:r>
    </w:p>
    <w:p>
      <w:pPr>
        <w:spacing w:after="0" w:line="171" w:lineRule="exact"/>
        <w:rPr>
          <w:sz w:val="20"/>
          <w:szCs w:val="20"/>
          <w:color w:val="auto"/>
        </w:rPr>
      </w:pPr>
    </w:p>
    <w:p>
      <w:pPr>
        <w:ind w:left="3940"/>
        <w:spacing w:after="0"/>
        <w:tabs>
          <w:tab w:leader="none" w:pos="532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b w:val="1"/>
          <w:bCs w:val="1"/>
          <w:u w:val="single" w:color="auto"/>
          <w:color w:val="auto"/>
        </w:rPr>
        <w:t>INDIA</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India</w:t>
      </w:r>
      <w:r>
        <w:rPr>
          <w:rFonts w:ascii="Arial" w:cs="Arial" w:eastAsia="Arial" w:hAnsi="Arial"/>
          <w:sz w:val="18"/>
          <w:szCs w:val="18"/>
          <w:color w:val="auto"/>
        </w:rPr>
        <w:t xml:space="preserve"> provide additional definitions and conditions for the purpose of granting RSUs which are intended to be granted to Employees and corporate officers who are resident in India for tax, labour or securities law purposes.</w:t>
      </w:r>
    </w:p>
    <w:p>
      <w:pPr>
        <w:spacing w:after="0" w:line="124" w:lineRule="exact"/>
        <w:rPr>
          <w:sz w:val="20"/>
          <w:szCs w:val="20"/>
          <w:color w:val="auto"/>
        </w:rPr>
      </w:pPr>
    </w:p>
    <w:p>
      <w:pPr>
        <w:jc w:val="both"/>
        <w:ind w:firstLine="656"/>
        <w:spacing w:after="0" w:line="282" w:lineRule="auto"/>
        <w:tabs>
          <w:tab w:leader="none" w:pos="129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RSUs Not Part Of Compensation</w:t>
      </w:r>
      <w:r>
        <w:rPr>
          <w:rFonts w:ascii="Arial" w:cs="Arial" w:eastAsia="Arial" w:hAnsi="Arial"/>
          <w:sz w:val="18"/>
          <w:szCs w:val="18"/>
          <w:color w:val="auto"/>
        </w:rPr>
        <w:t>. The RSUs are not part of normal or expected compensation, remuneration, salary, wages, allowances or emoluments of the Participants, for any purpose, including, without limitation, calculating severance, resignation, redundancy, end of service payments, gratuity, retrenchment compensation, bonuses, long-service awards, pension or retirement benefits, overtime, leave pay, social welfare contributions, or any other payment or benefit under any applicable Indian labor and employment laws.</w:t>
      </w:r>
    </w:p>
    <w:p>
      <w:pPr>
        <w:spacing w:after="0" w:line="161"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Key Managerial Personnel Notification Obligation</w:t>
      </w:r>
      <w:r>
        <w:rPr>
          <w:rFonts w:ascii="Arial" w:cs="Arial" w:eastAsia="Arial" w:hAnsi="Arial"/>
          <w:sz w:val="20"/>
          <w:szCs w:val="20"/>
          <w:color w:val="auto"/>
        </w:rPr>
        <w:t>. Participants who are directors or key managerial personnel of the Indian subsidiary shall provide such Indian subsidiary with details of securities held by them in the Company pursuant to the Plan and this Agreement, including inter alia the number thereof, price paid, date of acquisition, and mode of holding in order for such Indian subsidiary or Affiliate to comply with the applicable reporting requirements under Indian company law.</w:t>
      </w:r>
    </w:p>
    <w:p>
      <w:pPr>
        <w:spacing w:after="0" w:line="191"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Tax Considerations</w:t>
      </w:r>
      <w:r>
        <w:rPr>
          <w:rFonts w:ascii="Arial" w:cs="Arial" w:eastAsia="Arial" w:hAnsi="Arial"/>
          <w:sz w:val="20"/>
          <w:szCs w:val="20"/>
          <w:color w:val="auto"/>
        </w:rPr>
        <w:t>. The Employer shall have the right to withhold, or require the Participant to remit to the Employer, an amount towards taxes computed at the applicable rate at the time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4" w:name="page125"/>
    <w:bookmarkEnd w:id="124"/>
    <w:p>
      <w:pPr>
        <w:jc w:val="both"/>
        <w:ind w:right="20"/>
        <w:spacing w:after="0" w:line="260" w:lineRule="auto"/>
        <w:rPr>
          <w:sz w:val="20"/>
          <w:szCs w:val="20"/>
          <w:color w:val="auto"/>
        </w:rPr>
      </w:pPr>
      <w:r>
        <w:rPr>
          <w:rFonts w:ascii="Arial" w:cs="Arial" w:eastAsia="Arial" w:hAnsi="Arial"/>
          <w:sz w:val="20"/>
          <w:szCs w:val="20"/>
          <w:color w:val="auto"/>
        </w:rPr>
        <w:t>of allotment of the Shares to the Participant on the value of benefit (in the form of allotment of Shares) which shall be chargeable to tax in the hands of the Participant as salary.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value of benefit shall be the aggregate Fair Market Value (“</w:t>
      </w:r>
      <w:r>
        <w:rPr>
          <w:rFonts w:ascii="Arial" w:cs="Arial" w:eastAsia="Arial" w:hAnsi="Arial"/>
          <w:sz w:val="20"/>
          <w:szCs w:val="20"/>
          <w:u w:val="single" w:color="auto"/>
          <w:color w:val="auto"/>
        </w:rPr>
        <w:t>FMV</w:t>
      </w:r>
      <w:r>
        <w:rPr>
          <w:rFonts w:ascii="Arial" w:cs="Arial" w:eastAsia="Arial" w:hAnsi="Arial"/>
          <w:sz w:val="20"/>
          <w:szCs w:val="20"/>
          <w:color w:val="auto"/>
        </w:rPr>
        <w:t>”) of the Shares on the date of vesting.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FMV of the Shares shall be the value as determined by a Category I Merchant Banker registered with the Securities and Exchange Board of India on the specified date, being the vesting date or any date not being a date which is more than 180 days earlier than the date of vesting.</w:t>
      </w:r>
    </w:p>
    <w:p>
      <w:pPr>
        <w:spacing w:after="0" w:line="186" w:lineRule="exact"/>
        <w:rPr>
          <w:sz w:val="20"/>
          <w:szCs w:val="20"/>
          <w:color w:val="auto"/>
        </w:rPr>
      </w:pPr>
    </w:p>
    <w:p>
      <w:pPr>
        <w:ind w:firstLine="656"/>
        <w:spacing w:after="0" w:line="260" w:lineRule="auto"/>
        <w:tabs>
          <w:tab w:leader="none" w:pos="129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By entering into the Agreement, Participant consents to the processing, collection, disclosure and transfer of Data by Company for the Purposes.</w:t>
      </w:r>
    </w:p>
    <w:p>
      <w:pPr>
        <w:spacing w:after="0" w:line="171" w:lineRule="exact"/>
        <w:rPr>
          <w:sz w:val="20"/>
          <w:szCs w:val="20"/>
          <w:color w:val="auto"/>
        </w:rPr>
      </w:pPr>
    </w:p>
    <w:p>
      <w:pPr>
        <w:ind w:left="3600"/>
        <w:spacing w:after="0"/>
        <w:tabs>
          <w:tab w:leader="none" w:pos="504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20"/>
          <w:szCs w:val="20"/>
          <w:b w:val="1"/>
          <w:bCs w:val="1"/>
          <w:u w:val="single" w:color="auto"/>
          <w:color w:val="auto"/>
        </w:rPr>
        <w:t>INDONESIA</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Indonesia</w:t>
      </w:r>
      <w:r>
        <w:rPr>
          <w:rFonts w:ascii="Arial" w:cs="Arial" w:eastAsia="Arial" w:hAnsi="Arial"/>
          <w:sz w:val="20"/>
          <w:szCs w:val="20"/>
          <w:color w:val="auto"/>
        </w:rPr>
        <w:t xml:space="preserve"> provide additional definitions and conditions for the purpose of granting RSUs to Employees and corporate officers who are resident in Indonesia for tax, labour or securities law purposes.</w:t>
      </w:r>
    </w:p>
    <w:p>
      <w:pPr>
        <w:spacing w:after="0" w:line="169"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Award Plan</w:t>
      </w:r>
      <w:r>
        <w:rPr>
          <w:rFonts w:ascii="Arial" w:cs="Arial" w:eastAsia="Arial" w:hAnsi="Arial"/>
          <w:sz w:val="20"/>
          <w:szCs w:val="20"/>
          <w:color w:val="auto"/>
        </w:rPr>
        <w:t>. A copy of the Plan is attached to this Agreement.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Waiver of Article 1266 of the Indonesian Civil Code</w:t>
      </w:r>
      <w:r>
        <w:rPr>
          <w:rFonts w:ascii="Arial" w:cs="Arial" w:eastAsia="Arial" w:hAnsi="Arial"/>
          <w:sz w:val="20"/>
          <w:szCs w:val="20"/>
          <w:color w:val="auto"/>
        </w:rPr>
        <w:t>. For the purposes of termination of this Agreement, the Company and the Participant hereby waive the benefits of Article 1266 of the Indonesian Civil Code but only to the extent that judicial cancellation of this Agreement would otherwise be required to terminate this Agreement.</w:t>
      </w:r>
    </w:p>
    <w:p>
      <w:pPr>
        <w:spacing w:after="0" w:line="185"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In compliance with the Law No. 24 of 2009 regarding National Flag, Language, Coat of Arms, and National Anthem of the Republic of Indonesia (“</w:t>
      </w:r>
      <w:r>
        <w:rPr>
          <w:rFonts w:ascii="Arial" w:cs="Arial" w:eastAsia="Arial" w:hAnsi="Arial"/>
          <w:sz w:val="20"/>
          <w:szCs w:val="20"/>
          <w:b w:val="1"/>
          <w:bCs w:val="1"/>
          <w:color w:val="auto"/>
        </w:rPr>
        <w:t>Law 24</w:t>
      </w:r>
      <w:r>
        <w:rPr>
          <w:rFonts w:ascii="Arial" w:cs="Arial" w:eastAsia="Arial" w:hAnsi="Arial"/>
          <w:sz w:val="20"/>
          <w:szCs w:val="20"/>
          <w:color w:val="auto"/>
        </w:rPr>
        <w:t>”) and the Presidential Regulation No. 63 of 2019 regarding the Use of Indonesian Language (“</w:t>
      </w:r>
      <w:r>
        <w:rPr>
          <w:rFonts w:ascii="Arial" w:cs="Arial" w:eastAsia="Arial" w:hAnsi="Arial"/>
          <w:sz w:val="20"/>
          <w:szCs w:val="20"/>
          <w:b w:val="1"/>
          <w:bCs w:val="1"/>
          <w:color w:val="auto"/>
        </w:rPr>
        <w:t>Regulation 63</w:t>
      </w:r>
      <w:r>
        <w:rPr>
          <w:rFonts w:ascii="Arial" w:cs="Arial" w:eastAsia="Arial" w:hAnsi="Arial"/>
          <w:sz w:val="20"/>
          <w:szCs w:val="20"/>
          <w:color w:val="auto"/>
        </w:rPr>
        <w:t>”), the Agreement and the Plan are made in English and Indonesian language versions. The Participant and the Company agree to execute the Indonesian language version of the Agreement and the Plan simultaneously with the English language version of the Agreement and the Plan.</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avoidance of doubt, the existence of two versions of the Agreement and the Plan is not to be construed by any party as creating different rights and obligations, or duplication or multiplication of the rights and obligations, of the Participant and the Company under any version of the Agreement and the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Participant and the Company agree that:</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i.the English language version and the Bahasa Indonesia version of the Agreement and the Plan shall be equally authentic; and</w:t>
      </w:r>
    </w:p>
    <w:p>
      <w:pPr>
        <w:spacing w:after="0" w:line="262" w:lineRule="exact"/>
        <w:rPr>
          <w:sz w:val="20"/>
          <w:szCs w:val="20"/>
          <w:color w:val="auto"/>
        </w:rPr>
      </w:pPr>
    </w:p>
    <w:p>
      <w:pPr>
        <w:jc w:val="both"/>
        <w:ind w:firstLine="1137"/>
        <w:spacing w:after="0" w:line="244" w:lineRule="auto"/>
        <w:rPr>
          <w:sz w:val="20"/>
          <w:szCs w:val="20"/>
          <w:color w:val="auto"/>
        </w:rPr>
      </w:pPr>
      <w:r>
        <w:rPr>
          <w:rFonts w:ascii="Arial" w:cs="Arial" w:eastAsia="Arial" w:hAnsi="Arial"/>
          <w:sz w:val="20"/>
          <w:szCs w:val="20"/>
          <w:color w:val="auto"/>
        </w:rPr>
        <w:t>ii.in the event of any inconsistency or different interpretation between the Bahasa Indonesia version and the English version of the Agreement and the Plan, the English version shall prevail and the Participant shall, promptly upon request by the Company, amend the relevant Bahasa Indonesia text to conform with the relevant English text and the Participant and the Company shall execute such documentation as the Company may reasonably require to give full legal effect to such amendment(s), promptly and in any event not in excess of thirty (30) days after such request is made.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of the Participant and the Company in good faith agrees that it shall not (and it shall not allow or assist any party to) in any manner or forum in any jurisdiction: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5" w:name="page126"/>
    <w:bookmarkEnd w:id="125"/>
    <w:p>
      <w:pPr>
        <w:jc w:val="both"/>
        <w:ind w:firstLine="1192"/>
        <w:spacing w:after="0" w:line="260" w:lineRule="auto"/>
        <w:rPr>
          <w:sz w:val="20"/>
          <w:szCs w:val="20"/>
          <w:color w:val="auto"/>
        </w:rPr>
      </w:pPr>
      <w:r>
        <w:rPr>
          <w:rFonts w:ascii="Arial" w:cs="Arial" w:eastAsia="Arial" w:hAnsi="Arial"/>
          <w:sz w:val="20"/>
          <w:szCs w:val="20"/>
          <w:color w:val="auto"/>
        </w:rPr>
        <w:t>i.challenge the validity of, or raise or file any objection to, the Agreement and the Plan or the transactions contemplated in the Agreement and the Plan;</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ii.defend its non-performance or breach of its obligations under the Agreement and the Plan; or</w:t>
      </w:r>
    </w:p>
    <w:p>
      <w:pPr>
        <w:spacing w:after="0" w:line="216" w:lineRule="exact"/>
        <w:rPr>
          <w:sz w:val="20"/>
          <w:szCs w:val="20"/>
          <w:color w:val="auto"/>
        </w:rPr>
      </w:pPr>
    </w:p>
    <w:p>
      <w:pPr>
        <w:jc w:val="both"/>
        <w:ind w:firstLine="1082"/>
        <w:spacing w:after="0" w:line="250" w:lineRule="auto"/>
        <w:rPr>
          <w:sz w:val="20"/>
          <w:szCs w:val="20"/>
          <w:color w:val="auto"/>
        </w:rPr>
      </w:pPr>
      <w:r>
        <w:rPr>
          <w:rFonts w:ascii="Arial" w:cs="Arial" w:eastAsia="Arial" w:hAnsi="Arial"/>
          <w:sz w:val="20"/>
          <w:szCs w:val="20"/>
          <w:color w:val="auto"/>
        </w:rPr>
        <w:t>iii.allege that the Agreement and the Plan is against public policy or otherwise does not constitute its legal, valid and binding obligation, enforceable against it in accordance with its terms, in each case on the basis of any failure to comply with Law 24 or Regulation 63.</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Participant and the Company:</w:t>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i.acknowledges that, with its agreement, the Agreement and the Plan have been predominantly negotiated in the English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language;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ii.represents that it has read and fully understands the contents and consequences of the Agreement and the Plan;</w:t>
      </w:r>
    </w:p>
    <w:p>
      <w:pPr>
        <w:spacing w:after="0" w:line="227" w:lineRule="exact"/>
        <w:rPr>
          <w:sz w:val="20"/>
          <w:szCs w:val="20"/>
          <w:color w:val="auto"/>
        </w:rPr>
      </w:pPr>
    </w:p>
    <w:p>
      <w:pPr>
        <w:jc w:val="both"/>
        <w:ind w:right="20" w:firstLine="1082"/>
        <w:spacing w:after="0" w:line="260" w:lineRule="auto"/>
        <w:rPr>
          <w:sz w:val="20"/>
          <w:szCs w:val="20"/>
          <w:color w:val="auto"/>
        </w:rPr>
      </w:pPr>
      <w:r>
        <w:rPr>
          <w:rFonts w:ascii="Arial" w:cs="Arial" w:eastAsia="Arial" w:hAnsi="Arial"/>
          <w:sz w:val="20"/>
          <w:szCs w:val="20"/>
          <w:color w:val="auto"/>
        </w:rPr>
        <w:t>iii.agrees that the execution of the Agreement and the Plan in the English language will not affect the validity, binding effectiveness and enforceability of the Agreement and the Plan; and</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iv.represents that it has made and entered into the Agreement and the Plan freely and without duress.</w:t>
      </w:r>
    </w:p>
    <w:p>
      <w:pPr>
        <w:spacing w:after="0" w:line="216"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By entering into the Agreement, Participant consents to the processing of Data by Company for the Purposes.</w:t>
      </w:r>
    </w:p>
    <w:p>
      <w:pPr>
        <w:spacing w:after="0" w:line="238"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Termination of Service, Detrimental Activity,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subject to Indonesian law and its interpretation.</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 The Participant is advised to seek professional tax advice as to the Participant’s tax liabilities including, to the extent the Participant is a foreigner, how such gains or profits aforesaid will be taxed at the time the Participant ceases to work in Indonesia. All taxes (including income tax) arising from the award of any RSU or the vesting of any RSU thereon shall be borne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iii.</w:t>
      </w:r>
      <w:r>
        <w:rPr>
          <w:rFonts w:ascii="Arial" w:cs="Arial" w:eastAsia="Arial" w:hAnsi="Arial"/>
          <w:sz w:val="20"/>
          <w:szCs w:val="20"/>
          <w:b w:val="1"/>
          <w:bCs w:val="1"/>
          <w:u w:val="single" w:color="auto"/>
          <w:color w:val="auto"/>
        </w:rPr>
        <w:t>ITALY</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Italy</w:t>
      </w:r>
      <w:r>
        <w:rPr>
          <w:rFonts w:ascii="Arial" w:cs="Arial" w:eastAsia="Arial" w:hAnsi="Arial"/>
          <w:sz w:val="18"/>
          <w:szCs w:val="18"/>
          <w:color w:val="auto"/>
        </w:rPr>
        <w:t xml:space="preserve"> provide additional definitions and conditions for the purpose of granting RSUs which are intended to be granted to Employees and corporate officers who are resident in Italy for tax, labour or securities law purposes.</w:t>
      </w:r>
    </w:p>
    <w:p>
      <w:pPr>
        <w:spacing w:after="0" w:line="124" w:lineRule="exact"/>
        <w:rPr>
          <w:sz w:val="20"/>
          <w:szCs w:val="20"/>
          <w:color w:val="auto"/>
        </w:rPr>
      </w:pPr>
    </w:p>
    <w:p>
      <w:pPr>
        <w:jc w:val="both"/>
        <w:ind w:firstLine="656"/>
        <w:spacing w:after="0" w:line="243" w:lineRule="auto"/>
        <w:tabs>
          <w:tab w:leader="none" w:pos="1296"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Neither the RSUs nor the Shares are publicly offered or listed on any regulated market or multilateral trading facility in Italy. The offer of the RSUs and Shares is private and has not been cleared by the Commissione Nazionale per la Società e la Borsa (“CONSOB”) (the Italian securities exchange commission), pursuant to Italian securities legislation. Accordingly, the offer may be extended into Italy only in circumstances which are exempted from the rules on public offerings pursuant to Article 100 of Legislative Decree No. 58 of February 24, 1998, as amended and Article 34-ter of CONSOB Regulation No. 11971 of May 14, 1999, as amended.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6" w:name="page127"/>
    <w:bookmarkEnd w:id="126"/>
    <w:p>
      <w:pPr>
        <w:jc w:val="both"/>
        <w:ind w:firstLine="656"/>
        <w:spacing w:after="0" w:line="259" w:lineRule="auto"/>
        <w:tabs>
          <w:tab w:leader="none" w:pos="1296"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In accepting the RSUs, Participant acknowledges that he or she has received a copy of the Plan and the Agreement and have reviewed the Plan and the Agreement, including this Schedule A, in their entirety and fully understand and accept all provisions of the Plan and the Agreement, including this Schedule A. Participant further acknowledges that he or she has read and specifically and expressly approves the following sections of the Agreement: Section 1: Vesting, Section 4: Rights and Obligations as Stockholder; Section 5: No Limitation on Rights of the Company; Section 10: Administration; Section 19: Funding; and the Authorization to Release Transfer Necessary Personal Information and Method of Payment provisions above.</w:t>
      </w:r>
    </w:p>
    <w:p>
      <w:pPr>
        <w:spacing w:after="0" w:line="178"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is required to report in his or her annual tax return any foreign investments or investments (including proceeds from the sale of RSUs acquired under the Plan) held outside of Italy, if the investment may give rise to income in Italy. This latter reporting obligation is not required in relation to bank accounts and bank deposits held outside of Italy whose maximum total value during the fiscal year does not exceed €15,000.</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In addition to the rights mentioned in clause 20 of the Agreement, Participant may issue directives for the purposes of deciding what should happen to the Data after his or her death pursuant to Article 2-terdecies of Legislative Decree no. 196 of 2013, by writing to the TechnipFMC Data Protection Office with the modalities provided under clause 20 of the Agreement.</w:t>
      </w:r>
    </w:p>
    <w:p>
      <w:pPr>
        <w:spacing w:after="0" w:line="164"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iv.</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v.</w:t>
      </w:r>
      <w:r>
        <w:rPr>
          <w:rFonts w:ascii="Arial" w:cs="Arial" w:eastAsia="Arial" w:hAnsi="Arial"/>
          <w:sz w:val="20"/>
          <w:szCs w:val="20"/>
          <w:b w:val="1"/>
          <w:bCs w:val="1"/>
          <w:u w:val="single" w:color="auto"/>
          <w:color w:val="auto"/>
        </w:rPr>
        <w:t>MALAYSIA</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Malaysia</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Malaysia for tax, labour or securities law purposes.</w:t>
      </w:r>
    </w:p>
    <w:p>
      <w:pPr>
        <w:spacing w:after="0" w:line="183" w:lineRule="exact"/>
        <w:rPr>
          <w:sz w:val="20"/>
          <w:szCs w:val="20"/>
          <w:color w:val="auto"/>
        </w:rPr>
      </w:pPr>
    </w:p>
    <w:p>
      <w:pPr>
        <w:ind w:firstLine="656"/>
        <w:spacing w:after="0" w:line="260" w:lineRule="auto"/>
        <w:tabs>
          <w:tab w:leader="none" w:pos="129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in Malaysia shall be restricted to any person who is an Employee or a Non-Employee Director, as determined by the Administrator.</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Malaysian Insider Trading Notification</w:t>
      </w:r>
      <w:r>
        <w:rPr>
          <w:rFonts w:ascii="Arial" w:cs="Arial" w:eastAsia="Arial" w:hAnsi="Arial"/>
          <w:sz w:val="20"/>
          <w:szCs w:val="20"/>
          <w:color w:val="auto"/>
        </w:rPr>
        <w:t>. You should be aware of the Malaysian insider-trading rules, which may impact your acquisition or disposal of Shares or rights to Shares under the Plan. Under the Malaysian insider-trading rules, you are prohibited from acquiring or selling Shares or rights to Shares (e.g., an Award under the Plan) when you are in possession of information which is not generally available and which you know or should know will have a material effect on the price of Shares once such information is generally available.</w:t>
      </w:r>
    </w:p>
    <w:p>
      <w:pPr>
        <w:spacing w:after="0" w:line="194"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Director Notification Obligation</w:t>
      </w:r>
      <w:r>
        <w:rPr>
          <w:rFonts w:ascii="Arial" w:cs="Arial" w:eastAsia="Arial" w:hAnsi="Arial"/>
          <w:sz w:val="20"/>
          <w:szCs w:val="20"/>
          <w:color w:val="auto"/>
        </w:rPr>
        <w:t>. If you are a director of a Malaysian Subsidiary or affiliate of the Company, you are subject to certain notification requirements under the Malaysian Companies Act. Among these requirements is an obligation to notify the relevant Malaysian Subsidiary or affiliate in writing when you receive or dispose of an interest (e.g., an Award under the Plan or Shares) in the Company or any related company. Such notifications must be made within 14 days of receiving or disposing of any interest in the Company or any related company.</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Securities Laws Notice</w:t>
      </w:r>
      <w:r>
        <w:rPr>
          <w:rFonts w:ascii="Arial" w:cs="Arial" w:eastAsia="Arial" w:hAnsi="Arial"/>
          <w:sz w:val="19"/>
          <w:szCs w:val="19"/>
          <w:color w:val="auto"/>
        </w:rPr>
        <w:t>. The Plan constitutes or relates to an “excluded offer,” “excluded invitation” or “excluded issue” pursuant to Sections 229 and 230 of the Malaysian Capital Markets and Services Act 2007. Copies of the Plan documents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7" w:name="page128"/>
    <w:bookmarkEnd w:id="127"/>
    <w:p>
      <w:pPr>
        <w:ind w:left="1300" w:hanging="644"/>
        <w:spacing w:after="0"/>
        <w:tabs>
          <w:tab w:leader="none" w:pos="1300"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Bahasa Malaysia translation of Data Privacy clause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Data Privasi</w:t>
      </w:r>
      <w:r>
        <w:rPr>
          <w:rFonts w:ascii="Arial" w:cs="Arial" w:eastAsia="Arial" w:hAnsi="Arial"/>
          <w:sz w:val="20"/>
          <w:szCs w:val="20"/>
          <w:i w:val="1"/>
          <w:iCs w:val="1"/>
          <w:color w:val="auto"/>
        </w:rPr>
        <w:t>. Klausa ini membatalkan dan menggantikan klausa 11.8 Pelan. Setiap Peserta mengakui bahawa bagi tujuan melancarkan, termasuk melaksanakan, mengurus dan mentadbir Pelan dan Perjanjian (“Tujuan”), ia adalah perlu bagi Syarikat untuk mengumpulkan informasi peribadi Peserta termasuk: nama Peserta, alamat rumah, nombor telefon, tarikh lahir, nombor keselamatan sosial (jika dibenarkan), nombor insurans atau nombor kad pengenalan (jika dibenarkan), nombor pasport (jika dibenarkan), gaji, kewarganegaraan, nama jawatan, dan informasi mengenai apa-apa saham atau stok yang dipegang didalam Syarikat atau anak Syarikat, informasi mengenai semua Anugerah (“Data”). Syarikat, yang mempunyai alamat berdaftar di One St. Paul’s Churchyard, London, EC4M 8AP, United Kingdom, adalah ‘data controller” bagi pemprosesan data. Menurutnya, Data adalah dikumpulkan secara langsung daripada Peserta atau diberikan oleh Majikan.</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Selain daripada Tujuan, Syarikat akan menggunakan Data (i) bagi tujuan pematuhan undang-undang sekuriti dan laporan kewangan dan kehendak undang-undang yang lain, dan (ii) atas dasar kepentingan sah bagi kes yang tertunggak dan/atau pertikaian yang diancam dan/atau tuntutan (undang-undang), penyiasatan oleh badan berkanun yang relevan, litigasi dan arbitrasi, untuk memastikan kedudukan undang-undang, untuk mendapatkan nasihat (luaran) dan/atau untuk membina atau mempertahankan kedudukan (undang-undang) dan/atau melaksanakan tuntutan (undang-undang).</w:t>
      </w:r>
    </w:p>
    <w:p>
      <w:pPr>
        <w:spacing w:after="0" w:line="194" w:lineRule="exact"/>
        <w:rPr>
          <w:sz w:val="20"/>
          <w:szCs w:val="20"/>
          <w:color w:val="auto"/>
        </w:rPr>
      </w:pPr>
    </w:p>
    <w:p>
      <w:pPr>
        <w:jc w:val="both"/>
        <w:ind w:firstLine="656"/>
        <w:spacing w:after="0" w:line="306" w:lineRule="auto"/>
        <w:tabs>
          <w:tab w:leader="none" w:pos="1296"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Data boleh didedahkan kepada anak Syarikat (termasuk Majikan) atau kepada pihak ketiga pentadbir pelan (termasuk bank-bank, broker-broker, pemilik kustodi, depositori sekuriti, bursa saham, dll) dan juga pengaudit, penasihat dan konsultan mereka dan mana-mana pihak yang dirasakan perlu dan sesuai bagi Tujuan. Syarikat juga boleh menjadikan tesedia Data Peserta bagi pihak-pihak berkuasa awam sekiranya diperlukan dibawah undang-undang atau peraturan dan boleh juga mendedahkan Data kepada mahkamah judisial and arbitrasi dan/atau jawatankuasa dan penasihat luar. Entiti-entiti tersebut dan badan-badan berkuasa mungkin bertempat di Amerika Syarikat, Kawasan Ekonomi Eropah, atau mana-mana sahaja, termasuk di kawasan dimana undang-undang perlindungan data tidak mempunyai perlindungan yang sama dengan bidang kuasa di mana Peserta menetap. Sekiranya relevan, Syarikat dan anak Syarikat akan melaksanakan perlindungan yang bersesuaian untuk memastikan perlindungan Data, umpamanya klausa kontrak yang standard seperti yang dicadangkan oleh Suruhanjaya Eropah. Sekiranya Peserta bekerja dengan anak Syarikat yang ditubuhkan di dalam Kawasan Ekonomi Eropah, sekiranya United Kingdom menjadi negara ketiga (untuk kegunaan GDPR) sebagai akibat daripada Brexit, Syarikat akan melaksanakan perlindungan yang bersesuaian untuk memastikan perlindungan Data dalam kes pemindahan Data dari dalam Kawasan Ekonomi Eropah ke luar Kawasan Ekonomi Eropah, seperti klausa kontrak yang standard seperti yang dicadangkan oleh Suruhanjaya Eropah. Peserta boleh meminta salinan perlindungan seperti itu dengan menghubungi Pejabat Perlindungan Data TechnipFMC di privacy@TechnipFMC.com atau wakil sumber manusia tempatan Peserta.</w:t>
      </w: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Peserta boleh meminta untuk mendapatkan akses kepada Data, untuk membetulkan mana-mana Data tersebut, untuk memadamkan Data, untuk menyekat pemprosesan Data, untuk membantah pemprosesan Data, serta permintaan pemindahan Data menurut Artikel 15 hingga 21 GDPR dan berhak memfailkan aduan dan / atau tuntutan dengan pihak berkuasa perlindungan data yang kompeten. Permintaan mengenai Data, pertanyaan atau aduan boleh ditangani dengan menghubungi Pejabat Perlindungan Data TechnipFMC di privacy@TechnipFMC.com atau wakil sumber manusia tempatan Peserta.</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Ia adalah wajib bagi Peserta untuk memberikan apa-apa Data yang diminta. Jika Peserta memilih untuk tidak memberikan sebarang Data yang diminta atau menyekat pemprosesan Data, Syarikat tidak akan dapat melaksanakan obligasinya di bawah Pelan.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8" w:name="page129"/>
    <w:bookmarkEnd w:id="128"/>
    <w:p>
      <w:pPr>
        <w:jc w:val="both"/>
        <w:spacing w:after="0" w:line="278" w:lineRule="auto"/>
        <w:rPr>
          <w:sz w:val="20"/>
          <w:szCs w:val="20"/>
          <w:color w:val="auto"/>
        </w:rPr>
      </w:pPr>
      <w:r>
        <w:rPr>
          <w:rFonts w:ascii="Arial" w:cs="Arial" w:eastAsia="Arial" w:hAnsi="Arial"/>
          <w:sz w:val="18"/>
          <w:szCs w:val="18"/>
          <w:i w:val="1"/>
          <w:iCs w:val="1"/>
          <w:color w:val="auto"/>
        </w:rPr>
        <w:t>Data akan dipegang dan digunakan hanya selagi diperlukan untuk Tujuan. Hanya di mana Syarikat dan / atau anak-anak Syarikatnya diwajibkan secara sah (contohnya untuk pematuhan dengan tujuan pelaporan undang-undang dan kewangan), atau jika ini perlu untuk mempertahankan kepentingan mereka dalam konteks prosiding kehakiman, Syarikat dan / atau anak-anak Syarikatnya akan menyimpan Data untuk tempoh yang lebih lama. Peserta boleh meminta maklumat lanjut mengenai tempoh pengekalan yang terpakai bagi Data dengan menghubungi Pejabat Perlindungan Data TechnipFMC di privacy@TechnipFMC.com atau wakil sumber manusia tempatan Peserta.</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Peserta boleh merujuk selanjutnya maklumat khusus negara mengenai pemprosesan Data di bawah Jadual A Perjanjian, termasuk tetapi tidak terhad kepada butiran perhubungan Pegawai Perlindungan Data tempatan, jika ada.</w:t>
      </w:r>
    </w:p>
    <w:p>
      <w:pPr>
        <w:spacing w:after="0" w:line="204"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i w:val="1"/>
          <w:iCs w:val="1"/>
          <w:color w:val="auto"/>
        </w:rPr>
        <w:t>Jika Peserta bekerja dengan anak Syarikat yang ditubuhkan di luar Kawasan Ekonomi Eropah dan setakat persetujuannya untuk pemprosesan dan / atau pemindahan Data diperlukan (lihat maklumat khusus negara dalam Jadual A Perjanjian), Peserta dengan ini bersetuju untuk pemprosesan dan / atau pindahan sedemikian seperti yang dinyatakan dalam klausa 20 Perjanjian. Pada bila-bila masa, Peserta boleh menarik balik persetujuan yang diberikan di sini secara bertulis dengan menghubungi Pejabat Perlindungan Data TechnipFMC di privacy@TechnipFMC.com atau wakil sumber manusia tempatan Peserta. Peserta mengakui, bersetuju dan menerima bahawa sekiranya dia memilih untuk menarik balik persetujuannya, Syarikat mungkin tidak dapat melaksanakan tanggungjawabnya dan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mentadbirkan Pelan dan Perjanjian.</w:t>
      </w:r>
      <w:r>
        <w:rPr>
          <w:rFonts w:ascii="Arial" w:cs="Arial" w:eastAsia="Arial" w:hAnsi="Arial"/>
          <w:sz w:val="21"/>
          <w:szCs w:val="21"/>
          <w:i w:val="1"/>
          <w:iCs w:val="1"/>
          <w:color w:val="auto"/>
        </w:rPr>
        <w:t>”</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b w:val="1"/>
          <w:bCs w:val="1"/>
          <w:u w:val="single" w:color="auto"/>
          <w:color w:val="auto"/>
        </w:rPr>
        <w:t>MEXICO</w:t>
      </w:r>
    </w:p>
    <w:p>
      <w:pPr>
        <w:spacing w:after="0" w:line="194"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color w:val="auto"/>
        </w:rPr>
        <w:t xml:space="preserve">The provisions of this </w:t>
      </w:r>
      <w:r>
        <w:rPr>
          <w:rFonts w:ascii="Arial" w:cs="Arial" w:eastAsia="Arial" w:hAnsi="Arial"/>
          <w:sz w:val="19"/>
          <w:szCs w:val="19"/>
          <w:b w:val="1"/>
          <w:bCs w:val="1"/>
          <w:color w:val="auto"/>
        </w:rPr>
        <w:t>Country Schedule for Mexico</w:t>
      </w:r>
      <w:r>
        <w:rPr>
          <w:rFonts w:ascii="Arial" w:cs="Arial" w:eastAsia="Arial" w:hAnsi="Arial"/>
          <w:sz w:val="19"/>
          <w:szCs w:val="19"/>
          <w:color w:val="auto"/>
        </w:rPr>
        <w:t xml:space="preserve"> provide additional definitions and conditions for the purpose of granting RSUs which are intended to be granted to Eligible Individuals who are resident in Mexico for tax, labour or securities law purposes.</w:t>
      </w:r>
    </w:p>
    <w:p>
      <w:pPr>
        <w:spacing w:after="0" w:line="148"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16" w:lineRule="exact"/>
        <w:rPr>
          <w:sz w:val="20"/>
          <w:szCs w:val="20"/>
          <w:color w:val="auto"/>
        </w:rPr>
      </w:pPr>
    </w:p>
    <w:p>
      <w:pPr>
        <w:jc w:val="both"/>
        <w:ind w:firstLine="1147"/>
        <w:spacing w:after="0" w:line="260"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Termination of Service</w:t>
      </w:r>
      <w:r>
        <w:rPr>
          <w:rFonts w:ascii="Arial" w:cs="Arial" w:eastAsia="Arial" w:hAnsi="Arial"/>
          <w:sz w:val="19"/>
          <w:szCs w:val="19"/>
          <w:color w:val="auto"/>
        </w:rPr>
        <w:t>”: For the purposes of this Agreement and the Plan, Participant will be deemed to have experienced a Termination of Service on the date when Participant is no longer providing active services to the Company and/or its Subsidiaries and affiliates, including without limitation, because of termination by the Company or a Subsidiary of its relationship with the Participant for any reason, with or without cause, termination by mutual consent, resignation, discharge, but excluding terminations where the Participant simultaneously commences or remains in service with the Company or any Subsidiary.</w:t>
      </w:r>
    </w:p>
    <w:p>
      <w:pPr>
        <w:spacing w:after="0" w:line="180" w:lineRule="exact"/>
        <w:rPr>
          <w:sz w:val="20"/>
          <w:szCs w:val="20"/>
          <w:color w:val="auto"/>
        </w:rPr>
      </w:pPr>
    </w:p>
    <w:p>
      <w:pPr>
        <w:jc w:val="both"/>
        <w:ind w:firstLine="1092"/>
        <w:spacing w:after="0" w:line="244" w:lineRule="auto"/>
        <w:rPr>
          <w:sz w:val="20"/>
          <w:szCs w:val="20"/>
          <w:color w:val="auto"/>
        </w:rPr>
      </w:pPr>
      <w:r>
        <w:rPr>
          <w:rFonts w:ascii="Arial" w:cs="Arial" w:eastAsia="Arial" w:hAnsi="Arial"/>
          <w:sz w:val="20"/>
          <w:szCs w:val="20"/>
          <w:color w:val="auto"/>
        </w:rPr>
        <w:t>vi.“</w:t>
      </w:r>
      <w:r>
        <w:rPr>
          <w:rFonts w:ascii="Arial" w:cs="Arial" w:eastAsia="Arial" w:hAnsi="Arial"/>
          <w:sz w:val="20"/>
          <w:szCs w:val="20"/>
          <w:u w:val="single" w:color="auto"/>
          <w:color w:val="auto"/>
        </w:rPr>
        <w:t>Detrimental Activity</w:t>
      </w:r>
      <w:r>
        <w:rPr>
          <w:rFonts w:ascii="Arial" w:cs="Arial" w:eastAsia="Arial" w:hAnsi="Arial"/>
          <w:sz w:val="20"/>
          <w:szCs w:val="20"/>
          <w:color w:val="auto"/>
        </w:rPr>
        <w:t>”: For the purposes of this Agreement and the Plan, the definition of “Detrimental Activity” in section 23 shall be expanded to include any act or omission that to the Company or its Subsidiaries’ discretion constitutes cause for termination of the Participant’s relationship with the Company or its Subsidiaries under Applicable Law, without the Company or its Subsidiaries having to notify the termination with detrimental activity before any authority or follow any procedure before any authority to demonstrate such detrimental activity.</w:t>
      </w:r>
    </w:p>
    <w:p>
      <w:pPr>
        <w:spacing w:after="0" w:line="194" w:lineRule="exact"/>
        <w:rPr>
          <w:sz w:val="20"/>
          <w:szCs w:val="20"/>
          <w:color w:val="auto"/>
        </w:rPr>
      </w:pPr>
    </w:p>
    <w:p>
      <w:pPr>
        <w:jc w:val="both"/>
        <w:ind w:firstLine="1038"/>
        <w:spacing w:after="0" w:line="316" w:lineRule="auto"/>
        <w:rPr>
          <w:sz w:val="20"/>
          <w:szCs w:val="20"/>
          <w:color w:val="auto"/>
        </w:rPr>
      </w:pPr>
      <w:r>
        <w:rPr>
          <w:rFonts w:ascii="Arial" w:cs="Arial" w:eastAsia="Arial" w:hAnsi="Arial"/>
          <w:sz w:val="18"/>
          <w:szCs w:val="18"/>
          <w:color w:val="auto"/>
        </w:rPr>
        <w:t>vii.“</w:t>
      </w:r>
      <w:r>
        <w:rPr>
          <w:rFonts w:ascii="Arial" w:cs="Arial" w:eastAsia="Arial" w:hAnsi="Arial"/>
          <w:sz w:val="18"/>
          <w:szCs w:val="18"/>
          <w:u w:val="single" w:color="auto"/>
          <w:color w:val="auto"/>
        </w:rPr>
        <w:t>Good Reason</w:t>
      </w:r>
      <w:r>
        <w:rPr>
          <w:rFonts w:ascii="Arial" w:cs="Arial" w:eastAsia="Arial" w:hAnsi="Arial"/>
          <w:sz w:val="18"/>
          <w:szCs w:val="18"/>
          <w:color w:val="auto"/>
        </w:rPr>
        <w:t>”: For the purposes of this Agreement and the Plan, the definition of “Good Reason” in section 22(c) means, without the Participant’s express written consent, the occurrence of any one or more of the following during the Protection Period:</w:t>
      </w:r>
    </w:p>
    <w:p>
      <w:pPr>
        <w:spacing w:after="0" w:line="130" w:lineRule="exact"/>
        <w:rPr>
          <w:sz w:val="20"/>
          <w:szCs w:val="20"/>
          <w:color w:val="auto"/>
        </w:rPr>
      </w:pPr>
    </w:p>
    <w:p>
      <w:pPr>
        <w:jc w:val="both"/>
        <w:ind w:firstLine="1952"/>
        <w:spacing w:after="0" w:line="250" w:lineRule="auto"/>
        <w:tabs>
          <w:tab w:leader="none" w:pos="258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assignment of the Participant to duties materially inconsistent with the Participant’s authorities, duties, responsibilities, and status (including, without limitation, offices, titles and reporting requirements) (including, without limitation, any material adverse change in duties or status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29" w:name="page130"/>
    <w:bookmarkEnd w:id="129"/>
    <w:p>
      <w:pPr>
        <w:jc w:val="both"/>
        <w:spacing w:after="0" w:line="260" w:lineRule="auto"/>
        <w:rPr>
          <w:sz w:val="20"/>
          <w:szCs w:val="20"/>
          <w:color w:val="auto"/>
        </w:rPr>
      </w:pPr>
      <w:r>
        <w:rPr>
          <w:rFonts w:ascii="Arial" w:cs="Arial" w:eastAsia="Arial" w:hAnsi="Arial"/>
          <w:sz w:val="19"/>
          <w:szCs w:val="19"/>
          <w:color w:val="auto"/>
        </w:rPr>
        <w:t>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180" w:lineRule="exact"/>
        <w:rPr>
          <w:sz w:val="20"/>
          <w:szCs w:val="20"/>
          <w:color w:val="auto"/>
        </w:rPr>
      </w:pPr>
    </w:p>
    <w:p>
      <w:pPr>
        <w:jc w:val="both"/>
        <w:ind w:firstLine="1952"/>
        <w:spacing w:after="0" w:line="246" w:lineRule="auto"/>
        <w:tabs>
          <w:tab w:leader="none" w:pos="259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81"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 or</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(a) on the Grant Date, (b) during the fiscal year immediately preceding the year of the Change in Control and (c) on the date immediately preceding the Change in Control.</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existence of Good Reason will not be affected by the Participant’s temporary incapacity due to physical or mental illness not constituting a Disability. The Participant’s continued service will not constitute a waiver of the Participant’s rights with respect to any circumstance constituting Good Reason; however, “Good Reason” for Participant’s separation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the Company effective not later than twenty four (24) months after the original occurrence of the “Good Reason” event. For sake of clarity, the event giving rise to a Good Reason termination must occur during the Protection Period, but Participant’s actual termination for Good Reason may occur after the end of the Protection Period, and such termination will be treated as if it occurred during the Protection Period for purposes of </w:t>
      </w:r>
      <w:r>
        <w:rPr>
          <w:rFonts w:ascii="Arial" w:cs="Arial" w:eastAsia="Arial" w:hAnsi="Arial"/>
          <w:sz w:val="20"/>
          <w:szCs w:val="20"/>
          <w:u w:val="single" w:color="auto"/>
          <w:color w:val="auto"/>
        </w:rPr>
        <w:t>Section 3(a)</w:t>
      </w:r>
      <w:r>
        <w:rPr>
          <w:rFonts w:ascii="Arial" w:cs="Arial" w:eastAsia="Arial" w:hAnsi="Arial"/>
          <w:sz w:val="20"/>
          <w:szCs w:val="20"/>
          <w:color w:val="auto"/>
        </w:rPr>
        <w:t>.</w:t>
      </w:r>
    </w:p>
    <w:p>
      <w:pPr>
        <w:spacing w:after="0" w:line="194" w:lineRule="exact"/>
        <w:rPr>
          <w:sz w:val="20"/>
          <w:szCs w:val="20"/>
          <w:color w:val="auto"/>
        </w:rPr>
      </w:pPr>
    </w:p>
    <w:p>
      <w:pPr>
        <w:jc w:val="both"/>
        <w:ind w:firstLine="656"/>
        <w:spacing w:after="0" w:line="273"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Entitlement for Claims.</w:t>
      </w:r>
      <w:r>
        <w:rPr>
          <w:rFonts w:ascii="Arial" w:cs="Arial" w:eastAsia="Arial" w:hAnsi="Arial"/>
          <w:sz w:val="18"/>
          <w:szCs w:val="18"/>
          <w:color w:val="auto"/>
        </w:rPr>
        <w:t xml:space="preserve"> The Company has unilaterally, gratuitously and discretionally decided to grant the RSUs under the Plan. In accepting this Agreement, Participant expressly acknowledges and accepts that the RSUs and the Shares issued pursuant to vesting are granted directly by the Company; therefore, such are not part of the salary, payments, bonuses, premiums, commissions, employment benefits in money or in kind, or any other benefits paid out by the Mexican Subsidiary to the Participant because of his/her services. Consequently, the RSUs are granted on the assumption and condition that RSUs and the Shares issued pursuant to vesting of the RSUs are not part of the Participant’s remuneration by the Mexican Subsidiary of the Company and shall not be considered for any purposes in connection with such Mexican Subsidiary, including without limitation, for determining any severance payment or compensation otherwise due</w:t>
      </w:r>
      <w:r>
        <w:rPr>
          <w:rFonts w:ascii="Arial" w:cs="Arial" w:eastAsia="Arial" w:hAnsi="Arial"/>
          <w:sz w:val="18"/>
          <w:szCs w:val="18"/>
          <w:u w:val="single" w:color="auto"/>
          <w:color w:val="auto"/>
        </w:rPr>
        <w:t>, or any payments resulting from any employment relationship that may be in place.</w:t>
      </w:r>
    </w:p>
    <w:p>
      <w:pPr>
        <w:spacing w:after="0" w:line="168"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 The Participant is advised to seek professional tax advice as to the Participant’s tax implications. All taxes (including income tax) arising from the award of any RSU or the vesting of any RSU thereon shall be borne by the Participant, who shall pay such taxes pursuant to the Applicable Law and shall provide to the Company copies of the applicable tax return and the tax payment within the five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0" w:name="page131"/>
    <w:bookmarkEnd w:id="130"/>
    <w:p>
      <w:pPr>
        <w:jc w:val="both"/>
        <w:ind w:firstLine="8"/>
        <w:spacing w:after="0" w:line="250" w:lineRule="auto"/>
        <w:tabs>
          <w:tab w:leader="none" w:pos="30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business days following to the date when the corresponding tax should have been paid. Likewise, the Participant shall deliver to the Company the applicable digital tax invoice, if any, to be issued pursuant to the Applicable Law and a copy thereof to a Mexican affiliate of the Company.</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08" w:val="left"/>
        </w:tabs>
        <w:numPr>
          <w:ilvl w:val="1"/>
          <w:numId w:val="180"/>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By entering into the Agreement, Participant consents to the processing of Data by Company for the Purposes. The recipient of Participant’s personal data will retain the data in a secure network system at such standard as would be reasonably expected for the storage of valuable and proprietary for sensitive/confidential data.</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ii.</w:t>
      </w:r>
      <w:r>
        <w:rPr>
          <w:rFonts w:ascii="Arial" w:cs="Arial" w:eastAsia="Arial" w:hAnsi="Arial"/>
          <w:sz w:val="20"/>
          <w:szCs w:val="20"/>
          <w:b w:val="1"/>
          <w:bCs w:val="1"/>
          <w:u w:val="single" w:color="auto"/>
          <w:color w:val="auto"/>
        </w:rPr>
        <w:t>NETHERLANDS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the Netherlands</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the Netherlands for tax, labour or securities law purposes.</w:t>
      </w:r>
    </w:p>
    <w:p>
      <w:pPr>
        <w:spacing w:after="0" w:line="183" w:lineRule="exact"/>
        <w:rPr>
          <w:sz w:val="20"/>
          <w:szCs w:val="20"/>
          <w:color w:val="auto"/>
        </w:rPr>
      </w:pPr>
    </w:p>
    <w:p>
      <w:pPr>
        <w:jc w:val="both"/>
        <w:ind w:firstLine="656"/>
        <w:spacing w:after="0" w:line="244" w:lineRule="auto"/>
        <w:tabs>
          <w:tab w:leader="none" w:pos="1296"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For the avoidance of doubt, taxes include social security contributions. The Participant shall indemnify the Company or the Employer from and against any liability for or obligation to pay any Tax Liability (a “Tax Liability” being any liability for income tax, withholding tax and any other employment related taxes in any jurisdiction, including but not limited to wage tax or social security contributions) that is attributable to (1) the grant or vesting of, or any benefit the Participant derives from, the RSUs, (2) the Participant’s acquisition of Shares, or (3) the disposal of any Shares.</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xml:space="preserve"> Detrimental Activity</w:t>
      </w:r>
      <w:r>
        <w:rPr>
          <w:rFonts w:ascii="Arial" w:cs="Arial" w:eastAsia="Arial" w:hAnsi="Arial"/>
          <w:sz w:val="20"/>
          <w:szCs w:val="20"/>
          <w:u w:val="single" w:color="auto"/>
          <w:color w:val="auto"/>
        </w:rPr>
        <w:t>, Disability, Good Reason and Retirement</w:t>
      </w:r>
      <w:r>
        <w:rPr>
          <w:rFonts w:ascii="Arial" w:cs="Arial" w:eastAsia="Arial" w:hAnsi="Arial"/>
          <w:sz w:val="20"/>
          <w:szCs w:val="20"/>
          <w:color w:val="auto"/>
        </w:rPr>
        <w:t>. For the avoidance of doubt, the definitions of Termination of Service, Detrimental Activity, Disability, Good Reason and Retirement shall be subject to Dutch law and its interpretation.</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information contained herein does not constitute an offer of securities to the public in the Netherlands. Participation in the Plan is restricted to Employees of the Company and its subsidiaries who meet the eligibility criteria. The information contained herein is intended only for those Employees of the Company and its subsidiaries eligible to participate in the Plan.</w:t>
      </w:r>
    </w:p>
    <w:p>
      <w:pPr>
        <w:spacing w:after="0" w:line="151" w:lineRule="exact"/>
        <w:rPr>
          <w:rFonts w:ascii="Arial" w:cs="Arial" w:eastAsia="Arial" w:hAnsi="Arial"/>
          <w:sz w:val="18"/>
          <w:szCs w:val="18"/>
          <w:color w:val="auto"/>
        </w:rPr>
      </w:pPr>
    </w:p>
    <w:p>
      <w:pPr>
        <w:ind w:left="1300" w:hanging="644"/>
        <w:spacing w:after="0"/>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16" w:lineRule="exact"/>
        <w:rPr>
          <w:sz w:val="20"/>
          <w:szCs w:val="20"/>
          <w:color w:val="auto"/>
        </w:rPr>
      </w:pPr>
    </w:p>
    <w:p>
      <w:pPr>
        <w:ind w:firstLine="983"/>
        <w:spacing w:after="0" w:line="260" w:lineRule="auto"/>
        <w:rPr>
          <w:sz w:val="20"/>
          <w:szCs w:val="20"/>
          <w:color w:val="auto"/>
        </w:rPr>
      </w:pPr>
      <w:r>
        <w:rPr>
          <w:rFonts w:ascii="Arial" w:cs="Arial" w:eastAsia="Arial" w:hAnsi="Arial"/>
          <w:sz w:val="20"/>
          <w:szCs w:val="20"/>
          <w:color w:val="auto"/>
        </w:rPr>
        <w:t>viii.“</w:t>
      </w:r>
      <w:r>
        <w:rPr>
          <w:rFonts w:ascii="Arial" w:cs="Arial" w:eastAsia="Arial" w:hAnsi="Arial"/>
          <w:sz w:val="20"/>
          <w:szCs w:val="20"/>
          <w:u w:val="single" w:color="auto"/>
          <w:color w:val="auto"/>
        </w:rPr>
        <w:t>Employee</w:t>
      </w:r>
      <w:r>
        <w:rPr>
          <w:rFonts w:ascii="Arial" w:cs="Arial" w:eastAsia="Arial" w:hAnsi="Arial"/>
          <w:sz w:val="20"/>
          <w:szCs w:val="20"/>
          <w:color w:val="auto"/>
        </w:rPr>
        <w:t>” means: any officer or other employee (as determined in accordance with Article 7:610 of the Dutch Civil Code) of the Company or of any Subsidiary.</w:t>
      </w:r>
    </w:p>
    <w:p>
      <w:pPr>
        <w:spacing w:after="0" w:line="177" w:lineRule="exact"/>
        <w:rPr>
          <w:sz w:val="20"/>
          <w:szCs w:val="20"/>
          <w:color w:val="auto"/>
        </w:rPr>
      </w:pPr>
    </w:p>
    <w:p>
      <w:pPr>
        <w:ind w:firstLine="1092"/>
        <w:spacing w:after="0" w:line="260" w:lineRule="auto"/>
        <w:rPr>
          <w:sz w:val="20"/>
          <w:szCs w:val="20"/>
          <w:color w:val="auto"/>
        </w:rPr>
      </w:pPr>
      <w:r>
        <w:rPr>
          <w:rFonts w:ascii="Arial" w:cs="Arial" w:eastAsia="Arial" w:hAnsi="Arial"/>
          <w:sz w:val="20"/>
          <w:szCs w:val="20"/>
          <w:color w:val="auto"/>
        </w:rPr>
        <w:t>ix.“</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agreement at the time the State pension age (</w:t>
      </w:r>
      <w:r>
        <w:rPr>
          <w:rFonts w:ascii="Arial" w:cs="Arial" w:eastAsia="Arial" w:hAnsi="Arial"/>
          <w:sz w:val="20"/>
          <w:szCs w:val="20"/>
          <w:i w:val="1"/>
          <w:iCs w:val="1"/>
          <w:color w:val="auto"/>
        </w:rPr>
        <w:t>AOW-gerechtigde leeftijd</w:t>
      </w:r>
      <w:r>
        <w:rPr>
          <w:rFonts w:ascii="Arial" w:cs="Arial" w:eastAsia="Arial" w:hAnsi="Arial"/>
          <w:sz w:val="20"/>
          <w:szCs w:val="20"/>
          <w:color w:val="auto"/>
        </w:rPr>
        <w:t>) is reached.</w:t>
      </w:r>
    </w:p>
    <w:p>
      <w:pPr>
        <w:spacing w:after="0" w:line="177"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Data Privacy.</w:t>
      </w:r>
    </w:p>
    <w:p>
      <w:pPr>
        <w:spacing w:after="0" w:line="216" w:lineRule="exact"/>
        <w:rPr>
          <w:sz w:val="20"/>
          <w:szCs w:val="20"/>
          <w:color w:val="auto"/>
        </w:rPr>
      </w:pPr>
    </w:p>
    <w:p>
      <w:pPr>
        <w:jc w:val="both"/>
        <w:ind w:firstLine="1147"/>
        <w:spacing w:after="0" w:line="260" w:lineRule="auto"/>
        <w:rPr>
          <w:sz w:val="20"/>
          <w:szCs w:val="20"/>
          <w:color w:val="auto"/>
        </w:rPr>
      </w:pPr>
      <w:r>
        <w:rPr>
          <w:rFonts w:ascii="Arial" w:cs="Arial" w:eastAsia="Arial" w:hAnsi="Arial"/>
          <w:sz w:val="20"/>
          <w:szCs w:val="20"/>
          <w:color w:val="auto"/>
        </w:rPr>
        <w:t>x.The Participant's citizen service number (burger service nummer) will not be processed by the Company nor disclosed to third parties unless a legal obligation exists to do so.</w:t>
      </w:r>
    </w:p>
    <w:p>
      <w:pPr>
        <w:spacing w:after="0" w:line="177" w:lineRule="exact"/>
        <w:rPr>
          <w:sz w:val="20"/>
          <w:szCs w:val="20"/>
          <w:color w:val="auto"/>
        </w:rPr>
      </w:pPr>
    </w:p>
    <w:p>
      <w:pPr>
        <w:jc w:val="both"/>
        <w:ind w:right="20" w:firstLine="1092"/>
        <w:spacing w:after="0" w:line="287" w:lineRule="auto"/>
        <w:rPr>
          <w:sz w:val="20"/>
          <w:szCs w:val="20"/>
          <w:color w:val="auto"/>
        </w:rPr>
      </w:pPr>
      <w:r>
        <w:rPr>
          <w:rFonts w:ascii="Arial" w:cs="Arial" w:eastAsia="Arial" w:hAnsi="Arial"/>
          <w:sz w:val="19"/>
          <w:szCs w:val="19"/>
          <w:color w:val="auto"/>
        </w:rPr>
        <w:t>xi.The Participant has the right to object to the processing of his Data and to lodge a complaint with the Dutch Data Protection Authority (Autoriteit Persoonsgegevens) which can be done on the website www.autoriteitpersoonsgegevens.nl.</w:t>
      </w:r>
    </w:p>
    <w:p>
      <w:pPr>
        <w:spacing w:after="0" w:line="152" w:lineRule="exact"/>
        <w:rPr>
          <w:sz w:val="20"/>
          <w:szCs w:val="20"/>
          <w:color w:val="auto"/>
        </w:rPr>
      </w:pPr>
    </w:p>
    <w:p>
      <w:pPr>
        <w:jc w:val="both"/>
        <w:ind w:firstLine="1038"/>
        <w:spacing w:after="0" w:line="250" w:lineRule="auto"/>
        <w:rPr>
          <w:sz w:val="20"/>
          <w:szCs w:val="20"/>
          <w:color w:val="auto"/>
        </w:rPr>
      </w:pPr>
      <w:r>
        <w:rPr>
          <w:rFonts w:ascii="Arial" w:cs="Arial" w:eastAsia="Arial" w:hAnsi="Arial"/>
          <w:sz w:val="20"/>
          <w:szCs w:val="20"/>
          <w:color w:val="auto"/>
        </w:rPr>
        <w:t>xii.Data will be held and used through the relevant time limitation period for claims under the Plan, and for as long as required by the law for compliance with legal and financial reporting purposes, which shall be for a period of at least 5 years after Participation to the Plan has ended and/or terminated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1" w:name="page132"/>
    <w:bookmarkEnd w:id="131"/>
    <w:p>
      <w:pPr>
        <w:jc w:val="both"/>
        <w:spacing w:after="0" w:line="260" w:lineRule="auto"/>
        <w:rPr>
          <w:sz w:val="20"/>
          <w:szCs w:val="20"/>
          <w:color w:val="auto"/>
        </w:rPr>
      </w:pPr>
      <w:r>
        <w:rPr>
          <w:rFonts w:ascii="Arial" w:cs="Arial" w:eastAsia="Arial" w:hAnsi="Arial"/>
          <w:sz w:val="20"/>
          <w:szCs w:val="20"/>
          <w:color w:val="auto"/>
        </w:rPr>
        <w:t>where the Data is part of the financial administration required for Dutch tax law purposes for a period of at least 7 years after the end of the relevant tax year.</w:t>
      </w:r>
    </w:p>
    <w:p>
      <w:pPr>
        <w:spacing w:after="0" w:line="171" w:lineRule="exact"/>
        <w:rPr>
          <w:sz w:val="20"/>
          <w:szCs w:val="20"/>
          <w:color w:val="auto"/>
        </w:rPr>
      </w:pPr>
    </w:p>
    <w:p>
      <w:pPr>
        <w:ind w:left="3680"/>
        <w:spacing w:after="0"/>
        <w:tabs>
          <w:tab w:leader="none" w:pos="516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xml:space="preserve"> By entering into the Agreement, Participant consents to the processing of Data by Company for the Purposes.</w:t>
      </w: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u w:val="single" w:color="auto"/>
          <w:color w:val="auto"/>
        </w:rPr>
        <w:t>Confidentiality and Non-Compete Agreement – Exhibit A:</w:t>
      </w:r>
      <w:r>
        <w:rPr>
          <w:rFonts w:ascii="Arial" w:cs="Arial" w:eastAsia="Arial" w:hAnsi="Arial"/>
          <w:sz w:val="18"/>
          <w:szCs w:val="18"/>
          <w:color w:val="auto"/>
        </w:rPr>
        <w:t xml:space="preserve"> The Participant hereby agrees that the restrictions in Clause 2 of the Confidentiality and Non-Compete Agreement set forth in Exhibit A protect the legitimate interest of the Company and its Subsidiaries; are reasonably necessary to protect the interests of the Company and its Subsidiaries; and are not unreasonable as regards the Participant.</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iv.</w:t>
      </w:r>
      <w:r>
        <w:rPr>
          <w:rFonts w:ascii="Arial" w:cs="Arial" w:eastAsia="Arial" w:hAnsi="Arial"/>
          <w:sz w:val="20"/>
          <w:szCs w:val="20"/>
          <w:b w:val="1"/>
          <w:bCs w:val="1"/>
          <w:u w:val="single" w:color="auto"/>
          <w:color w:val="auto"/>
        </w:rPr>
        <w:t>NORWAY</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Norway</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Norway for tax, labour or securities law purposes.</w:t>
      </w:r>
    </w:p>
    <w:p>
      <w:pPr>
        <w:spacing w:after="0" w:line="183" w:lineRule="exact"/>
        <w:rPr>
          <w:sz w:val="20"/>
          <w:szCs w:val="20"/>
          <w:color w:val="auto"/>
        </w:rPr>
      </w:pPr>
    </w:p>
    <w:p>
      <w:pPr>
        <w:jc w:val="both"/>
        <w:ind w:firstLine="656"/>
        <w:spacing w:after="0" w:line="282" w:lineRule="auto"/>
        <w:tabs>
          <w:tab w:leader="none" w:pos="129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RSUs</w:t>
      </w:r>
      <w:r>
        <w:rPr>
          <w:rFonts w:ascii="Arial" w:cs="Arial" w:eastAsia="Arial" w:hAnsi="Arial"/>
          <w:sz w:val="18"/>
          <w:szCs w:val="18"/>
          <w:color w:val="auto"/>
        </w:rPr>
        <w:t>. In accepting this Agreement, the Participant acknowledges that, in the event of termination of the Participant’s employment, the Participant’s rights to vest the RSUs under the Plan, if any, will terminate effective as of the date of the termination notice, and will not be extended by any notice period or agreed “garden leave”; the Administrator shall have the exclusive discretion to determine when the Participant is no longer actively employed for purposes of Participant’s RSUs.</w:t>
      </w:r>
    </w:p>
    <w:p>
      <w:pPr>
        <w:spacing w:after="0" w:line="161" w:lineRule="exact"/>
        <w:rPr>
          <w:rFonts w:ascii="Arial" w:cs="Arial" w:eastAsia="Arial" w:hAnsi="Arial"/>
          <w:sz w:val="18"/>
          <w:szCs w:val="18"/>
          <w:color w:val="auto"/>
        </w:rPr>
      </w:pPr>
    </w:p>
    <w:p>
      <w:pPr>
        <w:ind w:firstLine="656"/>
        <w:spacing w:after="0" w:line="260" w:lineRule="auto"/>
        <w:tabs>
          <w:tab w:leader="none" w:pos="1296"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Clause 23(c)(iv) and Clause 20(c)(v) regarding the Definition of the term “Good Reason” do not apply to Participants whose employment are governed by Norwegian Law.</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provisions on Confidentiality and Non-Compete in Exhibit A only apply as far as allowed subject to Norwegian law for Participants whose employment are governed by Norwegian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POLAND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The provisions of this Country Schedule for Poland provide additional definitions and conditions for the purpose of granting RSUs which are intended to be granted to Employees and corporate officers who are resident in Poland for tax, labour or securities law purposes.</w:t>
      </w:r>
    </w:p>
    <w:p>
      <w:pPr>
        <w:spacing w:after="0" w:line="183" w:lineRule="exact"/>
        <w:rPr>
          <w:sz w:val="20"/>
          <w:szCs w:val="20"/>
          <w:color w:val="auto"/>
        </w:rPr>
      </w:pPr>
    </w:p>
    <w:p>
      <w:pPr>
        <w:ind w:right="20" w:firstLine="656"/>
        <w:spacing w:after="0" w:line="260" w:lineRule="auto"/>
        <w:tabs>
          <w:tab w:leader="none" w:pos="129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Detrimental Activity. For the purposes of this Agreement, the definition of “Detrimental Activity” in Section 20 shall be expanded to include termination of employment contract without notice (under art. 52 of the Polish Labour Code).</w:t>
      </w:r>
    </w:p>
    <w:p>
      <w:pPr>
        <w:spacing w:after="0" w:line="176" w:lineRule="exact"/>
        <w:rPr>
          <w:rFonts w:ascii="Arial" w:cs="Arial" w:eastAsia="Arial" w:hAnsi="Arial"/>
          <w:sz w:val="20"/>
          <w:szCs w:val="20"/>
          <w:color w:val="auto"/>
        </w:rPr>
      </w:pPr>
    </w:p>
    <w:p>
      <w:pPr>
        <w:jc w:val="both"/>
        <w:ind w:firstLine="656"/>
        <w:spacing w:after="0" w:line="328" w:lineRule="auto"/>
        <w:tabs>
          <w:tab w:leader="none" w:pos="1296"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No Entitlement for Claims</w:t>
      </w:r>
      <w:r>
        <w:rPr>
          <w:rFonts w:ascii="Arial" w:cs="Arial" w:eastAsia="Arial" w:hAnsi="Arial"/>
          <w:sz w:val="16"/>
          <w:szCs w:val="16"/>
          <w:color w:val="auto"/>
        </w:rPr>
        <w:t>. The RSUs and the Shares issued pursuant to vesting are not part of Employee’s work and pay conditions within the meaning of the Polish Labour Code and therefore, shall not be considered for the purposes of determining any severance pay, compensation, or any payment due to cessation of employment, any bonuses/awards, compensation related to non-competition arrangements, or any payments resulting from employment relationship, including payments towards employee capital plans (PPK).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2" w:name="page133"/>
    <w:bookmarkEnd w:id="132"/>
    <w:p>
      <w:pPr>
        <w:ind w:firstLine="656"/>
        <w:spacing w:after="0" w:line="316" w:lineRule="auto"/>
        <w:tabs>
          <w:tab w:leader="none" w:pos="129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Retirement and Disability</w:t>
      </w:r>
      <w:r>
        <w:rPr>
          <w:rFonts w:ascii="Arial" w:cs="Arial" w:eastAsia="Arial" w:hAnsi="Arial"/>
          <w:sz w:val="18"/>
          <w:szCs w:val="18"/>
          <w:color w:val="auto"/>
        </w:rPr>
        <w:t>. “Retirement” means termination of Participant’s employment on or after the date Participant would be entitled to retire under the Polish statutory provisions. ”Disability” means disability to work under the Polish statutory provisions.</w:t>
      </w:r>
    </w:p>
    <w:p>
      <w:pPr>
        <w:spacing w:after="0" w:line="129"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Employee</w:t>
      </w:r>
      <w:r>
        <w:rPr>
          <w:rFonts w:ascii="Arial" w:cs="Arial" w:eastAsia="Arial" w:hAnsi="Arial"/>
          <w:sz w:val="20"/>
          <w:szCs w:val="20"/>
          <w:color w:val="auto"/>
        </w:rPr>
        <w:t>. “Employee” means: any officer or other employee (as determined under Polish Labour Code) of the Company or of any Subsidiary.</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Plan and Awards under the Plan, specifically, the RSUs and Shares, are only addressed to selected and specific employees and the RSUs and Shares are not listed or meant to be listed on any regulated market or multilateral trading facility in Poland. The Awards under the Plan, specifically, the RSUs and Shares, can be offered in Poland without the requirement of publishing the prospectus under Regulation (EU) 2017/1129 of the European Parliament and of the Council of 14 June 2017 on a prospectus to be published when securities are offered to the public or admitted to trade on a regulated market, and repealing Directive 2003/71/ECT (Regulation): (i) if offered under one of the exemptions available under the Regulation, in particular, Article 1 section 4 letter (i) of the Regulation, provided that the document, drafted in Polish, is made available containing information on the number and nature of shares as well as reasons for and details of the offer, or (ii) if offered to less than 150 employees in Poland in a consecutive period of 12 months. Neither the Plan nor any related document has been approved or notified to the Polish Financial Supervisory Authority (“</w:t>
      </w:r>
      <w:r>
        <w:rPr>
          <w:rFonts w:ascii="Arial" w:cs="Arial" w:eastAsia="Arial" w:hAnsi="Arial"/>
          <w:sz w:val="19"/>
          <w:szCs w:val="19"/>
          <w:i w:val="1"/>
          <w:iCs w:val="1"/>
          <w:color w:val="auto"/>
        </w:rPr>
        <w:t>Komisja Nadzoru</w:t>
      </w:r>
      <w:r>
        <w:rPr>
          <w:rFonts w:ascii="Arial" w:cs="Arial" w:eastAsia="Arial" w:hAnsi="Arial"/>
          <w:sz w:val="19"/>
          <w:szCs w:val="19"/>
          <w:color w:val="auto"/>
        </w:rPr>
        <w:t xml:space="preserve"> </w:t>
      </w:r>
      <w:r>
        <w:rPr>
          <w:rFonts w:ascii="Arial" w:cs="Arial" w:eastAsia="Arial" w:hAnsi="Arial"/>
          <w:sz w:val="19"/>
          <w:szCs w:val="19"/>
          <w:i w:val="1"/>
          <w:iCs w:val="1"/>
          <w:color w:val="auto"/>
        </w:rPr>
        <w:t>Finansowego</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Participant is a resident or domiciled in Poland, the Participant will be required to file in the National Bank of Poland quarterly declarations of assets and liabilities held outside of Poland if at the end of a year the aggregate value of such assets and liabilities is equal to or greater than PLN 7,000,000. Additionally, the Participant must report annually if the Participant owns Shares that exceed 10% of the total voting capital of the Company.</w:t>
      </w:r>
    </w:p>
    <w:p>
      <w:pPr>
        <w:spacing w:after="0" w:line="191"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The Participant has the right to lodge a complaint with the Polish supervisory authority (President of the Personal Data Protection Office).</w:t>
      </w:r>
    </w:p>
    <w:p>
      <w:pPr>
        <w:spacing w:after="0" w:line="171" w:lineRule="exact"/>
        <w:rPr>
          <w:sz w:val="20"/>
          <w:szCs w:val="20"/>
          <w:color w:val="auto"/>
        </w:rPr>
      </w:pPr>
    </w:p>
    <w:p>
      <w:pPr>
        <w:ind w:left="5400" w:hanging="657"/>
        <w:spacing w:after="0"/>
        <w:tabs>
          <w:tab w:leader="none" w:pos="5400" w:val="left"/>
        </w:tabs>
        <w:numPr>
          <w:ilvl w:val="1"/>
          <w:numId w:val="1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PORTUGAL</w:t>
      </w:r>
    </w:p>
    <w:p>
      <w:pPr>
        <w:spacing w:after="0" w:line="215" w:lineRule="exact"/>
        <w:rPr>
          <w:rFonts w:ascii="Arial" w:cs="Arial" w:eastAsia="Arial" w:hAnsi="Arial"/>
          <w:sz w:val="20"/>
          <w:szCs w:val="20"/>
          <w:b w:val="1"/>
          <w:bCs w:val="1"/>
          <w:color w:val="auto"/>
        </w:rPr>
      </w:pPr>
    </w:p>
    <w:p>
      <w:pPr>
        <w:jc w:val="both"/>
        <w:ind w:firstLine="656"/>
        <w:spacing w:after="0" w:line="253" w:lineRule="auto"/>
        <w:tabs>
          <w:tab w:leader="none" w:pos="1296" w:val="left"/>
        </w:tabs>
        <w:numPr>
          <w:ilvl w:val="0"/>
          <w:numId w:val="187"/>
        </w:numPr>
        <w:rPr>
          <w:rFonts w:ascii="Arial" w:cs="Arial" w:eastAsia="Arial" w:hAnsi="Arial"/>
          <w:sz w:val="20"/>
          <w:szCs w:val="20"/>
          <w:b w:val="1"/>
          <w:bCs w:val="1"/>
          <w:color w:val="auto"/>
        </w:rPr>
      </w:pPr>
      <w:r>
        <w:rPr>
          <w:rFonts w:ascii="Arial" w:cs="Arial" w:eastAsia="Arial" w:hAnsi="Arial"/>
          <w:sz w:val="20"/>
          <w:szCs w:val="20"/>
          <w:b w:val="1"/>
          <w:bCs w:val="1"/>
          <w:color w:val="auto"/>
        </w:rPr>
        <w:t>The provisions of this Country Schedule for Portugal provide additional definitions and conditions for the purpose of granting RSUs which are intended to be granted to Employees and corporate officers who are resident in Portugal for tax, labour or securities law purposes.</w:t>
      </w:r>
    </w:p>
    <w:p>
      <w:pPr>
        <w:spacing w:after="0" w:line="183" w:lineRule="exact"/>
        <w:rPr>
          <w:sz w:val="20"/>
          <w:szCs w:val="20"/>
          <w:color w:val="auto"/>
        </w:rPr>
      </w:pPr>
    </w:p>
    <w:p>
      <w:pPr>
        <w:jc w:val="both"/>
        <w:ind w:firstLine="656"/>
        <w:spacing w:after="0" w:line="243" w:lineRule="auto"/>
        <w:tabs>
          <w:tab w:leader="none" w:pos="1296"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Neither the RSUs nor the Shares are publicly offered or listed on any regulated market or multilateral trading facility in Portugal. The offer of the RSUs and Shares is private and has not been communicated to, or cleared by, the Portuguese Securities Markets Commission (</w:t>
      </w:r>
      <w:r>
        <w:rPr>
          <w:rFonts w:ascii="Arial" w:cs="Arial" w:eastAsia="Arial" w:hAnsi="Arial"/>
          <w:sz w:val="20"/>
          <w:szCs w:val="20"/>
          <w:i w:val="1"/>
          <w:iCs w:val="1"/>
          <w:color w:val="auto"/>
        </w:rPr>
        <w:t>Comissão do Mercado de Valores Mobiliários</w:t>
      </w:r>
      <w:r>
        <w:rPr>
          <w:rFonts w:ascii="Arial" w:cs="Arial" w:eastAsia="Arial" w:hAnsi="Arial"/>
          <w:sz w:val="20"/>
          <w:szCs w:val="20"/>
          <w:color w:val="auto"/>
        </w:rPr>
        <w:t>), pursuant to the applicable Portuguese law. Accordingly, the offer may be made in Portugal only in circumstances which are exempted from the rules on public offerings pursuant to Portuguese Securities Code</w:t>
      </w:r>
      <w:r>
        <w:rPr>
          <w:rFonts w:ascii="Arial" w:cs="Arial" w:eastAsia="Arial" w:hAnsi="Arial"/>
          <w:sz w:val="20"/>
          <w:szCs w:val="20"/>
          <w:color w:val="545454"/>
        </w:rPr>
        <w:t>,</w:t>
      </w:r>
      <w:r>
        <w:rPr>
          <w:rFonts w:ascii="Arial" w:cs="Arial" w:eastAsia="Arial" w:hAnsi="Arial"/>
          <w:sz w:val="20"/>
          <w:szCs w:val="20"/>
          <w:color w:val="auto"/>
        </w:rPr>
        <w:t xml:space="preserve"> approved by Decree-Law no. 486/99, of 13 November. The Agreement and other materials relating to the granting of the RSUs and the Shares are strictly confidential and may not be distributed to any person or entity other than the Participant and other selected Employees.</w:t>
      </w:r>
    </w:p>
    <w:p>
      <w:pPr>
        <w:spacing w:after="0" w:line="201" w:lineRule="exact"/>
        <w:rPr>
          <w:rFonts w:ascii="Arial" w:cs="Arial" w:eastAsia="Arial" w:hAnsi="Arial"/>
          <w:sz w:val="20"/>
          <w:szCs w:val="20"/>
          <w:color w:val="auto"/>
        </w:rPr>
      </w:pPr>
    </w:p>
    <w:p>
      <w:pPr>
        <w:jc w:val="both"/>
        <w:ind w:firstLine="656"/>
        <w:spacing w:after="0" w:line="261" w:lineRule="auto"/>
        <w:tabs>
          <w:tab w:leader="none" w:pos="1296"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xml:space="preserve"> </w:t>
      </w:r>
      <w:r>
        <w:rPr>
          <w:rFonts w:ascii="Arial" w:cs="Arial" w:eastAsia="Arial" w:hAnsi="Arial"/>
          <w:sz w:val="21"/>
          <w:szCs w:val="21"/>
          <w:color w:val="auto"/>
        </w:rPr>
        <w:t>D</w:t>
      </w:r>
      <w:r>
        <w:rPr>
          <w:rFonts w:ascii="Arial" w:cs="Arial" w:eastAsia="Arial" w:hAnsi="Arial"/>
          <w:sz w:val="20"/>
          <w:szCs w:val="20"/>
          <w:color w:val="auto"/>
        </w:rPr>
        <w:t xml:space="preserve">etrimental </w:t>
      </w:r>
      <w:r>
        <w:rPr>
          <w:rFonts w:ascii="Arial" w:cs="Arial" w:eastAsia="Arial" w:hAnsi="Arial"/>
          <w:sz w:val="21"/>
          <w:szCs w:val="21"/>
          <w:color w:val="auto"/>
        </w:rPr>
        <w:t>A</w:t>
      </w:r>
      <w:r>
        <w:rPr>
          <w:rFonts w:ascii="Arial" w:cs="Arial" w:eastAsia="Arial" w:hAnsi="Arial"/>
          <w:sz w:val="20"/>
          <w:szCs w:val="20"/>
          <w:color w:val="auto"/>
        </w:rPr>
        <w:t>ctivity</w:t>
      </w:r>
      <w:r>
        <w:rPr>
          <w:rFonts w:ascii="Arial" w:cs="Arial" w:eastAsia="Arial" w:hAnsi="Arial"/>
          <w:sz w:val="20"/>
          <w:szCs w:val="20"/>
          <w:u w:val="single" w:color="auto"/>
          <w:color w:val="auto"/>
        </w:rPr>
        <w:t>, Disability, Good Reason and Retirement</w:t>
      </w:r>
      <w:r>
        <w:rPr>
          <w:rFonts w:ascii="Arial" w:cs="Arial" w:eastAsia="Arial" w:hAnsi="Arial"/>
          <w:sz w:val="20"/>
          <w:szCs w:val="20"/>
          <w:color w:val="auto"/>
        </w:rPr>
        <w:t xml:space="preserve">. For the avoidance of doubt, the definitions of Termination of Service, </w:t>
      </w:r>
      <w:r>
        <w:rPr>
          <w:rFonts w:ascii="Arial" w:cs="Arial" w:eastAsia="Arial" w:hAnsi="Arial"/>
          <w:sz w:val="21"/>
          <w:szCs w:val="21"/>
          <w:color w:val="auto"/>
        </w:rPr>
        <w:t>D</w:t>
      </w:r>
      <w:r>
        <w:rPr>
          <w:rFonts w:ascii="Arial" w:cs="Arial" w:eastAsia="Arial" w:hAnsi="Arial"/>
          <w:sz w:val="20"/>
          <w:szCs w:val="20"/>
          <w:color w:val="auto"/>
        </w:rPr>
        <w:t xml:space="preserve">etrimental </w:t>
      </w:r>
      <w:r>
        <w:rPr>
          <w:rFonts w:ascii="Arial" w:cs="Arial" w:eastAsia="Arial" w:hAnsi="Arial"/>
          <w:sz w:val="21"/>
          <w:szCs w:val="21"/>
          <w:color w:val="auto"/>
        </w:rPr>
        <w:t>A</w:t>
      </w:r>
      <w:r>
        <w:rPr>
          <w:rFonts w:ascii="Arial" w:cs="Arial" w:eastAsia="Arial" w:hAnsi="Arial"/>
          <w:sz w:val="20"/>
          <w:szCs w:val="20"/>
          <w:color w:val="auto"/>
        </w:rPr>
        <w:t>ctivity, Disability, Good Reason and Retirement shall be interpreted in accordance with Portuguese labor law.</w:t>
      </w:r>
    </w:p>
    <w:p>
      <w:pPr>
        <w:spacing w:after="0" w:line="174" w:lineRule="exact"/>
        <w:rPr>
          <w:rFonts w:ascii="Arial" w:cs="Arial" w:eastAsia="Arial" w:hAnsi="Arial"/>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in Portugal shall be restricted to Employees or Non-Employee Directors,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3" w:name="page134"/>
    <w:bookmarkEnd w:id="133"/>
    <w:p>
      <w:pPr>
        <w:ind w:left="1300" w:hanging="644"/>
        <w:spacing w:after="0"/>
        <w:tabs>
          <w:tab w:leader="none" w:pos="1300"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Employee</w:t>
      </w:r>
      <w:r>
        <w:rPr>
          <w:rFonts w:ascii="Arial" w:cs="Arial" w:eastAsia="Arial" w:hAnsi="Arial"/>
          <w:sz w:val="19"/>
          <w:szCs w:val="19"/>
          <w:color w:val="auto"/>
        </w:rPr>
        <w:t>. “Employee” means: any employee (as determined under Portuguese labor law) of the Company or of any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Subsidiary.</w:t>
      </w:r>
    </w:p>
    <w:p>
      <w:pPr>
        <w:spacing w:after="0" w:line="199"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No Entitlement for Claims or Compensation</w:t>
      </w:r>
      <w:r>
        <w:rPr>
          <w:rFonts w:ascii="Arial" w:cs="Arial" w:eastAsia="Arial" w:hAnsi="Arial"/>
          <w:sz w:val="20"/>
          <w:szCs w:val="20"/>
          <w:color w:val="auto"/>
        </w:rPr>
        <w:t>. The Company has unilaterally, gratuitously and discretionally decided to grant the RSUs under the Plan. Consequently, the RSUs are granted on the assumption and condition that RSUs and the Shares issued pursuant to vesting of the RSUs are not part of the Participant’s ordinary or expected remuneration and shall not be considered for the purposes of determining any severance payment, compensation or credits otherwise due.</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In case the Participant receives Shares under the Plan and the Agreement, the acquisition of such shares may need to be reported to the Bank of Portugal (</w:t>
      </w:r>
      <w:r>
        <w:rPr>
          <w:rFonts w:ascii="Arial" w:cs="Arial" w:eastAsia="Arial" w:hAnsi="Arial"/>
          <w:sz w:val="18"/>
          <w:szCs w:val="18"/>
          <w:i w:val="1"/>
          <w:iCs w:val="1"/>
          <w:color w:val="auto"/>
        </w:rPr>
        <w:t>Banco de Portugal</w:t>
      </w:r>
      <w:r>
        <w:rPr>
          <w:rFonts w:ascii="Arial" w:cs="Arial" w:eastAsia="Arial" w:hAnsi="Arial"/>
          <w:sz w:val="18"/>
          <w:szCs w:val="18"/>
          <w:color w:val="auto"/>
        </w:rPr>
        <w:t>) for statistical purposes. If the Shares are deposited with a bank or financial intermediary in Portugal, such bank or financial intermediary shall submit the report on behalf of the Participant.</w:t>
      </w:r>
    </w:p>
    <w:p>
      <w:pPr>
        <w:spacing w:after="0" w:line="151" w:lineRule="exact"/>
        <w:rPr>
          <w:rFonts w:ascii="Arial" w:cs="Arial" w:eastAsia="Arial" w:hAnsi="Arial"/>
          <w:sz w:val="18"/>
          <w:szCs w:val="18"/>
          <w:color w:val="auto"/>
        </w:rPr>
      </w:pPr>
    </w:p>
    <w:p>
      <w:pPr>
        <w:ind w:firstLine="656"/>
        <w:spacing w:after="0" w:line="260" w:lineRule="auto"/>
        <w:tabs>
          <w:tab w:leader="none" w:pos="1296"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You hereby expressly declare that you have full knowledge of the English language and have read, understood and fully accepted and agreed with the terms and conditions set forth in the Plan and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Conhecimento de Língua</w:t>
      </w:r>
      <w:r>
        <w:rPr>
          <w:rFonts w:ascii="Arial" w:cs="Arial" w:eastAsia="Arial" w:hAnsi="Arial"/>
          <w:sz w:val="20"/>
          <w:szCs w:val="20"/>
          <w:i w:val="1"/>
          <w:iCs w:val="1"/>
          <w:color w:val="auto"/>
        </w:rPr>
        <w:t>:</w:t>
      </w:r>
    </w:p>
    <w:p>
      <w:pPr>
        <w:spacing w:after="0" w:line="216" w:lineRule="exact"/>
        <w:rPr>
          <w:sz w:val="20"/>
          <w:szCs w:val="20"/>
          <w:color w:val="auto"/>
        </w:rPr>
      </w:pPr>
    </w:p>
    <w:p>
      <w:pPr>
        <w:ind w:firstLine="1276"/>
        <w:spacing w:after="0" w:line="260" w:lineRule="auto"/>
        <w:rPr>
          <w:sz w:val="20"/>
          <w:szCs w:val="20"/>
          <w:color w:val="auto"/>
        </w:rPr>
      </w:pPr>
      <w:r>
        <w:rPr>
          <w:rFonts w:ascii="Arial" w:cs="Arial" w:eastAsia="Arial" w:hAnsi="Arial"/>
          <w:sz w:val="20"/>
          <w:szCs w:val="20"/>
          <w:i w:val="1"/>
          <w:iCs w:val="1"/>
          <w:color w:val="auto"/>
        </w:rPr>
        <w:t>Pelo presente instrumento declara expressamente que tem pleno conhecimento da língua inglesa e que leu, compreendeu e livremente aceitou e concordou com os termos e condições estabelecidas no Plano e no Acordo.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QATAR</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Qatar</w:t>
      </w:r>
      <w:r>
        <w:rPr>
          <w:rFonts w:ascii="Arial" w:cs="Arial" w:eastAsia="Arial" w:hAnsi="Arial"/>
          <w:sz w:val="18"/>
          <w:szCs w:val="18"/>
          <w:color w:val="auto"/>
        </w:rPr>
        <w:t xml:space="preserve"> provide additional definitions and conditions for the purpose of granting RSUs which are intended to be granted to Employees and corporate officers who are resident in Qatar for tax, labour or securities law purposes.</w:t>
      </w:r>
    </w:p>
    <w:p>
      <w:pPr>
        <w:spacing w:after="0" w:line="124" w:lineRule="exact"/>
        <w:rPr>
          <w:sz w:val="20"/>
          <w:szCs w:val="20"/>
          <w:color w:val="auto"/>
        </w:rPr>
      </w:pPr>
    </w:p>
    <w:p>
      <w:pPr>
        <w:jc w:val="both"/>
        <w:ind w:firstLine="656"/>
        <w:spacing w:after="0" w:line="246" w:lineRule="auto"/>
        <w:tabs>
          <w:tab w:leader="none" w:pos="1296"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Jurisdiction</w:t>
      </w:r>
      <w:r>
        <w:rPr>
          <w:rFonts w:ascii="Arial" w:cs="Arial" w:eastAsia="Arial" w:hAnsi="Arial"/>
          <w:sz w:val="20"/>
          <w:szCs w:val="20"/>
          <w:color w:val="auto"/>
        </w:rPr>
        <w:t>. Any dispute arising out of or in connection with this Agreement, including any question regarding its existence, validity or termination, shall be referred to and finally resolved by arbitration under the Arbitration Rules of the LCIA Arbitration Centre, which Rules are deemed to be incorporated by reference into this clause. The number of arbitrators shall be one. The seat, or legal place, of arbitration shall be London. The language to be used in the arbitration shall be English.</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Securities Law</w:t>
      </w:r>
      <w:r>
        <w:rPr>
          <w:rFonts w:ascii="Arial" w:cs="Arial" w:eastAsia="Arial" w:hAnsi="Arial"/>
          <w:sz w:val="18"/>
          <w:szCs w:val="18"/>
          <w:color w:val="auto"/>
        </w:rPr>
        <w:t>. Nothing in this Agreement constitutes, is intended to constitute, shall be treated as constituting or shall be deemed to constitute, any offer or sale of securities in the State of Qatar or in the Qatar Financial Centre or the inward marketing of an investment fund or an attempt to do business, as a bank, an investment company or otherwise in the state of Qatar or in the Qatar Financial Centre. This Agreement and the underlying instruments have not been approved, registered or licensed by the Qatar Central Bank or the Qatar Financial Centre Regulatory Authority, the Qatar Financial Markets Authority or any other regulator in the state of Qatar.</w:t>
      </w:r>
    </w:p>
    <w:p>
      <w:pPr>
        <w:spacing w:after="0" w:line="164" w:lineRule="exact"/>
        <w:rPr>
          <w:rFonts w:ascii="Arial" w:cs="Arial" w:eastAsia="Arial" w:hAnsi="Arial"/>
          <w:sz w:val="18"/>
          <w:szCs w:val="18"/>
          <w:color w:val="auto"/>
        </w:rPr>
      </w:pPr>
    </w:p>
    <w:p>
      <w:pPr>
        <w:ind w:firstLine="656"/>
        <w:spacing w:after="0" w:line="260" w:lineRule="auto"/>
        <w:tabs>
          <w:tab w:leader="none" w:pos="1296"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Company and the Participant acknowledge that no sensitive data as defined in the Data Protection Law of Qatar (Law 13 of 2016) is being collected within the State of Qatar.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RUSSIA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4" w:name="page135"/>
    <w:bookmarkEnd w:id="134"/>
    <w:p>
      <w:pPr>
        <w:ind w:left="100"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Russia</w:t>
      </w:r>
      <w:r>
        <w:rPr>
          <w:rFonts w:ascii="Arial" w:cs="Arial" w:eastAsia="Arial" w:hAnsi="Arial"/>
          <w:sz w:val="18"/>
          <w:szCs w:val="18"/>
          <w:color w:val="auto"/>
        </w:rPr>
        <w:t xml:space="preserve"> provide additional definitions and conditions for the purpose of granting RSUs which are intended to be granted to Employees and corporate officers who are resident in Russia for tax, labour or securities law purposes.</w:t>
      </w:r>
    </w:p>
    <w:p>
      <w:pPr>
        <w:spacing w:after="0" w:line="124" w:lineRule="exact"/>
        <w:rPr>
          <w:sz w:val="20"/>
          <w:szCs w:val="20"/>
          <w:color w:val="auto"/>
        </w:rPr>
      </w:pPr>
    </w:p>
    <w:p>
      <w:pPr>
        <w:jc w:val="both"/>
        <w:ind w:left="100" w:firstLine="656"/>
        <w:spacing w:after="0" w:line="243" w:lineRule="auto"/>
        <w:tabs>
          <w:tab w:leader="none" w:pos="1396"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When processing personal data of Russian citizens / in Russia, the Company is also subject to Federal Law No. 152-FZ “On Personal Data” dated 27 July 2006 (as amended) and other applicable Russian laws (collectively, the “</w:t>
      </w:r>
      <w:r>
        <w:rPr>
          <w:rFonts w:ascii="Arial" w:cs="Arial" w:eastAsia="Arial" w:hAnsi="Arial"/>
          <w:sz w:val="20"/>
          <w:szCs w:val="20"/>
          <w:b w:val="1"/>
          <w:bCs w:val="1"/>
          <w:color w:val="auto"/>
        </w:rPr>
        <w:t>Russian FLs</w:t>
      </w:r>
      <w:r>
        <w:rPr>
          <w:rFonts w:ascii="Arial" w:cs="Arial" w:eastAsia="Arial" w:hAnsi="Arial"/>
          <w:sz w:val="20"/>
          <w:szCs w:val="20"/>
          <w:color w:val="auto"/>
        </w:rPr>
        <w:t xml:space="preserve">”). In addition to the provisions of </w:t>
      </w:r>
      <w:r>
        <w:rPr>
          <w:rFonts w:ascii="Arial" w:cs="Arial" w:eastAsia="Arial" w:hAnsi="Arial"/>
          <w:sz w:val="20"/>
          <w:szCs w:val="20"/>
          <w:u w:val="single" w:color="auto"/>
          <w:color w:val="auto"/>
        </w:rPr>
        <w:t>Section 20</w:t>
      </w:r>
      <w:r>
        <w:rPr>
          <w:rFonts w:ascii="Arial" w:cs="Arial" w:eastAsia="Arial" w:hAnsi="Arial"/>
          <w:sz w:val="20"/>
          <w:szCs w:val="20"/>
          <w:color w:val="auto"/>
        </w:rPr>
        <w:t xml:space="preserve"> of this Agreement, for the purposes of the Russian FLs, the collection of this Data with respect to Russian citizens will be made through a database located in Russia. Any requests to the Company in connection with the Russian FLs (including regarding the access to Data or revocation of consent for processing) may be addressed to the Company through the local human resources representative.</w:t>
      </w:r>
    </w:p>
    <w:p>
      <w:pPr>
        <w:spacing w:after="0" w:line="196" w:lineRule="exact"/>
        <w:rPr>
          <w:sz w:val="20"/>
          <w:szCs w:val="20"/>
          <w:color w:val="auto"/>
        </w:rPr>
      </w:pPr>
    </w:p>
    <w:p>
      <w:pPr>
        <w:jc w:val="both"/>
        <w:ind w:left="100" w:firstLine="648"/>
        <w:spacing w:after="0" w:line="250" w:lineRule="auto"/>
        <w:rPr>
          <w:sz w:val="20"/>
          <w:szCs w:val="20"/>
          <w:color w:val="auto"/>
        </w:rPr>
      </w:pPr>
      <w:r>
        <w:rPr>
          <w:rFonts w:ascii="Arial" w:cs="Arial" w:eastAsia="Arial" w:hAnsi="Arial"/>
          <w:sz w:val="20"/>
          <w:szCs w:val="20"/>
          <w:color w:val="auto"/>
        </w:rPr>
        <w:t>This Agreement does not constitute, and the Company and the Participant do not have an intention to execute, a derivative transaction of the “option” type in the meaning of and as sets out by Federal Law of the Russian Federation of 22 April 1996 No. 39-FZ “On Securities Market”.</w:t>
      </w:r>
    </w:p>
    <w:p>
      <w:pPr>
        <w:spacing w:after="0" w:line="180" w:lineRule="exact"/>
        <w:rPr>
          <w:sz w:val="20"/>
          <w:szCs w:val="20"/>
          <w:color w:val="auto"/>
        </w:rPr>
      </w:pPr>
    </w:p>
    <w:p>
      <w:pPr>
        <w:jc w:val="both"/>
        <w:ind w:left="100" w:firstLine="544"/>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color w:val="auto"/>
        </w:rPr>
        <w:t>The Participant grants to the Company consent to processing of his or her personal data by signing and returning the separate consent</w:t>
      </w:r>
      <w:r>
        <w:rPr>
          <w:rFonts w:ascii="Arial" w:cs="Arial" w:eastAsia="Arial" w:hAnsi="Arial"/>
          <w:sz w:val="20"/>
          <w:szCs w:val="20"/>
          <w:b w:val="1"/>
          <w:bCs w:val="1"/>
          <w:color w:val="auto"/>
        </w:rPr>
        <w:t xml:space="preserve"> </w:t>
      </w:r>
      <w:r>
        <w:rPr>
          <w:rFonts w:ascii="Arial" w:cs="Arial" w:eastAsia="Arial" w:hAnsi="Arial"/>
          <w:sz w:val="20"/>
          <w:szCs w:val="20"/>
          <w:color w:val="auto"/>
        </w:rPr>
        <w:t>form provided to them by the Employer in Russia.</w:t>
      </w:r>
    </w:p>
    <w:p>
      <w:pPr>
        <w:spacing w:after="0" w:line="169" w:lineRule="exact"/>
        <w:rPr>
          <w:sz w:val="20"/>
          <w:szCs w:val="20"/>
          <w:color w:val="auto"/>
        </w:rPr>
      </w:pPr>
    </w:p>
    <w:p>
      <w:pPr>
        <w:jc w:val="both"/>
        <w:ind w:left="100" w:right="20" w:firstLine="648"/>
        <w:spacing w:after="0" w:line="250" w:lineRule="auto"/>
        <w:rPr>
          <w:sz w:val="20"/>
          <w:szCs w:val="20"/>
          <w:color w:val="auto"/>
        </w:rPr>
      </w:pPr>
      <w:r>
        <w:rPr>
          <w:rFonts w:ascii="Arial" w:cs="Arial" w:eastAsia="Arial" w:hAnsi="Arial"/>
          <w:sz w:val="20"/>
          <w:szCs w:val="20"/>
          <w:color w:val="auto"/>
        </w:rPr>
        <w:t xml:space="preserve">The persons designated to be responsible for ensuring that the Company, as applicable, complies with applicable privacy and data protection laws in Russia is the TechnipFMC Data Protection Office who can be reached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iii.</w:t>
      </w:r>
      <w:r>
        <w:rPr>
          <w:rFonts w:ascii="Arial" w:cs="Arial" w:eastAsia="Arial" w:hAnsi="Arial"/>
          <w:sz w:val="20"/>
          <w:szCs w:val="20"/>
          <w:b w:val="1"/>
          <w:bCs w:val="1"/>
          <w:u w:val="single" w:color="auto"/>
          <w:color w:val="auto"/>
        </w:rPr>
        <w:t>SAUDI ARABIA</w:t>
      </w:r>
    </w:p>
    <w:p>
      <w:pPr>
        <w:spacing w:after="0" w:line="216"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Saudi Arabia</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the Kingdom of Saudi Arabia for tax, labor or securities law purposes.</w:t>
      </w:r>
    </w:p>
    <w:p>
      <w:pPr>
        <w:spacing w:after="0" w:line="183" w:lineRule="exact"/>
        <w:rPr>
          <w:sz w:val="20"/>
          <w:szCs w:val="20"/>
          <w:color w:val="auto"/>
        </w:rPr>
      </w:pPr>
    </w:p>
    <w:p>
      <w:pPr>
        <w:jc w:val="both"/>
        <w:ind w:left="100" w:firstLine="656"/>
        <w:spacing w:after="0" w:line="257" w:lineRule="auto"/>
        <w:tabs>
          <w:tab w:leader="none" w:pos="139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Disclaimer</w:t>
      </w:r>
      <w:r>
        <w:rPr>
          <w:rFonts w:ascii="Arial" w:cs="Arial" w:eastAsia="Arial" w:hAnsi="Arial"/>
          <w:sz w:val="19"/>
          <w:szCs w:val="19"/>
          <w:color w:val="auto"/>
        </w:rPr>
        <w:t>. This Agreement has not been approved or licensed by Saudi Arabia Monetary Authority (“SAMA”), the Capital Market Authority (“CMA”) or any other relevant licensing authorities or governmental agencies in the Kingdom of Saudi Arabia. This Agreement is strictly private and confidential and the terms of the Agreement and the Plan have not been reviewed by, deposited or registered with or by SAMA, CMA or any other relevant licensing authorities or governmental agencies in the Kingdom of Saudi Arabia. This offer is being issued from outside the Kingdom of Saudi Arabia to a limited number of Employees of a Subsidiary of the Company and must not be provided to any person other than the original recipient and may not be reproduced or used for any other purpose. Further, the information contained in this Agreement and the Plan is not intended to lead to the issue of any securities or the conclusion of any other contract of whatsoever nature within the territory of the Kingdom of Saudi Arabia.</w:t>
      </w:r>
    </w:p>
    <w:p>
      <w:pPr>
        <w:spacing w:after="0" w:line="180" w:lineRule="exact"/>
        <w:rPr>
          <w:rFonts w:ascii="Arial" w:cs="Arial" w:eastAsia="Arial" w:hAnsi="Arial"/>
          <w:sz w:val="19"/>
          <w:szCs w:val="19"/>
          <w:color w:val="auto"/>
        </w:rPr>
      </w:pPr>
    </w:p>
    <w:p>
      <w:pPr>
        <w:jc w:val="both"/>
        <w:ind w:left="100" w:firstLine="656"/>
        <w:spacing w:after="0" w:line="282" w:lineRule="auto"/>
        <w:tabs>
          <w:tab w:leader="none" w:pos="1396"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Any dispute arising out of or in connection with this Agreement, including any question regarding its existence, validity or termination, shall be referred to and finally resolved by arbitration under the Arbitration Rules of the DIFC – LCIA Arbitration Centre, which Rules are deemed to be incorporated by reference into this clause. The number of arbitrators shall be one. The seat, or legal place, of arbitration shall be Dubai International Financial Centre The language to be used in the arbitration shall be English.</w:t>
      </w:r>
    </w:p>
    <w:p>
      <w:pPr>
        <w:spacing w:after="0" w:line="161" w:lineRule="exact"/>
        <w:rPr>
          <w:rFonts w:ascii="Arial" w:cs="Arial" w:eastAsia="Arial" w:hAnsi="Arial"/>
          <w:sz w:val="18"/>
          <w:szCs w:val="18"/>
          <w:color w:val="auto"/>
        </w:rPr>
      </w:pPr>
    </w:p>
    <w:p>
      <w:pPr>
        <w:jc w:val="both"/>
        <w:ind w:left="100" w:firstLine="656"/>
        <w:spacing w:after="0" w:line="250" w:lineRule="auto"/>
        <w:tabs>
          <w:tab w:leader="none" w:pos="1396"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Securities Law</w:t>
      </w:r>
      <w:r>
        <w:rPr>
          <w:rFonts w:ascii="Arial" w:cs="Arial" w:eastAsia="Arial" w:hAnsi="Arial"/>
          <w:sz w:val="20"/>
          <w:szCs w:val="20"/>
          <w:color w:val="auto"/>
        </w:rPr>
        <w:t>. Nothing in this Agreement constitutes, is intended to constitute, shall be treated as constituting or shall be deemed to constitute, any offer or sale of securities in the Kingdom of Saudi Arabia or the inward marketing of an investment fund or an attempt to do business, as a bank, 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340"/>
          </w:cols>
          <w:pgMar w:left="220" w:top="1399" w:right="339" w:bottom="1440" w:gutter="0" w:footer="0" w:header="0"/>
        </w:sectPr>
      </w:pPr>
    </w:p>
    <w:bookmarkStart w:id="135" w:name="page136"/>
    <w:bookmarkEnd w:id="135"/>
    <w:p>
      <w:pPr>
        <w:jc w:val="both"/>
        <w:ind w:right="20"/>
        <w:spacing w:after="0" w:line="316" w:lineRule="auto"/>
        <w:rPr>
          <w:sz w:val="20"/>
          <w:szCs w:val="20"/>
          <w:color w:val="auto"/>
        </w:rPr>
      </w:pPr>
      <w:r>
        <w:rPr>
          <w:rFonts w:ascii="Arial" w:cs="Arial" w:eastAsia="Arial" w:hAnsi="Arial"/>
          <w:sz w:val="18"/>
          <w:szCs w:val="18"/>
          <w:color w:val="auto"/>
        </w:rPr>
        <w:t>investment company or otherwise in the Kingdom of Saudi Arabia. This Agreement and the underlying instruments have not been approved, registered or licensed by SAMA, CMA or any other relevant licensing authorities or governmental agencies in the Kingdom of Saudi Arabia.</w:t>
      </w:r>
    </w:p>
    <w:p>
      <w:pPr>
        <w:spacing w:after="0" w:line="130" w:lineRule="exact"/>
        <w:rPr>
          <w:sz w:val="20"/>
          <w:szCs w:val="20"/>
          <w:color w:val="auto"/>
        </w:rPr>
      </w:pPr>
    </w:p>
    <w:p>
      <w:pPr>
        <w:jc w:val="both"/>
        <w:ind w:firstLine="656"/>
        <w:spacing w:after="0" w:line="291" w:lineRule="auto"/>
        <w:tabs>
          <w:tab w:leader="none" w:pos="129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gives its consent and formally agrees that that Company is fully entitled to disclose its bank account number in the Kingdom of Saudi Arabia to its subsidiaries or to third parties, on a need to know basis, for the purpose of managing and administrating the plan and to allow the vesting or transfer of any equity compensation grants or shares awarded to said participant.</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iv.</w:t>
      </w:r>
      <w:r>
        <w:rPr>
          <w:rFonts w:ascii="Arial" w:cs="Arial" w:eastAsia="Arial" w:hAnsi="Arial"/>
          <w:sz w:val="20"/>
          <w:szCs w:val="20"/>
          <w:b w:val="1"/>
          <w:bCs w:val="1"/>
          <w:u w:val="single" w:color="auto"/>
          <w:color w:val="auto"/>
        </w:rPr>
        <w:t>SINGAPORE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Singapore</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Singapore for tax, labour or securities law purposes.</w:t>
      </w:r>
    </w:p>
    <w:p>
      <w:pPr>
        <w:spacing w:after="0" w:line="183" w:lineRule="exact"/>
        <w:rPr>
          <w:sz w:val="20"/>
          <w:szCs w:val="20"/>
          <w:color w:val="auto"/>
        </w:rPr>
      </w:pPr>
    </w:p>
    <w:p>
      <w:pPr>
        <w:jc w:val="both"/>
        <w:ind w:firstLine="656"/>
        <w:spacing w:after="0" w:line="250" w:lineRule="auto"/>
        <w:tabs>
          <w:tab w:leader="none" w:pos="1296"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award of the RSUs and the issuance and delivery of the Shares pursuant to the Plan is being made in reliance of section 273(1)(f) of the Securities and Futures Act, Chapter 289 of Singapore (“SFA”) for which it is exempt from the prospectus requirements under the SFA.</w:t>
      </w:r>
    </w:p>
    <w:p>
      <w:pPr>
        <w:spacing w:after="0" w:line="185" w:lineRule="exact"/>
        <w:rPr>
          <w:rFonts w:ascii="Arial" w:cs="Arial" w:eastAsia="Arial" w:hAnsi="Arial"/>
          <w:sz w:val="20"/>
          <w:szCs w:val="20"/>
          <w:color w:val="auto"/>
        </w:rPr>
      </w:pPr>
    </w:p>
    <w:p>
      <w:pPr>
        <w:jc w:val="both"/>
        <w:ind w:firstLine="656"/>
        <w:spacing w:after="0" w:line="243" w:lineRule="auto"/>
        <w:tabs>
          <w:tab w:leader="none" w:pos="1296"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Insider Trading</w:t>
      </w:r>
      <w:r>
        <w:rPr>
          <w:rFonts w:ascii="Arial" w:cs="Arial" w:eastAsia="Arial" w:hAnsi="Arial"/>
          <w:sz w:val="20"/>
          <w:szCs w:val="20"/>
          <w:color w:val="auto"/>
        </w:rPr>
        <w:t>. A Participant should be aware of the Singapore insider trading regulations, which may impact the Participant’s acquisition or disposal of Shares or rights to Shares under the Plan. Under Division 3 of the Part XII of the SFA, a Participant is prohibited from acquiring or selling Shares or rights to Shares (e.g. RSUs) when (a) the Participant possess information that is not generally available but, if the information were generally available, a reasonable person would expect it to have a material effect on the price or value of the Shares, and (b) the Participant knows that the information is not generally available and, if it were generally available, it might have a material effect on the price or value of those Shares.</w:t>
      </w:r>
    </w:p>
    <w:p>
      <w:pPr>
        <w:spacing w:after="0" w:line="195" w:lineRule="exact"/>
        <w:rPr>
          <w:rFonts w:ascii="Arial" w:cs="Arial" w:eastAsia="Arial" w:hAnsi="Arial"/>
          <w:sz w:val="20"/>
          <w:szCs w:val="20"/>
          <w:color w:val="auto"/>
        </w:rPr>
      </w:pPr>
    </w:p>
    <w:p>
      <w:pPr>
        <w:jc w:val="both"/>
        <w:ind w:firstLine="656"/>
        <w:spacing w:after="0" w:line="256" w:lineRule="auto"/>
        <w:tabs>
          <w:tab w:leader="none" w:pos="129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Director / CEO Notification Obligation</w:t>
      </w:r>
      <w:r>
        <w:rPr>
          <w:rFonts w:ascii="Arial" w:cs="Arial" w:eastAsia="Arial" w:hAnsi="Arial"/>
          <w:sz w:val="19"/>
          <w:szCs w:val="19"/>
          <w:color w:val="auto"/>
        </w:rPr>
        <w:t>. If the Participant is a director or chief executive officer (as applicable) of a company incorporated in Singapore which is related to the Company (“Singapore Company”), the Participant is subject to certain disclosure / notification requirements under the Companies Act, Chapter 50 of Singapore. Among these requirements is an obligation to notify the Singapore Company in writing when the Participant acquires an interest (such as shares, debentures, participatory interests, rights, options and contracts) in the Company (e.g. the RSUs). In addition, the Participant must notify the Singapore Company when the Participant disposes of such interest in the Company (including when the Participant acquires or transfers Shares issued upon vesting and settlement of the RSUs). These notifications must be made within two business days of acquiring or disposing of any such interest in the Company. In addition, a notification of the Participant’s interests in the Company must be made within two business days of becoming a director or chief executive officer (as applicable).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this regard:</w:t>
      </w:r>
    </w:p>
    <w:p>
      <w:pPr>
        <w:spacing w:after="0" w:line="216" w:lineRule="exact"/>
        <w:rPr>
          <w:sz w:val="20"/>
          <w:szCs w:val="20"/>
          <w:color w:val="auto"/>
        </w:rPr>
      </w:pPr>
    </w:p>
    <w:p>
      <w:pPr>
        <w:jc w:val="both"/>
        <w:ind w:firstLine="1192"/>
        <w:spacing w:after="0" w:line="250" w:lineRule="auto"/>
        <w:rPr>
          <w:sz w:val="20"/>
          <w:szCs w:val="20"/>
          <w:color w:val="auto"/>
        </w:rPr>
      </w:pPr>
      <w:r>
        <w:rPr>
          <w:rFonts w:ascii="Arial" w:cs="Arial" w:eastAsia="Arial" w:hAnsi="Arial"/>
          <w:sz w:val="20"/>
          <w:szCs w:val="20"/>
          <w:color w:val="auto"/>
        </w:rPr>
        <w:t>i.A “director” includes any person occupying the position of a director of a corporation by whatever name called and includes a person in accordance with whose directions or instructions the directors or the majority of the directors of a corporation are accustomed to act and an alternate or substitute director.</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ii.A “chief executive officer”, in relation to a company, means any one or more persons, by whatever name described, who:</w:t>
      </w:r>
    </w:p>
    <w:p>
      <w:pPr>
        <w:spacing w:after="0" w:line="239" w:lineRule="exact"/>
        <w:rPr>
          <w:sz w:val="20"/>
          <w:szCs w:val="20"/>
          <w:color w:val="auto"/>
        </w:rPr>
      </w:pPr>
    </w:p>
    <w:p>
      <w:pPr>
        <w:ind w:left="2580" w:hanging="628"/>
        <w:spacing w:after="0"/>
        <w:tabs>
          <w:tab w:leader="none" w:pos="25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is in direct employment of, or acting for or by arrangement with, the company;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6" w:name="page137"/>
    <w:bookmarkEnd w:id="136"/>
    <w:p>
      <w:pPr>
        <w:ind w:left="660" w:right="20" w:firstLine="1292"/>
        <w:spacing w:after="0" w:line="260" w:lineRule="auto"/>
        <w:tabs>
          <w:tab w:leader="none" w:pos="2604"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is principally responsible for the management and conduct of the business of the company, or part of the business of the company, as the case may be.</w:t>
      </w:r>
    </w:p>
    <w:p>
      <w:pPr>
        <w:spacing w:after="0" w:line="17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iii.The Singapore Company will be deemed to be related to the Company if the Singapore Company is:</w:t>
      </w:r>
    </w:p>
    <w:p>
      <w:pPr>
        <w:spacing w:after="0" w:line="216" w:lineRule="exact"/>
        <w:rPr>
          <w:sz w:val="20"/>
          <w:szCs w:val="20"/>
          <w:color w:val="auto"/>
        </w:rPr>
      </w:pPr>
    </w:p>
    <w:p>
      <w:pPr>
        <w:ind w:left="2580" w:hanging="628"/>
        <w:spacing w:after="0"/>
        <w:tabs>
          <w:tab w:leader="none" w:pos="25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holding company of the Company;</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 subsidiary of the Company; or</w:t>
      </w:r>
    </w:p>
    <w:p>
      <w:pPr>
        <w:spacing w:after="0" w:line="215" w:lineRule="exact"/>
        <w:rPr>
          <w:rFonts w:ascii="Arial" w:cs="Arial" w:eastAsia="Arial" w:hAnsi="Arial"/>
          <w:sz w:val="20"/>
          <w:szCs w:val="20"/>
          <w:color w:val="auto"/>
        </w:rPr>
      </w:pPr>
    </w:p>
    <w:p>
      <w:pPr>
        <w:ind w:left="2580" w:hanging="628"/>
        <w:spacing w:after="0"/>
        <w:tabs>
          <w:tab w:leader="none" w:pos="25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 subsidiary of the holding company of the Company.</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iv.“Business day” means any day other than a Saturday, Sunday or public holiday in Singapore.</w:t>
      </w:r>
    </w:p>
    <w:p>
      <w:pPr>
        <w:spacing w:after="0" w:line="216" w:lineRule="exact"/>
        <w:rPr>
          <w:sz w:val="20"/>
          <w:szCs w:val="20"/>
          <w:color w:val="auto"/>
        </w:rPr>
      </w:pPr>
    </w:p>
    <w:p>
      <w:pPr>
        <w:jc w:val="both"/>
        <w:ind w:firstLine="656"/>
        <w:spacing w:after="0" w:line="257" w:lineRule="auto"/>
        <w:tabs>
          <w:tab w:leader="none" w:pos="1296"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Taxation Information</w:t>
      </w:r>
      <w:r>
        <w:rPr>
          <w:rFonts w:ascii="Arial" w:cs="Arial" w:eastAsia="Arial" w:hAnsi="Arial"/>
          <w:sz w:val="19"/>
          <w:szCs w:val="19"/>
          <w:color w:val="auto"/>
        </w:rPr>
        <w:t>. In the event that a Participant should be granted an award of the RSU in connection with the Participant’s employment in Singapore, any gains or profits derived by the Participant arising from the vesting of such RSU will be taxable in Singapore as part of the Participant’s employment remuneration when the RSU vests, regardless of where the Participant is at the time the RSU vests. The Participant may, however, be eligible to enjoy deferment of the payment of tax, arising from RSU gains under incentive schemes operated by the Inland Revenue Authority of Singapore (“IRAS”) if the qualifying criteria relating thereto are met. Interest will be chargeable for the deferral of tax. If granted, the Employee can defer payment of tax on the RSU gains for any period of time up to a maximum of 5 years, subject to filing formalities to be made by the Participant.</w:t>
      </w:r>
    </w:p>
    <w:p>
      <w:pPr>
        <w:spacing w:after="0" w:line="18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The Participant is advised to seek professional tax advice as to the Participant’s tax liabilities including, to the extent the Participant is a foreigner, how such gains or profits aforesaid will be taxed at the time the Participant ceases to work in Singapore.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taxes (including income tax) arising from the award of any RSU or the vesting of any RSU thereon shall be borne by the Participant.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Where the Participant is neither a Singapore citizen nor a Singapore Permanent Resident and is about to leave employment with the Employer (as defined below), the Employer may be required under the Income Tax Act, Chapter 134 of Singapore to deduct or withhold taxes arising from the vesting of the RSU from the Participant’s emoluments. The Employer is required to withhold all monies due to the Participant from the day the Employee notifies his/her intention to cease employment or when the Employer notifies the Employee of the termination of employment. An amount equal to the tax amount required to be deducted or withheld will have to be so deducted or withheld by the Employer and paid to the IRAS. Emoluments include income from gains or profits from any employment, which includes any wages, salary, leave pay, fee, commission, bonus, gratuity, perquisite or allowance (other than certain types of allowance) paid or granted in respect of the employment whether in money or otherwise, and any gains or profits, directly or indirectly, derived by any person from a right or benefit to acquire shares in any company where such right or benefit is obtained by reason of any office or employment held by him or her. “</w:t>
      </w:r>
      <w:r>
        <w:rPr>
          <w:rFonts w:ascii="Arial" w:cs="Arial" w:eastAsia="Arial" w:hAnsi="Arial"/>
          <w:sz w:val="18"/>
          <w:szCs w:val="18"/>
          <w:u w:val="single" w:color="auto"/>
          <w:color w:val="auto"/>
        </w:rPr>
        <w:t>Employer</w:t>
      </w:r>
      <w:r>
        <w:rPr>
          <w:rFonts w:ascii="Arial" w:cs="Arial" w:eastAsia="Arial" w:hAnsi="Arial"/>
          <w:sz w:val="18"/>
          <w:szCs w:val="18"/>
          <w:color w:val="auto"/>
        </w:rPr>
        <w:t>” shall mean the Company, a Singapore Subsidiary of the Company, other affiliated company or any other person paying such emoluments, whether on his or her account or on behalf of another person.</w:t>
      </w:r>
    </w:p>
    <w:p>
      <w:pPr>
        <w:spacing w:after="0" w:line="170"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By entering into the Agreement, Participant consents to the processing and transfer of Data by Company for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Purposes.</w:t>
      </w:r>
    </w:p>
    <w:p>
      <w:pPr>
        <w:spacing w:after="0" w:line="19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v.</w:t>
      </w:r>
      <w:r>
        <w:rPr>
          <w:rFonts w:ascii="Arial" w:cs="Arial" w:eastAsia="Arial" w:hAnsi="Arial"/>
          <w:sz w:val="20"/>
          <w:szCs w:val="20"/>
          <w:b w:val="1"/>
          <w:bCs w:val="1"/>
          <w:u w:val="single" w:color="auto"/>
          <w:color w:val="auto"/>
        </w:rPr>
        <w:t>SPAIN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7" w:name="page138"/>
    <w:bookmarkEnd w:id="137"/>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Spain</w:t>
      </w:r>
      <w:r>
        <w:rPr>
          <w:rFonts w:ascii="Arial" w:cs="Arial" w:eastAsia="Arial" w:hAnsi="Arial"/>
          <w:sz w:val="20"/>
          <w:szCs w:val="20"/>
          <w:color w:val="auto"/>
        </w:rPr>
        <w:t xml:space="preserve"> provide additional definitions and conditions for the purpose of granting RSUs which are intended to be granted to Spanish Employees and corporate officers who are resident in Spain for tax, labour and securities law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other provisions of the Plan, RSUs granted under this Country Schedule for Spain to Participants resident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Spain are subject to the following additional conditions:</w:t>
      </w:r>
    </w:p>
    <w:p>
      <w:pPr>
        <w:spacing w:after="0" w:line="200" w:lineRule="exact"/>
        <w:rPr>
          <w:sz w:val="20"/>
          <w:szCs w:val="20"/>
          <w:color w:val="auto"/>
        </w:rPr>
      </w:pPr>
    </w:p>
    <w:p>
      <w:pPr>
        <w:jc w:val="both"/>
        <w:ind w:firstLine="656"/>
        <w:spacing w:after="0" w:line="250" w:lineRule="auto"/>
        <w:tabs>
          <w:tab w:leader="none" w:pos="1296"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Non-transferability of RSUs</w:t>
      </w:r>
      <w:r>
        <w:rPr>
          <w:rFonts w:ascii="Arial" w:cs="Arial" w:eastAsia="Arial" w:hAnsi="Arial"/>
          <w:sz w:val="20"/>
          <w:szCs w:val="20"/>
          <w:color w:val="auto"/>
        </w:rPr>
        <w:t>. The RSUs may neither be sold, pledged, assigned nor transferred unless and until the Shares underlying the RSUs have been issued, and all restrictions applicable to such Shares have lapsed. Any effort to assign or transfer a RSU will be ineffective and may result in the Company terminating the RSUs.</w:t>
      </w:r>
    </w:p>
    <w:p>
      <w:pPr>
        <w:spacing w:after="0" w:line="185" w:lineRule="exact"/>
        <w:rPr>
          <w:rFonts w:ascii="Arial" w:cs="Arial" w:eastAsia="Arial" w:hAnsi="Arial"/>
          <w:sz w:val="20"/>
          <w:szCs w:val="20"/>
          <w:color w:val="auto"/>
        </w:rPr>
      </w:pPr>
    </w:p>
    <w:p>
      <w:pPr>
        <w:jc w:val="both"/>
        <w:ind w:firstLine="656"/>
        <w:spacing w:after="0" w:line="272" w:lineRule="auto"/>
        <w:tabs>
          <w:tab w:leader="none" w:pos="129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Whenever the RSUs are vested, the Company or its relevant subsidiary in which the Participant is an Employee (the “Relevant Subsidiary”), in accordance with the terms of the Plan, will comply with all applicable withholding tax laws and social security, and will be entitled to take any action necessary to effectuate such compliance. The Participant hereby agrees that the Company or the Relevant Subsidiary may withhold Shares otherwise issuable upon the settlement of the RSUs, sufficient for the Company or the Relevant Subsidiary to cover an amount required by law to be withheld or otherwise arising with respect to any taxable event arising as a result of any RSUs. The number of Shares which may be so withheld shall be limited to the number of Shares which have a fair market value, determined on the date when the amount of tax to be withheld is to be determined pursuant to the Applicable Law, no greater than the aggregate amount of such liabilities based on the maximum statutory withholding rates for tax purposes, in accordance with Applicable Law to such taxable income (or such other amount as would not result in adverse financial accounting consequences for the Company or any of its Subsidiaries).</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29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absolute discretion of the Administrator, the Company or the Relevant Subsidiary may authorise the Participant to satisfy the withholding amounts referred to above by means of a cash payment. Request for such cash payment shall be made in writing by the Participant in a form acceptable to the Administrator and shall be subject to the following restrictions: (i) the election must be made on or prior to the date when the amount of tax to be withheld is to be determined pursuant to the Applicable Law; and (ii) once made, the election shall be irrevocable as to the particular Shares for which the election is made. Any adverse consequences for the Participant arising in connection with the withholding procedures described above shall be the sole responsibility of the Participant.</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No Stockholders Rights</w:t>
      </w:r>
      <w:r>
        <w:rPr>
          <w:rFonts w:ascii="Arial" w:cs="Arial" w:eastAsia="Arial" w:hAnsi="Arial"/>
          <w:sz w:val="20"/>
          <w:szCs w:val="20"/>
          <w:color w:val="auto"/>
        </w:rPr>
        <w:t>. Neither the Participant nor any other person entitled to exercise the RSUs will have any of the rights of a stockholder or Dividend Equivalents with respect to the Shares subject to the RSUs, except to the extent and until the Shares subject to the RSUs have been issued and the Participant has become the record owner of such Shares.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must declare the acquisition of Shares to the Spanish Dirección General de Comercio Internacional e Inversiones within the following month to the date of acquisition of the Shares. This declaration is provided to the Ministry of Economy and Competitiveness for statistical purposes only.</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the event that the Shares acquired pursuant to this Plan exceed certain thresholds (whether in the stake in the share capital of the Company or in the value of such stake), Participant will have to make an annual declaration to the Spanish Dirección General de Comercio Internacional e Inversiones about the development of the investment in non-resident entities by,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399" w:right="339" w:bottom="1440" w:gutter="0" w:footer="0" w:header="0"/>
        </w:sectPr>
      </w:pPr>
    </w:p>
    <w:bookmarkStart w:id="138" w:name="page139"/>
    <w:bookmarkEnd w:id="138"/>
    <w:p>
      <w:pPr>
        <w:jc w:val="both"/>
        <w:ind w:firstLine="656"/>
        <w:spacing w:after="0" w:line="269" w:lineRule="auto"/>
        <w:tabs>
          <w:tab w:leader="none" w:pos="1296"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No Entitlement for Claims or Compensation</w:t>
      </w:r>
      <w:r>
        <w:rPr>
          <w:rFonts w:ascii="Arial" w:cs="Arial" w:eastAsia="Arial" w:hAnsi="Arial"/>
          <w:sz w:val="18"/>
          <w:szCs w:val="18"/>
          <w:color w:val="auto"/>
        </w:rPr>
        <w:t>. Participant understands that the Company has unilaterally, gratuitously and discretionally decided to grant the RSUs under the Plan, extraordinary in nature, to individuals who may be Employees throughout the world. The decision is a limited decision that is entered into upon the express assumption and condition that any grant will not economically or otherwise bind the Company or any of its Subsidiaries on an ongoing basis. Consequently, Participant understands that the RSUs are granted on the assumption and condition that RSUs and the Shares issued pursuant to vesting of the RSUs may not increase in value and that, in any event, are not part of Participant’s ordinary or expected compensation, and shall not be considered for the purposes of determining any severance pay (</w:t>
      </w:r>
      <w:r>
        <w:rPr>
          <w:rFonts w:ascii="Arial" w:cs="Arial" w:eastAsia="Arial" w:hAnsi="Arial"/>
          <w:sz w:val="18"/>
          <w:szCs w:val="18"/>
          <w:i w:val="1"/>
          <w:iCs w:val="1"/>
          <w:color w:val="auto"/>
        </w:rPr>
        <w:t>indemnización por despido o cese</w:t>
      </w:r>
      <w:r>
        <w:rPr>
          <w:rFonts w:ascii="Arial" w:cs="Arial" w:eastAsia="Arial" w:hAnsi="Arial"/>
          <w:sz w:val="18"/>
          <w:szCs w:val="18"/>
          <w:color w:val="auto"/>
        </w:rPr>
        <w:t>) or compensation otherwise due in the event of resignation (</w:t>
      </w:r>
      <w:r>
        <w:rPr>
          <w:rFonts w:ascii="Arial" w:cs="Arial" w:eastAsia="Arial" w:hAnsi="Arial"/>
          <w:sz w:val="18"/>
          <w:szCs w:val="18"/>
          <w:i w:val="1"/>
          <w:iCs w:val="1"/>
          <w:color w:val="auto"/>
        </w:rPr>
        <w:t>dimisión</w:t>
      </w:r>
      <w:r>
        <w:rPr>
          <w:rFonts w:ascii="Arial" w:cs="Arial" w:eastAsia="Arial" w:hAnsi="Arial"/>
          <w:sz w:val="18"/>
          <w:szCs w:val="18"/>
          <w:color w:val="auto"/>
        </w:rPr>
        <w:t>) or dismissal (</w:t>
      </w:r>
      <w:r>
        <w:rPr>
          <w:rFonts w:ascii="Arial" w:cs="Arial" w:eastAsia="Arial" w:hAnsi="Arial"/>
          <w:sz w:val="18"/>
          <w:szCs w:val="18"/>
          <w:i w:val="1"/>
          <w:iCs w:val="1"/>
          <w:color w:val="auto"/>
        </w:rPr>
        <w:t>despido</w:t>
      </w:r>
      <w:r>
        <w:rPr>
          <w:rFonts w:ascii="Arial" w:cs="Arial" w:eastAsia="Arial" w:hAnsi="Arial"/>
          <w:sz w:val="18"/>
          <w:szCs w:val="18"/>
          <w:color w:val="auto"/>
        </w:rPr>
        <w:t>), compensation under any collective dismissal scheme (</w:t>
      </w:r>
      <w:r>
        <w:rPr>
          <w:rFonts w:ascii="Arial" w:cs="Arial" w:eastAsia="Arial" w:hAnsi="Arial"/>
          <w:sz w:val="18"/>
          <w:szCs w:val="18"/>
          <w:i w:val="1"/>
          <w:iCs w:val="1"/>
          <w:color w:val="auto"/>
        </w:rPr>
        <w:t>expediente de regulación de empleo</w:t>
      </w:r>
      <w:r>
        <w:rPr>
          <w:rFonts w:ascii="Arial" w:cs="Arial" w:eastAsia="Arial" w:hAnsi="Arial"/>
          <w:sz w:val="18"/>
          <w:szCs w:val="18"/>
          <w:color w:val="auto"/>
        </w:rPr>
        <w:t>) or for termination of services (</w:t>
      </w:r>
      <w:r>
        <w:rPr>
          <w:rFonts w:ascii="Arial" w:cs="Arial" w:eastAsia="Arial" w:hAnsi="Arial"/>
          <w:sz w:val="18"/>
          <w:szCs w:val="18"/>
          <w:i w:val="1"/>
          <w:iCs w:val="1"/>
          <w:color w:val="auto"/>
        </w:rPr>
        <w:t>finalización de servicios</w:t>
      </w:r>
      <w:r>
        <w:rPr>
          <w:rFonts w:ascii="Arial" w:cs="Arial" w:eastAsia="Arial" w:hAnsi="Arial"/>
          <w:sz w:val="18"/>
          <w:szCs w:val="18"/>
          <w:color w:val="auto"/>
        </w:rPr>
        <w:t>), gratuity (</w:t>
      </w:r>
      <w:r>
        <w:rPr>
          <w:rFonts w:ascii="Arial" w:cs="Arial" w:eastAsia="Arial" w:hAnsi="Arial"/>
          <w:sz w:val="18"/>
          <w:szCs w:val="18"/>
          <w:i w:val="1"/>
          <w:iCs w:val="1"/>
          <w:color w:val="auto"/>
        </w:rPr>
        <w:t>gratificación</w:t>
      </w:r>
      <w:r>
        <w:rPr>
          <w:rFonts w:ascii="Arial" w:cs="Arial" w:eastAsia="Arial" w:hAnsi="Arial"/>
          <w:sz w:val="18"/>
          <w:szCs w:val="18"/>
          <w:color w:val="auto"/>
        </w:rPr>
        <w:t>), compensation under any non-compete covenant (</w:t>
      </w:r>
      <w:r>
        <w:rPr>
          <w:rFonts w:ascii="Arial" w:cs="Arial" w:eastAsia="Arial" w:hAnsi="Arial"/>
          <w:sz w:val="18"/>
          <w:szCs w:val="18"/>
          <w:i w:val="1"/>
          <w:iCs w:val="1"/>
          <w:color w:val="auto"/>
        </w:rPr>
        <w:t>no concurrencia</w:t>
      </w:r>
      <w:r>
        <w:rPr>
          <w:rFonts w:ascii="Arial" w:cs="Arial" w:eastAsia="Arial" w:hAnsi="Arial"/>
          <w:sz w:val="18"/>
          <w:szCs w:val="18"/>
          <w:color w:val="auto"/>
        </w:rPr>
        <w:t>), bonus for length of services (</w:t>
      </w:r>
      <w:r>
        <w:rPr>
          <w:rFonts w:ascii="Arial" w:cs="Arial" w:eastAsia="Arial" w:hAnsi="Arial"/>
          <w:sz w:val="18"/>
          <w:szCs w:val="18"/>
          <w:i w:val="1"/>
          <w:iCs w:val="1"/>
          <w:color w:val="auto"/>
        </w:rPr>
        <w:t>bonus por antigüedad</w:t>
      </w:r>
      <w:r>
        <w:rPr>
          <w:rFonts w:ascii="Arial" w:cs="Arial" w:eastAsia="Arial" w:hAnsi="Arial"/>
          <w:sz w:val="18"/>
          <w:szCs w:val="18"/>
          <w:color w:val="auto"/>
        </w:rPr>
        <w:t>), pension or retirement related benefits (</w:t>
      </w:r>
      <w:r>
        <w:rPr>
          <w:rFonts w:ascii="Arial" w:cs="Arial" w:eastAsia="Arial" w:hAnsi="Arial"/>
          <w:sz w:val="18"/>
          <w:szCs w:val="18"/>
          <w:i w:val="1"/>
          <w:iCs w:val="1"/>
          <w:color w:val="auto"/>
        </w:rPr>
        <w:t>pensión o prestación de jubilación</w:t>
      </w:r>
      <w:r>
        <w:rPr>
          <w:rFonts w:ascii="Arial" w:cs="Arial" w:eastAsia="Arial" w:hAnsi="Arial"/>
          <w:sz w:val="18"/>
          <w:szCs w:val="18"/>
          <w:color w:val="auto"/>
        </w:rPr>
        <w:t>), compensation for early retirement (</w:t>
      </w:r>
      <w:r>
        <w:rPr>
          <w:rFonts w:ascii="Arial" w:cs="Arial" w:eastAsia="Arial" w:hAnsi="Arial"/>
          <w:sz w:val="18"/>
          <w:szCs w:val="18"/>
          <w:i w:val="1"/>
          <w:iCs w:val="1"/>
          <w:color w:val="auto"/>
        </w:rPr>
        <w:t>compensación por prejubilación</w:t>
      </w:r>
      <w:r>
        <w:rPr>
          <w:rFonts w:ascii="Arial" w:cs="Arial" w:eastAsia="Arial" w:hAnsi="Arial"/>
          <w:sz w:val="18"/>
          <w:szCs w:val="18"/>
          <w:color w:val="auto"/>
        </w:rPr>
        <w:t>), damages or any other payment whatsoever. Further, unless otherwise expressly provided in the Plan, Participant understands that Participant will not be entitled to continue vesting the RSUs once Participant’s service with the Company or the relevant Subsidiary ceases. In addition, Participant understands that this grant would not be made to Participant but for the assumptions and conditions referred to above; thus, Participant acknowledges acknowledge and freely accepts that should any or all of the assumptions be mistaken or should any of the conditions not be met for any reason, then RSUs shall be null and void.</w:t>
      </w:r>
    </w:p>
    <w:p>
      <w:pPr>
        <w:spacing w:after="0" w:line="178" w:lineRule="exact"/>
        <w:rPr>
          <w:rFonts w:ascii="Arial" w:cs="Arial" w:eastAsia="Arial" w:hAnsi="Arial"/>
          <w:sz w:val="18"/>
          <w:szCs w:val="18"/>
          <w:color w:val="auto"/>
        </w:rPr>
      </w:pPr>
    </w:p>
    <w:p>
      <w:pPr>
        <w:ind w:left="1300" w:hanging="644"/>
        <w:spacing w:after="0"/>
        <w:tabs>
          <w:tab w:leader="none" w:pos="1300"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15" w:lineRule="exact"/>
        <w:rPr>
          <w:rFonts w:ascii="Arial" w:cs="Arial" w:eastAsia="Arial" w:hAnsi="Arial"/>
          <w:sz w:val="20"/>
          <w:szCs w:val="20"/>
          <w:color w:val="auto"/>
        </w:rPr>
      </w:pPr>
    </w:p>
    <w:p>
      <w:pPr>
        <w:ind w:firstLine="1304"/>
        <w:spacing w:after="0" w:line="260" w:lineRule="auto"/>
        <w:tabs>
          <w:tab w:leader="none" w:pos="1933" w:val="left"/>
        </w:tabs>
        <w:numPr>
          <w:ilvl w:val="2"/>
          <w:numId w:val="201"/>
        </w:numPr>
        <w:rPr>
          <w:rFonts w:ascii="Arial" w:cs="Arial" w:eastAsia="Arial" w:hAnsi="Arial"/>
          <w:sz w:val="20"/>
          <w:szCs w:val="20"/>
          <w:color w:val="auto"/>
        </w:rPr>
      </w:pPr>
      <w:r>
        <w:rPr>
          <w:rFonts w:ascii="Arial" w:cs="Arial" w:eastAsia="Arial" w:hAnsi="Arial"/>
          <w:sz w:val="20"/>
          <w:szCs w:val="20"/>
          <w:color w:val="auto"/>
        </w:rPr>
        <w:t>“Detrimental Activity” means the Participant incurring in any of the grounds for disciplinary dismissal regulated in Article 54 of the Spanish Workers’ Statute.</w:t>
      </w:r>
    </w:p>
    <w:p>
      <w:pPr>
        <w:spacing w:after="0" w:line="176" w:lineRule="exact"/>
        <w:rPr>
          <w:rFonts w:ascii="Arial" w:cs="Arial" w:eastAsia="Arial" w:hAnsi="Arial"/>
          <w:sz w:val="20"/>
          <w:szCs w:val="20"/>
          <w:color w:val="auto"/>
        </w:rPr>
      </w:pPr>
    </w:p>
    <w:p>
      <w:pPr>
        <w:jc w:val="both"/>
        <w:ind w:firstLine="1304"/>
        <w:spacing w:after="0" w:line="275" w:lineRule="auto"/>
        <w:tabs>
          <w:tab w:leader="none" w:pos="1944" w:val="left"/>
        </w:tabs>
        <w:numPr>
          <w:ilvl w:val="2"/>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for an Employee, termination based on the grounds set forth in Article 50 of the Spanish Workers’ Statute. For senior executives (</w:t>
      </w:r>
      <w:r>
        <w:rPr>
          <w:rFonts w:ascii="Arial" w:cs="Arial" w:eastAsia="Arial" w:hAnsi="Arial"/>
          <w:sz w:val="18"/>
          <w:szCs w:val="18"/>
          <w:i w:val="1"/>
          <w:iCs w:val="1"/>
          <w:color w:val="auto"/>
        </w:rPr>
        <w:t>altos directivos</w:t>
      </w:r>
      <w:r>
        <w:rPr>
          <w:rFonts w:ascii="Arial" w:cs="Arial" w:eastAsia="Arial" w:hAnsi="Arial"/>
          <w:sz w:val="18"/>
          <w:szCs w:val="18"/>
          <w:color w:val="auto"/>
        </w:rPr>
        <w:t>), the termination based on the grounds set forth in Article 10.3, sections (a), (b) or</w:t>
      </w:r>
    </w:p>
    <w:p>
      <w:pPr>
        <w:jc w:val="both"/>
        <w:ind w:firstLine="8"/>
        <w:spacing w:after="0" w:line="281" w:lineRule="auto"/>
        <w:tabs>
          <w:tab w:leader="none" w:pos="27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of Royal Decree 1382/1985, of 1 August 1985, governing the special employment relationship of senior executives. For corporate officers (</w:t>
      </w:r>
      <w:r>
        <w:rPr>
          <w:rFonts w:ascii="Arial" w:cs="Arial" w:eastAsia="Arial" w:hAnsi="Arial"/>
          <w:sz w:val="18"/>
          <w:szCs w:val="18"/>
          <w:i w:val="1"/>
          <w:iCs w:val="1"/>
          <w:color w:val="auto"/>
        </w:rPr>
        <w:t>“consejeros ejecutivos”</w:t>
      </w:r>
      <w:r>
        <w:rPr>
          <w:rFonts w:ascii="Arial" w:cs="Arial" w:eastAsia="Arial" w:hAnsi="Arial"/>
          <w:sz w:val="18"/>
          <w:szCs w:val="18"/>
          <w:color w:val="auto"/>
        </w:rPr>
        <w:t xml:space="preserve">) not holding an employment status, the definition of “Good Reason” shall be that set forth in the relevant services agreement and, otherwise, the same as that set forth in the Agreement, adapted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 corporate officer.</w:t>
      </w:r>
    </w:p>
    <w:p>
      <w:pPr>
        <w:spacing w:after="0" w:line="161" w:lineRule="exact"/>
        <w:rPr>
          <w:rFonts w:ascii="Arial" w:cs="Arial" w:eastAsia="Arial" w:hAnsi="Arial"/>
          <w:sz w:val="18"/>
          <w:szCs w:val="18"/>
          <w:color w:val="auto"/>
        </w:rPr>
      </w:pPr>
    </w:p>
    <w:p>
      <w:pPr>
        <w:jc w:val="both"/>
        <w:ind w:firstLine="1304"/>
        <w:spacing w:after="0" w:line="250" w:lineRule="auto"/>
        <w:tabs>
          <w:tab w:leader="none" w:pos="1933" w:val="left"/>
        </w:tabs>
        <w:numPr>
          <w:ilvl w:val="2"/>
          <w:numId w:val="2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service agreement, by either party, at a time the Participant reaches the ordinary retirement age as determined in Article 205 and Seventh Transitory Provision of the Spanish Social Security Act (</w:t>
      </w:r>
      <w:r>
        <w:rPr>
          <w:rFonts w:ascii="Arial" w:cs="Arial" w:eastAsia="Arial" w:hAnsi="Arial"/>
          <w:sz w:val="20"/>
          <w:szCs w:val="20"/>
          <w:i w:val="1"/>
          <w:iCs w:val="1"/>
          <w:color w:val="auto"/>
        </w:rPr>
        <w:t>“Ley General de Seguridad Social”</w:t>
      </w:r>
      <w:r>
        <w:rPr>
          <w:rFonts w:ascii="Arial" w:cs="Arial" w:eastAsia="Arial" w:hAnsi="Arial"/>
          <w:sz w:val="20"/>
          <w:szCs w:val="20"/>
          <w:color w:val="auto"/>
        </w:rPr>
        <w:t>).</w:t>
      </w:r>
    </w:p>
    <w:p>
      <w:pPr>
        <w:spacing w:after="0" w:line="180" w:lineRule="exact"/>
        <w:rPr>
          <w:sz w:val="20"/>
          <w:szCs w:val="20"/>
          <w:color w:val="auto"/>
        </w:rPr>
      </w:pPr>
    </w:p>
    <w:p>
      <w:pPr>
        <w:ind w:left="3600"/>
        <w:spacing w:after="0"/>
        <w:tabs>
          <w:tab w:leader="none" w:pos="508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jc w:val="both"/>
        <w:ind w:firstLine="656"/>
        <w:spacing w:after="0" w:line="246" w:lineRule="auto"/>
        <w:tabs>
          <w:tab w:leader="none" w:pos="1296"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to the Company provided for in this Agreement shall be addressed to it in case of its Secretary, TechnipFMC plc, , John T. Gremp Campus, 13450 Lockwood Road, Houston, Texas 77044, and any notice to the Participant (or other person entitled to receive the RSUs) will be addressed to such person at the Participant’s address now on file with the Company, or to such other address as either may designate to the other in writing.</w:t>
      </w:r>
    </w:p>
    <w:p>
      <w:pPr>
        <w:spacing w:after="0" w:line="1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Any document, notice or demand required or permitted to be given or made by any of the parties hereto shall be deemed to be sufficiently given or made by way of the following:</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i.if by letter, when delivered personally or on actual receipt;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39" w:name="page140"/>
    <w:bookmarkEnd w:id="139"/>
    <w:p>
      <w:pPr>
        <w:ind w:left="1140"/>
        <w:spacing w:after="0"/>
        <w:rPr>
          <w:sz w:val="20"/>
          <w:szCs w:val="20"/>
          <w:color w:val="auto"/>
        </w:rPr>
      </w:pPr>
      <w:r>
        <w:rPr>
          <w:rFonts w:ascii="Arial" w:cs="Arial" w:eastAsia="Arial" w:hAnsi="Arial"/>
          <w:sz w:val="20"/>
          <w:szCs w:val="20"/>
          <w:color w:val="auto"/>
        </w:rPr>
        <w:t>ii.if by facsimile, when received in legible form.</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notice given in accordance with the above but received on a non-working day or after business hours in the place of receipt will only be deemed to be given on the next working day in that place.</w:t>
      </w:r>
    </w:p>
    <w:p>
      <w:pPr>
        <w:spacing w:after="0" w:line="177" w:lineRule="exact"/>
        <w:rPr>
          <w:sz w:val="20"/>
          <w:szCs w:val="20"/>
          <w:color w:val="auto"/>
        </w:rPr>
      </w:pPr>
    </w:p>
    <w:p>
      <w:pPr>
        <w:jc w:val="both"/>
        <w:ind w:firstLine="656"/>
        <w:spacing w:after="0" w:line="263" w:lineRule="auto"/>
        <w:tabs>
          <w:tab w:leader="none" w:pos="1296"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Choice of Law: The choice of law to be the laws of the State of Delaware will be recognized in the Thai court and applied to the extent to which such law is (a) proven to the satisfaction of the Courts which satisfaction is within the discretion of said Courts and (b) not considered contrary to the public order or good morals of the people of Thailand. The scope of public order and good morals of the people of Thailand are issues to be interpreted by the Supreme Court of Thailand.</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vii.</w:t>
      </w:r>
      <w:r>
        <w:rPr>
          <w:rFonts w:ascii="Arial" w:cs="Arial" w:eastAsia="Arial" w:hAnsi="Arial"/>
          <w:sz w:val="20"/>
          <w:szCs w:val="20"/>
          <w:b w:val="1"/>
          <w:bCs w:val="1"/>
          <w:u w:val="single" w:color="auto"/>
          <w:color w:val="auto"/>
        </w:rPr>
        <w:t>UNITED ARAB EMIRATES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United Arab Emirates</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the UAE for tax, labour or securities law purposes.</w:t>
      </w:r>
    </w:p>
    <w:p>
      <w:pPr>
        <w:spacing w:after="0" w:line="183" w:lineRule="exact"/>
        <w:rPr>
          <w:sz w:val="20"/>
          <w:szCs w:val="20"/>
          <w:color w:val="auto"/>
        </w:rPr>
      </w:pPr>
    </w:p>
    <w:p>
      <w:pPr>
        <w:jc w:val="both"/>
        <w:ind w:firstLine="656"/>
        <w:spacing w:after="0" w:line="242" w:lineRule="auto"/>
        <w:tabs>
          <w:tab w:leader="none" w:pos="1296"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Disclaimer</w:t>
      </w:r>
      <w:r>
        <w:rPr>
          <w:rFonts w:ascii="Arial" w:cs="Arial" w:eastAsia="Arial" w:hAnsi="Arial"/>
          <w:sz w:val="20"/>
          <w:szCs w:val="20"/>
          <w:color w:val="auto"/>
        </w:rPr>
        <w:t>. This Agreement has not been approved or licensed by the Securities and Commodities Authority or any other relevant licensing authorities or governmental agencies in the United Arab Emirates. This Agreement is strictly private and confidential and the terms of the Agreement and the Plan have not been reviewed by, deposited or registered with the Securities and Commodities Authority or any other licensing authority or governmental agencies in the United Arab Emirates. This offer is being issued from outside the United Arab Emirates to a limited number of Employees of a Subsidiary of the Company and must not be provided to any person other than the original recipient and may not be reproduced or used for any other purpose. Further, the information contained in this Agreement and the Plan is not intended to lead to the issue of any securities or the conclusion of any other contract of whatsoever nature within the territory of the United Arab Emirates.</w:t>
      </w:r>
    </w:p>
    <w:p>
      <w:pPr>
        <w:spacing w:after="0" w:line="196"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Any dispute arising out of or in connection with this Agreement, including any question regarding its existence, validity or termination, shall be referred to and finally resolved by arbitration under the Arbitration Rules of the DIFC – LCIA Arbitration Centre, which Rules are deemed to be incorporated by reference into this clause. The number of arbitrators shall be one. The seat, or legal place, of arbitration shall be Dubai International Financial Centre The language to be used in the arbitration shall be English.</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does not form part of the Participant’s employment for any purposes whatsoever.</w:t>
      </w:r>
    </w:p>
    <w:p>
      <w:pPr>
        <w:spacing w:after="0" w:line="210" w:lineRule="exact"/>
        <w:rPr>
          <w:sz w:val="20"/>
          <w:szCs w:val="20"/>
          <w:color w:val="auto"/>
        </w:rPr>
      </w:pPr>
    </w:p>
    <w:p>
      <w:pPr>
        <w:ind w:left="4700" w:hanging="385"/>
        <w:spacing w:after="0"/>
        <w:tabs>
          <w:tab w:leader="none" w:pos="470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UNITED KINGDOM</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RSUs. Other Eligible Individuals who are not Employees are not eligible to receive RSUs in the United Kingdom.</w:t>
      </w:r>
    </w:p>
    <w:p>
      <w:pPr>
        <w:spacing w:after="0" w:line="194" w:lineRule="exact"/>
        <w:rPr>
          <w:sz w:val="20"/>
          <w:szCs w:val="20"/>
          <w:color w:val="auto"/>
        </w:rPr>
      </w:pPr>
    </w:p>
    <w:p>
      <w:pPr>
        <w:jc w:val="both"/>
        <w:ind w:firstLine="656"/>
        <w:spacing w:after="0" w:line="270" w:lineRule="auto"/>
        <w:tabs>
          <w:tab w:leader="none" w:pos="1296"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Participant agrees to indemnify and keep indemnified the Company, any Subsidiary, any Parent and his/her Employer, if different, from and against any liability for or obligation to pay any Tax Liability (a “Tax Liability” being any liability for income tax, employee’s National Insurance contributions and (at the discretion of the Company) employer’s National Contributions (or other similar obligations to pay tax and social security wherever in the world arising) that is attributable to (1) the grant and/or vesting of the RSUs;</w:t>
      </w:r>
    </w:p>
    <w:p>
      <w:pPr>
        <w:spacing w:after="0" w:line="2" w:lineRule="exact"/>
        <w:rPr>
          <w:rFonts w:ascii="Arial" w:cs="Arial" w:eastAsia="Arial" w:hAnsi="Arial"/>
          <w:sz w:val="18"/>
          <w:szCs w:val="18"/>
          <w:color w:val="auto"/>
        </w:rPr>
      </w:pPr>
    </w:p>
    <w:p>
      <w:pPr>
        <w:ind w:left="280" w:hanging="272"/>
        <w:spacing w:after="0"/>
        <w:tabs>
          <w:tab w:leader="none" w:pos="2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acquisition by Participant of the Shares (3) any or all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40" w:name="page141"/>
    <w:bookmarkEnd w:id="140"/>
    <w:p>
      <w:pPr>
        <w:spacing w:after="0" w:line="260" w:lineRule="auto"/>
        <w:rPr>
          <w:sz w:val="20"/>
          <w:szCs w:val="20"/>
          <w:color w:val="auto"/>
        </w:rPr>
      </w:pPr>
      <w:r>
        <w:rPr>
          <w:rFonts w:ascii="Arial" w:cs="Arial" w:eastAsia="Arial" w:hAnsi="Arial"/>
          <w:sz w:val="20"/>
          <w:szCs w:val="20"/>
          <w:color w:val="auto"/>
        </w:rPr>
        <w:t>the restrictions that apply to any of the Shares ceasing to apply to the Shares or otherwise being varied, or (4) the disposal of any Shares (each of those events referred to as a “Taxable Event”)).</w:t>
      </w:r>
    </w:p>
    <w:p>
      <w:pPr>
        <w:spacing w:after="0" w:line="177" w:lineRule="exact"/>
        <w:rPr>
          <w:sz w:val="20"/>
          <w:szCs w:val="20"/>
          <w:color w:val="auto"/>
        </w:rPr>
      </w:pPr>
    </w:p>
    <w:p>
      <w:pPr>
        <w:jc w:val="both"/>
        <w:ind w:firstLine="656"/>
        <w:spacing w:after="0" w:line="246" w:lineRule="auto"/>
        <w:tabs>
          <w:tab w:leader="none" w:pos="1296"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RSUs will not vest or be acquired by Participant until Participant has made such arrangements as the 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Participant undertakes that, upon request by the Company, he/she will (on or within 14 days of acquiring the Shares) join with his/her Employer in electing, pursuant to Section 431(1) of the Income Tax (Earnings and Pensions) Act 2003 (“ITEPA”) that, for relevant tax purposes, the market value of the Shares acquired on Vesting of the RSUs on any occasion will be calculated as if the Shares were not restricted and Sections 425 to 430 (inclusive) of ITEPA are not to apply to such Shares.</w:t>
      </w:r>
    </w:p>
    <w:p>
      <w:pPr>
        <w:spacing w:after="0" w:line="176" w:lineRule="exact"/>
        <w:rPr>
          <w:rFonts w:ascii="Arial" w:cs="Arial" w:eastAsia="Arial" w:hAnsi="Arial"/>
          <w:sz w:val="19"/>
          <w:szCs w:val="19"/>
          <w:color w:val="auto"/>
        </w:rPr>
      </w:pPr>
    </w:p>
    <w:p>
      <w:pPr>
        <w:jc w:val="both"/>
        <w:ind w:firstLine="656"/>
        <w:spacing w:after="0" w:line="278" w:lineRule="auto"/>
        <w:tabs>
          <w:tab w:leader="none" w:pos="129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For the purposes of this Agreement and the Plan, the following defined term applies:</w:t>
      </w:r>
    </w:p>
    <w:p>
      <w:pPr>
        <w:spacing w:after="0" w:line="216" w:lineRule="exact"/>
        <w:rPr>
          <w:sz w:val="20"/>
          <w:szCs w:val="20"/>
          <w:color w:val="auto"/>
        </w:rPr>
      </w:pPr>
    </w:p>
    <w:p>
      <w:pPr>
        <w:ind w:firstLine="1082"/>
        <w:spacing w:after="0" w:line="260"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the Participant’s employment at the age when he or she becomes eligible to receive a state pension in the UK.</w:t>
      </w:r>
    </w:p>
    <w:p>
      <w:pPr>
        <w:spacing w:after="0" w:line="177" w:lineRule="exact"/>
        <w:rPr>
          <w:sz w:val="20"/>
          <w:szCs w:val="20"/>
          <w:color w:val="auto"/>
        </w:rPr>
      </w:pPr>
    </w:p>
    <w:p>
      <w:pPr>
        <w:ind w:right="20" w:firstLine="1092"/>
        <w:spacing w:after="0" w:line="260"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w:t>
      </w:r>
    </w:p>
    <w:p>
      <w:pPr>
        <w:spacing w:after="0" w:line="200" w:lineRule="exact"/>
        <w:rPr>
          <w:sz w:val="20"/>
          <w:szCs w:val="20"/>
          <w:color w:val="auto"/>
        </w:rPr>
      </w:pPr>
    </w:p>
    <w:p>
      <w:pPr>
        <w:spacing w:after="0" w:line="248"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|EU-DOCS\32493229.1||</w:t>
      </w:r>
      <w:r>
        <w:rPr>
          <w:sz w:val="20"/>
          <w:szCs w:val="20"/>
          <w:color w:val="auto"/>
        </w:rPr>
        <w:tab/>
      </w:r>
      <w:r>
        <w:rPr>
          <w:rFonts w:ascii="Arial" w:cs="Arial" w:eastAsia="Arial" w:hAnsi="Arial"/>
          <w:sz w:val="12"/>
          <w:szCs w:val="12"/>
          <w:color w:val="auto"/>
        </w:rPr>
        <w:t>| 878498-0000||</w:t>
      </w:r>
    </w:p>
    <w:p>
      <w:pPr>
        <w:sectPr>
          <w:pgSz w:w="11900" w:h="16838" w:orient="portrait"/>
          <w:cols w:equalWidth="0" w:num="1">
            <w:col w:w="11240"/>
          </w:cols>
          <w:pgMar w:left="320" w:top="140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94"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2021 of TechnipFMC plc (the “registrant”);</w:t>
      </w:r>
    </w:p>
    <w:p>
      <w:pPr>
        <w:spacing w:after="0" w:line="194"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88"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88" w:lineRule="auto"/>
        <w:tabs>
          <w:tab w:leader="none" w:pos="135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88" w:lineRule="auto"/>
        <w:tabs>
          <w:tab w:leader="none" w:pos="135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95" w:lineRule="auto"/>
        <w:tabs>
          <w:tab w:leader="none" w:pos="134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88" w:lineRule="auto"/>
        <w:tabs>
          <w:tab w:leader="none" w:pos="135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95"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95" w:lineRule="auto"/>
        <w:tabs>
          <w:tab w:leader="none" w:pos="134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95" w:lineRule="auto"/>
        <w:tabs>
          <w:tab w:leader="none" w:pos="134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Date: May 3, 2021</w:t>
      </w:r>
    </w:p>
    <w:p>
      <w:pPr>
        <w:spacing w:after="0" w:line="7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0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 Alf Melin, certify that:</w:t>
      </w:r>
    </w:p>
    <w:p>
      <w:pPr>
        <w:spacing w:after="0" w:line="194"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2021 of TechnipFMC plc (the “registrant”);</w:t>
      </w:r>
    </w:p>
    <w:p>
      <w:pPr>
        <w:spacing w:after="0" w:line="194"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88" w:lineRule="auto"/>
        <w:tabs>
          <w:tab w:leader="none" w:pos="6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88" w:lineRule="auto"/>
        <w:tabs>
          <w:tab w:leader="none" w:pos="1354" w:val="left"/>
        </w:tabs>
        <w:numPr>
          <w:ilvl w:val="1"/>
          <w:numId w:val="2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88" w:lineRule="auto"/>
        <w:tabs>
          <w:tab w:leader="none" w:pos="1354" w:val="left"/>
        </w:tabs>
        <w:numPr>
          <w:ilvl w:val="1"/>
          <w:numId w:val="2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95" w:lineRule="auto"/>
        <w:tabs>
          <w:tab w:leader="none" w:pos="134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88" w:lineRule="auto"/>
        <w:tabs>
          <w:tab w:leader="none" w:pos="1354" w:val="left"/>
        </w:tabs>
        <w:numPr>
          <w:ilvl w:val="1"/>
          <w:numId w:val="2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95" w:lineRule="auto"/>
        <w:tabs>
          <w:tab w:leader="none" w:pos="6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95" w:lineRule="auto"/>
        <w:tabs>
          <w:tab w:leader="none" w:pos="134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95" w:lineRule="auto"/>
        <w:tabs>
          <w:tab w:leader="none" w:pos="134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Date: May 3, 2021</w:t>
      </w:r>
    </w:p>
    <w:p>
      <w:pPr>
        <w:sectPr>
          <w:pgSz w:w="11900" w:h="16838" w:orient="portrait"/>
          <w:cols w:equalWidth="0" w:num="1">
            <w:col w:w="11240"/>
          </w:cols>
          <w:pgMar w:left="320" w:top="904" w:right="339" w:bottom="1440" w:gutter="0" w:footer="0" w:header="0"/>
        </w:sectPr>
      </w:pPr>
    </w:p>
    <w:bookmarkStart w:id="143" w:name="page144"/>
    <w:bookmarkEnd w:id="143"/>
    <w:p>
      <w:pPr>
        <w:ind w:left="630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19050</wp:posOffset>
            </wp:positionV>
            <wp:extent cx="26828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Alf Melin</w:t>
      </w:r>
    </w:p>
    <w:p>
      <w:pPr>
        <w:spacing w:after="0" w:line="5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9019"/>
          </w:cols>
          <w:pgMar w:left="1440" w:top="965"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75" w:lineRule="exact"/>
        <w:rPr>
          <w:sz w:val="20"/>
          <w:szCs w:val="20"/>
          <w:color w:val="auto"/>
        </w:rPr>
      </w:pPr>
    </w:p>
    <w:p>
      <w:pPr>
        <w:ind w:right="260" w:firstLine="8"/>
        <w:spacing w:after="0" w:line="295" w:lineRule="auto"/>
        <w:tabs>
          <w:tab w:leader="none" w:pos="24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2021,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May 3, 2021</w:t>
      </w:r>
    </w:p>
    <w:p>
      <w:pPr>
        <w:spacing w:after="0" w:line="3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0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9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 Alf Melin, Executive Vice President and Chief Financial Officer of TechnipFMC plc (the “Company”), do hereby certify, pursuant to 18 U.S.C. Section 1350, as adopted pursuant to Section 906 of the Sarbanes-Oxley Act of 2002, that, to my knowledge:</w:t>
      </w:r>
    </w:p>
    <w:p>
      <w:pPr>
        <w:spacing w:after="0" w:line="223" w:lineRule="exact"/>
        <w:rPr>
          <w:sz w:val="20"/>
          <w:szCs w:val="20"/>
          <w:color w:val="auto"/>
        </w:rPr>
      </w:pPr>
    </w:p>
    <w:p>
      <w:pPr>
        <w:ind w:right="260" w:firstLine="8"/>
        <w:spacing w:after="0" w:line="295" w:lineRule="auto"/>
        <w:tabs>
          <w:tab w:leader="none" w:pos="24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2021,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May 3, 2021</w:t>
      </w:r>
    </w:p>
    <w:p>
      <w:pPr>
        <w:spacing w:after="0" w:line="316"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19050</wp:posOffset>
            </wp:positionV>
            <wp:extent cx="2974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07"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Alf Melin</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Executive Vice President and Chief Financial Officer</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
      <w:numFmt w:val="bullet"/>
      <w:start w:val="1"/>
    </w:lvl>
  </w:abstractNum>
  <w:abstractNum w:abstractNumId="7">
    <w:nsid w:val="1CA0C5FA"/>
    <w:multiLevelType w:val="hybridMultilevel"/>
    <w:lvl w:ilvl="0">
      <w:lvlJc w:val="left"/>
      <w:lvlText w:val="•"/>
      <w:numFmt w:val="bullet"/>
      <w:start w:val="1"/>
    </w:lvl>
  </w:abstractNum>
  <w:abstractNum w:abstractNumId="8">
    <w:nsid w:val="53584BCB"/>
    <w:multiLevelType w:val="hybridMultilevel"/>
    <w:lvl w:ilvl="0">
      <w:lvlJc w:val="left"/>
      <w:lvlText w:val="(%1)"/>
      <w:numFmt w:val="lowerLetter"/>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1)"/>
      <w:numFmt w:val="lowerLetter"/>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1)"/>
      <w:numFmt w:val="lowerLetter"/>
      <w:start w:val="1"/>
    </w:lvl>
  </w:abstractNum>
  <w:abstractNum w:abstractNumId="15">
    <w:nsid w:val="3C5991AA"/>
    <w:multiLevelType w:val="hybridMultilevel"/>
    <w:lvl w:ilvl="0">
      <w:lvlJc w:val="left"/>
      <w:lvlText w:val="(%1)"/>
      <w:numFmt w:val="lowerLetter"/>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endash "/>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
      <w:numFmt w:val="bullet"/>
      <w:start w:val="1"/>
    </w:lvl>
    <w:lvl w:ilvl="1">
      <w:lvlJc w:val="left"/>
      <w:lvlText w:val="%2"/>
      <w:numFmt w:val="decimal"/>
      <w:start w:val="104"/>
    </w:lvl>
  </w:abstractNum>
  <w:abstractNum w:abstractNumId="21">
    <w:nsid w:val="379E21B5"/>
    <w:multiLevelType w:val="hybridMultilevel"/>
    <w:lvl w:ilvl="0">
      <w:lvlJc w:val="left"/>
      <w:lvlText w:val="**"/>
      <w:numFmt w:val="bullet"/>
      <w:start w:val="1"/>
    </w:lvl>
    <w:lvl w:ilvl="1">
      <w:lvlJc w:val="left"/>
      <w:lvlText w:val="%2"/>
      <w:numFmt w:val="decimal"/>
      <w:start w:val="1"/>
    </w:lvl>
  </w:abstractNum>
  <w:abstractNum w:abstractNumId="22">
    <w:nsid w:val="69E373"/>
    <w:multiLevelType w:val="hybridMultilevel"/>
    <w:lvl w:ilvl="0">
      <w:lvlJc w:val="left"/>
      <w:lvlText w:val="%1."/>
      <w:numFmt w:val="decimal"/>
      <w:start w:val="1"/>
    </w:lvl>
  </w:abstractNum>
  <w:abstractNum w:abstractNumId="23">
    <w:nsid w:val="2C27173B"/>
    <w:multiLevelType w:val="hybridMultilevel"/>
    <w:lvl w:ilvl="0">
      <w:lvlJc w:val="left"/>
      <w:lvlText w:val="%1."/>
      <w:numFmt w:val="decimal"/>
      <w:start w:val="1"/>
    </w:lvl>
  </w:abstractNum>
  <w:abstractNum w:abstractNumId="24">
    <w:nsid w:val="4C9B0904"/>
    <w:multiLevelType w:val="hybridMultilevel"/>
    <w:lvl w:ilvl="0">
      <w:lvlJc w:val="left"/>
      <w:lvlText w:val="%1."/>
      <w:numFmt w:val="decimal"/>
      <w:start w:val="1"/>
    </w:lvl>
    <w:lvl w:ilvl="1">
      <w:lvlJc w:val="left"/>
      <w:lvlText w:val="(%2)"/>
      <w:numFmt w:val="lowerLetter"/>
      <w:start w:val="1"/>
    </w:lvl>
  </w:abstractNum>
  <w:abstractNum w:abstractNumId="25">
    <w:nsid w:val="6AA7B75C"/>
    <w:multiLevelType w:val="hybridMultilevel"/>
    <w:lvl w:ilvl="0">
      <w:lvlJc w:val="left"/>
      <w:lvlText w:val="%1"/>
      <w:numFmt w:val="decimal"/>
      <w:start w:val="1"/>
    </w:lvl>
    <w:lvl w:ilvl="1">
      <w:lvlJc w:val="left"/>
      <w:lvlText w:val="(%2)"/>
      <w:numFmt w:val="lowerLetter"/>
      <w:start w:val="2"/>
    </w:lvl>
  </w:abstractNum>
  <w:abstractNum w:abstractNumId="26">
    <w:nsid w:val="1DF029D3"/>
    <w:multiLevelType w:val="hybridMultilevel"/>
    <w:lvl w:ilvl="0">
      <w:lvlJc w:val="left"/>
      <w:lvlText w:val="%1."/>
      <w:numFmt w:val="decimal"/>
      <w:start w:val="2"/>
    </w:lvl>
    <w:lvl w:ilvl="1">
      <w:lvlJc w:val="left"/>
      <w:lvlText w:val="(%2)"/>
      <w:numFmt w:val="lowerLetter"/>
      <w:start w:val="1"/>
    </w:lvl>
  </w:abstractNum>
  <w:abstractNum w:abstractNumId="27">
    <w:nsid w:val="5675FF36"/>
    <w:multiLevelType w:val="hybridMultilevel"/>
    <w:lvl w:ilvl="0">
      <w:lvlJc w:val="left"/>
      <w:lvlText w:val="%1"/>
      <w:numFmt w:val="decimal"/>
      <w:start w:val="1"/>
    </w:lvl>
    <w:lvl w:ilvl="1">
      <w:lvlJc w:val="left"/>
      <w:lvlText w:val="(%2)"/>
      <w:numFmt w:val="lowerLetter"/>
      <w:start w:val="2"/>
    </w:lvl>
  </w:abstractNum>
  <w:abstractNum w:abstractNumId="28">
    <w:nsid w:val="3DD15094"/>
    <w:multiLevelType w:val="hybridMultilevel"/>
    <w:lvl w:ilvl="0">
      <w:lvlJc w:val="left"/>
      <w:lvlText w:val="%1."/>
      <w:numFmt w:val="decimal"/>
      <w:start w:val="6"/>
    </w:lvl>
    <w:lvl w:ilvl="1">
      <w:lvlJc w:val="left"/>
      <w:lvlText w:val="%2"/>
      <w:numFmt w:val="lowerLetter"/>
      <w:start w:val="1"/>
    </w:lvl>
  </w:abstractNum>
  <w:abstractNum w:abstractNumId="29">
    <w:nsid w:val="3DB012B3"/>
    <w:multiLevelType w:val="hybridMultilevel"/>
    <w:lvl w:ilvl="0">
      <w:lvlJc w:val="left"/>
      <w:lvlText w:val="%1."/>
      <w:numFmt w:val="decimal"/>
      <w:start w:val="15"/>
    </w:lvl>
  </w:abstractNum>
  <w:abstractNum w:abstractNumId="30">
    <w:nsid w:val="2708C9AF"/>
    <w:multiLevelType w:val="hybridMultilevel"/>
    <w:lvl w:ilvl="0">
      <w:lvlJc w:val="left"/>
      <w:lvlText w:val="%1."/>
      <w:numFmt w:val="decimal"/>
      <w:start w:val="18"/>
    </w:lvl>
  </w:abstractNum>
  <w:abstractNum w:abstractNumId="31">
    <w:nsid w:val="5B25ACE2"/>
    <w:multiLevelType w:val="hybridMultilevel"/>
    <w:lvl w:ilvl="0">
      <w:lvlJc w:val="left"/>
      <w:lvlText w:val="%1."/>
      <w:numFmt w:val="decimal"/>
      <w:start w:val="21"/>
    </w:lvl>
  </w:abstractNum>
  <w:abstractNum w:abstractNumId="32">
    <w:nsid w:val="175DFCF0"/>
    <w:multiLevelType w:val="hybridMultilevel"/>
    <w:lvl w:ilvl="0">
      <w:lvlJc w:val="left"/>
      <w:lvlText w:val="%1."/>
      <w:numFmt w:val="decimal"/>
      <w:start w:val="23"/>
    </w:lvl>
  </w:abstractNum>
  <w:abstractNum w:abstractNumId="33">
    <w:nsid w:val="4F97E3E4"/>
    <w:multiLevelType w:val="hybridMultilevel"/>
    <w:lvl w:ilvl="0">
      <w:lvlJc w:val="left"/>
      <w:lvlText w:val="(%1)"/>
      <w:numFmt w:val="lowerLetter"/>
      <w:start w:val="1"/>
    </w:lvl>
  </w:abstractNum>
  <w:abstractNum w:abstractNumId="34">
    <w:nsid w:val="53B0A9E"/>
    <w:multiLevelType w:val="hybridMultilevel"/>
    <w:lvl w:ilvl="0">
      <w:lvlJc w:val="left"/>
      <w:lvlText w:val="(%1)"/>
      <w:numFmt w:val="lowerLetter"/>
      <w:start w:val="2"/>
    </w:lvl>
  </w:abstractNum>
  <w:abstractNum w:abstractNumId="35">
    <w:nsid w:val="34FD6B4F"/>
    <w:multiLevelType w:val="hybridMultilevel"/>
    <w:lvl w:ilvl="0">
      <w:lvlJc w:val="left"/>
      <w:lvlText w:val="(%1)"/>
      <w:numFmt w:val="lowerLetter"/>
      <w:start w:val="4"/>
    </w:lvl>
  </w:abstractNum>
  <w:abstractNum w:abstractNumId="36">
    <w:nsid w:val="5915FF32"/>
    <w:multiLevelType w:val="hybridMultilevel"/>
    <w:lvl w:ilvl="0">
      <w:lvlJc w:val="left"/>
      <w:lvlText w:val="%1."/>
      <w:numFmt w:val="decimal"/>
      <w:start w:val="1"/>
    </w:lvl>
  </w:abstractNum>
  <w:abstractNum w:abstractNumId="37">
    <w:nsid w:val="56438D15"/>
    <w:multiLevelType w:val="hybridMultilevel"/>
    <w:lvl w:ilvl="0">
      <w:lvlJc w:val="left"/>
      <w:lvlText w:val="%1."/>
      <w:numFmt w:val="decimal"/>
      <w:start w:val="2"/>
    </w:lvl>
    <w:lvl w:ilvl="1">
      <w:lvlJc w:val="left"/>
      <w:lvlText w:val="%2."/>
      <w:numFmt w:val="lowerRoman"/>
      <w:start w:val="1"/>
    </w:lvl>
  </w:abstractNum>
  <w:abstractNum w:abstractNumId="38">
    <w:nsid w:val="519E3149"/>
    <w:multiLevelType w:val="hybridMultilevel"/>
    <w:lvl w:ilvl="0">
      <w:lvlJc w:val="left"/>
      <w:lvlText w:val="%1."/>
      <w:numFmt w:val="lowerLetter"/>
      <w:start w:val="1"/>
    </w:lvl>
    <w:lvl w:ilvl="1">
      <w:lvlJc w:val="left"/>
      <w:lvlText w:val="(%2)"/>
      <w:numFmt w:val="upperLetter"/>
      <w:start w:val="3"/>
    </w:lvl>
  </w:abstractNum>
  <w:abstractNum w:abstractNumId="39">
    <w:nsid w:val="2C6E4AFD"/>
    <w:multiLevelType w:val="hybridMultilevel"/>
    <w:lvl w:ilvl="0">
      <w:lvlJc w:val="left"/>
      <w:lvlText w:val="%1."/>
      <w:numFmt w:val="decimal"/>
      <w:start w:val="1"/>
    </w:lvl>
  </w:abstractNum>
  <w:abstractNum w:abstractNumId="40">
    <w:nsid w:val="17A1B582"/>
    <w:multiLevelType w:val="hybridMultilevel"/>
    <w:lvl w:ilvl="0">
      <w:lvlJc w:val="left"/>
      <w:lvlText w:val="%1."/>
      <w:numFmt w:val="decimal"/>
      <w:start w:val="3"/>
    </w:lvl>
  </w:abstractNum>
  <w:abstractNum w:abstractNumId="41">
    <w:nsid w:val="4DF72E4E"/>
    <w:multiLevelType w:val="hybridMultilevel"/>
    <w:lvl w:ilvl="0">
      <w:lvlJc w:val="left"/>
      <w:lvlText w:val="%1."/>
      <w:numFmt w:val="decimal"/>
      <w:start w:val="4"/>
    </w:lvl>
  </w:abstractNum>
  <w:abstractNum w:abstractNumId="42">
    <w:nsid w:val="5046B5A9"/>
    <w:multiLevelType w:val="hybridMultilevel"/>
    <w:lvl w:ilvl="0">
      <w:lvlJc w:val="left"/>
      <w:lvlText w:val="%1."/>
      <w:numFmt w:val="lowerLetter"/>
      <w:start w:val="9"/>
    </w:lvl>
    <w:lvl w:ilvl="1">
      <w:lvlJc w:val="left"/>
      <w:lvlText w:val="%2."/>
      <w:numFmt w:val="lowerLetter"/>
      <w:start w:val="1"/>
    </w:lvl>
  </w:abstractNum>
  <w:abstractNum w:abstractNumId="43">
    <w:nsid w:val="5D888A08"/>
    <w:multiLevelType w:val="hybridMultilevel"/>
    <w:lvl w:ilvl="0">
      <w:lvlJc w:val="left"/>
      <w:lvlText w:val="%1."/>
      <w:numFmt w:val="lowerLetter"/>
      <w:start w:val="6"/>
    </w:lvl>
  </w:abstractNum>
  <w:abstractNum w:abstractNumId="44">
    <w:nsid w:val="2A082C70"/>
    <w:multiLevelType w:val="hybridMultilevel"/>
    <w:lvl w:ilvl="0">
      <w:lvlJc w:val="left"/>
      <w:lvlText w:val="%1"/>
      <w:numFmt w:val="lowerLetter"/>
      <w:start w:val="1"/>
    </w:lvl>
    <w:lvl w:ilvl="1">
      <w:lvlJc w:val="left"/>
      <w:lvlText w:val="%2."/>
      <w:numFmt w:val="lowerLetter"/>
      <w:start w:val="17"/>
    </w:lvl>
    <w:lvl w:ilvl="2">
      <w:lvlJc w:val="left"/>
      <w:lvlText w:val="%3"/>
      <w:numFmt w:val="upperLetter"/>
      <w:start w:val="1"/>
    </w:lvl>
  </w:abstractNum>
  <w:abstractNum w:abstractNumId="45">
    <w:nsid w:val="5EC6AFD4"/>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9"/>
    </w:lvl>
  </w:abstractNum>
  <w:abstractNum w:abstractNumId="46">
    <w:nsid w:val="19E21BB2"/>
    <w:multiLevelType w:val="hybridMultilevel"/>
    <w:lvl w:ilvl="0">
      <w:lvlJc w:val="left"/>
      <w:lvlText w:val="%1"/>
      <w:numFmt w:val="decimal"/>
      <w:start w:val="1"/>
    </w:lvl>
    <w:lvl w:ilvl="1">
      <w:lvlJc w:val="left"/>
      <w:lvlText w:val="%2."/>
      <w:numFmt w:val="upperLetter"/>
      <w:start w:val="35"/>
    </w:lvl>
  </w:abstractNum>
  <w:abstractNum w:abstractNumId="47">
    <w:nsid w:val="75E0858A"/>
    <w:multiLevelType w:val="hybridMultilevel"/>
    <w:lvl w:ilvl="0">
      <w:lvlJc w:val="left"/>
      <w:lvlText w:val="%1."/>
      <w:numFmt w:val="decimal"/>
      <w:start w:val="1"/>
    </w:lvl>
    <w:lvl w:ilvl="1">
      <w:lvlJc w:val="left"/>
      <w:lvlText w:val="%2"/>
      <w:numFmt w:val="upperLetter"/>
      <w:start w:val="1"/>
    </w:lvl>
  </w:abstractNum>
  <w:abstractNum w:abstractNumId="48">
    <w:nsid w:val="57A61A29"/>
    <w:multiLevelType w:val="hybridMultilevel"/>
    <w:lvl w:ilvl="0">
      <w:lvlJc w:val="left"/>
      <w:lvlText w:val="%1."/>
      <w:numFmt w:val="decimal"/>
      <w:start w:val="6"/>
    </w:lvl>
  </w:abstractNum>
  <w:abstractNum w:abstractNumId="49">
    <w:nsid w:val="5399C654"/>
    <w:multiLevelType w:val="hybridMultilevel"/>
    <w:lvl w:ilvl="0">
      <w:lvlJc w:val="left"/>
      <w:lvlText w:val="%1."/>
      <w:numFmt w:val="decimal"/>
      <w:start w:val="8"/>
    </w:lvl>
    <w:lvl w:ilvl="1">
      <w:lvlJc w:val="left"/>
      <w:lvlText w:val="%2."/>
      <w:numFmt w:val="decimal"/>
      <w:start w:val="7"/>
    </w:lvl>
  </w:abstractNum>
  <w:abstractNum w:abstractNumId="50">
    <w:nsid w:val="20EE1348"/>
    <w:multiLevelType w:val="hybridMultilevel"/>
    <w:lvl w:ilvl="0">
      <w:lvlJc w:val="left"/>
      <w:lvlText w:val="%1."/>
      <w:numFmt w:val="decimal"/>
      <w:start w:val="1"/>
    </w:lvl>
  </w:abstractNum>
  <w:abstractNum w:abstractNumId="51">
    <w:nsid w:val="4427069A"/>
    <w:multiLevelType w:val="hybridMultilevel"/>
    <w:lvl w:ilvl="0">
      <w:lvlJc w:val="left"/>
      <w:lvlText w:val="%1."/>
      <w:numFmt w:val="decimal"/>
      <w:start w:val="3"/>
    </w:lvl>
  </w:abstractNum>
  <w:abstractNum w:abstractNumId="52">
    <w:nsid w:val="B37E80A"/>
    <w:multiLevelType w:val="hybridMultilevel"/>
    <w:lvl w:ilvl="0">
      <w:lvlJc w:val="left"/>
      <w:lvlText w:val="•"/>
      <w:numFmt w:val="bullet"/>
      <w:start w:val="1"/>
    </w:lvl>
  </w:abstractNum>
  <w:abstractNum w:abstractNumId="53">
    <w:nsid w:val="2157F6BC"/>
    <w:multiLevelType w:val="hybridMultilevel"/>
    <w:lvl w:ilvl="0">
      <w:lvlJc w:val="left"/>
      <w:lvlText w:val="•"/>
      <w:numFmt w:val="bullet"/>
      <w:start w:val="1"/>
    </w:lvl>
  </w:abstractNum>
  <w:abstractNum w:abstractNumId="54">
    <w:nsid w:val="704E1DD5"/>
    <w:multiLevelType w:val="hybridMultilevel"/>
    <w:lvl w:ilvl="0">
      <w:lvlJc w:val="left"/>
      <w:lvlText w:val="%1."/>
      <w:numFmt w:val="decimal"/>
      <w:start w:val="4"/>
    </w:lvl>
  </w:abstractNum>
  <w:abstractNum w:abstractNumId="55">
    <w:nsid w:val="57D2F10E"/>
    <w:multiLevelType w:val="hybridMultilevel"/>
    <w:lvl w:ilvl="0">
      <w:lvlJc w:val="left"/>
      <w:lvlText w:val="%1."/>
      <w:numFmt w:val="decimal"/>
      <w:start w:val="8"/>
    </w:lvl>
  </w:abstractNum>
  <w:abstractNum w:abstractNumId="56">
    <w:nsid w:val="BFFAE18"/>
    <w:multiLevelType w:val="hybridMultilevel"/>
    <w:lvl w:ilvl="0">
      <w:lvlJc w:val="left"/>
      <w:lvlText w:val="%1."/>
      <w:numFmt w:val="decimal"/>
      <w:start w:val="1"/>
    </w:lvl>
    <w:lvl w:ilvl="1">
      <w:lvlJc w:val="left"/>
      <w:lvlText w:val="%2."/>
      <w:numFmt w:val="decimal"/>
      <w:start w:val="9"/>
    </w:lvl>
  </w:abstractNum>
  <w:abstractNum w:abstractNumId="57">
    <w:nsid w:val="E3E47A8"/>
    <w:multiLevelType w:val="hybridMultilevel"/>
    <w:lvl w:ilvl="0">
      <w:lvlJc w:val="left"/>
      <w:lvlText w:val="%1."/>
      <w:numFmt w:val="decimal"/>
      <w:start w:val="1"/>
    </w:lvl>
  </w:abstractNum>
  <w:abstractNum w:abstractNumId="58">
    <w:nsid w:val="2E48F044"/>
    <w:multiLevelType w:val="hybridMultilevel"/>
    <w:lvl w:ilvl="0">
      <w:lvlJc w:val="left"/>
      <w:lvlText w:val="%1."/>
      <w:numFmt w:val="decimal"/>
      <w:start w:val="3"/>
    </w:lvl>
  </w:abstractNum>
  <w:abstractNum w:abstractNumId="59">
    <w:nsid w:val="49D0FEAC"/>
    <w:multiLevelType w:val="hybridMultilevel"/>
    <w:lvl w:ilvl="0">
      <w:lvlJc w:val="left"/>
      <w:lvlText w:val="%1."/>
      <w:numFmt w:val="decimal"/>
      <w:start w:val="1"/>
    </w:lvl>
  </w:abstractNum>
  <w:abstractNum w:abstractNumId="60">
    <w:nsid w:val="4BEE5A5B"/>
    <w:multiLevelType w:val="hybridMultilevel"/>
    <w:lvl w:ilvl="0">
      <w:lvlJc w:val="left"/>
      <w:lvlText w:val="%1."/>
      <w:numFmt w:val="decimal"/>
      <w:start w:val="2"/>
    </w:lvl>
    <w:lvl w:ilvl="1">
      <w:lvlJc w:val="left"/>
      <w:lvlText w:val="%2."/>
      <w:numFmt w:val="decimal"/>
      <w:start w:val="10"/>
    </w:lvl>
  </w:abstractNum>
  <w:abstractNum w:abstractNumId="61">
    <w:nsid w:val="5551B9F3"/>
    <w:multiLevelType w:val="hybridMultilevel"/>
    <w:lvl w:ilvl="0">
      <w:lvlJc w:val="left"/>
      <w:lvlText w:val="%1."/>
      <w:numFmt w:val="decimal"/>
      <w:start w:val="1"/>
    </w:lvl>
  </w:abstractNum>
  <w:abstractNum w:abstractNumId="62">
    <w:nsid w:val="24F6AB8E"/>
    <w:multiLevelType w:val="hybridMultilevel"/>
    <w:lvl w:ilvl="0">
      <w:lvlJc w:val="left"/>
      <w:lvlText w:val="%1."/>
      <w:numFmt w:val="decimal"/>
      <w:start w:val="2"/>
    </w:lvl>
  </w:abstractNum>
  <w:abstractNum w:abstractNumId="63">
    <w:nsid w:val="634C574C"/>
    <w:multiLevelType w:val="hybridMultilevel"/>
    <w:lvl w:ilvl="0">
      <w:lvlJc w:val="left"/>
      <w:lvlText w:val="%1."/>
      <w:numFmt w:val="decimal"/>
      <w:start w:val="3"/>
    </w:lvl>
  </w:abstractNum>
  <w:abstractNum w:abstractNumId="64">
    <w:nsid w:val="24E99DD7"/>
    <w:multiLevelType w:val="hybridMultilevel"/>
    <w:lvl w:ilvl="0">
      <w:lvlJc w:val="left"/>
      <w:lvlText w:val="%1."/>
      <w:numFmt w:val="decimal"/>
      <w:start w:val="6"/>
    </w:lvl>
  </w:abstractNum>
  <w:abstractNum w:abstractNumId="65">
    <w:nsid w:val="2A31B62D"/>
    <w:multiLevelType w:val="hybridMultilevel"/>
    <w:lvl w:ilvl="0">
      <w:lvlJc w:val="left"/>
      <w:lvlText w:val="(%1)"/>
      <w:numFmt w:val="lowerLetter"/>
      <w:start w:val="1"/>
    </w:lvl>
  </w:abstractNum>
  <w:abstractNum w:abstractNumId="66">
    <w:nsid w:val="1849C29B"/>
    <w:multiLevelType w:val="hybridMultilevel"/>
    <w:lvl w:ilvl="0">
      <w:lvlJc w:val="left"/>
      <w:lvlText w:val="(%1)"/>
      <w:numFmt w:val="lowerLetter"/>
      <w:start w:val="2"/>
    </w:lvl>
  </w:abstractNum>
  <w:abstractNum w:abstractNumId="67">
    <w:nsid w:val="7DFF9D09"/>
    <w:multiLevelType w:val="hybridMultilevel"/>
    <w:lvl w:ilvl="0">
      <w:lvlJc w:val="left"/>
      <w:lvlText w:val="(%1)"/>
      <w:numFmt w:val="lowerLetter"/>
      <w:start w:val="3"/>
    </w:lvl>
  </w:abstractNum>
  <w:abstractNum w:abstractNumId="68">
    <w:nsid w:val="754342"/>
    <w:multiLevelType w:val="hybridMultilevel"/>
    <w:lvl w:ilvl="0">
      <w:lvlJc w:val="left"/>
      <w:lvlText w:val="%1."/>
      <w:numFmt w:val="decimal"/>
      <w:start w:val="1"/>
    </w:lvl>
  </w:abstractNum>
  <w:abstractNum w:abstractNumId="69">
    <w:nsid w:val="69E7F3E5"/>
    <w:multiLevelType w:val="hybridMultilevel"/>
    <w:lvl w:ilvl="0">
      <w:lvlJc w:val="left"/>
      <w:lvlText w:val="«"/>
      <w:numFmt w:val="bullet"/>
      <w:start w:val="1"/>
    </w:lvl>
  </w:abstractNum>
  <w:abstractNum w:abstractNumId="70">
    <w:nsid w:val="2A6DE806"/>
    <w:multiLevelType w:val="hybridMultilevel"/>
    <w:lvl w:ilvl="0">
      <w:lvlJc w:val="left"/>
      <w:lvlText w:val="%1."/>
      <w:numFmt w:val="decimal"/>
      <w:start w:val="2"/>
    </w:lvl>
  </w:abstractNum>
  <w:abstractNum w:abstractNumId="71">
    <w:nsid w:val="1816F8C4"/>
    <w:multiLevelType w:val="hybridMultilevel"/>
    <w:lvl w:ilvl="0">
      <w:lvlJc w:val="left"/>
      <w:lvlText w:val="%1."/>
      <w:numFmt w:val="decimal"/>
      <w:start w:val="1"/>
    </w:lvl>
  </w:abstractNum>
  <w:abstractNum w:abstractNumId="72">
    <w:nsid w:val="37DF2233"/>
    <w:multiLevelType w:val="hybridMultilevel"/>
    <w:lvl w:ilvl="0">
      <w:lvlJc w:val="left"/>
      <w:lvlText w:val="%1."/>
      <w:numFmt w:val="decimal"/>
      <w:start w:val="3"/>
    </w:lvl>
  </w:abstractNum>
  <w:abstractNum w:abstractNumId="73">
    <w:nsid w:val="7AB49DAF"/>
    <w:multiLevelType w:val="hybridMultilevel"/>
    <w:lvl w:ilvl="0">
      <w:lvlJc w:val="left"/>
      <w:lvlText w:val="%1."/>
      <w:numFmt w:val="decimal"/>
      <w:start w:val="3"/>
    </w:lvl>
  </w:abstractNum>
  <w:abstractNum w:abstractNumId="74">
    <w:nsid w:val="759F82CD"/>
    <w:multiLevelType w:val="hybridMultilevel"/>
    <w:lvl w:ilvl="0">
      <w:lvlJc w:val="left"/>
      <w:lvlText w:val="%1."/>
      <w:numFmt w:val="decimal"/>
      <w:start w:val="4"/>
    </w:lvl>
  </w:abstractNum>
  <w:abstractNum w:abstractNumId="75">
    <w:nsid w:val="61E74EA3"/>
    <w:multiLevelType w:val="hybridMultilevel"/>
    <w:lvl w:ilvl="0">
      <w:lvlJc w:val="left"/>
      <w:lvlText w:val="%1."/>
      <w:numFmt w:val="decimal"/>
      <w:start w:val="7"/>
    </w:lvl>
  </w:abstractNum>
  <w:abstractNum w:abstractNumId="76">
    <w:nsid w:val="597B4D84"/>
    <w:multiLevelType w:val="hybridMultilevel"/>
    <w:lvl w:ilvl="0">
      <w:lvlJc w:val="left"/>
      <w:lvlText w:val="%1."/>
      <w:numFmt w:val="decimal"/>
      <w:start w:val="1"/>
    </w:lvl>
    <w:lvl w:ilvl="1">
      <w:lvlJc w:val="left"/>
      <w:lvlText w:val="%2."/>
      <w:numFmt w:val="decimal"/>
      <w:start w:val="8"/>
    </w:lvl>
  </w:abstractNum>
  <w:abstractNum w:abstractNumId="77">
    <w:nsid w:val="F819E7F"/>
    <w:multiLevelType w:val="hybridMultilevel"/>
    <w:lvl w:ilvl="0">
      <w:lvlJc w:val="left"/>
      <w:lvlText w:val="%1."/>
      <w:numFmt w:val="decimal"/>
      <w:start w:val="1"/>
    </w:lvl>
  </w:abstractNum>
  <w:abstractNum w:abstractNumId="78">
    <w:nsid w:val="57C7D42D"/>
    <w:multiLevelType w:val="hybridMultilevel"/>
    <w:lvl w:ilvl="0">
      <w:lvlJc w:val="left"/>
      <w:lvlText w:val="%1."/>
      <w:numFmt w:val="decimal"/>
      <w:start w:val="9"/>
    </w:lvl>
  </w:abstractNum>
  <w:abstractNum w:abstractNumId="79">
    <w:nsid w:val="312167AD"/>
    <w:multiLevelType w:val="hybridMultilevel"/>
    <w:lvl w:ilvl="0">
      <w:lvlJc w:val="left"/>
      <w:lvlText w:val="%1."/>
      <w:numFmt w:val="decimal"/>
      <w:start w:val="1"/>
    </w:lvl>
  </w:abstractNum>
  <w:abstractNum w:abstractNumId="80">
    <w:nsid w:val="631B64D4"/>
    <w:multiLevelType w:val="hybridMultilevel"/>
    <w:lvl w:ilvl="0">
      <w:lvlJc w:val="left"/>
      <w:lvlText w:val="%1."/>
      <w:numFmt w:val="decimal"/>
      <w:start w:val="5"/>
    </w:lvl>
  </w:abstractNum>
  <w:abstractNum w:abstractNumId="81">
    <w:nsid w:val="78B5E776"/>
    <w:multiLevelType w:val="hybridMultilevel"/>
    <w:lvl w:ilvl="0">
      <w:lvlJc w:val="left"/>
      <w:lvlText w:val="%1."/>
      <w:numFmt w:val="decimal"/>
      <w:start w:val="1"/>
    </w:lvl>
  </w:abstractNum>
  <w:abstractNum w:abstractNumId="82">
    <w:nsid w:val="75486E47"/>
    <w:multiLevelType w:val="hybridMultilevel"/>
    <w:lvl w:ilvl="0">
      <w:lvlJc w:val="left"/>
      <w:lvlText w:val="%1."/>
      <w:numFmt w:val="decimal"/>
      <w:start w:val="4"/>
    </w:lvl>
  </w:abstractNum>
  <w:abstractNum w:abstractNumId="83">
    <w:nsid w:val="6E534CDE"/>
    <w:multiLevelType w:val="hybridMultilevel"/>
    <w:lvl w:ilvl="0">
      <w:lvlJc w:val="left"/>
      <w:lvlText w:val="%1."/>
      <w:numFmt w:val="decimal"/>
      <w:start w:val="1"/>
    </w:lvl>
  </w:abstractNum>
  <w:abstractNum w:abstractNumId="84">
    <w:nsid w:val="1A0DDE32"/>
    <w:multiLevelType w:val="hybridMultilevel"/>
    <w:lvl w:ilvl="0">
      <w:lvlJc w:val="left"/>
      <w:lvlText w:val="%1."/>
      <w:numFmt w:val="decimal"/>
      <w:start w:val="3"/>
    </w:lvl>
  </w:abstractNum>
  <w:abstractNum w:abstractNumId="85">
    <w:nsid w:val="65968C1C"/>
    <w:multiLevelType w:val="hybridMultilevel"/>
    <w:lvl w:ilvl="0">
      <w:lvlJc w:val="left"/>
      <w:lvlText w:val="%1."/>
      <w:numFmt w:val="decimal"/>
      <w:start w:val="1"/>
    </w:lvl>
  </w:abstractNum>
  <w:abstractNum w:abstractNumId="86">
    <w:nsid w:val="46263DEC"/>
    <w:multiLevelType w:val="hybridMultilevel"/>
    <w:lvl w:ilvl="0">
      <w:lvlJc w:val="left"/>
      <w:lvlText w:val="%1."/>
      <w:numFmt w:val="decimal"/>
      <w:start w:val="1"/>
    </w:lvl>
  </w:abstractNum>
  <w:abstractNum w:abstractNumId="87">
    <w:nsid w:val="260D8C4A"/>
    <w:multiLevelType w:val="hybridMultilevel"/>
    <w:lvl w:ilvl="0">
      <w:lvlJc w:val="left"/>
      <w:lvlText w:val="%1."/>
      <w:numFmt w:val="decimal"/>
      <w:start w:val="1"/>
    </w:lvl>
  </w:abstractNum>
  <w:abstractNum w:abstractNumId="88">
    <w:nsid w:val="73D4D3C4"/>
    <w:multiLevelType w:val="hybridMultilevel"/>
    <w:lvl w:ilvl="0">
      <w:lvlJc w:val="left"/>
      <w:lvlText w:val="%1."/>
      <w:numFmt w:val="decimal"/>
      <w:start w:val="1"/>
    </w:lvl>
  </w:abstractNum>
  <w:abstractNum w:abstractNumId="89">
    <w:nsid w:val="746F2E30"/>
    <w:multiLevelType w:val="hybridMultilevel"/>
    <w:lvl w:ilvl="0">
      <w:lvlJc w:val="left"/>
      <w:lvlText w:val="%1."/>
      <w:numFmt w:val="lowerLetter"/>
      <w:start w:val="1"/>
    </w:lvl>
  </w:abstractNum>
  <w:abstractNum w:abstractNumId="90">
    <w:nsid w:val="6FDE8AF6"/>
    <w:multiLevelType w:val="hybridMultilevel"/>
    <w:lvl w:ilvl="0">
      <w:lvlJc w:val="left"/>
      <w:lvlText w:val="%1."/>
      <w:numFmt w:val="lowerLetter"/>
      <w:start w:val="2"/>
    </w:lvl>
  </w:abstractNum>
  <w:abstractNum w:abstractNumId="91">
    <w:nsid w:val="3FC32E20"/>
    <w:multiLevelType w:val="hybridMultilevel"/>
    <w:lvl w:ilvl="0">
      <w:lvlJc w:val="left"/>
      <w:lvlText w:val="%1."/>
      <w:numFmt w:val="decimal"/>
      <w:start w:val="2"/>
    </w:lvl>
  </w:abstractNum>
  <w:abstractNum w:abstractNumId="92">
    <w:nsid w:val="49C0E823"/>
    <w:multiLevelType w:val="hybridMultilevel"/>
    <w:lvl w:ilvl="0">
      <w:lvlJc w:val="left"/>
      <w:lvlText w:val="%1."/>
      <w:numFmt w:val="decimal"/>
      <w:start w:val="4"/>
    </w:lvl>
  </w:abstractNum>
  <w:abstractNum w:abstractNumId="93">
    <w:nsid w:val="14D53685"/>
    <w:multiLevelType w:val="hybridMultilevel"/>
    <w:lvl w:ilvl="0">
      <w:lvlJc w:val="left"/>
      <w:lvlText w:val="%1."/>
      <w:numFmt w:val="decimal"/>
      <w:start w:val="1"/>
    </w:lvl>
  </w:abstractNum>
  <w:abstractNum w:abstractNumId="94">
    <w:nsid w:val="230F856C"/>
    <w:multiLevelType w:val="hybridMultilevel"/>
    <w:lvl w:ilvl="0">
      <w:lvlJc w:val="left"/>
      <w:lvlText w:val="%1."/>
      <w:numFmt w:val="decimal"/>
      <w:start w:val="5"/>
    </w:lvl>
  </w:abstractNum>
  <w:abstractNum w:abstractNumId="95">
    <w:nsid w:val="6EAA85FB"/>
    <w:multiLevelType w:val="hybridMultilevel"/>
    <w:lvl w:ilvl="0">
      <w:lvlJc w:val="left"/>
      <w:lvlText w:val="%1."/>
      <w:numFmt w:val="decimal"/>
      <w:start w:val="2"/>
    </w:lvl>
  </w:abstractNum>
  <w:abstractNum w:abstractNumId="96">
    <w:nsid w:val="3F06ECB2"/>
    <w:multiLevelType w:val="hybridMultilevel"/>
    <w:lvl w:ilvl="0">
      <w:lvlJc w:val="left"/>
      <w:lvlText w:val="%1."/>
      <w:numFmt w:val="decimal"/>
      <w:start w:val="1"/>
    </w:lvl>
  </w:abstractNum>
  <w:abstractNum w:abstractNumId="97">
    <w:nsid w:val="3B594807"/>
    <w:multiLevelType w:val="hybridMultilevel"/>
    <w:lvl w:ilvl="0">
      <w:lvlJc w:val="left"/>
      <w:lvlText w:val="%1."/>
      <w:numFmt w:val="decimal"/>
      <w:start w:val="1"/>
    </w:lvl>
  </w:abstractNum>
  <w:abstractNum w:abstractNumId="98">
    <w:nsid w:val="6CAA2304"/>
    <w:multiLevelType w:val="hybridMultilevel"/>
    <w:lvl w:ilvl="0">
      <w:lvlJc w:val="left"/>
      <w:lvlText w:val="%1."/>
      <w:numFmt w:val="decimal"/>
      <w:start w:val="3"/>
    </w:lvl>
    <w:lvl w:ilvl="1">
      <w:lvlJc w:val="left"/>
      <w:lvlText w:val="%2."/>
      <w:numFmt w:val="decimal"/>
      <w:start w:val="3"/>
    </w:lvl>
  </w:abstractNum>
  <w:abstractNum w:abstractNumId="99">
    <w:nsid w:val="3F7C2FF4"/>
    <w:multiLevelType w:val="hybridMultilevel"/>
    <w:lvl w:ilvl="0">
      <w:lvlJc w:val="left"/>
      <w:lvlText w:val="%1."/>
      <w:numFmt w:val="decimal"/>
      <w:start w:val="4"/>
    </w:lvl>
  </w:abstractNum>
  <w:abstractNum w:abstractNumId="100">
    <w:nsid w:val="25413BEC"/>
    <w:multiLevelType w:val="hybridMultilevel"/>
    <w:lvl w:ilvl="0">
      <w:lvlJc w:val="left"/>
      <w:lvlText w:val="%1."/>
      <w:numFmt w:val="decimal"/>
      <w:start w:val="1"/>
    </w:lvl>
  </w:abstractNum>
  <w:abstractNum w:abstractNumId="101">
    <w:nsid w:val="17180B0B"/>
    <w:multiLevelType w:val="hybridMultilevel"/>
    <w:lvl w:ilvl="0">
      <w:lvlJc w:val="left"/>
      <w:lvlText w:val="%1."/>
      <w:numFmt w:val="decimal"/>
      <w:start w:val="2"/>
    </w:lvl>
  </w:abstractNum>
  <w:abstractNum w:abstractNumId="102">
    <w:nsid w:val="579328B9"/>
    <w:multiLevelType w:val="hybridMultilevel"/>
    <w:lvl w:ilvl="0">
      <w:lvlJc w:val="left"/>
      <w:lvlText w:val="%1."/>
      <w:numFmt w:val="decimal"/>
      <w:start w:val="1"/>
    </w:lvl>
  </w:abstractNum>
  <w:abstractNum w:abstractNumId="103">
    <w:nsid w:val="5D205E20"/>
    <w:multiLevelType w:val="hybridMultilevel"/>
    <w:lvl w:ilvl="0">
      <w:lvlJc w:val="left"/>
      <w:lvlText w:val="%1."/>
      <w:numFmt w:val="decimal"/>
      <w:start w:val="3"/>
    </w:lvl>
  </w:abstractNum>
  <w:abstractNum w:abstractNumId="104">
    <w:nsid w:val="11CCA8BA"/>
    <w:multiLevelType w:val="hybridMultilevel"/>
    <w:lvl w:ilvl="0">
      <w:lvlJc w:val="left"/>
      <w:lvlText w:val="%1."/>
      <w:numFmt w:val="decimal"/>
      <w:start w:val="1"/>
    </w:lvl>
  </w:abstractNum>
  <w:abstractNum w:abstractNumId="105">
    <w:nsid w:val="4D32AB86"/>
    <w:multiLevelType w:val="hybridMultilevel"/>
    <w:lvl w:ilvl="0">
      <w:lvlJc w:val="left"/>
      <w:lvlText w:val="%1."/>
      <w:numFmt w:val="decimal"/>
      <w:start w:val="1"/>
    </w:lvl>
  </w:abstractNum>
  <w:abstractNum w:abstractNumId="106">
    <w:nsid w:val="3F07ACC3"/>
    <w:multiLevelType w:val="hybridMultilevel"/>
    <w:lvl w:ilvl="0">
      <w:lvlJc w:val="left"/>
      <w:lvlText w:val="%1."/>
      <w:numFmt w:val="decimal"/>
      <w:start w:val="2"/>
    </w:lvl>
  </w:abstractNum>
  <w:abstractNum w:abstractNumId="107">
    <w:nsid w:val="6B47F63E"/>
    <w:multiLevelType w:val="hybridMultilevel"/>
    <w:lvl w:ilvl="0">
      <w:lvlJc w:val="left"/>
      <w:lvlText w:val="%1."/>
      <w:numFmt w:val="decimal"/>
      <w:start w:val="1"/>
    </w:lvl>
  </w:abstractNum>
  <w:abstractNum w:abstractNumId="108">
    <w:nsid w:val="5CB44A05"/>
    <w:multiLevelType w:val="hybridMultilevel"/>
    <w:lvl w:ilvl="0">
      <w:lvlJc w:val="left"/>
      <w:lvlText w:val="%1."/>
      <w:numFmt w:val="lowerLetter"/>
      <w:start w:val="1"/>
    </w:lvl>
  </w:abstractNum>
  <w:abstractNum w:abstractNumId="109">
    <w:nsid w:val="16CF80F1"/>
    <w:multiLevelType w:val="hybridMultilevel"/>
    <w:lvl w:ilvl="0">
      <w:lvlJc w:val="left"/>
      <w:lvlText w:val="%1."/>
      <w:numFmt w:val="lowerLetter"/>
      <w:start w:val="1"/>
    </w:lvl>
  </w:abstractNum>
  <w:abstractNum w:abstractNumId="110">
    <w:nsid w:val="1C695DEC"/>
    <w:multiLevelType w:val="hybridMultilevel"/>
    <w:lvl w:ilvl="0">
      <w:lvlJc w:val="left"/>
      <w:lvlText w:val="%1."/>
      <w:numFmt w:val="decimal"/>
      <w:start w:val="4"/>
    </w:lvl>
  </w:abstractNum>
  <w:abstractNum w:abstractNumId="111">
    <w:nsid w:val="3FCFAED9"/>
    <w:multiLevelType w:val="hybridMultilevel"/>
    <w:lvl w:ilvl="0">
      <w:lvlJc w:val="left"/>
      <w:lvlText w:val="%1."/>
      <w:numFmt w:val="decimal"/>
      <w:start w:val="5"/>
    </w:lvl>
  </w:abstractNum>
  <w:abstractNum w:abstractNumId="112">
    <w:nsid w:val="F856867"/>
    <w:multiLevelType w:val="hybridMultilevel"/>
    <w:lvl w:ilvl="0">
      <w:lvlJc w:val="left"/>
      <w:lvlText w:val="%1."/>
      <w:numFmt w:val="decimal"/>
      <w:start w:val="1"/>
    </w:lvl>
  </w:abstractNum>
  <w:abstractNum w:abstractNumId="113">
    <w:nsid w:val="11B1CC33"/>
    <w:multiLevelType w:val="hybridMultilevel"/>
    <w:lvl w:ilvl="0">
      <w:lvlJc w:val="left"/>
      <w:lvlText w:val="%1."/>
      <w:numFmt w:val="decimal"/>
      <w:start w:val="4"/>
    </w:lvl>
    <w:lvl w:ilvl="1">
      <w:lvlJc w:val="left"/>
      <w:lvlText w:val="%2"/>
      <w:numFmt w:val="lowerLetter"/>
      <w:start w:val="1"/>
    </w:lvl>
  </w:abstractNum>
  <w:abstractNum w:abstractNumId="114">
    <w:nsid w:val="2E22FBB7"/>
    <w:multiLevelType w:val="hybridMultilevel"/>
    <w:lvl w:ilvl="0">
      <w:lvlJc w:val="left"/>
      <w:lvlText w:val="%1"/>
      <w:numFmt w:val="lowerLetter"/>
      <w:start w:val="1"/>
    </w:lvl>
    <w:lvl w:ilvl="1">
      <w:lvlJc w:val="left"/>
      <w:lvlText w:val="%2."/>
      <w:numFmt w:val="lowerLetter"/>
      <w:start w:val="2"/>
    </w:lvl>
  </w:abstractNum>
  <w:abstractNum w:abstractNumId="115">
    <w:nsid w:val="29934699"/>
    <w:multiLevelType w:val="hybridMultilevel"/>
    <w:lvl w:ilvl="0">
      <w:lvlJc w:val="left"/>
      <w:lvlText w:val="(%1)"/>
      <w:numFmt w:val="lowerLetter"/>
      <w:start w:val="3"/>
    </w:lvl>
    <w:lvl w:ilvl="1">
      <w:lvlJc w:val="left"/>
      <w:lvlText w:val="%2."/>
      <w:numFmt w:val="lowerLetter"/>
      <w:start w:val="3"/>
    </w:lvl>
  </w:abstractNum>
  <w:abstractNum w:abstractNumId="116">
    <w:nsid w:val="77485850"/>
    <w:multiLevelType w:val="hybridMultilevel"/>
    <w:lvl w:ilvl="0">
      <w:lvlJc w:val="left"/>
      <w:lvlText w:val="%1."/>
      <w:numFmt w:val="decimal"/>
      <w:start w:val="1"/>
    </w:lvl>
  </w:abstractNum>
  <w:abstractNum w:abstractNumId="117">
    <w:nsid w:val="744939A3"/>
    <w:multiLevelType w:val="hybridMultilevel"/>
    <w:lvl w:ilvl="0">
      <w:lvlJc w:val="left"/>
      <w:lvlText w:val="%1."/>
      <w:numFmt w:val="decimal"/>
      <w:start w:val="2"/>
    </w:lvl>
  </w:abstractNum>
  <w:abstractNum w:abstractNumId="118">
    <w:nsid w:val="4FA0D2E3"/>
    <w:multiLevelType w:val="hybridMultilevel"/>
    <w:lvl w:ilvl="0">
      <w:lvlJc w:val="left"/>
      <w:lvlText w:val="%1."/>
      <w:numFmt w:val="decimal"/>
      <w:start w:val="1"/>
    </w:lvl>
  </w:abstractNum>
  <w:abstractNum w:abstractNumId="119">
    <w:nsid w:val="6B1D2C14"/>
    <w:multiLevelType w:val="hybridMultilevel"/>
    <w:lvl w:ilvl="0">
      <w:lvlJc w:val="left"/>
      <w:lvlText w:val="%1."/>
      <w:numFmt w:val="decimal"/>
      <w:start w:val="2"/>
    </w:lvl>
  </w:abstractNum>
  <w:abstractNum w:abstractNumId="120">
    <w:nsid w:val="68B867D3"/>
    <w:multiLevelType w:val="hybridMultilevel"/>
    <w:lvl w:ilvl="0">
      <w:lvlJc w:val="left"/>
      <w:lvlText w:val="%1"/>
      <w:numFmt w:val="decimal"/>
      <w:start w:val="1"/>
    </w:lvl>
    <w:lvl w:ilvl="1">
      <w:lvlJc w:val="left"/>
      <w:lvlText w:val="%2."/>
      <w:numFmt w:val="decimal"/>
      <w:start w:val="1"/>
    </w:lvl>
  </w:abstractNum>
  <w:abstractNum w:abstractNumId="121">
    <w:nsid w:val="3F7F5DD9"/>
    <w:multiLevelType w:val="hybridMultilevel"/>
    <w:lvl w:ilvl="0">
      <w:lvlJc w:val="left"/>
      <w:lvlText w:val="(%1)"/>
      <w:numFmt w:val="decimal"/>
      <w:start w:val="2"/>
    </w:lvl>
    <w:lvl w:ilvl="1">
      <w:lvlJc w:val="left"/>
      <w:lvlText w:val="%2."/>
      <w:numFmt w:val="decimal"/>
      <w:start w:val="2"/>
    </w:lvl>
  </w:abstractNum>
  <w:abstractNum w:abstractNumId="122">
    <w:nsid w:val="2AE05A34"/>
    <w:multiLevelType w:val="hybridMultilevel"/>
    <w:lvl w:ilvl="0">
      <w:lvlJc w:val="left"/>
      <w:lvlText w:val="%1."/>
      <w:numFmt w:val="decimal"/>
      <w:start w:val="5"/>
    </w:lvl>
  </w:abstractNum>
  <w:abstractNum w:abstractNumId="123">
    <w:nsid w:val="32794FF7"/>
    <w:multiLevelType w:val="hybridMultilevel"/>
    <w:lvl w:ilvl="0">
      <w:lvlJc w:val="left"/>
      <w:lvlText w:val="%1."/>
      <w:numFmt w:val="decimal"/>
      <w:start w:val="1"/>
    </w:lvl>
  </w:abstractNum>
  <w:abstractNum w:abstractNumId="124">
    <w:nsid w:val="5454945E"/>
    <w:multiLevelType w:val="hybridMultilevel"/>
    <w:lvl w:ilvl="0">
      <w:lvlJc w:val="left"/>
      <w:lvlText w:val="%1."/>
      <w:numFmt w:val="decimal"/>
      <w:start w:val="1"/>
    </w:lvl>
  </w:abstractNum>
  <w:abstractNum w:abstractNumId="125">
    <w:nsid w:val="4DEFDFA0"/>
    <w:multiLevelType w:val="hybridMultilevel"/>
    <w:lvl w:ilvl="0">
      <w:lvlJc w:val="left"/>
      <w:lvlText w:val="%1."/>
      <w:numFmt w:val="decimal"/>
      <w:start w:val="2"/>
    </w:lvl>
  </w:abstractNum>
  <w:abstractNum w:abstractNumId="126">
    <w:nsid w:val="2123D5F2"/>
    <w:multiLevelType w:val="hybridMultilevel"/>
    <w:lvl w:ilvl="0">
      <w:lvlJc w:val="left"/>
      <w:lvlText w:val="%1."/>
      <w:numFmt w:val="decimal"/>
      <w:start w:val="1"/>
    </w:lvl>
  </w:abstractNum>
  <w:abstractNum w:abstractNumId="127">
    <w:nsid w:val="135B811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8">
    <w:nsid w:val="94927A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129">
    <w:nsid w:val="DCDF8F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0">
    <w:nsid w:val="52D7B105"/>
    <w:multiLevelType w:val="hybridMultilevel"/>
    <w:lvl w:ilvl="0">
      <w:lvlJc w:val="left"/>
      <w:lvlText w:val="%1."/>
      <w:numFmt w:val="lowerLetter"/>
      <w:start w:val="2"/>
    </w:lvl>
  </w:abstractNum>
  <w:abstractNum w:abstractNumId="131">
    <w:nsid w:val="2E8A6394"/>
    <w:multiLevelType w:val="hybridMultilevel"/>
    <w:lvl w:ilvl="0">
      <w:lvlJc w:val="left"/>
      <w:lvlText w:val="%1."/>
      <w:numFmt w:val="decimal"/>
      <w:start w:val="4"/>
    </w:lvl>
  </w:abstractNum>
  <w:abstractNum w:abstractNumId="132">
    <w:nsid w:val="24E60401"/>
    <w:multiLevelType w:val="hybridMultilevel"/>
    <w:lvl w:ilvl="0">
      <w:lvlJc w:val="left"/>
      <w:lvlText w:val="%1."/>
      <w:numFmt w:val="decimal"/>
      <w:start w:val="1"/>
    </w:lvl>
    <w:lvl w:ilvl="1">
      <w:lvlJc w:val="left"/>
      <w:lvlText w:val="(%2)"/>
      <w:numFmt w:val="lowerLetter"/>
      <w:start w:val="1"/>
    </w:lvl>
  </w:abstractNum>
  <w:abstractNum w:abstractNumId="133">
    <w:nsid w:val="2A6AD9BE"/>
    <w:multiLevelType w:val="hybridMultilevel"/>
    <w:lvl w:ilvl="0">
      <w:lvlJc w:val="left"/>
      <w:lvlText w:val="%1."/>
      <w:numFmt w:val="decimal"/>
      <w:start w:val="1"/>
    </w:lvl>
    <w:lvl w:ilvl="1">
      <w:lvlJc w:val="left"/>
      <w:lvlText w:val="%2."/>
      <w:numFmt w:val="lowerRoman"/>
      <w:start w:val="1"/>
    </w:lvl>
  </w:abstractNum>
  <w:abstractNum w:abstractNumId="134">
    <w:nsid w:val="BAAC1B4"/>
    <w:multiLevelType w:val="hybridMultilevel"/>
    <w:lvl w:ilvl="0">
      <w:lvlJc w:val="left"/>
      <w:lvlText w:val="%1."/>
      <w:numFmt w:val="lowerLetter"/>
      <w:start w:val="1"/>
    </w:lvl>
    <w:lvl w:ilvl="1">
      <w:lvlJc w:val="left"/>
      <w:lvlText w:val="(%2)"/>
      <w:numFmt w:val="upperLetter"/>
      <w:start w:val="3"/>
    </w:lvl>
  </w:abstractNum>
  <w:abstractNum w:abstractNumId="135">
    <w:nsid w:val="36B2ACBC"/>
    <w:multiLevelType w:val="hybridMultilevel"/>
    <w:lvl w:ilvl="0">
      <w:lvlJc w:val="left"/>
      <w:lvlText w:val="%1"/>
      <w:numFmt w:val="decimal"/>
      <w:start w:val="1"/>
    </w:lvl>
    <w:lvl w:ilvl="1">
      <w:lvlJc w:val="left"/>
      <w:lvlText w:val="%2."/>
      <w:numFmt w:val="decimal"/>
      <w:start w:val="1"/>
    </w:lvl>
  </w:abstractNum>
  <w:abstractNum w:abstractNumId="136">
    <w:nsid w:val="779D8544"/>
    <w:multiLevelType w:val="hybridMultilevel"/>
    <w:lvl w:ilvl="0">
      <w:lvlJc w:val="left"/>
      <w:lvlText w:val="%1."/>
      <w:numFmt w:val="decimal"/>
      <w:start w:val="2"/>
    </w:lvl>
    <w:lvl w:ilvl="1">
      <w:lvlJc w:val="left"/>
      <w:lvlText w:val="%2"/>
      <w:numFmt w:val="decimal"/>
      <w:start w:val="1"/>
    </w:lvl>
  </w:abstractNum>
  <w:abstractNum w:abstractNumId="137">
    <w:nsid w:val="4AB26E78"/>
    <w:multiLevelType w:val="hybridMultilevel"/>
    <w:lvl w:ilvl="0">
      <w:lvlJc w:val="left"/>
      <w:lvlText w:val="%1."/>
      <w:numFmt w:val="decimal"/>
      <w:start w:val="3"/>
    </w:lvl>
    <w:lvl w:ilvl="1">
      <w:lvlJc w:val="left"/>
      <w:lvlText w:val="%2."/>
      <w:numFmt w:val="decimal"/>
      <w:start w:val="5"/>
    </w:lvl>
  </w:abstractNum>
  <w:abstractNum w:abstractNumId="138">
    <w:nsid w:val="21FAA2FA"/>
    <w:multiLevelType w:val="hybridMultilevel"/>
    <w:lvl w:ilvl="0">
      <w:lvlJc w:val="left"/>
      <w:lvlText w:val="%1."/>
      <w:numFmt w:val="lowerRoman"/>
      <w:start w:val="1"/>
    </w:lvl>
  </w:abstractNum>
  <w:abstractNum w:abstractNumId="139">
    <w:nsid w:val="5451CF49"/>
    <w:multiLevelType w:val="hybridMultilevel"/>
    <w:lvl w:ilvl="0">
      <w:lvlJc w:val="left"/>
      <w:lvlText w:val="%1."/>
      <w:numFmt w:val="lowerRoman"/>
      <w:start w:val="1"/>
    </w:lvl>
    <w:lvl w:ilvl="1">
      <w:lvlJc w:val="left"/>
      <w:lvlText w:val="%2."/>
      <w:numFmt w:val="decimal"/>
    </w:lvl>
    <w:lvl w:ilvl="2">
      <w:lvlJc w:val="left"/>
      <w:lvlText w:val="%3."/>
      <w:numFmt w:val="decimal"/>
      <w:start w:val="6"/>
    </w:lvl>
    <w:lvl w:ilvl="3">
      <w:lvlJc w:val="left"/>
      <w:lvlText w:val="%4."/>
      <w:numFmt w:val="decimal"/>
      <w:start w:val="6"/>
    </w:lvl>
  </w:abstractNum>
  <w:abstractNum w:abstractNumId="140">
    <w:nsid w:val="6181EF69"/>
    <w:multiLevelType w:val="hybridMultilevel"/>
    <w:lvl w:ilvl="0">
      <w:lvlJc w:val="left"/>
      <w:lvlText w:val="%1."/>
      <w:numFmt w:val="decimal"/>
      <w:start w:val="6"/>
    </w:lvl>
    <w:lvl w:ilvl="1">
      <w:lvlJc w:val="left"/>
      <w:lvlText w:val="%2."/>
      <w:numFmt w:val="decimal"/>
      <w:start w:val="8"/>
    </w:lvl>
  </w:abstractNum>
  <w:abstractNum w:abstractNumId="141">
    <w:nsid w:val="3E6400E6"/>
    <w:multiLevelType w:val="hybridMultilevel"/>
    <w:lvl w:ilvl="0">
      <w:lvlJc w:val="left"/>
      <w:lvlText w:val="%1."/>
      <w:numFmt w:val="decimal"/>
      <w:start w:val="1"/>
    </w:lvl>
  </w:abstractNum>
  <w:abstractNum w:abstractNumId="142">
    <w:nsid w:val="14217E23"/>
    <w:multiLevelType w:val="hybridMultilevel"/>
    <w:lvl w:ilvl="0">
      <w:lvlJc w:val="left"/>
      <w:lvlText w:val="%1."/>
      <w:numFmt w:val="decimal"/>
      <w:start w:val="3"/>
    </w:lvl>
  </w:abstractNum>
  <w:abstractNum w:abstractNumId="143">
    <w:nsid w:val="710757D0"/>
    <w:multiLevelType w:val="hybridMultilevel"/>
    <w:lvl w:ilvl="0">
      <w:lvlJc w:val="left"/>
      <w:lvlText w:val="•"/>
      <w:numFmt w:val="bullet"/>
      <w:start w:val="1"/>
    </w:lvl>
  </w:abstractNum>
  <w:abstractNum w:abstractNumId="144">
    <w:nsid w:val="5015CD1A"/>
    <w:multiLevelType w:val="hybridMultilevel"/>
    <w:lvl w:ilvl="0">
      <w:lvlJc w:val="left"/>
      <w:lvlText w:val="%1."/>
      <w:numFmt w:val="decimal"/>
      <w:start w:val="4"/>
    </w:lvl>
  </w:abstractNum>
  <w:abstractNum w:abstractNumId="145">
    <w:nsid w:val="424479DA"/>
    <w:multiLevelType w:val="hybridMultilevel"/>
    <w:lvl w:ilvl="0">
      <w:lvlJc w:val="left"/>
      <w:lvlText w:val="%1."/>
      <w:numFmt w:val="decimal"/>
      <w:start w:val="9"/>
    </w:lvl>
  </w:abstractNum>
  <w:abstractNum w:abstractNumId="146">
    <w:nsid w:val="1A9A9E69"/>
    <w:multiLevelType w:val="hybridMultilevel"/>
    <w:lvl w:ilvl="0">
      <w:lvlJc w:val="left"/>
      <w:lvlText w:val="%1."/>
      <w:numFmt w:val="decimal"/>
      <w:start w:val="1"/>
    </w:lvl>
    <w:lvl w:ilvl="1">
      <w:lvlJc w:val="left"/>
      <w:lvlText w:val="%2."/>
      <w:numFmt w:val="decimal"/>
      <w:start w:val="10"/>
    </w:lvl>
  </w:abstractNum>
  <w:abstractNum w:abstractNumId="147">
    <w:nsid w:val="475E256A"/>
    <w:multiLevelType w:val="hybridMultilevel"/>
    <w:lvl w:ilvl="0">
      <w:lvlJc w:val="left"/>
      <w:lvlText w:val="%1."/>
      <w:numFmt w:val="decimal"/>
      <w:start w:val="1"/>
    </w:lvl>
  </w:abstractNum>
  <w:abstractNum w:abstractNumId="148">
    <w:nsid w:val="368DB37E"/>
    <w:multiLevelType w:val="hybridMultilevel"/>
    <w:lvl w:ilvl="0">
      <w:lvlJc w:val="left"/>
      <w:lvlText w:val="%1."/>
      <w:numFmt w:val="decimal"/>
      <w:start w:val="3"/>
    </w:lvl>
  </w:abstractNum>
  <w:abstractNum w:abstractNumId="149">
    <w:nsid w:val="6A3B714C"/>
    <w:multiLevelType w:val="hybridMultilevel"/>
    <w:lvl w:ilvl="0">
      <w:lvlJc w:val="left"/>
      <w:lvlText w:val="%1."/>
      <w:numFmt w:val="decimal"/>
      <w:start w:val="1"/>
    </w:lvl>
  </w:abstractNum>
  <w:abstractNum w:abstractNumId="150">
    <w:nsid w:val="327B517E"/>
    <w:multiLevelType w:val="hybridMultilevel"/>
    <w:lvl w:ilvl="0">
      <w:lvlJc w:val="left"/>
      <w:lvlText w:val="%1."/>
      <w:numFmt w:val="decimal"/>
      <w:start w:val="2"/>
    </w:lvl>
  </w:abstractNum>
  <w:abstractNum w:abstractNumId="151">
    <w:nsid w:val="1F461B51"/>
    <w:multiLevelType w:val="hybridMultilevel"/>
    <w:lvl w:ilvl="0">
      <w:lvlJc w:val="left"/>
      <w:lvlText w:val="%1."/>
      <w:numFmt w:val="decimal"/>
      <w:start w:val="1"/>
    </w:lvl>
  </w:abstractNum>
  <w:abstractNum w:abstractNumId="152">
    <w:nsid w:val="29BACF25"/>
    <w:multiLevelType w:val="hybridMultilevel"/>
    <w:lvl w:ilvl="0">
      <w:lvlJc w:val="left"/>
      <w:lvlText w:val="%1."/>
      <w:numFmt w:val="decimal"/>
      <w:start w:val="3"/>
    </w:lvl>
  </w:abstractNum>
  <w:abstractNum w:abstractNumId="153">
    <w:nsid w:val="5D5BABB3"/>
    <w:multiLevelType w:val="hybridMultilevel"/>
    <w:lvl w:ilvl="0">
      <w:lvlJc w:val="left"/>
      <w:lvlText w:val="%1."/>
      <w:numFmt w:val="decimal"/>
      <w:start w:val="6"/>
    </w:lvl>
  </w:abstractNum>
  <w:abstractNum w:abstractNumId="154">
    <w:nsid w:val="51BF6B48"/>
    <w:multiLevelType w:val="hybridMultilevel"/>
    <w:lvl w:ilvl="0">
      <w:lvlJc w:val="left"/>
      <w:lvlText w:val="(%1)"/>
      <w:numFmt w:val="lowerLetter"/>
      <w:start w:val="1"/>
    </w:lvl>
  </w:abstractNum>
  <w:abstractNum w:abstractNumId="155">
    <w:nsid w:val="7E0F6384"/>
    <w:multiLevelType w:val="hybridMultilevel"/>
    <w:lvl w:ilvl="0">
      <w:lvlJc w:val="left"/>
      <w:lvlText w:val="(%1)"/>
      <w:numFmt w:val="lowerLetter"/>
      <w:start w:val="2"/>
    </w:lvl>
  </w:abstractNum>
  <w:abstractNum w:abstractNumId="156">
    <w:nsid w:val="2B4B8B53"/>
    <w:multiLevelType w:val="hybridMultilevel"/>
    <w:lvl w:ilvl="0">
      <w:lvlJc w:val="left"/>
      <w:lvlText w:val="(%1)"/>
      <w:numFmt w:val="lowerLetter"/>
      <w:start w:val="3"/>
    </w:lvl>
  </w:abstractNum>
  <w:abstractNum w:abstractNumId="157">
    <w:nsid w:val="72E3413A"/>
    <w:multiLevelType w:val="hybridMultilevel"/>
    <w:lvl w:ilvl="0">
      <w:lvlJc w:val="left"/>
      <w:lvlText w:val="%1."/>
      <w:numFmt w:val="decimal"/>
      <w:start w:val="1"/>
    </w:lvl>
  </w:abstractNum>
  <w:abstractNum w:abstractNumId="158">
    <w:nsid w:val="116AE494"/>
    <w:multiLevelType w:val="hybridMultilevel"/>
    <w:lvl w:ilvl="0">
      <w:lvlJc w:val="left"/>
      <w:lvlText w:val="«"/>
      <w:numFmt w:val="bullet"/>
      <w:start w:val="1"/>
    </w:lvl>
    <w:lvl w:ilvl="1">
      <w:lvlJc w:val="left"/>
      <w:lvlText w:val="%2."/>
      <w:numFmt w:val="decimal"/>
      <w:start w:val="2"/>
    </w:lvl>
  </w:abstractNum>
  <w:abstractNum w:abstractNumId="159">
    <w:nsid w:val="3494B2FB"/>
    <w:multiLevelType w:val="hybridMultilevel"/>
    <w:lvl w:ilvl="0">
      <w:lvlJc w:val="left"/>
      <w:lvlText w:val="%1."/>
      <w:numFmt w:val="decimal"/>
      <w:start w:val="1"/>
    </w:lvl>
  </w:abstractNum>
  <w:abstractNum w:abstractNumId="160">
    <w:nsid w:val="B13A31"/>
    <w:multiLevelType w:val="hybridMultilevel"/>
    <w:lvl w:ilvl="0">
      <w:lvlJc w:val="left"/>
      <w:lvlText w:val="%1."/>
      <w:numFmt w:val="decimal"/>
      <w:start w:val="3"/>
    </w:lvl>
  </w:abstractNum>
  <w:abstractNum w:abstractNumId="161">
    <w:nsid w:val="64429599"/>
    <w:multiLevelType w:val="hybridMultilevel"/>
    <w:lvl w:ilvl="0">
      <w:lvlJc w:val="left"/>
      <w:lvlText w:val="%1."/>
      <w:numFmt w:val="decimal"/>
      <w:start w:val="4"/>
    </w:lvl>
  </w:abstractNum>
  <w:abstractNum w:abstractNumId="162">
    <w:nsid w:val="631F1690"/>
    <w:multiLevelType w:val="hybridMultilevel"/>
    <w:lvl w:ilvl="0">
      <w:lvlJc w:val="left"/>
      <w:lvlText w:val="%1."/>
      <w:numFmt w:val="decimal"/>
      <w:start w:val="6"/>
    </w:lvl>
  </w:abstractNum>
  <w:abstractNum w:abstractNumId="163">
    <w:nsid w:val="25973E32"/>
    <w:multiLevelType w:val="hybridMultilevel"/>
    <w:lvl w:ilvl="0">
      <w:lvlJc w:val="left"/>
      <w:lvlText w:val="%1."/>
      <w:numFmt w:val="decimal"/>
      <w:start w:val="1"/>
    </w:lvl>
  </w:abstractNum>
  <w:abstractNum w:abstractNumId="164">
    <w:nsid w:val="EAD6F57"/>
    <w:multiLevelType w:val="hybridMultilevel"/>
    <w:lvl w:ilvl="0">
      <w:lvlJc w:val="left"/>
      <w:lvlText w:val="%1."/>
      <w:numFmt w:val="decimal"/>
      <w:start w:val="4"/>
    </w:lvl>
  </w:abstractNum>
  <w:abstractNum w:abstractNumId="165">
    <w:nsid w:val="6EC9D844"/>
    <w:multiLevelType w:val="hybridMultilevel"/>
    <w:lvl w:ilvl="0">
      <w:lvlJc w:val="left"/>
      <w:lvlText w:val="%1."/>
      <w:numFmt w:val="decimal"/>
      <w:start w:val="1"/>
    </w:lvl>
  </w:abstractNum>
  <w:abstractNum w:abstractNumId="166">
    <w:nsid w:val="5C49EAEE"/>
    <w:multiLevelType w:val="hybridMultilevel"/>
    <w:lvl w:ilvl="0">
      <w:lvlJc w:val="left"/>
      <w:lvlText w:val="%1."/>
      <w:numFmt w:val="decimal"/>
      <w:start w:val="1"/>
    </w:lvl>
  </w:abstractNum>
  <w:abstractNum w:abstractNumId="167">
    <w:nsid w:val="64AF49B"/>
    <w:multiLevelType w:val="hybridMultilevel"/>
    <w:lvl w:ilvl="0">
      <w:lvlJc w:val="left"/>
      <w:lvlText w:val="%1."/>
      <w:numFmt w:val="decimal"/>
      <w:start w:val="5"/>
    </w:lvl>
  </w:abstractNum>
  <w:abstractNum w:abstractNumId="168">
    <w:nsid w:val="397C46BC"/>
    <w:multiLevelType w:val="hybridMultilevel"/>
    <w:lvl w:ilvl="0">
      <w:lvlJc w:val="left"/>
      <w:lvlText w:val="%1."/>
      <w:numFmt w:val="decimal"/>
      <w:start w:val="1"/>
    </w:lvl>
  </w:abstractNum>
  <w:abstractNum w:abstractNumId="169">
    <w:nsid w:val="7E448DE9"/>
    <w:multiLevelType w:val="hybridMultilevel"/>
    <w:lvl w:ilvl="0">
      <w:lvlJc w:val="left"/>
      <w:lvlText w:val="%1."/>
      <w:numFmt w:val="decimal"/>
      <w:start w:val="4"/>
    </w:lvl>
  </w:abstractNum>
  <w:abstractNum w:abstractNumId="170">
    <w:nsid w:val="5A9CC3E5"/>
    <w:multiLevelType w:val="hybridMultilevel"/>
    <w:lvl w:ilvl="0">
      <w:lvlJc w:val="left"/>
      <w:lvlText w:val="%1."/>
      <w:numFmt w:val="decimal"/>
      <w:start w:val="1"/>
    </w:lvl>
  </w:abstractNum>
  <w:abstractNum w:abstractNumId="171">
    <w:nsid w:val="1AFE3625"/>
    <w:multiLevelType w:val="hybridMultilevel"/>
    <w:lvl w:ilvl="0">
      <w:lvlJc w:val="left"/>
      <w:lvlText w:val="%1."/>
      <w:numFmt w:val="decimal"/>
      <w:start w:val="2"/>
    </w:lvl>
  </w:abstractNum>
  <w:abstractNum w:abstractNumId="172">
    <w:nsid w:val="3CA88ECF"/>
    <w:multiLevelType w:val="hybridMultilevel"/>
    <w:lvl w:ilvl="0">
      <w:lvlJc w:val="left"/>
      <w:lvlText w:val="%1."/>
      <w:numFmt w:val="decimal"/>
      <w:start w:val="1"/>
    </w:lvl>
  </w:abstractNum>
  <w:abstractNum w:abstractNumId="173">
    <w:nsid w:val="6EBE4208"/>
    <w:multiLevelType w:val="hybridMultilevel"/>
    <w:lvl w:ilvl="0">
      <w:lvlJc w:val="left"/>
      <w:lvlText w:val="%1."/>
      <w:numFmt w:val="decimal"/>
      <w:start w:val="5"/>
    </w:lvl>
  </w:abstractNum>
  <w:abstractNum w:abstractNumId="174">
    <w:nsid w:val="C058DF5"/>
    <w:multiLevelType w:val="hybridMultilevel"/>
    <w:lvl w:ilvl="0">
      <w:lvlJc w:val="left"/>
      <w:lvlText w:val="%1."/>
      <w:numFmt w:val="decimal"/>
      <w:start w:val="1"/>
    </w:lvl>
  </w:abstractNum>
  <w:abstractNum w:abstractNumId="175">
    <w:nsid w:val="CBE5BE9"/>
    <w:multiLevelType w:val="hybridMultilevel"/>
    <w:lvl w:ilvl="0">
      <w:lvlJc w:val="left"/>
      <w:lvlText w:val="%1."/>
      <w:numFmt w:val="decimal"/>
      <w:start w:val="1"/>
    </w:lvl>
  </w:abstractNum>
  <w:abstractNum w:abstractNumId="176">
    <w:nsid w:val="3102BBE2"/>
    <w:multiLevelType w:val="hybridMultilevel"/>
    <w:lvl w:ilvl="0">
      <w:lvlJc w:val="left"/>
      <w:lvlText w:val="%1."/>
      <w:numFmt w:val="lowerLetter"/>
      <w:start w:val="1"/>
    </w:lvl>
  </w:abstractNum>
  <w:abstractNum w:abstractNumId="177">
    <w:nsid w:val="26A02C5E"/>
    <w:multiLevelType w:val="hybridMultilevel"/>
    <w:lvl w:ilvl="0">
      <w:lvlJc w:val="left"/>
      <w:lvlText w:val="%1."/>
      <w:numFmt w:val="lowerLetter"/>
      <w:start w:val="2"/>
    </w:lvl>
  </w:abstractNum>
  <w:abstractNum w:abstractNumId="178">
    <w:nsid w:val="541C8153"/>
    <w:multiLevelType w:val="hybridMultilevel"/>
    <w:lvl w:ilvl="0">
      <w:lvlJc w:val="left"/>
      <w:lvlText w:val="%1."/>
      <w:numFmt w:val="decimal"/>
      <w:start w:val="2"/>
    </w:lvl>
  </w:abstractNum>
  <w:abstractNum w:abstractNumId="179">
    <w:nsid w:val="67906F60"/>
    <w:multiLevelType w:val="hybridMultilevel"/>
    <w:lvl w:ilvl="0">
      <w:lvlJc w:val="left"/>
      <w:lvlText w:val="(%1)"/>
      <w:numFmt w:val="decimal"/>
      <w:start w:val="5"/>
    </w:lvl>
    <w:lvl w:ilvl="1">
      <w:lvlJc w:val="left"/>
      <w:lvlText w:val="%2."/>
      <w:numFmt w:val="decimal"/>
      <w:start w:val="4"/>
    </w:lvl>
  </w:abstractNum>
  <w:abstractNum w:abstractNumId="180">
    <w:nsid w:val="10DB9DAA"/>
    <w:multiLevelType w:val="hybridMultilevel"/>
    <w:lvl w:ilvl="0">
      <w:lvlJc w:val="left"/>
      <w:lvlText w:val="%1."/>
      <w:numFmt w:val="decimal"/>
      <w:start w:val="1"/>
    </w:lvl>
  </w:abstractNum>
  <w:abstractNum w:abstractNumId="181">
    <w:nsid w:val="697D2D2"/>
    <w:multiLevelType w:val="hybridMultilevel"/>
    <w:lvl w:ilvl="0">
      <w:lvlJc w:val="left"/>
      <w:lvlText w:val="%1."/>
      <w:numFmt w:val="decimal"/>
      <w:start w:val="5"/>
    </w:lvl>
  </w:abstractNum>
  <w:abstractNum w:abstractNumId="182">
    <w:nsid w:val="6D68AB2"/>
    <w:multiLevelType w:val="hybridMultilevel"/>
    <w:lvl w:ilvl="0">
      <w:lvlJc w:val="left"/>
      <w:lvlText w:val="%1."/>
      <w:numFmt w:val="decimal"/>
      <w:start w:val="1"/>
    </w:lvl>
  </w:abstractNum>
  <w:abstractNum w:abstractNumId="183">
    <w:nsid w:val="3A966CD0"/>
    <w:multiLevelType w:val="hybridMultilevel"/>
    <w:lvl w:ilvl="0">
      <w:lvlJc w:val="left"/>
      <w:lvlText w:val="%1."/>
      <w:numFmt w:val="decimal"/>
      <w:start w:val="1"/>
    </w:lvl>
  </w:abstractNum>
  <w:abstractNum w:abstractNumId="184">
    <w:nsid w:val="63F37E85"/>
    <w:multiLevelType w:val="hybridMultilevel"/>
    <w:lvl w:ilvl="0">
      <w:lvlJc w:val="left"/>
      <w:lvlText w:val="%1."/>
      <w:numFmt w:val="decimal"/>
      <w:start w:val="3"/>
    </w:lvl>
  </w:abstractNum>
  <w:abstractNum w:abstractNumId="185">
    <w:nsid w:val="5895F5FA"/>
    <w:multiLevelType w:val="hybridMultilevel"/>
    <w:lvl w:ilvl="0">
      <w:lvlJc w:val="left"/>
      <w:lvlText w:val="%1"/>
      <w:numFmt w:val="decimal"/>
      <w:start w:val="1"/>
    </w:lvl>
    <w:lvl w:ilvl="1">
      <w:lvlJc w:val="left"/>
      <w:lvlText w:val="%2."/>
      <w:numFmt w:val="decimal"/>
      <w:start w:val="2"/>
    </w:lvl>
  </w:abstractNum>
  <w:abstractNum w:abstractNumId="186">
    <w:nsid w:val="38A5D054"/>
    <w:multiLevelType w:val="hybridMultilevel"/>
    <w:lvl w:ilvl="0">
      <w:lvlJc w:val="left"/>
      <w:lvlText w:val="%1."/>
      <w:numFmt w:val="decimal"/>
      <w:start w:val="3"/>
    </w:lvl>
    <w:lvl w:ilvl="1">
      <w:lvlJc w:val="left"/>
      <w:lvlText w:val="%2"/>
      <w:numFmt w:val="decimal"/>
      <w:start w:val="1"/>
    </w:lvl>
  </w:abstractNum>
  <w:abstractNum w:abstractNumId="187">
    <w:nsid w:val="F3F09D8"/>
    <w:multiLevelType w:val="hybridMultilevel"/>
    <w:lvl w:ilvl="0">
      <w:lvlJc w:val="left"/>
      <w:lvlText w:val="%1."/>
      <w:numFmt w:val="decimal"/>
      <w:start w:val="1"/>
    </w:lvl>
  </w:abstractNum>
  <w:abstractNum w:abstractNumId="188">
    <w:nsid w:val="4B793735"/>
    <w:multiLevelType w:val="hybridMultilevel"/>
    <w:lvl w:ilvl="0">
      <w:lvlJc w:val="left"/>
      <w:lvlText w:val="%1."/>
      <w:numFmt w:val="decimal"/>
      <w:start w:val="4"/>
    </w:lvl>
  </w:abstractNum>
  <w:abstractNum w:abstractNumId="189">
    <w:nsid w:val="4A10B4E8"/>
    <w:multiLevelType w:val="hybridMultilevel"/>
    <w:lvl w:ilvl="0">
      <w:lvlJc w:val="left"/>
      <w:lvlText w:val="%1."/>
      <w:numFmt w:val="decimal"/>
      <w:start w:val="1"/>
    </w:lvl>
  </w:abstractNum>
  <w:abstractNum w:abstractNumId="190">
    <w:nsid w:val="43D3BCD4"/>
    <w:multiLevelType w:val="hybridMultilevel"/>
    <w:lvl w:ilvl="0">
      <w:lvlJc w:val="left"/>
      <w:lvlText w:val="%1."/>
      <w:numFmt w:val="decimal"/>
      <w:start w:val="1"/>
    </w:lvl>
  </w:abstractNum>
  <w:abstractNum w:abstractNumId="191">
    <w:nsid w:val="4C2A7166"/>
    <w:multiLevelType w:val="hybridMultilevel"/>
    <w:lvl w:ilvl="0">
      <w:lvlJc w:val="left"/>
      <w:lvlText w:val="%1."/>
      <w:numFmt w:val="decimal"/>
      <w:start w:val="1"/>
    </w:lvl>
  </w:abstractNum>
  <w:abstractNum w:abstractNumId="192">
    <w:nsid w:val="2E534A82"/>
    <w:multiLevelType w:val="hybridMultilevel"/>
    <w:lvl w:ilvl="0">
      <w:lvlJc w:val="left"/>
      <w:lvlText w:val="%1."/>
      <w:numFmt w:val="decimal"/>
      <w:start w:val="4"/>
    </w:lvl>
  </w:abstractNum>
  <w:abstractNum w:abstractNumId="193">
    <w:nsid w:val="26F2D364"/>
    <w:multiLevelType w:val="hybridMultilevel"/>
    <w:lvl w:ilvl="0">
      <w:lvlJc w:val="left"/>
      <w:lvlText w:val="%1."/>
      <w:numFmt w:val="decimal"/>
      <w:start w:val="1"/>
    </w:lvl>
  </w:abstractNum>
  <w:abstractNum w:abstractNumId="194">
    <w:nsid w:val="71C1AF98"/>
    <w:multiLevelType w:val="hybridMultilevel"/>
    <w:lvl w:ilvl="0">
      <w:lvlJc w:val="left"/>
      <w:lvlText w:val="%1."/>
      <w:numFmt w:val="lowerLetter"/>
      <w:start w:val="1"/>
    </w:lvl>
  </w:abstractNum>
  <w:abstractNum w:abstractNumId="195">
    <w:nsid w:val="3D00B9D9"/>
    <w:multiLevelType w:val="hybridMultilevel"/>
    <w:lvl w:ilvl="0">
      <w:lvlJc w:val="left"/>
      <w:lvlText w:val="%1."/>
      <w:numFmt w:val="lowerLetter"/>
      <w:start w:val="2"/>
    </w:lvl>
  </w:abstractNum>
  <w:abstractNum w:abstractNumId="196">
    <w:nsid w:val="15BCABA8"/>
    <w:multiLevelType w:val="hybridMultilevel"/>
    <w:lvl w:ilvl="0">
      <w:lvlJc w:val="left"/>
      <w:lvlText w:val="%1."/>
      <w:numFmt w:val="lowerLetter"/>
      <w:start w:val="1"/>
    </w:lvl>
  </w:abstractNum>
  <w:abstractNum w:abstractNumId="197">
    <w:nsid w:val="4E0B9A87"/>
    <w:multiLevelType w:val="hybridMultilevel"/>
    <w:lvl w:ilvl="0">
      <w:lvlJc w:val="left"/>
      <w:lvlText w:val="%1."/>
      <w:numFmt w:val="decimal"/>
      <w:start w:val="4"/>
    </w:lvl>
  </w:abstractNum>
  <w:abstractNum w:abstractNumId="198">
    <w:nsid w:val="434BAE75"/>
    <w:multiLevelType w:val="hybridMultilevel"/>
    <w:lvl w:ilvl="0">
      <w:lvlJc w:val="left"/>
      <w:lvlText w:val="%1."/>
      <w:numFmt w:val="decimal"/>
      <w:start w:val="5"/>
    </w:lvl>
  </w:abstractNum>
  <w:abstractNum w:abstractNumId="199">
    <w:nsid w:val="4F38F265"/>
    <w:multiLevelType w:val="hybridMultilevel"/>
    <w:lvl w:ilvl="0">
      <w:lvlJc w:val="left"/>
      <w:lvlText w:val="%1."/>
      <w:numFmt w:val="decimal"/>
      <w:start w:val="1"/>
    </w:lvl>
  </w:abstractNum>
  <w:abstractNum w:abstractNumId="200">
    <w:nsid w:val="4C502870"/>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01">
    <w:nsid w:val="1DE8725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3"/>
    </w:lvl>
  </w:abstractNum>
  <w:abstractNum w:abstractNumId="202">
    <w:nsid w:val="6A37288A"/>
    <w:multiLevelType w:val="hybridMultilevel"/>
    <w:lvl w:ilvl="0">
      <w:lvlJc w:val="left"/>
      <w:lvlText w:val="%1."/>
      <w:numFmt w:val="decimal"/>
      <w:start w:val="1"/>
    </w:lvl>
  </w:abstractNum>
  <w:abstractNum w:abstractNumId="203">
    <w:nsid w:val="8F8B73F"/>
    <w:multiLevelType w:val="hybridMultilevel"/>
    <w:lvl w:ilvl="0">
      <w:lvlJc w:val="left"/>
      <w:lvlText w:val="%1."/>
      <w:numFmt w:val="decimal"/>
      <w:start w:val="2"/>
    </w:lvl>
  </w:abstractNum>
  <w:abstractNum w:abstractNumId="204">
    <w:nsid w:val="CA6B462"/>
    <w:multiLevelType w:val="hybridMultilevel"/>
    <w:lvl w:ilvl="0">
      <w:lvlJc w:val="left"/>
      <w:lvlText w:val="%1."/>
      <w:numFmt w:val="decimal"/>
      <w:start w:val="1"/>
    </w:lvl>
  </w:abstractNum>
  <w:abstractNum w:abstractNumId="205">
    <w:nsid w:val="763CB680"/>
    <w:multiLevelType w:val="hybridMultilevel"/>
    <w:lvl w:ilvl="0">
      <w:lvlJc w:val="left"/>
      <w:lvlText w:val="%1."/>
      <w:numFmt w:val="lowerRoman"/>
      <w:start w:val="8"/>
    </w:lvl>
  </w:abstractNum>
  <w:abstractNum w:abstractNumId="206">
    <w:nsid w:val="15B71329"/>
    <w:multiLevelType w:val="hybridMultilevel"/>
    <w:lvl w:ilvl="0">
      <w:lvlJc w:val="left"/>
      <w:lvlText w:val="%1"/>
      <w:numFmt w:val="decimal"/>
      <w:start w:val="1"/>
    </w:lvl>
    <w:lvl w:ilvl="1">
      <w:lvlJc w:val="left"/>
      <w:lvlText w:val="%2."/>
      <w:numFmt w:val="decimal"/>
      <w:start w:val="1"/>
    </w:lvl>
  </w:abstractNum>
  <w:abstractNum w:abstractNumId="207">
    <w:nsid w:val="3DA97044"/>
    <w:multiLevelType w:val="hybridMultilevel"/>
    <w:lvl w:ilvl="0">
      <w:lvlJc w:val="left"/>
      <w:lvlText w:val="(%1)"/>
      <w:numFmt w:val="decimal"/>
      <w:start w:val="2"/>
    </w:lvl>
    <w:lvl w:ilvl="1">
      <w:lvlJc w:val="left"/>
      <w:lvlText w:val="%2"/>
      <w:numFmt w:val="decimal"/>
      <w:start w:val="1"/>
    </w:lvl>
  </w:abstractNum>
  <w:abstractNum w:abstractNumId="208">
    <w:nsid w:val="1CDCE2DE"/>
    <w:multiLevelType w:val="hybridMultilevel"/>
    <w:lvl w:ilvl="0">
      <w:lvlJc w:val="left"/>
      <w:lvlText w:val="%1."/>
      <w:numFmt w:val="decimal"/>
      <w:start w:val="2"/>
    </w:lvl>
  </w:abstractNum>
  <w:abstractNum w:abstractNumId="209">
    <w:nsid w:val="69D3947C"/>
    <w:multiLevelType w:val="hybridMultilevel"/>
    <w:lvl w:ilvl="0">
      <w:lvlJc w:val="left"/>
      <w:lvlText w:val="%1."/>
      <w:numFmt w:val="decimal"/>
      <w:start w:val="1"/>
    </w:lvl>
    <w:lvl w:ilvl="1">
      <w:lvlJc w:val="left"/>
      <w:lvlText w:val="(%2)"/>
      <w:numFmt w:val="lowerLetter"/>
      <w:start w:val="1"/>
    </w:lvl>
  </w:abstractNum>
  <w:abstractNum w:abstractNumId="210">
    <w:nsid w:val="2539DFA5"/>
    <w:multiLevelType w:val="hybridMultilevel"/>
    <w:lvl w:ilvl="0">
      <w:lvlJc w:val="left"/>
      <w:lvlText w:val="%1."/>
      <w:numFmt w:val="decimal"/>
      <w:start w:val="1"/>
    </w:lvl>
    <w:lvl w:ilvl="1">
      <w:lvlJc w:val="left"/>
      <w:lvlText w:val="(%2)"/>
      <w:numFmt w:val="lowerLetter"/>
      <w:start w:val="1"/>
    </w:lvl>
  </w:abstractNum>
  <w:abstractNum w:abstractNumId="211">
    <w:nsid w:val="2DB88089"/>
    <w:multiLevelType w:val="hybridMultilevel"/>
    <w:lvl w:ilvl="0">
      <w:lvlJc w:val="left"/>
      <w:lvlText w:val="(%1)"/>
      <w:numFmt w:val="lowerLetter"/>
      <w:start w:val="1"/>
    </w:lvl>
  </w:abstractNum>
  <w:abstractNum w:abstractNumId="212">
    <w:nsid w:val="706B674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67" Type="http://schemas.openxmlformats.org/officeDocument/2006/relationships/hyperlink" Target="http://www.sec.gov/Archives/edgar/data/1681459/000114036121002673/nt10016372x8_ex4-1.htm" TargetMode="External"/><Relationship Id="rId68" Type="http://schemas.openxmlformats.org/officeDocument/2006/relationships/hyperlink" Target="http://www.sec.gov/Archives/edgar/data/1681459/000114036121004982/nt10016372x18_ex4-1.htm" TargetMode="External"/><Relationship Id="rId69" Type="http://schemas.openxmlformats.org/officeDocument/2006/relationships/hyperlink" Target="http://www.sec.gov/Archives/edgar/data/0001681459/000114036121000939/nt10016372x4_ex10-1.htm" TargetMode="External"/><Relationship Id="rId70" Type="http://schemas.openxmlformats.org/officeDocument/2006/relationships/hyperlink" Target="http://www.sec.gov/Archives/edgar/data/0001681459/000114036121000939/nt10016372x4_ex10-2.htm" TargetMode="External"/><Relationship Id="rId71" Type="http://schemas.openxmlformats.org/officeDocument/2006/relationships/hyperlink" Target="http://www.sec.gov/Archives/edgar/data/0001681459/000114036121000939/nt10016372x4_ex10-3.htm" TargetMode="External"/><Relationship Id="rId72" Type="http://schemas.openxmlformats.org/officeDocument/2006/relationships/hyperlink" Target="http://www.sec.gov/Archives/edgar/data/1681459/000114036121000939/nt10016372x4_ex10-4.htm" TargetMode="External"/><Relationship Id="rId73" Type="http://schemas.openxmlformats.org/officeDocument/2006/relationships/hyperlink" Target="http://www.sec.gov/Archives/edgar/data/1681459/000114036121004982/nt10016372x18_ex10-1.htm" TargetMode="External"/><Relationship Id="rId74" Type="http://schemas.openxmlformats.org/officeDocument/2006/relationships/hyperlink" Target="http://www.sec.gov/Archives/edgar/data/1681459/000114036121004982/nt10016372x18_ex10-2.htm" TargetMode="External"/><Relationship Id="rId75" Type="http://schemas.openxmlformats.org/officeDocument/2006/relationships/hyperlink" Target="http://www.sec.gov/Archives/edgar/data/1681459/000114036121004982/nt10016372x18_ex10-3.htm" TargetMode="External"/><Relationship Id="rId76" Type="http://schemas.openxmlformats.org/officeDocument/2006/relationships/hyperlink" Target="http://www.sec.gov/Archives/edgar/data/1681459/000114036121004982/nt10016372x18_ex10-4.htm" TargetMode="External"/><Relationship Id="rId77" Type="http://schemas.openxmlformats.org/officeDocument/2006/relationships/hyperlink" Target="http://www.sec.gov/Archives/edgar/data/1681459/000114036121004982/nt10016372x18_ex10-5.htm" TargetMode="External"/><Relationship Id="rId78" Type="http://schemas.openxmlformats.org/officeDocument/2006/relationships/hyperlink" Target="http://www.sec.gov/Archives/edgar/data/1681459/000114036121004982/nt10016372x18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2021-05-03T15:21:58Z</dcterms:created>
  <dcterms:modified xsi:type="dcterms:W3CDTF">2021-05-03T15:21:58Z</dcterms:modified>
</cp:coreProperties>
</file>