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64985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9855" cy="488950"/>
                    </a:xfrm>
                    <a:prstGeom prst="rect">
                      <a:avLst/>
                    </a:prstGeom>
                    <a:noFill/>
                  </pic:spPr>
                </pic:pic>
              </a:graphicData>
            </a:graphic>
          </wp:anchor>
        </w:drawing>
        <w:t>May 4,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Re:</w:t>
        <w:tab/>
        <w:t>Notice of disclosure filed in Quarterly Report on Form 10-Q for the quarter ended March 31, 2017 under Section 219 of the Iran Threat Reduction and Syria Human Rights Act of 2012 and Section 13(r) of the U.S. Securities Exchange Act of 1934, as amended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March 31, 2017, which was filed with the U.S. Securities and Exchange Commission on May 4, 2017.</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By:  /s/ Dianne B. Ralston</w:t>
      </w:r>
    </w:p>
    <w:p>
      <w:pPr>
        <w:spacing w:after="0" w:line="2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Dianne B. Ralston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Executive Vice President, Chief Legal Officer and</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Secretary</w:t>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2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2019-12-08T06:11:28Z</dcterms:created>
  <dcterms:modified xsi:type="dcterms:W3CDTF">2019-12-08T06:11:28Z</dcterms:modified>
</cp:coreProperties>
</file>