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26,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210820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125095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26, 2017, TechnipFMC plc ("TechnipFMC") issued a news release announcing its financial results for the fiscal quarter ended March 31, 2017. A copy of the news release is furnished as Exhibit 99.1 to this report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428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0"/>
              </w:rPr>
              <w:t>News Release issued by TechnipFMC dated April 26, 2017</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April 26, 2017</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512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News Release issued by TechnipFMC plc dated April 26, 2017</w:t>
            </w:r>
          </w:p>
        </w:tc>
      </w:tr>
    </w:tbl>
    <w:p>
      <w:pPr>
        <w:sectPr>
          <w:pgSz w:w="11900" w:h="16838" w:orient="portrait"/>
          <w:cols w:equalWidth="0" w:num="1">
            <w:col w:w="10219"/>
          </w:cols>
          <w:pgMar w:left="240" w:top="580" w:right="1440" w:bottom="1440" w:gutter="0" w:footer="0" w:header="0"/>
        </w:sectPr>
      </w:pPr>
    </w:p>
    <w:bookmarkStart w:id="4" w:name="page5"/>
    <w:bookmarkEnd w:id="4"/>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52" w:lineRule="auto"/>
        <w:rPr>
          <w:sz w:val="20"/>
          <w:szCs w:val="20"/>
          <w:color w:val="auto"/>
        </w:rPr>
      </w:pPr>
      <w:r>
        <w:rPr>
          <w:rFonts w:ascii="Arial" w:cs="Arial" w:eastAsia="Arial" w:hAnsi="Arial"/>
          <w:sz w:val="29"/>
          <w:szCs w:val="29"/>
          <w:color w:val="auto"/>
        </w:rPr>
        <w:t>TechnipFMC Reports First Quarter 2017 Diluted Earnings per Share of $0.41; Excluding Charges and Credits, Adjusted Diluted Earnings per Share of $0.71</w:t>
      </w:r>
    </w:p>
    <w:p>
      <w:pPr>
        <w:spacing w:after="0" w:line="127" w:lineRule="exact"/>
        <w:rPr>
          <w:sz w:val="20"/>
          <w:szCs w:val="20"/>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Company reported net income of $190.8 million and adjusted EBITDA of $684.4 million</w:t>
      </w:r>
    </w:p>
    <w:p>
      <w:pPr>
        <w:spacing w:after="0" w:line="23" w:lineRule="exact"/>
        <w:rPr>
          <w:rFonts w:ascii="Arial" w:cs="Arial" w:eastAsia="Arial" w:hAnsi="Arial"/>
          <w:sz w:val="18"/>
          <w:szCs w:val="18"/>
          <w:color w:val="auto"/>
        </w:rPr>
      </w:pPr>
    </w:p>
    <w:p>
      <w:pPr>
        <w:ind w:left="680" w:right="340" w:hanging="321"/>
        <w:spacing w:after="0" w:line="24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Company announced a $500 million share repurchase program and planning for a quarterly dividend following third quarter 2017 results</w:t>
      </w:r>
    </w:p>
    <w:p>
      <w:pPr>
        <w:spacing w:after="0" w:line="35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LONDON, PARIS, HOUSTON, April 26, 2017 - </w:t>
      </w:r>
      <w:r>
        <w:rPr>
          <w:rFonts w:ascii="Arial" w:cs="Arial" w:eastAsia="Arial" w:hAnsi="Arial"/>
          <w:sz w:val="20"/>
          <w:szCs w:val="20"/>
          <w:color w:val="auto"/>
        </w:rPr>
        <w:t>TechnipFMC plc (NYSE and Euronext: FTI) today reported first quarter 2017</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of $3.4 billion.</w:t>
      </w:r>
    </w:p>
    <w:p>
      <w:pPr>
        <w:spacing w:after="0" w:line="137"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Diluted earnings per share were $0.41, which includes total Company pre-tax charges and credits of $193.5 million, or $0.30 per diluted share as detailed in the attached financial schedules. Adjusted diluted earnings per share were $0.71.</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Company net income was $190.8 million, including corporate income due to foreign exchange gains; adjusted EBITDA was $684.4 million.</w:t>
      </w:r>
    </w:p>
    <w:p>
      <w:pPr>
        <w:spacing w:after="0" w:line="3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also announced that its Board of Directors approved a capital allocation plan that includes the authorization of a share repurchase program of up to $500 million of the Company’s stock to be completed by the end of 2018 and planning for a quarterly dividend following third quarter 2017 results. The implementation of this capital allocation program is subject to U.K. required approval of distributable reserves, which is expected to be completed in the third quarter of 2017.</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merger is completed. We are now leveraging the unparalleled breadth of capabilities of TechnipFMC - from our industry-leading front-end engineering, our culture of innovation that is bringing to market next-generation solutions, to our reputation of superior project management,” said Doug Pferdehirt, CEO of TechnipFMC. “These capabilities, coupled with our unique commercial alignment to deliver efficiencies across the value chain, allow us to drive the change required for real, sustainable improvement to project economics - improvements which enable our customers to sanction more projects with greater confidence in cost and time to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33" w:lineRule="exact"/>
        <w:rPr>
          <w:sz w:val="20"/>
          <w:szCs w:val="20"/>
          <w:color w:val="auto"/>
        </w:rPr>
      </w:pPr>
    </w:p>
    <w:p>
      <w:pPr>
        <w:ind w:left="120" w:hanging="85"/>
        <w:spacing w:after="0"/>
        <w:tabs>
          <w:tab w:leader="none" w:pos="12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Adjusted results exclude the impact of charges and credits. See reconciliation of U.S. GAAP to non-GAAP financial measures in the attached tables.</w:t>
      </w:r>
    </w:p>
    <w:p>
      <w:pPr>
        <w:sectPr>
          <w:pgSz w:w="11900" w:h="16838" w:orient="portrait"/>
          <w:cols w:equalWidth="0" w:num="1">
            <w:col w:w="11420"/>
          </w:cols>
          <w:pgMar w:left="240" w:top="1440" w:right="239" w:bottom="1440" w:gutter="0" w:footer="0" w:header="0"/>
        </w:sectPr>
      </w:pPr>
    </w:p>
    <w:bookmarkStart w:id="5" w:name="page6"/>
    <w:bookmarkEnd w:id="5"/>
    <w:p>
      <w:pPr>
        <w:jc w:val="both"/>
        <w:ind w:right="20"/>
        <w:spacing w:after="0" w:line="247" w:lineRule="auto"/>
        <w:rPr>
          <w:sz w:val="20"/>
          <w:szCs w:val="20"/>
          <w:color w:val="auto"/>
        </w:rPr>
      </w:pPr>
      <w:r>
        <w:rPr>
          <w:rFonts w:ascii="Arial" w:cs="Arial" w:eastAsia="Arial" w:hAnsi="Arial"/>
          <w:sz w:val="20"/>
          <w:szCs w:val="20"/>
          <w:color w:val="auto"/>
        </w:rPr>
        <w:t>“Although the global energy market remains challenged, we benefit from the recovery of the short-cycle North America market as well as strong execution on our backlog of longer cycle projects.”</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subsea, market acceptance of our combined offering has been demonstrated by an acceleration of front-end studies. These studies are being converted to iEPCI™ awards including the Shell Kaikias project. Other recent project awards, including our award of ExxonMobil Liza, further illustrate returning confidence in the subsea market.”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added, “Execution remains fundamental to our performance, and our strong project management capability has been demonstrated, for example, in our LNG project portfolio which delivered Petronas Satu, the first-ever floating LNG (FLNG) to be operational, and continues to make progress on both the Shell Prelude FLNG and Yamal LNG projects.”</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Pferdehirt concluded, “As our first quarter results have shown, it is the remarkable women and men of TechnipFMC - now working together - who provide the unparalleled ability and determination to drive real change required in our industry.”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Order Intake and Backlog</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During the first quarter of 2017, the Company’s order intake was $1.6 billion. The breakdown by business segment was as follows:</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Subsea order intake of $666 million;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Onshore/Offshore order intake of $682 million;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Surface Technologies order intake of $241.5 million.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At the end of the first quarter 2017, the Company’s backlog was $16.1 billion, composed of the following:</w:t>
      </w:r>
    </w:p>
    <w:p>
      <w:pPr>
        <w:spacing w:after="0" w:line="17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Subsea backlog of $6.6 billion;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Onshore/Offshore backlog of $9.1 billion;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Surface Technologies backlog of $0.4 billion.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and Financial Highlights - First Quarter 2017</w:t>
      </w:r>
      <w:r>
        <w:rPr>
          <w:rFonts w:ascii="Arial" w:cs="Arial" w:eastAsia="Arial" w:hAnsi="Arial"/>
          <w:sz w:val="25"/>
          <w:szCs w:val="25"/>
          <w:b w:val="1"/>
          <w:bCs w:val="1"/>
          <w:color w:val="auto"/>
          <w:vertAlign w:val="superscript"/>
        </w:rPr>
        <w:t>2</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Subsea reported first quarter revenues of $1.4 billion. Major projects include Total Kaombo and Moho Nord, and ENI Jangkrik.</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Revenues were down 42 percent, primarily due to a reduction in project activity within Europe and Africa, partially offset by increased project activity in Asia Pacific. Prior-year declines in inbound orders continue to impact near-term revenues.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91" w:lineRule="exact"/>
        <w:rPr>
          <w:sz w:val="20"/>
          <w:szCs w:val="20"/>
          <w:color w:val="auto"/>
        </w:rPr>
      </w:pPr>
    </w:p>
    <w:p>
      <w:pPr>
        <w:ind w:left="40" w:right="220" w:hanging="5"/>
        <w:spacing w:after="0" w:line="221" w:lineRule="auto"/>
        <w:tabs>
          <w:tab w:leader="none" w:pos="145"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Because this is the first quarter of operation following our merger, we have prepared pro forma financial statements for 2016 as if the merger had been completed on January 1, 2016. All prior year quarter comparisons are to these pro forma results. In addition, because our merger did not close until January 16, 2017, we have a sixteen day “stub period” for FMC Technologies, Inc. that has been excluded from this quarter.</w:t>
      </w:r>
    </w:p>
    <w:p>
      <w:pPr>
        <w:sectPr>
          <w:pgSz w:w="11900" w:h="16838" w:orient="portrait"/>
          <w:cols w:equalWidth="0" w:num="1">
            <w:col w:w="11420"/>
          </w:cols>
          <w:pgMar w:left="240" w:top="757"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Vessel utilization rate for the first quarter of 2017 was 68 percent, down from the 78 percent rate in the fourth quarter of 2016.</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operating profit of $54.2 million; adjusted EBITDA was $238.6 million with margins of 17.3 percent. Adjusted EBITDA margins increased from the prior year pro forma results, despite the 42 percent revenue decline. Operating performance reflected the results of strong project execution, cost reductions, and restructuring.</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Onshore/Offshore</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Onshore/Offshore reported first quarter revenues of $1.8 billion. Major projects include Yamal LNG, Shell Prelude FLNG, and SIBUR Zapsib 2.</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Revenues declined 19 percent from the prior-year quarter on a pro forma basis, which includes the full consolidation of Yamal LNG. Revenues were lower as a result of reduced project activity, notably in the Middle East and Americas.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Onshore/Offshore reported operating profit of $139.9 million; adjusted EBITDA was $152.2 million with margins of 8.6 percent.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Adjusted EBITDA and margins improved year-over-year, compared with the pro forma results, despite the revenue decline as project profitability improved with the achievement of key construction milestones.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Surface Technologies</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first quarter revenue of $248.4 million. Revenues were down 29 percent from the prior-year quarter, due in part to the exclusion of the first sixteen days of the current year quarter. In addition, the favorable impact from the continuing recovery in North America was partially offset by competitive pricing in international markets and lower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Surface Technologies reported an operating loss of $18.6 million; adjusted EBITDA was $36 million with margins of 14.5 percent.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Adjusted EBITDA and margins significantly improved year-over-year, despite the revenue decline primarily due to the benefit of product mix related to fluid control sales and a more favorable cost structure.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Items</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Corporate income in the first quarter was $204.2 million, which included charges and credits of $51.1 million. The income in the quarter was primarily due to foreign exchange gains of $306.9 million.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$81.7 million in the quarter, including $67.7 million from the remeasurement of a liability payable to joint venture partners.</w:t>
      </w:r>
    </w:p>
    <w:p>
      <w:pPr>
        <w:sectPr>
          <w:pgSz w:w="11900" w:h="16838" w:orient="portrait"/>
          <w:cols w:equalWidth="0" w:num="1">
            <w:col w:w="11420"/>
          </w:cols>
          <w:pgMar w:left="240" w:top="595" w:right="239" w:bottom="1440" w:gutter="0" w:footer="0" w:header="0"/>
        </w:sectPr>
      </w:pPr>
    </w:p>
    <w:bookmarkStart w:id="7" w:name="page8"/>
    <w:bookmarkEnd w:id="7"/>
    <w:p>
      <w:pPr>
        <w:jc w:val="both"/>
        <w:spacing w:after="0" w:line="247" w:lineRule="auto"/>
        <w:rPr>
          <w:sz w:val="20"/>
          <w:szCs w:val="20"/>
          <w:color w:val="auto"/>
        </w:rPr>
      </w:pPr>
      <w:r>
        <w:rPr>
          <w:rFonts w:ascii="Arial" w:cs="Arial" w:eastAsia="Arial" w:hAnsi="Arial"/>
          <w:sz w:val="20"/>
          <w:szCs w:val="20"/>
          <w:color w:val="auto"/>
        </w:rPr>
        <w:t>Total depreciation and amortization for the first quarter was $154.1 million, including depreciation and amortization related to purchase price accounting for the merger of $42.9 million.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$51.2 million.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recorded a tax provision of $103.7 million. The reported tax rate was 34.8 percent. Excluding the effects of the liability remeasurement within net interest expense, for which there is no tax benefit, the effective tax rate was 28.4 percent for the first quarter.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TechnipFMC reported first quarter diluted earnings per share of $0.41, which included corporate income due to foreign exchange gains. Excluding charges and credits, adjusted diluted earnings per share were $0.71.</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Total Company operating profit was $379.7 million; adjusted EBITDA was $684.4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Quarterly segment performance is summarized below when compared to 2016 on a pro forma basis:</w:t>
      </w:r>
    </w:p>
    <w:p>
      <w:pPr>
        <w:spacing w:after="0" w:line="175" w:lineRule="exact"/>
        <w:rPr>
          <w:sz w:val="20"/>
          <w:szCs w:val="20"/>
          <w:color w:val="auto"/>
        </w:rPr>
      </w:pPr>
    </w:p>
    <w:p>
      <w:pPr>
        <w:ind w:left="6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Subsea reported operating profit of $54.2 million. Adjusted EBITDA was $238.6 million. Subsea improved adjusted EBITDA margins to 17.3 percent, despite a 42 percent revenue decline from the prior-year quarter.</w:t>
      </w:r>
    </w:p>
    <w:p>
      <w:pPr>
        <w:spacing w:after="0" w:line="215" w:lineRule="exact"/>
        <w:rPr>
          <w:rFonts w:ascii="Arial" w:cs="Arial" w:eastAsia="Arial" w:hAnsi="Arial"/>
          <w:sz w:val="18"/>
          <w:szCs w:val="18"/>
          <w:color w:val="auto"/>
        </w:rPr>
      </w:pPr>
    </w:p>
    <w:p>
      <w:pPr>
        <w:ind w:left="6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Onshore/Offshore reported operating profit of $139.9 million. Adjusted EBITDA was $152.2 million with margins of 8.6 percent. Adjusted EBITDA and margins increased year-over-year, despite a 19 percent revenue decline.</w:t>
      </w:r>
    </w:p>
    <w:p>
      <w:pPr>
        <w:spacing w:after="0" w:line="215" w:lineRule="exact"/>
        <w:rPr>
          <w:rFonts w:ascii="Arial" w:cs="Arial" w:eastAsia="Arial" w:hAnsi="Arial"/>
          <w:sz w:val="18"/>
          <w:szCs w:val="18"/>
          <w:color w:val="auto"/>
        </w:rPr>
      </w:pPr>
    </w:p>
    <w:p>
      <w:pPr>
        <w:ind w:left="660" w:hanging="328"/>
        <w:spacing w:after="0" w:line="24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Surface Technologies reported an operating loss of $18.6 million. Adjusted EBITDA was $36 million with margins of 14.5 percent. Adjusted EBITDA and margins increased year-over-year, despite a 29 percent revenue decline.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Full-year 2017 guidance will be discussed on the Company’s first quarter earnings conference call.</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teleconference is scheduled at 1 p.m. London time (8 a.m. New York time) on Thursday, April 27, 2017 and will be accompanied by a supporting presentation that will be made available at </w:t>
      </w:r>
      <w:r>
        <w:rPr>
          <w:rFonts w:ascii="Arial" w:cs="Arial" w:eastAsia="Arial" w:hAnsi="Arial"/>
          <w:sz w:val="20"/>
          <w:szCs w:val="20"/>
          <w:u w:val="single" w:color="auto"/>
          <w:color w:val="0000FF"/>
        </w:rPr>
        <w:t>http://investors.technipfmc.com</w:t>
      </w:r>
      <w:r>
        <w:rPr>
          <w:rFonts w:ascii="Arial" w:cs="Arial" w:eastAsia="Arial" w:hAnsi="Arial"/>
          <w:sz w:val="20"/>
          <w:szCs w:val="20"/>
          <w:color w:val="auto"/>
        </w:rPr>
        <w:t xml:space="preserve"> prior to the start of the teleconference.</w:t>
      </w:r>
    </w:p>
    <w:p>
      <w:pPr>
        <w:sectPr>
          <w:pgSz w:w="11900" w:h="16838" w:orient="portrait"/>
          <w:cols w:equalWidth="0" w:num="1">
            <w:col w:w="11420"/>
          </w:cols>
          <w:pgMar w:left="240" w:top="78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28"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286"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40,000 employees is driven by a steady commitment to clients and a culture of purposeful innovation, challenging industry conventions, and rethinking how the best results are achieved.</w:t>
      </w:r>
    </w:p>
    <w:p>
      <w:pPr>
        <w:spacing w:after="0" w:line="272"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3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reductions in client spending or a slowdown in client payments;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cost overruns that may affect profit realized on our fixed price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rising costs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ability to attract new clients and retain existing clients in the manner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compliance with and changes in legislation or governmental regulations affecting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808080"/>
        </w:rPr>
        <w:t>international, national or local economic, social or political conditions that could adversely affect us or our clients;</w:t>
      </w:r>
    </w:p>
    <w:p>
      <w:pPr>
        <w:sectPr>
          <w:pgSz w:w="11900" w:h="16838" w:orient="portrait"/>
          <w:cols w:equalWidth="0" w:num="1">
            <w:col w:w="11380"/>
          </w:cols>
          <w:pgMar w:left="240" w:top="747" w:right="279" w:bottom="1440" w:gutter="0" w:footer="0" w:header="0"/>
        </w:sectPr>
      </w:pPr>
    </w:p>
    <w:bookmarkStart w:id="9" w:name="page10"/>
    <w:bookmarkEnd w:id="9"/>
    <w:p>
      <w:pPr>
        <w:ind w:left="660" w:right="7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Depositary Trust Company and Euroclear for clearance services for shares traded on the NYSE and Euronext Paris, respectively;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results on the United Kingdom’s referendum on withdrawal from the European union;</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risks associated with assumptions we make in connection with our critical accounting estimates and legal proceedings;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the risk that we may not be able to pay dividends or repurchase shares in accordance with our announced capital allocation plan, or at all;</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the risks of currency fluctuations and foreign exchange controls associated with our international operations;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unanticipated costs of integration;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reliance on and integration of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or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The event will be available at </w:t>
      </w:r>
      <w:r>
        <w:rPr>
          <w:rFonts w:ascii="Arial" w:cs="Arial" w:eastAsia="Arial" w:hAnsi="Arial"/>
          <w:sz w:val="20"/>
          <w:szCs w:val="20"/>
          <w:u w:val="single" w:color="auto"/>
          <w:color w:val="0000FF"/>
        </w:rPr>
        <w:t>http://investors.technipfmc.com</w:t>
      </w:r>
      <w:r>
        <w:rPr>
          <w:rFonts w:ascii="Arial" w:cs="Arial" w:eastAsia="Arial" w:hAnsi="Arial"/>
          <w:sz w:val="20"/>
          <w:szCs w:val="20"/>
          <w:b w:val="1"/>
          <w:bCs w:val="1"/>
          <w:color w:val="auto"/>
        </w:rPr>
        <w:t xml:space="preserve">. An archived audio replay will be available after the event at the same website address. In the event of a disruption of service or technical difficulty during the call, information will be posted at </w:t>
      </w:r>
      <w:r>
        <w:rPr>
          <w:rFonts w:ascii="Arial" w:cs="Arial" w:eastAsia="Arial" w:hAnsi="Arial"/>
          <w:sz w:val="20"/>
          <w:szCs w:val="20"/>
          <w:u w:val="single" w:color="auto"/>
          <w:color w:val="0000FF"/>
        </w:rPr>
        <w:t>http://investors.technipfmc.com</w:t>
      </w:r>
      <w:r>
        <w:rPr>
          <w:rFonts w:ascii="Arial" w:cs="Arial" w:eastAsia="Arial" w:hAnsi="Arial"/>
          <w:sz w:val="20"/>
          <w:szCs w:val="20"/>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4120"/>
        <w:spacing w:after="0"/>
        <w:rPr>
          <w:sz w:val="20"/>
          <w:szCs w:val="20"/>
          <w:color w:val="auto"/>
        </w:rPr>
      </w:pPr>
      <w:r>
        <w:rPr>
          <w:rFonts w:ascii="Arial" w:cs="Arial" w:eastAsia="Arial" w:hAnsi="Arial"/>
          <w:sz w:val="19"/>
          <w:szCs w:val="19"/>
          <w:b w:val="1"/>
          <w:bCs w:val="1"/>
          <w:color w:val="auto"/>
        </w:rPr>
        <w:t>Media relations</w:t>
      </w:r>
    </w:p>
    <w:p>
      <w:pPr>
        <w:spacing w:after="0" w:line="200" w:lineRule="exact"/>
        <w:rPr>
          <w:sz w:val="20"/>
          <w:szCs w:val="20"/>
          <w:color w:val="auto"/>
        </w:rPr>
      </w:pPr>
    </w:p>
    <w:p>
      <w:pPr>
        <w:sectPr>
          <w:pgSz w:w="11900" w:h="16838" w:orient="portrait"/>
          <w:cols w:equalWidth="0" w:num="2">
            <w:col w:w="5140" w:space="720"/>
            <w:col w:w="5560"/>
          </w:cols>
          <w:pgMar w:left="240" w:top="796" w:right="239" w:bottom="1440" w:gutter="0" w:footer="0" w:header="0"/>
          <w:type w:val="continuous"/>
        </w:sectPr>
      </w:pPr>
    </w:p>
    <w:p>
      <w:pPr>
        <w:spacing w:after="0" w:line="38" w:lineRule="exact"/>
        <w:rPr>
          <w:sz w:val="20"/>
          <w:szCs w:val="20"/>
          <w:color w:val="auto"/>
        </w:rPr>
      </w:pPr>
    </w:p>
    <w:p>
      <w:pPr>
        <w:ind w:left="80"/>
        <w:spacing w:after="0"/>
        <w:rPr>
          <w:sz w:val="20"/>
          <w:szCs w:val="20"/>
          <w:color w:val="auto"/>
        </w:rPr>
      </w:pPr>
      <w:r>
        <w:rPr>
          <w:rFonts w:ascii="Arial" w:cs="Arial" w:eastAsia="Arial" w:hAnsi="Arial"/>
          <w:sz w:val="20"/>
          <w:szCs w:val="20"/>
          <w:color w:val="auto"/>
        </w:rPr>
        <w:t>Matt Seinsheimer</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color w:val="auto"/>
        </w:rPr>
        <w:t>Vice President Investor Relations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color w:val="auto"/>
        </w:rPr>
        <w:t>Tel: +1 281 260 3665</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9"/>
          <w:szCs w:val="19"/>
          <w:color w:val="auto"/>
        </w:rPr>
        <w:t>Email: investorrelations@TechnipFMC.com</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Christophe Belorgeot</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Corporate Communications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Tel: +33 1 47 78 39 92</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 media@TechnipFMC.com</w:t>
      </w:r>
    </w:p>
    <w:p>
      <w:pPr>
        <w:spacing w:after="0" w:line="200" w:lineRule="exact"/>
        <w:rPr>
          <w:sz w:val="20"/>
          <w:szCs w:val="20"/>
          <w:color w:val="auto"/>
        </w:rPr>
      </w:pPr>
    </w:p>
    <w:p>
      <w:pPr>
        <w:sectPr>
          <w:pgSz w:w="11900" w:h="16838" w:orient="portrait"/>
          <w:cols w:equalWidth="0" w:num="2">
            <w:col w:w="5140" w:space="720"/>
            <w:col w:w="5560"/>
          </w:cols>
          <w:pgMar w:left="240" w:top="796" w:right="239" w:bottom="1440" w:gutter="0" w:footer="0" w:header="0"/>
          <w:type w:val="continuous"/>
        </w:sectPr>
      </w:pP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James Davis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color w:val="auto"/>
        </w:rPr>
        <w:t>Senior Manager Investor Relations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color w:val="auto"/>
        </w:rPr>
        <w:t>Tel: +1 281 260 3665</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9"/>
          <w:szCs w:val="19"/>
          <w:color w:val="auto"/>
        </w:rPr>
        <w:t>Email: investorrelations@TechnipFMC.com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Lisa Adams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Senior Manager Digital Communications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Tel: +1 281 405 4659</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 media@TechnipFMC.com</w:t>
      </w:r>
    </w:p>
    <w:p>
      <w:pPr>
        <w:sectPr>
          <w:pgSz w:w="11900" w:h="16838" w:orient="portrait"/>
          <w:cols w:equalWidth="0" w:num="2">
            <w:col w:w="5140" w:space="720"/>
            <w:col w:w="556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215" w:lineRule="exact"/>
        <w:rPr>
          <w:sz w:val="20"/>
          <w:szCs w:val="20"/>
          <w:color w:val="auto"/>
        </w:rPr>
      </w:pPr>
    </w:p>
    <w:p>
      <w:pPr>
        <w:ind w:left="560" w:hanging="322"/>
        <w:spacing w:after="0" w:line="239" w:lineRule="auto"/>
        <w:tabs>
          <w:tab w:leader="none" w:pos="5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20"/>
          <w:szCs w:val="20"/>
          <w:color w:val="auto"/>
        </w:rPr>
      </w:pPr>
    </w:p>
    <w:p>
      <w:pPr>
        <w:ind w:left="560" w:right="20" w:hanging="322"/>
        <w:spacing w:after="0" w:line="247" w:lineRule="auto"/>
        <w:tabs>
          <w:tab w:leader="none" w:pos="5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December of 2016, Technip increased its ownership in the Yamal LNG Joint Venture and became the controlling shareholder. Under US GAAP, this resulted in full consolidation of the Joint Venture on the date of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months ended March 31, 2017:</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Include Technip for the full period;</w:t>
      </w:r>
    </w:p>
    <w:p>
      <w:pPr>
        <w:jc w:val="both"/>
        <w:ind w:left="660" w:hanging="328"/>
        <w:spacing w:after="0" w:line="239"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March 31, 2017; revenues of $112.9 million during the period from January 1 to January 16, 2017 were excluded, of which approximately 70 percent came from the Subsea segment;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ind w:right="660"/>
        <w:spacing w:after="0" w:line="247" w:lineRule="auto"/>
        <w:rPr>
          <w:sz w:val="20"/>
          <w:szCs w:val="20"/>
          <w:color w:val="auto"/>
        </w:rPr>
      </w:pPr>
      <w:r>
        <w:rPr>
          <w:rFonts w:ascii="Arial" w:cs="Arial" w:eastAsia="Arial" w:hAnsi="Arial"/>
          <w:sz w:val="20"/>
          <w:szCs w:val="20"/>
          <w:color w:val="auto"/>
        </w:rPr>
        <w:t>The results for the three months ended March 31, 2016 only include the results of Technip, inclusive of the equity in affiliate income from the Yamal LNG Joint Venture.</w:t>
      </w:r>
    </w:p>
    <w:p>
      <w:pPr>
        <w:sectPr>
          <w:pgSz w:w="11900" w:h="16838" w:orient="portrait"/>
          <w:cols w:equalWidth="0" w:num="1">
            <w:col w:w="11420"/>
          </w:cols>
          <w:pgMar w:left="240" w:top="787" w:right="239" w:bottom="1440" w:gutter="0" w:footer="0" w:header="0"/>
        </w:sectPr>
      </w:pPr>
    </w:p>
    <w:bookmarkStart w:id="11" w:name="page12"/>
    <w:bookmarkEnd w:id="11"/>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Borders>
              <w:bottom w:val="single" w:sz="8" w:color="auto"/>
            </w:tcBorders>
          </w:tcPr>
          <w:p>
            <w:pPr>
              <w:spacing w:after="0"/>
              <w:rPr>
                <w:sz w:val="16"/>
                <w:szCs w:val="16"/>
                <w:color w:val="auto"/>
              </w:rPr>
            </w:pPr>
          </w:p>
        </w:tc>
      </w:tr>
      <w:tr>
        <w:trPr>
          <w:trHeight w:val="244"/>
        </w:trPr>
        <w:tc>
          <w:tcPr>
            <w:tcW w:w="6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6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8"/>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2,405.7</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3,345.1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2,209.3</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net interest expense and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47.5</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TechnipFMC plc: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84"/>
        </w:trPr>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118.2</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r>
      <w:tr>
        <w:trPr>
          <w:trHeight w:val="27"/>
        </w:trPr>
        <w:tc>
          <w:tcPr>
            <w:tcW w:w="6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ectPr>
          <w:pgSz w:w="11900" w:h="16838" w:orient="portrait"/>
          <w:cols w:equalWidth="0" w:num="1">
            <w:col w:w="9200"/>
          </w:cols>
          <w:pgMar w:left="1360" w:top="526" w:right="1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23495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23495</wp:posOffset>
            </wp:positionV>
            <wp:extent cx="1543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189"/>
        </w:trPr>
        <w:tc>
          <w:tcPr>
            <w:tcW w:w="676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1,517.2</w:t>
            </w:r>
          </w:p>
        </w:tc>
      </w:tr>
      <w:tr>
        <w:trPr>
          <w:trHeight w:val="243"/>
        </w:trPr>
        <w:tc>
          <w:tcPr>
            <w:tcW w:w="6760" w:type="dxa"/>
            <w:vAlign w:val="bottom"/>
            <w:gridSpan w:val="6"/>
          </w:tcPr>
          <w:p>
            <w:pPr>
              <w:ind w:left="20"/>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888.5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6"/>
          </w:tcPr>
          <w:p>
            <w:pPr>
              <w:ind w:left="20"/>
              <w:spacing w:after="0"/>
              <w:rPr>
                <w:sz w:val="20"/>
                <w:szCs w:val="20"/>
                <w:color w:val="auto"/>
              </w:rPr>
            </w:pPr>
            <w:r>
              <w:rPr>
                <w:rFonts w:ascii="Arial" w:cs="Arial" w:eastAsia="Arial" w:hAnsi="Arial"/>
                <w:sz w:val="18"/>
                <w:szCs w:val="18"/>
                <w:color w:val="auto"/>
              </w:rPr>
              <w:t>Other revenue and intercompany eliminations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6760" w:type="dxa"/>
            <w:vAlign w:val="bottom"/>
            <w:gridSpan w:val="6"/>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w w:val="91"/>
              </w:rPr>
              <w:t>Segment operating profit (loss)</w:t>
            </w:r>
          </w:p>
        </w:tc>
        <w:tc>
          <w:tcPr>
            <w:tcW w:w="4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6"/>
          </w:tcPr>
          <w:p>
            <w:pPr>
              <w:ind w:left="20"/>
              <w:spacing w:after="0"/>
              <w:rPr>
                <w:sz w:val="20"/>
                <w:szCs w:val="20"/>
                <w:color w:val="auto"/>
              </w:rPr>
            </w:pPr>
            <w:r>
              <w:rPr>
                <w:rFonts w:ascii="Arial" w:cs="Arial" w:eastAsia="Arial" w:hAnsi="Arial"/>
                <w:sz w:val="18"/>
                <w:szCs w:val="18"/>
                <w:color w:val="auto"/>
              </w:rPr>
              <w:t>Subsea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196.4</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Onshore/Offshore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43"/>
        </w:trPr>
        <w:tc>
          <w:tcPr>
            <w:tcW w:w="6760" w:type="dxa"/>
            <w:vAlign w:val="bottom"/>
            <w:gridSpan w:val="6"/>
          </w:tcPr>
          <w:p>
            <w:pPr>
              <w:ind w:left="20"/>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segment 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w:t>
            </w:r>
          </w:p>
        </w:tc>
      </w:tr>
      <w:tr>
        <w:trPr>
          <w:trHeight w:val="2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67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Corporate items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674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Corporate income (expense)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0"/>
        </w:trPr>
        <w:tc>
          <w:tcPr>
            <w:tcW w:w="67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6760" w:type="dxa"/>
            <w:vAlign w:val="bottom"/>
            <w:gridSpan w:val="6"/>
          </w:tcPr>
          <w:p>
            <w:pPr>
              <w:ind w:left="20"/>
              <w:spacing w:after="0"/>
              <w:rPr>
                <w:sz w:val="20"/>
                <w:szCs w:val="20"/>
                <w:color w:val="auto"/>
              </w:rPr>
            </w:pPr>
            <w:r>
              <w:rPr>
                <w:rFonts w:ascii="Arial" w:cs="Arial" w:eastAsia="Arial" w:hAnsi="Arial"/>
                <w:sz w:val="18"/>
                <w:szCs w:val="18"/>
                <w:color w:val="auto"/>
              </w:rPr>
              <w:t>Total corporate items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76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194.8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200" w:right="240" w:hanging="171"/>
        <w:spacing w:after="0" w:line="237" w:lineRule="auto"/>
        <w:tabs>
          <w:tab w:leader="none" w:pos="205"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Corporate income (expense) primarily includes corporate staff expenses, stock-based compensation expenses, other employee benefits, certain foreign exchange gains and losses, and merger-related transaction expenses.</w:t>
      </w:r>
    </w:p>
    <w:p>
      <w:pPr>
        <w:ind w:left="200" w:hanging="171"/>
        <w:spacing w:after="0" w:line="222" w:lineRule="auto"/>
        <w:tabs>
          <w:tab w:leader="none" w:pos="20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noncontrolling interests.</w:t>
      </w:r>
    </w:p>
    <w:p>
      <w:pPr>
        <w:sectPr>
          <w:pgSz w:w="11900" w:h="16838" w:orient="portrait"/>
          <w:cols w:equalWidth="0" w:num="1">
            <w:col w:w="9200"/>
          </w:cols>
          <w:pgMar w:left="1360" w:top="526" w:right="1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6"/>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Inbound Orders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43"/>
        </w:trPr>
        <w:tc>
          <w:tcPr>
            <w:tcW w:w="20" w:type="dxa"/>
            <w:vAlign w:val="bottom"/>
          </w:tcPr>
          <w:p>
            <w:pPr>
              <w:spacing w:after="0"/>
              <w:rPr>
                <w:sz w:val="21"/>
                <w:szCs w:val="21"/>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Total inbound orders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Order Backlog</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6,978.8</w:t>
            </w:r>
          </w:p>
        </w:tc>
      </w:tr>
      <w:tr>
        <w:trPr>
          <w:trHeight w:val="243"/>
        </w:trPr>
        <w:tc>
          <w:tcPr>
            <w:tcW w:w="20" w:type="dxa"/>
            <w:vAlign w:val="bottom"/>
          </w:tcPr>
          <w:p>
            <w:pPr>
              <w:spacing w:after="0"/>
              <w:rPr>
                <w:sz w:val="21"/>
                <w:szCs w:val="21"/>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9,401.7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16,056.2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16,380.5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(unaudited)</w:t>
            </w:r>
          </w:p>
        </w:tc>
      </w:tr>
      <w:tr>
        <w:trPr>
          <w:trHeight w:val="152"/>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4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2,024.5</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 excess of billings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334.7</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1,822.9</w:t>
            </w:r>
          </w:p>
        </w:tc>
      </w:tr>
      <w:tr>
        <w:trPr>
          <w:trHeight w:val="237"/>
        </w:trPr>
        <w:tc>
          <w:tcPr>
            <w:tcW w:w="6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10,937.2</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2,620.1</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255.4</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1,168.1</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18,699.1</w:t>
            </w:r>
          </w:p>
        </w:tc>
      </w:tr>
      <w:tr>
        <w:trPr>
          <w:trHeight w:val="67"/>
        </w:trPr>
        <w:tc>
          <w:tcPr>
            <w:tcW w:w="65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6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683.6</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411.1</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2,633.5</w:t>
            </w: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10,930.4</w:t>
            </w:r>
          </w:p>
        </w:tc>
      </w:tr>
      <w:tr>
        <w:trPr>
          <w:trHeight w:val="284"/>
        </w:trPr>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820.0</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TechnipFMC plc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5,091.1</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18,699.1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15" w:name="page16"/>
    <w:bookmarkEnd w:id="15"/>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 OF CASH FLOWS </w:t>
      </w:r>
      <w:r>
        <w:rPr>
          <w:rFonts w:ascii="Arial" w:cs="Arial" w:eastAsia="Arial" w:hAnsi="Arial"/>
          <w:sz w:val="18"/>
          <w:szCs w:val="18"/>
          <w:b w:val="1"/>
          <w:bCs w:val="1"/>
          <w:color w:val="auto"/>
        </w:rPr>
        <w:t>(In millions)</w:t>
      </w:r>
    </w:p>
    <w:p>
      <w:pPr>
        <w:spacing w:after="0" w:line="18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147.3</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and costs in excess of billings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Advance payments and billings in excess of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Cash provided (required) by investing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acquired in merger of Technip and FMC Technologies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 provided (required) by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Cash provided (required) by financing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(decrease) in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Other financing</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3,178.0</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 The financial results reflect the following information:</w:t>
      </w:r>
    </w:p>
    <w:p>
      <w:pPr>
        <w:spacing w:after="0" w:line="215" w:lineRule="exact"/>
        <w:rPr>
          <w:sz w:val="20"/>
          <w:szCs w:val="20"/>
          <w:color w:val="auto"/>
        </w:rPr>
      </w:pPr>
    </w:p>
    <w:p>
      <w:pPr>
        <w:ind w:left="560" w:hanging="322"/>
        <w:spacing w:after="0" w:line="239" w:lineRule="auto"/>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20"/>
          <w:szCs w:val="20"/>
          <w:color w:val="auto"/>
        </w:rPr>
      </w:pPr>
    </w:p>
    <w:p>
      <w:pPr>
        <w:jc w:val="both"/>
        <w:ind w:left="560" w:hanging="322"/>
        <w:spacing w:after="0" w:line="243" w:lineRule="auto"/>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December of 2016, Technip increased its ownership in the Yamal LNG Joint Venture and became the controlling shareholder. Under US GAAP, this would have resulted in full consolidation of the Joint Venture on the date of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months ended March 31, 2017:</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March 31, 2017; revenues of $112.9 million during the period from January 1 to January 16, 2017 were excluded, of which approximately 70 percent from Subsea and the remainder from Surface Technologies;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Non-GAAP pro forma results for the three months ended March 31, 2016:</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Include the results of both Technip and FMC Technologies for the full period;</w:t>
      </w:r>
    </w:p>
    <w:p>
      <w:pPr>
        <w:ind w:left="660" w:hanging="328"/>
        <w:spacing w:after="0" w:line="239"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Combine FMC Technologies’ former Surface Technologies and Energy Infrastructure segments to form the pro forma Surface Technologies segment;</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Purchase price accounting adjustments applied on an equal basis to first quarter 2017 results to provide comparability; and</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ectPr>
          <w:pgSz w:w="11900" w:h="16838" w:orient="portrait"/>
          <w:cols w:equalWidth="0" w:num="1">
            <w:col w:w="11420"/>
          </w:cols>
          <w:pgMar w:left="240" w:top="355" w:right="239" w:bottom="1440" w:gutter="0" w:footer="0" w:header="0"/>
        </w:sectPr>
      </w:pPr>
    </w:p>
    <w:bookmarkStart w:id="17" w:name="page18"/>
    <w:bookmarkEnd w:id="17"/>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First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213995</wp:posOffset>
            </wp:positionV>
            <wp:extent cx="4836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Income before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Net 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Net (income) loss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2"/>
              </w:rPr>
              <w:t>Provision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(Operating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plc</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income taxes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profit)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5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190.8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103.7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379.7</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160"/>
              <w:spacing w:after="0"/>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3"/>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Restructuring and other</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7"/>
        </w:trPr>
        <w:tc>
          <w:tcPr>
            <w:tcW w:w="1520" w:type="dxa"/>
            <w:vAlign w:val="bottom"/>
            <w:gridSpan w:val="2"/>
          </w:tcPr>
          <w:p>
            <w:pPr>
              <w:ind w:left="160"/>
              <w:spacing w:after="0" w:line="157" w:lineRule="exact"/>
              <w:rPr>
                <w:sz w:val="20"/>
                <w:szCs w:val="20"/>
                <w:color w:val="auto"/>
              </w:rPr>
            </w:pPr>
            <w:r>
              <w:rPr>
                <w:rFonts w:ascii="Arial" w:cs="Arial" w:eastAsia="Arial" w:hAnsi="Arial"/>
                <w:sz w:val="14"/>
                <w:szCs w:val="14"/>
                <w:color w:val="auto"/>
                <w:w w:val="98"/>
              </w:rPr>
              <w:t>Business combination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160"/>
              <w:spacing w:after="0"/>
              <w:rPr>
                <w:sz w:val="20"/>
                <w:szCs w:val="20"/>
                <w:color w:val="auto"/>
              </w:rPr>
            </w:pPr>
            <w:r>
              <w:rPr>
                <w:rFonts w:ascii="Arial" w:cs="Arial" w:eastAsia="Arial" w:hAnsi="Arial"/>
                <w:sz w:val="14"/>
                <w:szCs w:val="14"/>
                <w:color w:val="auto"/>
              </w:rPr>
              <w:t>integration costs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54.7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63"/>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accounting adjustments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129.1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5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6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330.9</w:t>
            </w:r>
          </w:p>
        </w:tc>
        <w:tc>
          <w:tcPr>
            <w:tcW w:w="100" w:type="dxa"/>
            <w:vAlign w:val="bottom"/>
            <w:gridSpan w:val="2"/>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157.4</w:t>
            </w:r>
          </w:p>
        </w:tc>
        <w:tc>
          <w:tcPr>
            <w:tcW w:w="2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573.2</w:t>
            </w:r>
          </w:p>
        </w:tc>
        <w:tc>
          <w:tcPr>
            <w:tcW w:w="120" w:type="dxa"/>
            <w:vAlign w:val="bottom"/>
            <w:gridSpan w:val="2"/>
            <w:vMerge w:val="restart"/>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60" w:type="dxa"/>
            <w:vAlign w:val="bottom"/>
            <w:shd w:val="clear" w:color="auto" w:fill="CCEEFF"/>
          </w:tcPr>
          <w:p>
            <w:pPr>
              <w:spacing w:after="0"/>
              <w:rPr>
                <w:sz w:val="11"/>
                <w:szCs w:val="11"/>
                <w:color w:val="auto"/>
              </w:rPr>
            </w:pPr>
          </w:p>
        </w:tc>
        <w:tc>
          <w:tcPr>
            <w:tcW w:w="100" w:type="dxa"/>
            <w:vAlign w:val="bottom"/>
            <w:gridSpan w:val="2"/>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684.4</w:t>
            </w:r>
          </w:p>
        </w:tc>
        <w:tc>
          <w:tcPr>
            <w:tcW w:w="0" w:type="dxa"/>
            <w:vAlign w:val="bottom"/>
          </w:tcPr>
          <w:p>
            <w:pPr>
              <w:spacing w:after="0"/>
              <w:rPr>
                <w:sz w:val="1"/>
                <w:szCs w:val="1"/>
                <w:color w:val="auto"/>
              </w:rPr>
            </w:pPr>
          </w:p>
        </w:tc>
      </w:tr>
      <w:tr>
        <w:trPr>
          <w:trHeight w:val="181"/>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w w:val="95"/>
              </w:rPr>
              <w:t>Pro Forma Three Months Ended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before net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Income before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Net income</w:t>
            </w:r>
          </w:p>
        </w:tc>
        <w:tc>
          <w:tcPr>
            <w:tcW w:w="40" w:type="dxa"/>
            <w:vAlign w:val="bottom"/>
          </w:tcPr>
          <w:p>
            <w:pPr>
              <w:spacing w:after="0"/>
              <w:rPr>
                <w:sz w:val="12"/>
                <w:szCs w:val="12"/>
                <w:color w:val="auto"/>
              </w:rPr>
            </w:pPr>
          </w:p>
        </w:tc>
        <w:tc>
          <w:tcPr>
            <w:tcW w:w="12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(income) loss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taxes,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interest</w:t>
            </w: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(Operating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plc</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interests</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taxes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profit)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160.5</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160"/>
              <w:spacing w:after="0"/>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63"/>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7"/>
        </w:trPr>
        <w:tc>
          <w:tcPr>
            <w:tcW w:w="15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accounting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160"/>
              <w:spacing w:after="0"/>
              <w:rPr>
                <w:sz w:val="20"/>
                <w:szCs w:val="20"/>
                <w:color w:val="auto"/>
              </w:rPr>
            </w:pPr>
            <w:r>
              <w:rPr>
                <w:rFonts w:ascii="Arial" w:cs="Arial" w:eastAsia="Arial" w:hAnsi="Arial"/>
                <w:sz w:val="14"/>
                <w:szCs w:val="14"/>
                <w:color w:val="auto"/>
              </w:rPr>
              <w:t>adjustments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49"/>
        </w:trPr>
        <w:tc>
          <w:tcPr>
            <w:tcW w:w="15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20" w:type="dxa"/>
            <w:vAlign w:val="bottom"/>
          </w:tcPr>
          <w:p>
            <w:pPr>
              <w:spacing w:after="0"/>
              <w:rPr>
                <w:sz w:val="11"/>
                <w:szCs w:val="11"/>
                <w:color w:val="auto"/>
              </w:rPr>
            </w:pPr>
          </w:p>
        </w:tc>
        <w:tc>
          <w:tcPr>
            <w:tcW w:w="1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293.8</w:t>
            </w:r>
          </w:p>
        </w:tc>
        <w:tc>
          <w:tcPr>
            <w:tcW w:w="80" w:type="dxa"/>
            <w:vAlign w:val="bottom"/>
          </w:tcPr>
          <w:p>
            <w:pPr>
              <w:spacing w:after="0"/>
              <w:rPr>
                <w:sz w:val="11"/>
                <w:szCs w:val="11"/>
                <w:color w:val="auto"/>
              </w:rPr>
            </w:pPr>
          </w:p>
        </w:tc>
        <w:tc>
          <w:tcPr>
            <w:tcW w:w="2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1"/>
                <w:szCs w:val="11"/>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368.6</w:t>
            </w:r>
          </w:p>
        </w:tc>
        <w:tc>
          <w:tcPr>
            <w:tcW w:w="40" w:type="dxa"/>
            <w:vAlign w:val="bottom"/>
          </w:tcPr>
          <w:p>
            <w:pPr>
              <w:spacing w:after="0"/>
              <w:rPr>
                <w:sz w:val="11"/>
                <w:szCs w:val="11"/>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117.6</w:t>
            </w:r>
          </w:p>
        </w:tc>
        <w:tc>
          <w:tcPr>
            <w:tcW w:w="60" w:type="dxa"/>
            <w:vAlign w:val="bottom"/>
          </w:tcPr>
          <w:p>
            <w:pPr>
              <w:spacing w:after="0"/>
              <w:rPr>
                <w:sz w:val="11"/>
                <w:szCs w:val="11"/>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181"/>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measures</w:t>
            </w:r>
          </w:p>
        </w:tc>
        <w:tc>
          <w:tcPr>
            <w:tcW w:w="1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240" w:top="526" w:right="439" w:bottom="1440" w:gutter="0" w:footer="0" w:header="0"/>
        </w:sectPr>
      </w:pPr>
    </w:p>
    <w:bookmarkStart w:id="18" w:name="page19"/>
    <w:bookmarkEnd w:id="18"/>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95"/>
              </w:rPr>
              <w:t>(Unaudited)</w:t>
            </w:r>
          </w:p>
        </w:tc>
        <w:tc>
          <w:tcPr>
            <w:tcW w:w="440" w:type="dxa"/>
            <w:vAlign w:val="bottom"/>
            <w:tcBorders>
              <w:bottom w:val="single" w:sz="8" w:color="auto"/>
            </w:tcBorders>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16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294"/>
              <w:spacing w:after="0"/>
              <w:rPr>
                <w:sz w:val="20"/>
                <w:szCs w:val="20"/>
                <w:color w:val="auto"/>
              </w:rPr>
            </w:pPr>
            <w:r>
              <w:rPr>
                <w:rFonts w:ascii="Arial" w:cs="Arial" w:eastAsia="Arial" w:hAnsi="Arial"/>
                <w:sz w:val="14"/>
                <w:szCs w:val="14"/>
                <w:b w:val="1"/>
                <w:bCs w:val="1"/>
                <w:color w:val="auto"/>
                <w:w w:val="98"/>
              </w:rPr>
              <w:t>March 31</w:t>
            </w:r>
          </w:p>
        </w:tc>
        <w:tc>
          <w:tcPr>
            <w:tcW w:w="4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r>
      <w:tr>
        <w:trPr>
          <w:trHeight w:val="230"/>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(after-tax)</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TechnipFMC plc, as reported</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Charges and (credits):</w:t>
            </w:r>
          </w:p>
        </w:tc>
        <w:tc>
          <w:tcPr>
            <w:tcW w:w="4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660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and other severance charges </w:t>
            </w:r>
            <w:r>
              <w:rPr>
                <w:rFonts w:ascii="Arial" w:cs="Arial" w:eastAsia="Arial" w:hAnsi="Arial"/>
                <w:sz w:val="25"/>
                <w:szCs w:val="25"/>
                <w:color w:val="auto"/>
                <w:vertAlign w:val="superscript"/>
              </w:rPr>
              <w:t>(2)</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6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Business combination transaction and integration costs </w:t>
            </w:r>
            <w:r>
              <w:rPr>
                <w:rFonts w:ascii="Arial" w:cs="Arial" w:eastAsia="Arial" w:hAnsi="Arial"/>
                <w:sz w:val="25"/>
                <w:szCs w:val="25"/>
                <w:color w:val="auto"/>
                <w:vertAlign w:val="superscript"/>
              </w:rPr>
              <w:t>(3)</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Purchase price accounting adjustments </w:t>
            </w:r>
            <w:r>
              <w:rPr>
                <w:rFonts w:ascii="Arial" w:cs="Arial" w:eastAsia="Arial" w:hAnsi="Arial"/>
                <w:sz w:val="25"/>
                <w:szCs w:val="25"/>
                <w:color w:val="auto"/>
                <w:vertAlign w:val="superscript"/>
              </w:rPr>
              <w:t>(4)</w:t>
            </w: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5"/>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TechnipFMC plc</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 EPS attributable to TechnipFMC plc, as reported</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3"/>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diluted EPS attributable to TechnipFMC plc</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0.71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ind w:left="200" w:hanging="171"/>
        <w:spacing w:after="0"/>
        <w:tabs>
          <w:tab w:leader="none" w:pos="20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Tax effect of nil and $6 million during the three months ended March 31, 2017 and 2016, respectively.</w:t>
      </w:r>
    </w:p>
    <w:p>
      <w:pPr>
        <w:spacing w:after="0" w:line="10" w:lineRule="exact"/>
        <w:rPr>
          <w:rFonts w:ascii="Arial" w:cs="Arial" w:eastAsia="Arial" w:hAnsi="Arial"/>
          <w:sz w:val="19"/>
          <w:szCs w:val="19"/>
          <w:color w:val="auto"/>
          <w:vertAlign w:val="superscript"/>
        </w:rPr>
      </w:pPr>
    </w:p>
    <w:p>
      <w:pPr>
        <w:ind w:left="200" w:hanging="171"/>
        <w:spacing w:after="0" w:line="211" w:lineRule="auto"/>
        <w:tabs>
          <w:tab w:leader="none" w:pos="20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Tax effect of $3 million and $5 million during the three months ended March 31, 2017 and 2016, respectively.</w:t>
      </w:r>
    </w:p>
    <w:p>
      <w:pPr>
        <w:spacing w:after="0" w:line="10" w:lineRule="exact"/>
        <w:rPr>
          <w:rFonts w:ascii="Arial" w:cs="Arial" w:eastAsia="Arial" w:hAnsi="Arial"/>
          <w:sz w:val="19"/>
          <w:szCs w:val="19"/>
          <w:color w:val="auto"/>
          <w:vertAlign w:val="superscript"/>
        </w:rPr>
      </w:pPr>
    </w:p>
    <w:p>
      <w:pPr>
        <w:ind w:left="200" w:hanging="171"/>
        <w:spacing w:after="0" w:line="211" w:lineRule="auto"/>
        <w:tabs>
          <w:tab w:leader="none" w:pos="20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Tax effect of $16 million and nil during the three months ended March 31, 2017 and 2016, respectively.</w:t>
      </w:r>
    </w:p>
    <w:p>
      <w:pPr>
        <w:spacing w:after="0" w:line="10" w:lineRule="exact"/>
        <w:rPr>
          <w:rFonts w:ascii="Arial" w:cs="Arial" w:eastAsia="Arial" w:hAnsi="Arial"/>
          <w:sz w:val="19"/>
          <w:szCs w:val="19"/>
          <w:color w:val="auto"/>
          <w:vertAlign w:val="superscript"/>
        </w:rPr>
      </w:pPr>
    </w:p>
    <w:p>
      <w:pPr>
        <w:ind w:left="200" w:hanging="171"/>
        <w:spacing w:after="0" w:line="211" w:lineRule="auto"/>
        <w:tabs>
          <w:tab w:leader="none" w:pos="20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Tax effect of $35 million and nil during the three months ended March 31, 2017 and 2016, respectively.</w:t>
      </w:r>
    </w:p>
    <w:p>
      <w:pPr>
        <w:sectPr>
          <w:pgSz w:w="11900" w:h="16838" w:orient="portrait"/>
          <w:cols w:equalWidth="0" w:num="1">
            <w:col w:w="9200"/>
          </w:cols>
          <w:pgMar w:left="1360" w:top="526" w:right="1339" w:bottom="1440" w:gutter="0" w:footer="0" w:header="0"/>
        </w:sectPr>
      </w:pPr>
    </w:p>
    <w:bookmarkStart w:id="19" w:name="page20"/>
    <w:bookmarkEnd w:id="19"/>
    <w:p>
      <w:pPr>
        <w:jc w:val="center"/>
        <w:ind w:left="1620" w:right="16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ectPr>
          <w:pgSz w:w="11900" w:h="16838" w:orient="portrait"/>
          <w:cols w:equalWidth="0" w:num="1">
            <w:col w:w="9180"/>
          </w:cols>
          <w:pgMar w:left="1380" w:top="526" w:right="133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as reported (pre-tax)</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Impairment and other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and other severance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Business combination transaction and integration costs</w:t>
      </w:r>
    </w:p>
    <w:p>
      <w:pPr>
        <w:spacing w:after="0" w:line="109" w:lineRule="exact"/>
        <w:rPr>
          <w:sz w:val="20"/>
          <w:szCs w:val="20"/>
          <w:color w:val="auto"/>
        </w:rPr>
      </w:pPr>
    </w:p>
    <w:p>
      <w:pPr>
        <w:ind w:left="260" w:right="16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Purchase price accounting adjustments - amortization related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reported</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Revenue, as pro forma</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(pre-tax), as pro forma</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60" w:right="1080"/>
        <w:spacing w:after="0" w:line="469" w:lineRule="auto"/>
        <w:rPr>
          <w:sz w:val="20"/>
          <w:szCs w:val="20"/>
          <w:color w:val="auto"/>
        </w:rPr>
      </w:pPr>
      <w:r>
        <w:rPr>
          <w:rFonts w:ascii="Arial" w:cs="Arial" w:eastAsia="Arial" w:hAnsi="Arial"/>
          <w:sz w:val="12"/>
          <w:szCs w:val="12"/>
          <w:color w:val="auto"/>
        </w:rPr>
        <w:t>Impairment and other charges Restructuring and other severance charges</w:t>
      </w:r>
    </w:p>
    <w:p>
      <w:pPr>
        <w:spacing w:after="0" w:line="1" w:lineRule="exact"/>
        <w:rPr>
          <w:sz w:val="20"/>
          <w:szCs w:val="20"/>
          <w:color w:val="auto"/>
        </w:rPr>
      </w:pPr>
    </w:p>
    <w:p>
      <w:pPr>
        <w:ind w:left="260" w:right="16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Purchase price accounting adjustments - amortization related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pro forma</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3353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Subsea</w:t>
            </w:r>
          </w:p>
        </w:tc>
        <w:tc>
          <w:tcPr>
            <w:tcW w:w="12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Technologies</w:t>
            </w:r>
          </w:p>
        </w:tc>
        <w:tc>
          <w:tcPr>
            <w:tcW w:w="126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1,376.7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1,764.0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248.4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3,388.0</w:t>
            </w:r>
          </w:p>
        </w:tc>
        <w:tc>
          <w:tcPr>
            <w:tcW w:w="0" w:type="dxa"/>
            <w:vAlign w:val="bottom"/>
          </w:tcPr>
          <w:p>
            <w:pPr>
              <w:spacing w:after="0"/>
              <w:rPr>
                <w:sz w:val="1"/>
                <w:szCs w:val="1"/>
                <w:color w:val="auto"/>
              </w:rPr>
            </w:pPr>
          </w:p>
        </w:tc>
      </w:tr>
      <w:tr>
        <w:trPr>
          <w:trHeight w:val="513"/>
        </w:trPr>
        <w:tc>
          <w:tcPr>
            <w:tcW w:w="18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139.9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44"/>
        </w:trPr>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684.4</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95"/>
              </w:rPr>
              <w:t>Pro Forma Three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468"/>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84"/>
              </w:rPr>
              <w:t>Subsea</w:t>
            </w:r>
          </w:p>
        </w:tc>
        <w:tc>
          <w:tcPr>
            <w:tcW w:w="20" w:type="dxa"/>
            <w:vAlign w:val="bottom"/>
          </w:tcPr>
          <w:p>
            <w:pPr>
              <w:spacing w:after="0"/>
              <w:rPr>
                <w:sz w:val="13"/>
                <w:szCs w:val="13"/>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Technologies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2,378.0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2,181.9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4,904.6</w:t>
            </w:r>
          </w:p>
        </w:tc>
        <w:tc>
          <w:tcPr>
            <w:tcW w:w="0" w:type="dxa"/>
            <w:vAlign w:val="bottom"/>
          </w:tcPr>
          <w:p>
            <w:pPr>
              <w:spacing w:after="0"/>
              <w:rPr>
                <w:sz w:val="1"/>
                <w:szCs w:val="1"/>
                <w:color w:val="auto"/>
              </w:rPr>
            </w:pPr>
          </w:p>
        </w:tc>
      </w:tr>
      <w:tr>
        <w:trPr>
          <w:trHeight w:val="513"/>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58.4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89.5</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35.4</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306.4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93.8</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102.9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-8524875</wp:posOffset>
            </wp:positionV>
            <wp:extent cx="58318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-8198485</wp:posOffset>
            </wp:positionV>
            <wp:extent cx="58318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-7872730</wp:posOffset>
            </wp:positionV>
            <wp:extent cx="58318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-7529830</wp:posOffset>
            </wp:positionV>
            <wp:extent cx="58318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-7186930</wp:posOffset>
            </wp:positionV>
            <wp:extent cx="583184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-6792595</wp:posOffset>
            </wp:positionV>
            <wp:extent cx="58318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-6466205</wp:posOffset>
            </wp:positionV>
            <wp:extent cx="58318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-6132195</wp:posOffset>
            </wp:positionV>
            <wp:extent cx="58318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-5806440</wp:posOffset>
            </wp:positionV>
            <wp:extent cx="58318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-5462905</wp:posOffset>
            </wp:positionV>
            <wp:extent cx="58318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-5137150</wp:posOffset>
            </wp:positionV>
            <wp:extent cx="58318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-4811395</wp:posOffset>
            </wp:positionV>
            <wp:extent cx="58318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-3705225</wp:posOffset>
            </wp:positionV>
            <wp:extent cx="58318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-3379470</wp:posOffset>
            </wp:positionV>
            <wp:extent cx="58318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-3053080</wp:posOffset>
            </wp:positionV>
            <wp:extent cx="58318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-2710180</wp:posOffset>
            </wp:positionV>
            <wp:extent cx="58318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-2315845</wp:posOffset>
            </wp:positionV>
            <wp:extent cx="58318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-1972945</wp:posOffset>
            </wp:positionV>
            <wp:extent cx="583184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1840" cy="15430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-1646555</wp:posOffset>
            </wp:positionV>
            <wp:extent cx="58318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1840" cy="16319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-1312545</wp:posOffset>
            </wp:positionV>
            <wp:extent cx="583184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1840" cy="15430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-986790</wp:posOffset>
            </wp:positionV>
            <wp:extent cx="58318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-643255</wp:posOffset>
            </wp:positionV>
            <wp:extent cx="583184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1840" cy="15430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-317500</wp:posOffset>
            </wp:positionV>
            <wp:extent cx="583184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140"/>
            <w:col w:w="5280"/>
          </w:cols>
          <w:pgMar w:left="1380" w:top="526" w:right="1339" w:bottom="202" w:gutter="0" w:footer="0" w:header="0"/>
          <w:type w:val="continuous"/>
        </w:sectPr>
      </w:pPr>
    </w:p>
    <w:p>
      <w:pPr>
        <w:spacing w:after="0" w:line="63" w:lineRule="exact"/>
        <w:rPr>
          <w:sz w:val="20"/>
          <w:szCs w:val="20"/>
          <w:color w:val="auto"/>
        </w:rPr>
      </w:pPr>
    </w:p>
    <w:p>
      <w:pPr>
        <w:ind w:left="140" w:hanging="131"/>
        <w:spacing w:after="0"/>
        <w:tabs>
          <w:tab w:leader="none" w:pos="140" w:val="left"/>
        </w:tabs>
        <w:numPr>
          <w:ilvl w:val="0"/>
          <w:numId w:val="16"/>
        </w:numPr>
        <w:rPr>
          <w:rFonts w:ascii="Arial" w:cs="Arial" w:eastAsia="Arial" w:hAnsi="Arial"/>
          <w:sz w:val="8"/>
          <w:szCs w:val="8"/>
          <w:color w:val="auto"/>
        </w:rPr>
      </w:pPr>
      <w:r>
        <w:rPr>
          <w:rFonts w:ascii="Arial" w:cs="Arial" w:eastAsia="Arial" w:hAnsi="Arial"/>
          <w:sz w:val="13"/>
          <w:szCs w:val="13"/>
          <w:color w:val="auto"/>
        </w:rPr>
        <w:t>Includes amounts attributable to noncontrolling interests</w:t>
      </w:r>
    </w:p>
    <w:p>
      <w:pPr>
        <w:sectPr>
          <w:pgSz w:w="11900" w:h="16838" w:orient="portrait"/>
          <w:cols w:equalWidth="0" w:num="1">
            <w:col w:w="9180"/>
          </w:cols>
          <w:pgMar w:left="1380" w:top="526" w:right="1339" w:bottom="202" w:gutter="0" w:footer="0" w:header="0"/>
          <w:type w:val="continuous"/>
        </w:sectPr>
      </w:pPr>
    </w:p>
    <w:bookmarkStart w:id="20" w:name="page21"/>
    <w:bookmarkEnd w:id="20"/>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3,459.9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3,716.4</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2019-12-08T06:26:12Z</dcterms:created>
  <dcterms:modified xsi:type="dcterms:W3CDTF">2019-12-08T06:26:12Z</dcterms:modified>
</cp:coreProperties>
</file>