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757555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880" w:type="dxa"/>
            <w:vAlign w:val="bottom"/>
          </w:tcPr>
          <w:p>
            <w:pPr>
              <w:jc w:val="center"/>
              <w:ind w:right="76"/>
              <w:spacing w:after="0"/>
              <w:rPr>
                <w:sz w:val="20"/>
                <w:szCs w:val="20"/>
                <w:color w:val="auto"/>
              </w:rPr>
            </w:pPr>
            <w:r>
              <w:rPr>
                <w:rFonts w:ascii="Arial" w:cs="Arial" w:eastAsia="Arial" w:hAnsi="Arial"/>
                <w:sz w:val="18"/>
                <w:szCs w:val="18"/>
                <w:b w:val="1"/>
                <w:bCs w:val="1"/>
                <w:color w:val="auto"/>
              </w:rPr>
              <w:t>United Kingdom</w:t>
            </w:r>
          </w:p>
        </w:tc>
        <w:tc>
          <w:tcPr>
            <w:tcW w:w="4740" w:type="dxa"/>
            <w:vAlign w:val="bottom"/>
          </w:tcPr>
          <w:p>
            <w:pPr>
              <w:jc w:val="right"/>
              <w:ind w:right="1943"/>
              <w:spacing w:after="0"/>
              <w:rPr>
                <w:sz w:val="20"/>
                <w:szCs w:val="20"/>
                <w:color w:val="auto"/>
              </w:rPr>
            </w:pPr>
            <w:r>
              <w:rPr>
                <w:rFonts w:ascii="Arial" w:cs="Arial" w:eastAsia="Arial" w:hAnsi="Arial"/>
                <w:sz w:val="18"/>
                <w:szCs w:val="18"/>
                <w:b w:val="1"/>
                <w:bCs w:val="1"/>
                <w:color w:val="auto"/>
              </w:rPr>
              <w:t>001-37983</w:t>
            </w:r>
          </w:p>
        </w:tc>
        <w:tc>
          <w:tcPr>
            <w:tcW w:w="2480" w:type="dxa"/>
            <w:vAlign w:val="bottom"/>
          </w:tcPr>
          <w:p>
            <w:pPr>
              <w:jc w:val="center"/>
              <w:ind w:left="199"/>
              <w:spacing w:after="0"/>
              <w:rPr>
                <w:sz w:val="20"/>
                <w:szCs w:val="20"/>
                <w:color w:val="auto"/>
              </w:rPr>
            </w:pPr>
            <w:r>
              <w:rPr>
                <w:rFonts w:ascii="Arial" w:cs="Arial" w:eastAsia="Arial" w:hAnsi="Arial"/>
                <w:sz w:val="18"/>
                <w:szCs w:val="18"/>
                <w:b w:val="1"/>
                <w:bCs w:val="1"/>
                <w:color w:val="auto"/>
                <w:w w:val="99"/>
              </w:rPr>
              <w:t>98-1283037</w:t>
            </w:r>
          </w:p>
        </w:tc>
      </w:tr>
      <w:tr>
        <w:trPr>
          <w:trHeight w:val="217"/>
        </w:trPr>
        <w:tc>
          <w:tcPr>
            <w:tcW w:w="2880" w:type="dxa"/>
            <w:vAlign w:val="bottom"/>
          </w:tcPr>
          <w:p>
            <w:pPr>
              <w:jc w:val="center"/>
              <w:ind w:right="76"/>
              <w:spacing w:after="0"/>
              <w:rPr>
                <w:sz w:val="20"/>
                <w:szCs w:val="20"/>
                <w:color w:val="auto"/>
              </w:rPr>
            </w:pPr>
            <w:r>
              <w:rPr>
                <w:rFonts w:ascii="Arial" w:cs="Arial" w:eastAsia="Arial" w:hAnsi="Arial"/>
                <w:sz w:val="14"/>
                <w:szCs w:val="14"/>
                <w:color w:val="auto"/>
              </w:rPr>
              <w:t>(State or other jurisdiction of incorporation)</w:t>
            </w: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(Commission File Number)</w:t>
            </w:r>
          </w:p>
        </w:tc>
        <w:tc>
          <w:tcPr>
            <w:tcW w:w="2480" w:type="dxa"/>
            <w:vAlign w:val="bottom"/>
          </w:tcPr>
          <w:p>
            <w:pPr>
              <w:jc w:val="center"/>
              <w:ind w:left="199"/>
              <w:spacing w:after="0"/>
              <w:rPr>
                <w:sz w:val="20"/>
                <w:szCs w:val="20"/>
                <w:color w:val="auto"/>
              </w:rPr>
            </w:pPr>
            <w:r>
              <w:rPr>
                <w:rFonts w:ascii="Arial" w:cs="Arial" w:eastAsia="Arial" w:hAnsi="Arial"/>
                <w:sz w:val="14"/>
                <w:szCs w:val="14"/>
                <w:color w:val="auto"/>
              </w:rPr>
              <w:t>(I.R.S. Employer Identification No.)</w:t>
            </w:r>
          </w:p>
        </w:tc>
      </w:tr>
      <w:tr>
        <w:trPr>
          <w:trHeight w:val="377"/>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One St. Paul’s Churchyard</w:t>
            </w:r>
          </w:p>
        </w:tc>
        <w:tc>
          <w:tcPr>
            <w:tcW w:w="47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London</w:t>
            </w:r>
          </w:p>
        </w:tc>
        <w:tc>
          <w:tcPr>
            <w:tcW w:w="4740" w:type="dxa"/>
            <w:vAlign w:val="bottom"/>
          </w:tcPr>
          <w:p>
            <w:pPr>
              <w:spacing w:after="0"/>
              <w:rPr>
                <w:sz w:val="22"/>
                <w:szCs w:val="22"/>
                <w:color w:val="auto"/>
              </w:rPr>
            </w:pPr>
          </w:p>
        </w:tc>
        <w:tc>
          <w:tcPr>
            <w:tcW w:w="2480" w:type="dxa"/>
            <w:vAlign w:val="bottom"/>
          </w:tcPr>
          <w:p>
            <w:pPr>
              <w:spacing w:after="0"/>
              <w:rPr>
                <w:sz w:val="22"/>
                <w:szCs w:val="22"/>
                <w:color w:val="auto"/>
              </w:rPr>
            </w:pPr>
          </w:p>
        </w:tc>
      </w:tr>
      <w:tr>
        <w:trPr>
          <w:trHeight w:val="257"/>
        </w:trPr>
        <w:tc>
          <w:tcPr>
            <w:tcW w:w="2880" w:type="dxa"/>
            <w:vAlign w:val="bottom"/>
          </w:tcPr>
          <w:p>
            <w:pPr>
              <w:jc w:val="center"/>
              <w:ind w:right="56"/>
              <w:spacing w:after="0"/>
              <w:rPr>
                <w:sz w:val="20"/>
                <w:szCs w:val="20"/>
                <w:color w:val="auto"/>
              </w:rPr>
            </w:pPr>
            <w:r>
              <w:rPr>
                <w:rFonts w:ascii="Arial" w:cs="Arial" w:eastAsia="Arial" w:hAnsi="Arial"/>
                <w:sz w:val="18"/>
                <w:szCs w:val="18"/>
                <w:b w:val="1"/>
                <w:bCs w:val="1"/>
                <w:color w:val="auto"/>
                <w:w w:val="99"/>
              </w:rPr>
              <w:t>United Kingdom</w:t>
            </w:r>
          </w:p>
        </w:tc>
        <w:tc>
          <w:tcPr>
            <w:tcW w:w="4740" w:type="dxa"/>
            <w:vAlign w:val="bottom"/>
          </w:tcPr>
          <w:p>
            <w:pPr>
              <w:spacing w:after="0"/>
              <w:rPr>
                <w:sz w:val="22"/>
                <w:szCs w:val="22"/>
                <w:color w:val="auto"/>
              </w:rPr>
            </w:pPr>
          </w:p>
        </w:tc>
        <w:tc>
          <w:tcPr>
            <w:tcW w:w="2480" w:type="dxa"/>
            <w:vAlign w:val="bottom"/>
          </w:tcPr>
          <w:p>
            <w:pPr>
              <w:jc w:val="center"/>
              <w:ind w:left="179"/>
              <w:spacing w:after="0"/>
              <w:rPr>
                <w:sz w:val="20"/>
                <w:szCs w:val="20"/>
                <w:color w:val="auto"/>
              </w:rPr>
            </w:pPr>
            <w:r>
              <w:rPr>
                <w:rFonts w:ascii="Arial" w:cs="Arial" w:eastAsia="Arial" w:hAnsi="Arial"/>
                <w:sz w:val="18"/>
                <w:szCs w:val="18"/>
                <w:b w:val="1"/>
                <w:bCs w:val="1"/>
                <w:color w:val="auto"/>
                <w:w w:val="99"/>
              </w:rPr>
              <w:t>EC4M 8AP</w:t>
            </w:r>
          </w:p>
        </w:tc>
      </w:tr>
      <w:tr>
        <w:trPr>
          <w:trHeight w:val="217"/>
        </w:trPr>
        <w:tc>
          <w:tcPr>
            <w:tcW w:w="2880" w:type="dxa"/>
            <w:vAlign w:val="bottom"/>
          </w:tcPr>
          <w:p>
            <w:pPr>
              <w:jc w:val="center"/>
              <w:ind w:right="56"/>
              <w:spacing w:after="0"/>
              <w:rPr>
                <w:sz w:val="20"/>
                <w:szCs w:val="20"/>
                <w:color w:val="auto"/>
              </w:rPr>
            </w:pPr>
            <w:r>
              <w:rPr>
                <w:rFonts w:ascii="Arial" w:cs="Arial" w:eastAsia="Arial" w:hAnsi="Arial"/>
                <w:sz w:val="14"/>
                <w:szCs w:val="14"/>
                <w:color w:val="auto"/>
              </w:rPr>
              <w:t>(Address of principal executive offices)</w:t>
            </w:r>
          </w:p>
        </w:tc>
        <w:tc>
          <w:tcPr>
            <w:tcW w:w="4740" w:type="dxa"/>
            <w:vAlign w:val="bottom"/>
          </w:tcPr>
          <w:p>
            <w:pPr>
              <w:spacing w:after="0"/>
              <w:rPr>
                <w:sz w:val="18"/>
                <w:szCs w:val="18"/>
                <w:color w:val="auto"/>
              </w:rPr>
            </w:pPr>
          </w:p>
        </w:tc>
        <w:tc>
          <w:tcPr>
            <w:tcW w:w="2480" w:type="dxa"/>
            <w:vAlign w:val="bottom"/>
          </w:tcPr>
          <w:p>
            <w:pPr>
              <w:jc w:val="center"/>
              <w:ind w:left="159"/>
              <w:spacing w:after="0"/>
              <w:rPr>
                <w:sz w:val="20"/>
                <w:szCs w:val="20"/>
                <w:color w:val="auto"/>
              </w:rPr>
            </w:pPr>
            <w:r>
              <w:rPr>
                <w:rFonts w:ascii="Arial" w:cs="Arial" w:eastAsia="Arial" w:hAnsi="Arial"/>
                <w:sz w:val="14"/>
                <w:szCs w:val="14"/>
                <w:color w:val="auto"/>
              </w:rPr>
              <w:t>(Zip Code)</w:t>
            </w:r>
          </w:p>
        </w:tc>
      </w:tr>
      <w:tr>
        <w:trPr>
          <w:trHeight w:val="311"/>
        </w:trPr>
        <w:tc>
          <w:tcPr>
            <w:tcW w:w="2880" w:type="dxa"/>
            <w:vAlign w:val="bottom"/>
          </w:tcPr>
          <w:p>
            <w:pPr>
              <w:spacing w:after="0"/>
              <w:rPr>
                <w:sz w:val="24"/>
                <w:szCs w:val="24"/>
                <w:color w:val="auto"/>
              </w:rPr>
            </w:pPr>
          </w:p>
        </w:tc>
        <w:tc>
          <w:tcPr>
            <w:tcW w:w="4740" w:type="dxa"/>
            <w:vAlign w:val="bottom"/>
          </w:tcPr>
          <w:p>
            <w:pPr>
              <w:jc w:val="right"/>
              <w:ind w:right="1763"/>
              <w:spacing w:after="0"/>
              <w:rPr>
                <w:sz w:val="20"/>
                <w:szCs w:val="20"/>
                <w:color w:val="auto"/>
              </w:rPr>
            </w:pPr>
            <w:r>
              <w:rPr>
                <w:rFonts w:ascii="Arial" w:cs="Arial" w:eastAsia="Arial" w:hAnsi="Arial"/>
                <w:sz w:val="14"/>
                <w:szCs w:val="14"/>
                <w:b w:val="1"/>
                <w:bCs w:val="1"/>
                <w:color w:val="auto"/>
              </w:rPr>
              <w:t>+44 203-429-3950</w:t>
            </w:r>
          </w:p>
        </w:tc>
        <w:tc>
          <w:tcPr>
            <w:tcW w:w="248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4740" w:type="dxa"/>
            <w:vAlign w:val="bottom"/>
          </w:tcPr>
          <w:p>
            <w:pPr>
              <w:jc w:val="center"/>
              <w:ind w:right="63"/>
              <w:spacing w:after="0"/>
              <w:rPr>
                <w:sz w:val="20"/>
                <w:szCs w:val="20"/>
                <w:color w:val="auto"/>
              </w:rPr>
            </w:pPr>
            <w:r>
              <w:rPr>
                <w:rFonts w:ascii="Arial" w:cs="Arial" w:eastAsia="Arial" w:hAnsi="Arial"/>
                <w:sz w:val="14"/>
                <w:szCs w:val="14"/>
                <w:color w:val="auto"/>
              </w:rPr>
              <w:t>(Registrant's telephone number, including area code)</w:t>
            </w:r>
          </w:p>
        </w:tc>
        <w:tc>
          <w:tcPr>
            <w:tcW w:w="2480" w:type="dxa"/>
            <w:vAlign w:val="bottom"/>
          </w:tcPr>
          <w:p>
            <w:pPr>
              <w:spacing w:after="0"/>
              <w:rPr>
                <w:sz w:val="17"/>
                <w:szCs w:val="17"/>
                <w:color w:val="auto"/>
              </w:rPr>
            </w:pPr>
          </w:p>
        </w:tc>
      </w:tr>
      <w:tr>
        <w:trPr>
          <w:trHeight w:val="444"/>
        </w:trPr>
        <w:tc>
          <w:tcPr>
            <w:tcW w:w="2880" w:type="dxa"/>
            <w:vAlign w:val="bottom"/>
          </w:tcPr>
          <w:p>
            <w:pPr>
              <w:spacing w:after="0"/>
              <w:rPr>
                <w:sz w:val="24"/>
                <w:szCs w:val="24"/>
                <w:color w:val="auto"/>
              </w:rPr>
            </w:pPr>
          </w:p>
        </w:tc>
        <w:tc>
          <w:tcPr>
            <w:tcW w:w="4740" w:type="dxa"/>
            <w:vAlign w:val="bottom"/>
          </w:tcPr>
          <w:p>
            <w:pPr>
              <w:jc w:val="center"/>
              <w:ind w:right="43"/>
              <w:spacing w:after="0"/>
              <w:rPr>
                <w:sz w:val="20"/>
                <w:szCs w:val="20"/>
                <w:color w:val="auto"/>
              </w:rPr>
            </w:pPr>
            <w:r>
              <w:rPr>
                <w:rFonts w:ascii="Arial" w:cs="Arial" w:eastAsia="Arial" w:hAnsi="Arial"/>
                <w:sz w:val="18"/>
                <w:szCs w:val="18"/>
                <w:b w:val="1"/>
                <w:bCs w:val="1"/>
                <w:color w:val="auto"/>
                <w:w w:val="99"/>
              </w:rPr>
              <w:t>Not Applicable</w:t>
            </w:r>
          </w:p>
        </w:tc>
        <w:tc>
          <w:tcPr>
            <w:tcW w:w="2480" w:type="dxa"/>
            <w:vAlign w:val="bottom"/>
          </w:tcPr>
          <w:p>
            <w:pPr>
              <w:spacing w:after="0"/>
              <w:rPr>
                <w:sz w:val="24"/>
                <w:szCs w:val="24"/>
                <w:color w:val="auto"/>
              </w:rPr>
            </w:pPr>
          </w:p>
        </w:tc>
      </w:tr>
      <w:tr>
        <w:trPr>
          <w:trHeight w:val="153"/>
        </w:trPr>
        <w:tc>
          <w:tcPr>
            <w:tcW w:w="2880" w:type="dxa"/>
            <w:vAlign w:val="bottom"/>
          </w:tcPr>
          <w:p>
            <w:pPr>
              <w:spacing w:after="0"/>
              <w:rPr>
                <w:sz w:val="13"/>
                <w:szCs w:val="13"/>
                <w:color w:val="auto"/>
              </w:rPr>
            </w:pPr>
          </w:p>
        </w:tc>
        <w:tc>
          <w:tcPr>
            <w:tcW w:w="4740" w:type="dxa"/>
            <w:vAlign w:val="bottom"/>
          </w:tcPr>
          <w:p>
            <w:pPr>
              <w:jc w:val="center"/>
              <w:ind w:right="43"/>
              <w:spacing w:after="0" w:line="153" w:lineRule="exact"/>
              <w:rPr>
                <w:sz w:val="20"/>
                <w:szCs w:val="20"/>
                <w:color w:val="auto"/>
              </w:rPr>
            </w:pPr>
            <w:r>
              <w:rPr>
                <w:rFonts w:ascii="Arial" w:cs="Arial" w:eastAsia="Arial" w:hAnsi="Arial"/>
                <w:sz w:val="14"/>
                <w:szCs w:val="14"/>
                <w:color w:val="auto"/>
              </w:rPr>
              <w:t>(Former name or former address, if changed since last report)</w:t>
            </w:r>
          </w:p>
        </w:tc>
        <w:tc>
          <w:tcPr>
            <w:tcW w:w="2480" w:type="dxa"/>
            <w:vAlign w:val="bottom"/>
          </w:tcPr>
          <w:p>
            <w:pPr>
              <w:spacing w:after="0"/>
              <w:rPr>
                <w:sz w:val="13"/>
                <w:szCs w:val="13"/>
                <w:color w:val="auto"/>
              </w:rPr>
            </w:pPr>
          </w:p>
        </w:tc>
      </w:tr>
      <w:tr>
        <w:trPr>
          <w:trHeight w:val="172"/>
        </w:trPr>
        <w:tc>
          <w:tcPr>
            <w:tcW w:w="2880" w:type="dxa"/>
            <w:vAlign w:val="bottom"/>
          </w:tcPr>
          <w:p>
            <w:pPr>
              <w:spacing w:after="0"/>
              <w:rPr>
                <w:sz w:val="14"/>
                <w:szCs w:val="14"/>
                <w:color w:val="auto"/>
              </w:rPr>
            </w:pPr>
          </w:p>
        </w:tc>
        <w:tc>
          <w:tcPr>
            <w:tcW w:w="4740" w:type="dxa"/>
            <w:vAlign w:val="bottom"/>
          </w:tcPr>
          <w:p>
            <w:pPr>
              <w:jc w:val="right"/>
              <w:ind w:right="203"/>
              <w:spacing w:after="0"/>
              <w:rPr>
                <w:sz w:val="20"/>
                <w:szCs w:val="20"/>
                <w:color w:val="auto"/>
              </w:rPr>
            </w:pPr>
            <w:r>
              <w:rPr>
                <w:rFonts w:ascii="Arial" w:cs="Arial" w:eastAsia="Arial" w:hAnsi="Arial"/>
                <w:sz w:val="14"/>
                <w:szCs w:val="14"/>
                <w:color w:val="auto"/>
              </w:rPr>
              <w:t>______________________________________________________</w:t>
            </w:r>
          </w:p>
        </w:tc>
        <w:tc>
          <w:tcPr>
            <w:tcW w:w="2480" w:type="dxa"/>
            <w:vAlign w:val="bottom"/>
          </w:tcPr>
          <w:p>
            <w:pPr>
              <w:spacing w:after="0"/>
              <w:rPr>
                <w:sz w:val="14"/>
                <w:szCs w:val="14"/>
                <w:color w:val="auto"/>
              </w:rPr>
            </w:pPr>
          </w:p>
        </w:tc>
      </w:tr>
    </w:tbl>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30" w:lineRule="exact"/>
        <w:rPr>
          <w:rFonts w:ascii="MS PGothic" w:cs="MS PGothic" w:eastAsia="MS PGothic" w:hAnsi="MS PGothic"/>
          <w:sz w:val="14"/>
          <w:szCs w:val="1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47" w:right="339" w:bottom="1440" w:gutter="0" w:footer="0" w:header="0"/>
        </w:sectPr>
      </w:pPr>
    </w:p>
    <w:p>
      <w:pPr>
        <w:spacing w:after="0" w:line="55"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360" w:space="720"/>
            <w:col w:w="1580" w:space="720"/>
            <w:col w:w="3860"/>
          </w:cols>
          <w:pgMar w:left="320" w:top="1247"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4" w:lineRule="exact"/>
        <w:rPr>
          <w:sz w:val="24"/>
          <w:szCs w:val="24"/>
          <w:color w:val="auto"/>
        </w:rPr>
      </w:pPr>
    </w:p>
    <w:p>
      <w:pPr>
        <w:sectPr>
          <w:pgSz w:w="11900" w:h="16838" w:orient="portrait"/>
          <w:cols w:equalWidth="0" w:num="3">
            <w:col w:w="4780" w:space="720"/>
            <w:col w:w="1900" w:space="720"/>
            <w:col w:w="3120"/>
          </w:cols>
          <w:pgMar w:left="320" w:top="1247"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89"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46"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66040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1" w:name="page2"/>
    <w:bookmarkEnd w:id="1"/>
    <w:p>
      <w:pPr>
        <w:ind w:right="80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21" w:lineRule="exact"/>
        <w:rPr>
          <w:sz w:val="20"/>
          <w:szCs w:val="20"/>
          <w:color w:val="auto"/>
        </w:rPr>
      </w:pPr>
    </w:p>
    <w:p>
      <w:pPr>
        <w:jc w:val="both"/>
        <w:ind w:firstLine="8"/>
        <w:spacing w:after="0" w:line="256" w:lineRule="auto"/>
        <w:tabs>
          <w:tab w:leader="none" w:pos="28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September 30, 2020, upon the recommendation of the Environmental, Social, and Governance Committee (the “Committee”) of the Board of Directors (the “Board”) of TechnipFMC plc (the “Company”), the Board unanimously appointed Ms. Margareth Øvrum as a director of the Company, effective October 1, 2020.</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her service, Ms. Øvrum will receive compensation commensurate with that received by the Company’s other non-executive directors as disclosed under the caption “Director Compensation” in the Company’s Definitive Proxy Statement, filed with the Securities and Exchange Commission on March 13, 2020, prorated to reflect her length of service in 2020. Such compensation is in accordance with the Company’s shareholder-approved Director Remuneration Policy.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 2020 the Company issued a news release announcing Ms. Øvrum’s appointment, a copy of which is filed herewith as Exhibit 99.1.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3" w:lineRule="exact"/>
        <w:rPr>
          <w:sz w:val="20"/>
          <w:szCs w:val="20"/>
          <w:color w:val="auto"/>
        </w:rPr>
      </w:pPr>
    </w:p>
    <w:p>
      <w:pPr>
        <w:ind w:left="280"/>
        <w:spacing w:after="0"/>
        <w:tabs>
          <w:tab w:leader="none" w:pos="20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652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65" w:lineRule="exact"/>
        <w:rPr>
          <w:sz w:val="20"/>
          <w:szCs w:val="20"/>
          <w:color w:val="auto"/>
        </w:rPr>
      </w:pPr>
    </w:p>
    <w:p>
      <w:pPr>
        <w:ind w:left="1140"/>
        <w:spacing w:after="0"/>
        <w:tabs>
          <w:tab w:leader="none" w:pos="2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News Release issued by TechnipFMC plc dated October 1, 2020</w:t>
      </w:r>
    </w:p>
    <w:p>
      <w:pPr>
        <w:spacing w:after="0" w:line="50" w:lineRule="exact"/>
        <w:rPr>
          <w:sz w:val="20"/>
          <w:szCs w:val="20"/>
          <w:color w:val="auto"/>
        </w:rPr>
      </w:pPr>
    </w:p>
    <w:p>
      <w:pPr>
        <w:ind w:left="1180"/>
        <w:spacing w:after="0"/>
        <w:tabs>
          <w:tab w:leader="none" w:pos="2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14605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20" w:val="left"/>
          <w:tab w:leader="none" w:pos="3320" w:val="left"/>
        </w:tabs>
        <w:rPr>
          <w:sz w:val="20"/>
          <w:szCs w:val="20"/>
          <w:color w:val="auto"/>
        </w:rPr>
      </w:pPr>
      <w:r>
        <w:rPr>
          <w:rFonts w:ascii="Arial" w:cs="Arial" w:eastAsia="Arial" w:hAnsi="Arial"/>
          <w:sz w:val="18"/>
          <w:szCs w:val="18"/>
          <w:color w:val="auto"/>
        </w:rPr>
        <w:t>Dated:</w:t>
        <w:tab/>
        <w:t>October 1, 2020</w:t>
      </w:r>
      <w:r>
        <w:rPr>
          <w:sz w:val="20"/>
          <w:szCs w:val="20"/>
          <w:color w:val="auto"/>
        </w:rPr>
        <w:tab/>
      </w:r>
      <w:r>
        <w:rPr>
          <w:rFonts w:ascii="Arial" w:cs="Arial" w:eastAsia="Arial" w:hAnsi="Arial"/>
          <w:sz w:val="17"/>
          <w:szCs w:val="17"/>
          <w:color w:val="auto"/>
        </w:rPr>
        <w:t>Name: Maryann T. Mannen</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Executive Vice President and</w:t>
      </w:r>
    </w:p>
    <w:p>
      <w:pPr>
        <w:spacing w:after="0" w:line="5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ind w:left="46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28575</wp:posOffset>
            </wp:positionV>
            <wp:extent cx="6652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2260" cy="8890"/>
                    </a:xfrm>
                    <a:prstGeom prst="rect">
                      <a:avLst/>
                    </a:prstGeom>
                    <a:noFill/>
                  </pic:spPr>
                </pic:pic>
              </a:graphicData>
            </a:graphic>
          </wp:anchor>
        </w:drawing>
      </w:r>
    </w:p>
    <w:p>
      <w:pPr>
        <w:spacing w:after="0" w:line="65" w:lineRule="exact"/>
        <w:rPr>
          <w:sz w:val="20"/>
          <w:szCs w:val="20"/>
          <w:color w:val="auto"/>
        </w:rPr>
      </w:pPr>
    </w:p>
    <w:p>
      <w:pPr>
        <w:ind w:left="860"/>
        <w:spacing w:after="0"/>
        <w:tabs>
          <w:tab w:leader="none" w:pos="1720" w:val="left"/>
        </w:tabs>
        <w:rPr>
          <w:rFonts w:ascii="Arial" w:cs="Arial" w:eastAsia="Arial" w:hAnsi="Arial"/>
          <w:sz w:val="17"/>
          <w:szCs w:val="17"/>
          <w:u w:val="single" w:color="auto"/>
          <w:color w:val="0000FF"/>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7"/>
            <w:szCs w:val="17"/>
            <w:u w:val="single" w:color="auto"/>
            <w:color w:val="0000FF"/>
          </w:rPr>
          <w:t>News Release issued by TechnipFMC plc dated October 1, 2020</w:t>
        </w:r>
      </w:hyperlink>
    </w:p>
    <w:p>
      <w:pPr>
        <w:spacing w:after="0" w:line="50" w:lineRule="exact"/>
        <w:rPr>
          <w:sz w:val="20"/>
          <w:szCs w:val="20"/>
          <w:color w:val="auto"/>
        </w:rPr>
      </w:pPr>
    </w:p>
    <w:p>
      <w:pPr>
        <w:jc w:val="both"/>
        <w:ind w:left="900"/>
        <w:spacing w:after="0"/>
        <w:tabs>
          <w:tab w:leader="none" w:pos="17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Inline XBRL for the cover page of this Current Report on Form 8-K</w:t>
      </w:r>
    </w:p>
    <w:p>
      <w:pPr>
        <w:sectPr>
          <w:pgSz w:w="11900" w:h="16838" w:orient="portrait"/>
          <w:cols w:equalWidth="0" w:num="1">
            <w:col w:w="9859"/>
          </w:cols>
          <w:pgMar w:left="600" w:top="886"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1271905</wp:posOffset>
            </wp:positionV>
            <wp:extent cx="246888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4688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9"/>
          <w:szCs w:val="29"/>
          <w:color w:val="A6A6A6"/>
        </w:rPr>
        <w:t>Press Release</w:t>
      </w: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TechnipFMC appoints Margareth Øvrum to its Board of Directors</w:t>
      </w:r>
    </w:p>
    <w:p>
      <w:pPr>
        <w:spacing w:after="0" w:line="247" w:lineRule="exact"/>
        <w:rPr>
          <w:sz w:val="20"/>
          <w:szCs w:val="20"/>
          <w:color w:val="auto"/>
        </w:rPr>
      </w:pPr>
    </w:p>
    <w:p>
      <w:pPr>
        <w:jc w:val="both"/>
        <w:ind w:right="20"/>
        <w:spacing w:after="0" w:line="258" w:lineRule="auto"/>
        <w:rPr>
          <w:sz w:val="20"/>
          <w:szCs w:val="20"/>
          <w:color w:val="auto"/>
        </w:rPr>
      </w:pPr>
      <w:r>
        <w:rPr>
          <w:rFonts w:ascii="Arial" w:cs="Arial" w:eastAsia="Arial" w:hAnsi="Arial"/>
          <w:sz w:val="22"/>
          <w:szCs w:val="22"/>
          <w:b w:val="1"/>
          <w:bCs w:val="1"/>
          <w:color w:val="auto"/>
        </w:rPr>
        <w:t xml:space="preserve">LONDON, PARIS, HOUSTON, October 1, 2020 </w:t>
      </w:r>
      <w:r>
        <w:rPr>
          <w:rFonts w:ascii="Arial" w:cs="Arial" w:eastAsia="Arial" w:hAnsi="Arial"/>
          <w:sz w:val="22"/>
          <w:szCs w:val="22"/>
          <w:color w:val="auto"/>
        </w:rPr>
        <w:t>— TechnipFMC (NYSE: FTI) (PARIS: FTI) announces today that</w:t>
      </w:r>
      <w:r>
        <w:rPr>
          <w:rFonts w:ascii="Arial" w:cs="Arial" w:eastAsia="Arial" w:hAnsi="Arial"/>
          <w:sz w:val="22"/>
          <w:szCs w:val="22"/>
          <w:b w:val="1"/>
          <w:bCs w:val="1"/>
          <w:color w:val="auto"/>
        </w:rPr>
        <w:t xml:space="preserve"> </w:t>
      </w:r>
      <w:r>
        <w:rPr>
          <w:rFonts w:ascii="Arial" w:cs="Arial" w:eastAsia="Arial" w:hAnsi="Arial"/>
          <w:sz w:val="22"/>
          <w:szCs w:val="22"/>
          <w:color w:val="auto"/>
        </w:rPr>
        <w:t>Margareth Øvrum, Executive Vice President of Equinor ASA, Development and Production Brazil, has been appointed to its Board of Directors, effective October 1, 2020.</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Doug Pferdehirt, Chairman and CEO of TechnipFMC, stated “I am delighted to welcome Margareth to the Board. She brings proven business leadership and a global perspective gained in board and executive positions of international public companies. Margareth’s extensive knowledge of projects, technology, health and safety, sustainability, and digital transformation will be invaluable as we continue to expand our capabilities. Margareth will deeply complement our Board of Directors, strengthening the Board’s range of aptitude and expertise.”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Margareth Øvrum</w:t>
      </w:r>
    </w:p>
    <w:p>
      <w:pPr>
        <w:spacing w:after="0" w:line="273"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Ms. Øvrum, 62, has over 38 years of experience at Equinor (formerly Statoil), a Norwegian energy company, currently serving as Executive Vice President of Equinor ASA, Development and Production Brazil. Ms. Øvrum will retire from Equinor as of January 1, 2021. Ms. Øvrum has held a succession of leadership positions at Equinor, including President, Equinor Brazil, from 2018 to 2020; Executive Vice President of Technology, Projects, and Drilling, from 2011 to 2018, Executive Vice President of Technology and New Energy for Statoil Hydro, from 2007 to 2011, Executive Vice President of Technology and Projects, from 2004 to 2007, and Executive Vice President of Health, Safety, and the Environment, during 2004. Ms. Øvrum is currently on the Board of Directors of FMC Corporation. She previously served on the Boards of Directors of Alfa Laval AB (2015 to 2019), Atlas Copco AB (2008 to 2017), and Ratos AB (2009 to 2014). Ms. Øvrum holds a Master of Science degree in Technical Physics from the Norwegian Technical University (now part of the Norwegian University of Science and Technology).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w:t>
      </w:r>
      <w:r>
        <w:rPr>
          <w:rFonts w:ascii="Arial" w:cs="Arial" w:eastAsia="Arial" w:hAnsi="Arial"/>
          <w:sz w:val="20"/>
          <w:szCs w:val="20"/>
          <w:color w:val="auto"/>
        </w:rPr>
        <w:t xml:space="preserve"> of </w:t>
      </w:r>
      <w:r>
        <w:rPr>
          <w:rFonts w:ascii="Arial" w:cs="Arial" w:eastAsia="Arial" w:hAnsi="Arial"/>
          <w:sz w:val="20"/>
          <w:szCs w:val="20"/>
          <w:b w:val="1"/>
          <w:bCs w:val="1"/>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808080"/>
        </w:rPr>
        <w:t>About TechnipFMC</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auto"/>
        </w:rPr>
        <w:t>TechnipFMC is a global leader in the energy industry, delivering projects, products, technologies and services. With our proprietary technologies and production systems, integrated expertise, and comprehensive solutions, we are transforming our customers’ project economics.</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color w:val="auto"/>
        </w:rPr>
        <w:t>Organized in three business segments — Subsea, Surface Technologies and Technip Energies — we are uniquely positioned to deliver greater efficiency across project lifecycles from concept to project delivery and beyond. Through innovative technologies and improved efficiencies, our offering unlocks new possibilities for our customers in developing their energy resources and in their positioning to meet the energy transition challenge.</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i w:val="1"/>
          <w:iCs w:val="1"/>
          <w:color w:val="auto"/>
        </w:rPr>
        <w:t>Each of our approximately 37,000 employees is driven by a steady commitment to clients and a culture of project execution, purposeful innovation, challenging industry conventions, and rethinking how the best results are achieved.</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i w:val="1"/>
          <w:iCs w:val="1"/>
          <w:color w:val="auto"/>
        </w:rPr>
        <w:t xml:space="preserve">TechnipFMC utilizes its website </w:t>
      </w:r>
      <w:r>
        <w:rPr>
          <w:rFonts w:ascii="Arial" w:cs="Arial" w:eastAsia="Arial" w:hAnsi="Arial"/>
          <w:sz w:val="20"/>
          <w:szCs w:val="20"/>
          <w:b w:val="1"/>
          <w:bCs w:val="1"/>
          <w:i w:val="1"/>
          <w:iCs w:val="1"/>
          <w:u w:val="single" w:color="auto"/>
          <w:color w:val="512D6D"/>
        </w:rPr>
        <w:t>www.TechnipFMC.com</w:t>
      </w:r>
      <w:r>
        <w:rPr>
          <w:rFonts w:ascii="Arial" w:cs="Arial" w:eastAsia="Arial" w:hAnsi="Arial"/>
          <w:sz w:val="20"/>
          <w:szCs w:val="20"/>
          <w:b w:val="1"/>
          <w:bCs w:val="1"/>
          <w:i w:val="1"/>
          <w:iCs w:val="1"/>
          <w:color w:val="auto"/>
        </w:rPr>
        <w:t xml:space="preserve"> as a channel of distribution of material company information. To learn more about us and how we are enhancing the performance of the world’s energy industry, go to </w:t>
      </w:r>
      <w:r>
        <w:rPr>
          <w:rFonts w:ascii="Arial" w:cs="Arial" w:eastAsia="Arial" w:hAnsi="Arial"/>
          <w:sz w:val="20"/>
          <w:szCs w:val="20"/>
          <w:b w:val="1"/>
          <w:bCs w:val="1"/>
          <w:i w:val="1"/>
          <w:iCs w:val="1"/>
          <w:u w:val="single" w:color="auto"/>
          <w:color w:val="512D6D"/>
        </w:rPr>
        <w:t>www.TechnipFMC.com</w:t>
      </w:r>
      <w:r>
        <w:rPr>
          <w:rFonts w:ascii="Arial" w:cs="Arial" w:eastAsia="Arial" w:hAnsi="Arial"/>
          <w:sz w:val="20"/>
          <w:szCs w:val="20"/>
          <w:b w:val="1"/>
          <w:bCs w:val="1"/>
          <w:i w:val="1"/>
          <w:iCs w:val="1"/>
          <w:color w:val="auto"/>
        </w:rPr>
        <w:t xml:space="preserve"> and follow us on Twitter @TechnipFMC.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-155575</wp:posOffset>
            </wp:positionV>
            <wp:extent cx="240855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8555" cy="13716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300" w:type="dxa"/>
            <w:vAlign w:val="bottom"/>
            <w:gridSpan w:val="4"/>
            <w:vMerge w:val="restart"/>
          </w:tcPr>
          <w:p>
            <w:pPr>
              <w:spacing w:after="0"/>
              <w:rPr>
                <w:sz w:val="20"/>
                <w:szCs w:val="20"/>
                <w:color w:val="auto"/>
              </w:rPr>
            </w:pPr>
            <w:r>
              <w:rPr>
                <w:rFonts w:ascii="Arial" w:cs="Arial" w:eastAsia="Arial" w:hAnsi="Arial"/>
                <w:sz w:val="20"/>
                <w:szCs w:val="20"/>
                <w:color w:val="auto"/>
              </w:rPr>
              <w:t>Investor relations</w:t>
            </w:r>
          </w:p>
        </w:tc>
        <w:tc>
          <w:tcPr>
            <w:tcW w:w="5140" w:type="dxa"/>
            <w:vAlign w:val="bottom"/>
            <w:gridSpan w:val="4"/>
          </w:tcPr>
          <w:p>
            <w:pPr>
              <w:ind w:left="1140"/>
              <w:spacing w:after="0"/>
              <w:rPr>
                <w:sz w:val="20"/>
                <w:szCs w:val="20"/>
                <w:color w:val="auto"/>
              </w:rPr>
            </w:pPr>
            <w:r>
              <w:rPr>
                <w:rFonts w:ascii="Arial" w:cs="Arial" w:eastAsia="Arial" w:hAnsi="Arial"/>
                <w:sz w:val="20"/>
                <w:szCs w:val="20"/>
                <w:color w:val="auto"/>
              </w:rPr>
              <w:t>Media relations</w:t>
            </w:r>
          </w:p>
        </w:tc>
        <w:tc>
          <w:tcPr>
            <w:tcW w:w="0" w:type="dxa"/>
            <w:vAlign w:val="bottom"/>
          </w:tcPr>
          <w:p>
            <w:pPr>
              <w:spacing w:after="0"/>
              <w:rPr>
                <w:sz w:val="1"/>
                <w:szCs w:val="1"/>
                <w:color w:val="auto"/>
              </w:rPr>
            </w:pPr>
          </w:p>
        </w:tc>
      </w:tr>
      <w:tr>
        <w:trPr>
          <w:trHeight w:val="68"/>
        </w:trPr>
        <w:tc>
          <w:tcPr>
            <w:tcW w:w="4300" w:type="dxa"/>
            <w:vAlign w:val="bottom"/>
            <w:gridSpan w:val="4"/>
            <w:vMerge w:val="continue"/>
          </w:tcPr>
          <w:p>
            <w:pPr>
              <w:spacing w:after="0"/>
              <w:rPr>
                <w:sz w:val="5"/>
                <w:szCs w:val="5"/>
                <w:color w:val="auto"/>
              </w:rPr>
            </w:pPr>
          </w:p>
        </w:tc>
        <w:tc>
          <w:tcPr>
            <w:tcW w:w="17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300" w:type="dxa"/>
            <w:vAlign w:val="bottom"/>
            <w:gridSpan w:val="4"/>
          </w:tcPr>
          <w:p>
            <w:pPr>
              <w:spacing w:after="0"/>
              <w:rPr>
                <w:sz w:val="20"/>
                <w:szCs w:val="20"/>
                <w:color w:val="auto"/>
              </w:rPr>
            </w:pPr>
            <w:r>
              <w:rPr>
                <w:rFonts w:ascii="Arial" w:cs="Arial" w:eastAsia="Arial" w:hAnsi="Arial"/>
                <w:sz w:val="20"/>
                <w:szCs w:val="20"/>
                <w:color w:val="auto"/>
              </w:rPr>
              <w:t>Matt Seinsheimer</w:t>
            </w:r>
          </w:p>
        </w:tc>
        <w:tc>
          <w:tcPr>
            <w:tcW w:w="5140" w:type="dxa"/>
            <w:vAlign w:val="bottom"/>
            <w:gridSpan w:val="4"/>
          </w:tcPr>
          <w:p>
            <w:pPr>
              <w:ind w:left="1140"/>
              <w:spacing w:after="0"/>
              <w:rPr>
                <w:sz w:val="20"/>
                <w:szCs w:val="20"/>
                <w:color w:val="auto"/>
              </w:rPr>
            </w:pPr>
            <w:r>
              <w:rPr>
                <w:rFonts w:ascii="Arial" w:cs="Arial" w:eastAsia="Arial" w:hAnsi="Arial"/>
                <w:sz w:val="20"/>
                <w:szCs w:val="20"/>
                <w:color w:val="auto"/>
              </w:rPr>
              <w:t>Christophe Bélorgeot</w:t>
            </w:r>
          </w:p>
        </w:tc>
        <w:tc>
          <w:tcPr>
            <w:tcW w:w="0" w:type="dxa"/>
            <w:vAlign w:val="bottom"/>
          </w:tcPr>
          <w:p>
            <w:pPr>
              <w:spacing w:after="0"/>
              <w:rPr>
                <w:sz w:val="1"/>
                <w:szCs w:val="1"/>
                <w:color w:val="auto"/>
              </w:rPr>
            </w:pPr>
          </w:p>
        </w:tc>
      </w:tr>
      <w:tr>
        <w:trPr>
          <w:trHeight w:val="276"/>
        </w:trPr>
        <w:tc>
          <w:tcPr>
            <w:tcW w:w="4300" w:type="dxa"/>
            <w:vAlign w:val="bottom"/>
            <w:gridSpan w:val="4"/>
          </w:tcPr>
          <w:p>
            <w:pPr>
              <w:spacing w:after="0"/>
              <w:rPr>
                <w:sz w:val="20"/>
                <w:szCs w:val="20"/>
                <w:color w:val="auto"/>
              </w:rPr>
            </w:pPr>
            <w:r>
              <w:rPr>
                <w:rFonts w:ascii="Arial" w:cs="Arial" w:eastAsia="Arial" w:hAnsi="Arial"/>
                <w:sz w:val="20"/>
                <w:szCs w:val="20"/>
                <w:color w:val="auto"/>
              </w:rPr>
              <w:t>Vice President Investor Relations</w:t>
            </w:r>
          </w:p>
        </w:tc>
        <w:tc>
          <w:tcPr>
            <w:tcW w:w="5140" w:type="dxa"/>
            <w:vAlign w:val="bottom"/>
            <w:gridSpan w:val="4"/>
          </w:tcPr>
          <w:p>
            <w:pPr>
              <w:ind w:left="1140"/>
              <w:spacing w:after="0"/>
              <w:rPr>
                <w:sz w:val="20"/>
                <w:szCs w:val="20"/>
                <w:color w:val="auto"/>
              </w:rPr>
            </w:pPr>
            <w:r>
              <w:rPr>
                <w:rFonts w:ascii="Arial" w:cs="Arial" w:eastAsia="Arial" w:hAnsi="Arial"/>
                <w:sz w:val="20"/>
                <w:szCs w:val="20"/>
                <w:color w:val="auto"/>
                <w:w w:val="98"/>
              </w:rPr>
              <w:t>Senior Vice President Corporate Engagement</w:t>
            </w:r>
          </w:p>
        </w:tc>
        <w:tc>
          <w:tcPr>
            <w:tcW w:w="0" w:type="dxa"/>
            <w:vAlign w:val="bottom"/>
          </w:tcPr>
          <w:p>
            <w:pPr>
              <w:spacing w:after="0"/>
              <w:rPr>
                <w:sz w:val="1"/>
                <w:szCs w:val="1"/>
                <w:color w:val="auto"/>
              </w:rPr>
            </w:pPr>
          </w:p>
        </w:tc>
      </w:tr>
      <w:tr>
        <w:trPr>
          <w:trHeight w:val="230"/>
        </w:trPr>
        <w:tc>
          <w:tcPr>
            <w:tcW w:w="4300" w:type="dxa"/>
            <w:vAlign w:val="bottom"/>
            <w:gridSpan w:val="4"/>
          </w:tcPr>
          <w:p>
            <w:pPr>
              <w:spacing w:after="0"/>
              <w:rPr>
                <w:sz w:val="20"/>
                <w:szCs w:val="20"/>
                <w:color w:val="auto"/>
              </w:rPr>
            </w:pPr>
            <w:r>
              <w:rPr>
                <w:rFonts w:ascii="Arial" w:cs="Arial" w:eastAsia="Arial" w:hAnsi="Arial"/>
                <w:sz w:val="20"/>
                <w:szCs w:val="20"/>
                <w:color w:val="auto"/>
              </w:rPr>
              <w:t>Tel: +1 281 260 3665</w:t>
            </w:r>
          </w:p>
        </w:tc>
        <w:tc>
          <w:tcPr>
            <w:tcW w:w="5140" w:type="dxa"/>
            <w:vAlign w:val="bottom"/>
            <w:gridSpan w:val="4"/>
          </w:tcPr>
          <w:p>
            <w:pPr>
              <w:ind w:left="1140"/>
              <w:spacing w:after="0"/>
              <w:rPr>
                <w:sz w:val="20"/>
                <w:szCs w:val="20"/>
                <w:color w:val="auto"/>
              </w:rPr>
            </w:pPr>
            <w:r>
              <w:rPr>
                <w:rFonts w:ascii="Arial" w:cs="Arial" w:eastAsia="Arial" w:hAnsi="Arial"/>
                <w:sz w:val="20"/>
                <w:szCs w:val="20"/>
                <w:color w:val="auto"/>
              </w:rPr>
              <w:t>Tel: +33 1 47 78 39 92</w:t>
            </w:r>
          </w:p>
        </w:tc>
        <w:tc>
          <w:tcPr>
            <w:tcW w:w="0" w:type="dxa"/>
            <w:vAlign w:val="bottom"/>
          </w:tcPr>
          <w:p>
            <w:pPr>
              <w:spacing w:after="0"/>
              <w:rPr>
                <w:sz w:val="1"/>
                <w:szCs w:val="1"/>
                <w:color w:val="auto"/>
              </w:rPr>
            </w:pPr>
          </w:p>
        </w:tc>
      </w:tr>
      <w:tr>
        <w:trPr>
          <w:trHeight w:val="193"/>
        </w:trPr>
        <w:tc>
          <w:tcPr>
            <w:tcW w:w="4300" w:type="dxa"/>
            <w:vAlign w:val="bottom"/>
            <w:gridSpan w:val="4"/>
            <w:vMerge w:val="restart"/>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Matt Seinsheimer</w:t>
            </w:r>
          </w:p>
        </w:tc>
        <w:tc>
          <w:tcPr>
            <w:tcW w:w="1740" w:type="dxa"/>
            <w:vAlign w:val="bottom"/>
            <w:vMerge w:val="restart"/>
          </w:tcPr>
          <w:p>
            <w:pPr>
              <w:ind w:left="1140"/>
              <w:spacing w:after="0"/>
              <w:rPr>
                <w:sz w:val="20"/>
                <w:szCs w:val="20"/>
                <w:color w:val="auto"/>
              </w:rPr>
            </w:pPr>
            <w:r>
              <w:rPr>
                <w:rFonts w:ascii="Arial" w:cs="Arial" w:eastAsia="Arial" w:hAnsi="Arial"/>
                <w:sz w:val="20"/>
                <w:szCs w:val="20"/>
                <w:color w:val="auto"/>
              </w:rPr>
              <w:t>Email:</w:t>
            </w:r>
          </w:p>
        </w:tc>
        <w:tc>
          <w:tcPr>
            <w:tcW w:w="1860" w:type="dxa"/>
            <w:vAlign w:val="bottom"/>
            <w:tcBorders>
              <w:bottom w:val="single" w:sz="8" w:color="3333FF"/>
            </w:tcBorders>
            <w:gridSpan w:val="2"/>
          </w:tcPr>
          <w:p>
            <w:pPr>
              <w:spacing w:after="0" w:line="173" w:lineRule="exact"/>
              <w:rPr>
                <w:sz w:val="20"/>
                <w:szCs w:val="20"/>
                <w:color w:val="auto"/>
              </w:rPr>
            </w:pPr>
            <w:r>
              <w:rPr>
                <w:rFonts w:ascii="Arial" w:cs="Arial" w:eastAsia="Arial" w:hAnsi="Arial"/>
                <w:sz w:val="20"/>
                <w:szCs w:val="20"/>
                <w:color w:val="3333FF"/>
                <w:w w:val="97"/>
              </w:rPr>
              <w:t>Christophe Belorgeot</w:t>
            </w:r>
          </w:p>
        </w:tc>
        <w:tc>
          <w:tcPr>
            <w:tcW w:w="15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gridSpan w:val="4"/>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140" w:type="dxa"/>
            <w:vAlign w:val="bottom"/>
            <w:gridSpan w:val="4"/>
            <w:vMerge w:val="restart"/>
          </w:tcPr>
          <w:p>
            <w:pPr>
              <w:ind w:left="1140"/>
              <w:spacing w:after="0"/>
              <w:rPr>
                <w:sz w:val="20"/>
                <w:szCs w:val="20"/>
                <w:color w:val="auto"/>
              </w:rPr>
            </w:pPr>
            <w:r>
              <w:rPr>
                <w:rFonts w:ascii="Arial" w:cs="Arial" w:eastAsia="Arial" w:hAnsi="Arial"/>
                <w:sz w:val="20"/>
                <w:szCs w:val="20"/>
                <w:color w:val="auto"/>
              </w:rPr>
              <w:t>Brooke Robertson</w:t>
            </w:r>
          </w:p>
        </w:tc>
        <w:tc>
          <w:tcPr>
            <w:tcW w:w="0" w:type="dxa"/>
            <w:vAlign w:val="bottom"/>
          </w:tcPr>
          <w:p>
            <w:pPr>
              <w:spacing w:after="0" w:line="20" w:lineRule="exact"/>
              <w:rPr>
                <w:sz w:val="1"/>
                <w:szCs w:val="1"/>
                <w:color w:val="auto"/>
              </w:rPr>
            </w:pPr>
          </w:p>
        </w:tc>
      </w:tr>
      <w:tr>
        <w:trPr>
          <w:trHeight w:val="483"/>
        </w:trPr>
        <w:tc>
          <w:tcPr>
            <w:tcW w:w="4300" w:type="dxa"/>
            <w:vAlign w:val="bottom"/>
            <w:gridSpan w:val="4"/>
            <w:vMerge w:val="restart"/>
          </w:tcPr>
          <w:p>
            <w:pPr>
              <w:spacing w:after="0"/>
              <w:rPr>
                <w:sz w:val="20"/>
                <w:szCs w:val="20"/>
                <w:color w:val="auto"/>
              </w:rPr>
            </w:pPr>
            <w:r>
              <w:rPr>
                <w:rFonts w:ascii="Arial" w:cs="Arial" w:eastAsia="Arial" w:hAnsi="Arial"/>
                <w:sz w:val="20"/>
                <w:szCs w:val="20"/>
                <w:color w:val="auto"/>
              </w:rPr>
              <w:t>Phillip Lindsay</w:t>
            </w:r>
          </w:p>
        </w:tc>
        <w:tc>
          <w:tcPr>
            <w:tcW w:w="51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00" w:type="dxa"/>
            <w:vAlign w:val="bottom"/>
            <w:gridSpan w:val="4"/>
            <w:vMerge w:val="continue"/>
          </w:tcPr>
          <w:p>
            <w:pPr>
              <w:spacing w:after="0"/>
              <w:rPr>
                <w:sz w:val="9"/>
                <w:szCs w:val="9"/>
                <w:color w:val="auto"/>
              </w:rPr>
            </w:pPr>
          </w:p>
        </w:tc>
        <w:tc>
          <w:tcPr>
            <w:tcW w:w="5140" w:type="dxa"/>
            <w:vAlign w:val="bottom"/>
            <w:gridSpan w:val="4"/>
            <w:vMerge w:val="restart"/>
          </w:tcPr>
          <w:p>
            <w:pPr>
              <w:ind w:left="1140"/>
              <w:spacing w:after="0"/>
              <w:rPr>
                <w:sz w:val="20"/>
                <w:szCs w:val="20"/>
                <w:color w:val="auto"/>
              </w:rPr>
            </w:pPr>
            <w:r>
              <w:rPr>
                <w:rFonts w:ascii="Arial" w:cs="Arial" w:eastAsia="Arial" w:hAnsi="Arial"/>
                <w:sz w:val="20"/>
                <w:szCs w:val="20"/>
                <w:color w:val="auto"/>
              </w:rPr>
              <w:t>Public Relations Director</w:t>
            </w:r>
          </w:p>
        </w:tc>
        <w:tc>
          <w:tcPr>
            <w:tcW w:w="0" w:type="dxa"/>
            <w:vAlign w:val="bottom"/>
          </w:tcPr>
          <w:p>
            <w:pPr>
              <w:spacing w:after="0"/>
              <w:rPr>
                <w:sz w:val="1"/>
                <w:szCs w:val="1"/>
                <w:color w:val="auto"/>
              </w:rPr>
            </w:pPr>
          </w:p>
        </w:tc>
      </w:tr>
      <w:tr>
        <w:trPr>
          <w:trHeight w:val="230"/>
        </w:trPr>
        <w:tc>
          <w:tcPr>
            <w:tcW w:w="4300" w:type="dxa"/>
            <w:vAlign w:val="bottom"/>
            <w:gridSpan w:val="4"/>
            <w:vMerge w:val="restart"/>
          </w:tcPr>
          <w:p>
            <w:pPr>
              <w:spacing w:after="0"/>
              <w:rPr>
                <w:sz w:val="20"/>
                <w:szCs w:val="20"/>
                <w:color w:val="auto"/>
              </w:rPr>
            </w:pPr>
            <w:r>
              <w:rPr>
                <w:rFonts w:ascii="Arial" w:cs="Arial" w:eastAsia="Arial" w:hAnsi="Arial"/>
                <w:sz w:val="20"/>
                <w:szCs w:val="20"/>
                <w:color w:val="auto"/>
              </w:rPr>
              <w:t>Director Investor Relations (Europe)</w:t>
            </w:r>
          </w:p>
        </w:tc>
        <w:tc>
          <w:tcPr>
            <w:tcW w:w="51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4300" w:type="dxa"/>
            <w:vAlign w:val="bottom"/>
            <w:gridSpan w:val="4"/>
            <w:vMerge w:val="continue"/>
          </w:tcPr>
          <w:p>
            <w:pPr>
              <w:spacing w:after="0"/>
              <w:rPr>
                <w:sz w:val="6"/>
                <w:szCs w:val="6"/>
                <w:color w:val="auto"/>
              </w:rPr>
            </w:pPr>
          </w:p>
        </w:tc>
        <w:tc>
          <w:tcPr>
            <w:tcW w:w="5140" w:type="dxa"/>
            <w:vAlign w:val="bottom"/>
            <w:gridSpan w:val="4"/>
            <w:vMerge w:val="restart"/>
          </w:tcPr>
          <w:p>
            <w:pPr>
              <w:ind w:left="1140"/>
              <w:spacing w:after="0"/>
              <w:rPr>
                <w:sz w:val="20"/>
                <w:szCs w:val="20"/>
                <w:color w:val="auto"/>
              </w:rPr>
            </w:pPr>
            <w:r>
              <w:rPr>
                <w:rFonts w:ascii="Arial" w:cs="Arial" w:eastAsia="Arial" w:hAnsi="Arial"/>
                <w:sz w:val="20"/>
                <w:szCs w:val="20"/>
                <w:color w:val="auto"/>
              </w:rPr>
              <w:t>Tel: +1 281 591 4108</w:t>
            </w:r>
          </w:p>
        </w:tc>
        <w:tc>
          <w:tcPr>
            <w:tcW w:w="0" w:type="dxa"/>
            <w:vAlign w:val="bottom"/>
          </w:tcPr>
          <w:p>
            <w:pPr>
              <w:spacing w:after="0"/>
              <w:rPr>
                <w:sz w:val="1"/>
                <w:szCs w:val="1"/>
                <w:color w:val="auto"/>
              </w:rPr>
            </w:pPr>
          </w:p>
        </w:tc>
      </w:tr>
      <w:tr>
        <w:trPr>
          <w:trHeight w:val="203"/>
        </w:trPr>
        <w:tc>
          <w:tcPr>
            <w:tcW w:w="4300" w:type="dxa"/>
            <w:vAlign w:val="bottom"/>
            <w:gridSpan w:val="4"/>
          </w:tcPr>
          <w:p>
            <w:pPr>
              <w:spacing w:after="0" w:line="203" w:lineRule="exact"/>
              <w:rPr>
                <w:sz w:val="20"/>
                <w:szCs w:val="20"/>
                <w:color w:val="auto"/>
              </w:rPr>
            </w:pPr>
            <w:r>
              <w:rPr>
                <w:rFonts w:ascii="Arial" w:cs="Arial" w:eastAsia="Arial" w:hAnsi="Arial"/>
                <w:sz w:val="20"/>
                <w:szCs w:val="20"/>
                <w:color w:val="auto"/>
              </w:rPr>
              <w:t>Tel: +44 (0) 20 3429 3929</w:t>
            </w:r>
          </w:p>
        </w:tc>
        <w:tc>
          <w:tcPr>
            <w:tcW w:w="51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4"/>
            <w:vMerge w:val="restart"/>
          </w:tcPr>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color w:val="0000FF"/>
              </w:rPr>
              <w:t>Phillip Lindsay</w:t>
            </w:r>
          </w:p>
        </w:tc>
        <w:tc>
          <w:tcPr>
            <w:tcW w:w="1740" w:type="dxa"/>
            <w:vAlign w:val="bottom"/>
            <w:vMerge w:val="restart"/>
          </w:tcPr>
          <w:p>
            <w:pPr>
              <w:ind w:left="1140"/>
              <w:spacing w:after="0"/>
              <w:rPr>
                <w:sz w:val="20"/>
                <w:szCs w:val="20"/>
                <w:color w:val="auto"/>
              </w:rPr>
            </w:pPr>
            <w:r>
              <w:rPr>
                <w:rFonts w:ascii="Arial" w:cs="Arial" w:eastAsia="Arial" w:hAnsi="Arial"/>
                <w:sz w:val="20"/>
                <w:szCs w:val="20"/>
                <w:color w:val="auto"/>
              </w:rPr>
              <w:t>Email:</w:t>
            </w:r>
          </w:p>
        </w:tc>
        <w:tc>
          <w:tcPr>
            <w:tcW w:w="1600" w:type="dxa"/>
            <w:vAlign w:val="bottom"/>
            <w:tcBorders>
              <w:bottom w:val="single" w:sz="8" w:color="0000FF"/>
            </w:tcBorders>
          </w:tcPr>
          <w:p>
            <w:pPr>
              <w:spacing w:after="0" w:line="173" w:lineRule="exact"/>
              <w:rPr>
                <w:sz w:val="20"/>
                <w:szCs w:val="20"/>
                <w:color w:val="auto"/>
              </w:rPr>
            </w:pPr>
            <w:r>
              <w:rPr>
                <w:rFonts w:ascii="Arial" w:cs="Arial" w:eastAsia="Arial" w:hAnsi="Arial"/>
                <w:sz w:val="20"/>
                <w:szCs w:val="20"/>
                <w:color w:val="0000FF"/>
                <w:w w:val="97"/>
              </w:rPr>
              <w:t>Brooke Robertson</w:t>
            </w:r>
          </w:p>
        </w:tc>
        <w:tc>
          <w:tcPr>
            <w:tcW w:w="18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gridSpan w:val="4"/>
            <w:vMerge w:val="continue"/>
          </w:tcPr>
          <w:p>
            <w:pPr>
              <w:spacing w:after="0" w:line="20" w:lineRule="exact"/>
              <w:rPr>
                <w:sz w:val="1"/>
                <w:szCs w:val="1"/>
                <w:color w:val="auto"/>
              </w:rPr>
            </w:pPr>
          </w:p>
        </w:tc>
        <w:tc>
          <w:tcPr>
            <w:tcW w:w="1740" w:type="dxa"/>
            <w:vAlign w:val="bottom"/>
            <w:vMerge w:val="continu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2</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2020-10-01T15:31:04Z</dcterms:created>
  <dcterms:modified xsi:type="dcterms:W3CDTF">2020-10-01T15:31:04Z</dcterms:modified>
</cp:coreProperties>
</file>