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5398770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4994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99427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540"/>
            <w:col w:w="872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Mannen Maryann 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01/17/2017</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6" w:right="760" w:firstLine="6"/>
        <w:spacing w:after="0" w:line="237"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4"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14"/>
        <w:spacing w:after="0"/>
        <w:rPr>
          <w:sz w:val="20"/>
          <w:szCs w:val="20"/>
          <w:color w:val="auto"/>
        </w:rPr>
      </w:pPr>
      <w:r>
        <w:rPr>
          <w:rFonts w:ascii="Arial" w:cs="Arial" w:eastAsia="Arial" w:hAnsi="Arial"/>
          <w:sz w:val="17"/>
          <w:szCs w:val="17"/>
          <w:color w:val="0000FF"/>
        </w:rPr>
        <w:t>EVP &amp; Chief Financial Officer</w:t>
      </w:r>
    </w:p>
    <w:p>
      <w:pPr>
        <w:spacing w:after="0" w:line="328" w:lineRule="exact"/>
        <w:rPr>
          <w:sz w:val="24"/>
          <w:szCs w:val="24"/>
          <w:color w:val="auto"/>
        </w:rPr>
      </w:pPr>
    </w:p>
    <w:p>
      <w:pPr>
        <w:sectPr>
          <w:pgSz w:w="11900" w:h="16838" w:orient="portrait"/>
          <w:cols w:equalWidth="0" w:num="3">
            <w:col w:w="3340" w:space="720"/>
            <w:col w:w="3266" w:space="720"/>
            <w:col w:w="3474"/>
          </w:cols>
          <w:pgMar w:left="240" w:top="221" w:right="139" w:bottom="1440" w:gutter="0" w:footer="0" w:header="0"/>
          <w:type w:val="continuous"/>
        </w:sectPr>
      </w:pP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Borders>
              <w:top w:val="single" w:sz="8" w:color="2C2C2C"/>
            </w:tcBorders>
          </w:tcPr>
          <w:p>
            <w:pPr>
              <w:spacing w:after="0"/>
              <w:rPr>
                <w:sz w:val="15"/>
                <w:szCs w:val="15"/>
                <w:color w:val="auto"/>
              </w:rPr>
            </w:pPr>
          </w:p>
        </w:tc>
        <w:tc>
          <w:tcPr>
            <w:tcW w:w="260" w:type="dxa"/>
            <w:vAlign w:val="bottom"/>
            <w:tcBorders>
              <w:top w:val="single" w:sz="8" w:color="2C2C2C"/>
            </w:tcBorders>
          </w:tcPr>
          <w:p>
            <w:pPr>
              <w:spacing w:after="0"/>
              <w:rPr>
                <w:sz w:val="15"/>
                <w:szCs w:val="15"/>
                <w:color w:val="auto"/>
              </w:rPr>
            </w:pPr>
          </w:p>
        </w:tc>
        <w:tc>
          <w:tcPr>
            <w:tcW w:w="200" w:type="dxa"/>
            <w:vAlign w:val="bottom"/>
            <w:tcBorders>
              <w:top w:val="single" w:sz="8" w:color="2C2C2C"/>
            </w:tcBorders>
          </w:tcPr>
          <w:p>
            <w:pPr>
              <w:spacing w:after="0"/>
              <w:rPr>
                <w:sz w:val="15"/>
                <w:szCs w:val="15"/>
                <w:color w:val="auto"/>
              </w:rPr>
            </w:pPr>
          </w:p>
        </w:tc>
        <w:tc>
          <w:tcPr>
            <w:tcW w:w="338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LONDON</w:t>
            </w:r>
          </w:p>
        </w:tc>
        <w:tc>
          <w:tcPr>
            <w:tcW w:w="1160" w:type="dxa"/>
            <w:vAlign w:val="bottom"/>
            <w:gridSpan w:val="2"/>
            <w:vMerge w:val="restart"/>
          </w:tcPr>
          <w:p>
            <w:pPr>
              <w:ind w:left="40"/>
              <w:spacing w:after="0"/>
              <w:rPr>
                <w:sz w:val="20"/>
                <w:szCs w:val="20"/>
                <w:color w:val="auto"/>
              </w:rPr>
            </w:pPr>
            <w:r>
              <w:rPr>
                <w:rFonts w:ascii="Arial" w:cs="Arial" w:eastAsia="Arial" w:hAnsi="Arial"/>
                <w:sz w:val="17"/>
                <w:szCs w:val="17"/>
                <w:color w:val="0000FF"/>
              </w:rPr>
              <w:t>X0</w:t>
            </w:r>
          </w:p>
        </w:tc>
        <w:tc>
          <w:tcPr>
            <w:tcW w:w="1040" w:type="dxa"/>
            <w:vAlign w:val="bottom"/>
            <w:vMerge w:val="restart"/>
          </w:tcPr>
          <w:p>
            <w:pPr>
              <w:ind w:left="140"/>
              <w:spacing w:after="0"/>
              <w:rPr>
                <w:sz w:val="20"/>
                <w:szCs w:val="20"/>
                <w:color w:val="auto"/>
              </w:rPr>
            </w:pPr>
            <w:r>
              <w:rPr>
                <w:rFonts w:ascii="Arial" w:cs="Arial" w:eastAsia="Arial" w:hAnsi="Arial"/>
                <w:sz w:val="17"/>
                <w:szCs w:val="17"/>
                <w:color w:val="0000FF"/>
              </w:rPr>
              <w:t>EC4M 8AP</w:t>
            </w: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380" w:type="dxa"/>
            <w:vAlign w:val="bottom"/>
            <w:gridSpan w:val="7"/>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ind w:left="220"/>
              <w:spacing w:after="0"/>
              <w:rPr>
                <w:sz w:val="20"/>
                <w:szCs w:val="20"/>
                <w:color w:val="auto"/>
              </w:rPr>
            </w:pPr>
            <w:r>
              <w:rPr>
                <w:rFonts w:ascii="Arial" w:cs="Arial" w:eastAsia="Arial" w:hAnsi="Arial"/>
                <w:sz w:val="17"/>
                <w:szCs w:val="17"/>
                <w:color w:val="0000FF"/>
              </w:rPr>
              <w:t>X</w:t>
            </w:r>
          </w:p>
        </w:tc>
        <w:tc>
          <w:tcPr>
            <w:tcW w:w="2220" w:type="dxa"/>
            <w:vAlign w:val="bottom"/>
            <w:gridSpan w:val="4"/>
          </w:tcPr>
          <w:p>
            <w:pPr>
              <w:ind w:left="14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62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5"/>
          </w:tcPr>
          <w:p>
            <w:pPr>
              <w:ind w:left="96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w w:val="93"/>
              </w:rPr>
              <w:t>2A. Deemed</w:t>
            </w:r>
          </w:p>
        </w:tc>
        <w:tc>
          <w:tcPr>
            <w:tcW w:w="28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40"/>
              <w:spacing w:after="0"/>
              <w:rPr>
                <w:sz w:val="20"/>
                <w:szCs w:val="20"/>
                <w:color w:val="auto"/>
              </w:rPr>
            </w:pPr>
            <w:r>
              <w:rPr>
                <w:rFonts w:ascii="Arial" w:cs="Arial" w:eastAsia="Arial" w:hAnsi="Arial"/>
                <w:sz w:val="12"/>
                <w:szCs w:val="12"/>
                <w:b w:val="1"/>
                <w:bCs w:val="1"/>
                <w:color w:val="auto"/>
                <w:w w:val="99"/>
              </w:rPr>
              <w:t>4. Securities Acquired (A) or</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40" w:type="dxa"/>
            <w:vAlign w:val="bottom"/>
            <w:gridSpan w:val="5"/>
          </w:tcPr>
          <w:p>
            <w:pPr>
              <w:ind w:left="960"/>
              <w:spacing w:after="0" w:line="126"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1"/>
              </w:rPr>
              <w:t>Transaction</w:t>
            </w:r>
          </w:p>
        </w:tc>
        <w:tc>
          <w:tcPr>
            <w:tcW w:w="2180" w:type="dxa"/>
            <w:vAlign w:val="bottom"/>
            <w:gridSpan w:val="7"/>
          </w:tcPr>
          <w:p>
            <w:pPr>
              <w:ind w:left="1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gridSpan w:val="5"/>
          </w:tcPr>
          <w:p>
            <w:pPr>
              <w:ind w:left="9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56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900" w:type="dxa"/>
            <w:vAlign w:val="bottom"/>
            <w:gridSpan w:val="3"/>
          </w:tcPr>
          <w:p>
            <w:pPr>
              <w:ind w:left="4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Ordinary Shares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00" w:type="dxa"/>
            <w:vAlign w:val="bottom"/>
            <w:gridSpan w:val="4"/>
          </w:tcPr>
          <w:p>
            <w:pPr>
              <w:jc w:val="right"/>
              <w:ind w:right="76"/>
              <w:spacing w:after="0"/>
              <w:rPr>
                <w:sz w:val="20"/>
                <w:szCs w:val="20"/>
                <w:color w:val="auto"/>
              </w:rPr>
            </w:pPr>
            <w:r>
              <w:rPr>
                <w:rFonts w:ascii="Arial" w:cs="Arial" w:eastAsia="Arial" w:hAnsi="Arial"/>
                <w:sz w:val="17"/>
                <w:szCs w:val="17"/>
                <w:color w:val="0000FF"/>
                <w:w w:val="86"/>
              </w:rPr>
              <w:t>01/17/2017</w:t>
            </w: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A</w:t>
            </w:r>
          </w:p>
        </w:tc>
        <w:tc>
          <w:tcPr>
            <w:tcW w:w="1220" w:type="dxa"/>
            <w:vAlign w:val="bottom"/>
            <w:gridSpan w:val="2"/>
          </w:tcPr>
          <w:p>
            <w:pPr>
              <w:jc w:val="right"/>
              <w:ind w:right="345"/>
              <w:spacing w:after="0"/>
              <w:rPr>
                <w:sz w:val="20"/>
                <w:szCs w:val="20"/>
                <w:color w:val="auto"/>
              </w:rPr>
            </w:pPr>
            <w:r>
              <w:rPr>
                <w:rFonts w:ascii="Arial" w:cs="Arial" w:eastAsia="Arial" w:hAnsi="Arial"/>
                <w:sz w:val="17"/>
                <w:szCs w:val="17"/>
                <w:color w:val="0000FF"/>
              </w:rPr>
              <w:t>294,045</w:t>
            </w:r>
          </w:p>
        </w:tc>
        <w:tc>
          <w:tcPr>
            <w:tcW w:w="340" w:type="dxa"/>
            <w:vAlign w:val="bottom"/>
            <w:gridSpan w:val="2"/>
          </w:tcPr>
          <w:p>
            <w:pPr>
              <w:ind w:left="2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400" w:type="dxa"/>
            <w:vAlign w:val="bottom"/>
          </w:tcPr>
          <w:p>
            <w:pPr>
              <w:jc w:val="right"/>
              <w:ind w:right="176"/>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1240" w:type="dxa"/>
            <w:vAlign w:val="bottom"/>
            <w:gridSpan w:val="2"/>
          </w:tcPr>
          <w:p>
            <w:pPr>
              <w:jc w:val="right"/>
              <w:ind w:right="323"/>
              <w:spacing w:after="0"/>
              <w:rPr>
                <w:sz w:val="20"/>
                <w:szCs w:val="20"/>
                <w:color w:val="auto"/>
              </w:rPr>
            </w:pPr>
            <w:r>
              <w:rPr>
                <w:rFonts w:ascii="Arial" w:cs="Arial" w:eastAsia="Arial" w:hAnsi="Arial"/>
                <w:sz w:val="17"/>
                <w:szCs w:val="17"/>
                <w:color w:val="0000FF"/>
              </w:rPr>
              <w:t>294,045</w:t>
            </w:r>
          </w:p>
        </w:tc>
        <w:tc>
          <w:tcPr>
            <w:tcW w:w="32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Ordinary Shares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gridSpan w:val="4"/>
            <w:vMerge w:val="restart"/>
          </w:tcPr>
          <w:p>
            <w:pPr>
              <w:jc w:val="right"/>
              <w:ind w:right="76"/>
              <w:spacing w:after="0"/>
              <w:rPr>
                <w:sz w:val="20"/>
                <w:szCs w:val="20"/>
                <w:color w:val="auto"/>
              </w:rPr>
            </w:pPr>
            <w:r>
              <w:rPr>
                <w:rFonts w:ascii="Arial" w:cs="Arial" w:eastAsia="Arial" w:hAnsi="Arial"/>
                <w:sz w:val="17"/>
                <w:szCs w:val="17"/>
                <w:color w:val="0000FF"/>
                <w:w w:val="86"/>
              </w:rPr>
              <w:t>01/17/2017</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220" w:type="dxa"/>
            <w:vAlign w:val="bottom"/>
            <w:gridSpan w:val="2"/>
            <w:vMerge w:val="restart"/>
          </w:tcPr>
          <w:p>
            <w:pPr>
              <w:jc w:val="right"/>
              <w:ind w:right="205"/>
              <w:spacing w:after="0"/>
              <w:rPr>
                <w:sz w:val="20"/>
                <w:szCs w:val="20"/>
                <w:color w:val="auto"/>
              </w:rPr>
            </w:pPr>
            <w:r>
              <w:rPr>
                <w:rFonts w:ascii="Arial" w:cs="Arial" w:eastAsia="Arial" w:hAnsi="Arial"/>
                <w:sz w:val="17"/>
                <w:szCs w:val="17"/>
                <w:color w:val="0000FF"/>
                <w:w w:val="99"/>
              </w:rPr>
              <w:t>11,538.9407</w:t>
            </w:r>
          </w:p>
        </w:tc>
        <w:tc>
          <w:tcPr>
            <w:tcW w:w="340" w:type="dxa"/>
            <w:vAlign w:val="bottom"/>
            <w:gridSpan w:val="2"/>
            <w:vMerge w:val="restart"/>
          </w:tcPr>
          <w:p>
            <w:pPr>
              <w:ind w:left="2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17"/>
                <w:szCs w:val="17"/>
                <w:color w:val="auto"/>
              </w:rPr>
            </w:pPr>
          </w:p>
        </w:tc>
        <w:tc>
          <w:tcPr>
            <w:tcW w:w="400" w:type="dxa"/>
            <w:vAlign w:val="bottom"/>
            <w:vMerge w:val="restart"/>
          </w:tcPr>
          <w:p>
            <w:pPr>
              <w:jc w:val="right"/>
              <w:ind w:right="176"/>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7"/>
                <w:szCs w:val="17"/>
                <w:color w:val="auto"/>
              </w:rPr>
            </w:pPr>
          </w:p>
        </w:tc>
        <w:tc>
          <w:tcPr>
            <w:tcW w:w="1240" w:type="dxa"/>
            <w:vAlign w:val="bottom"/>
            <w:gridSpan w:val="2"/>
            <w:vMerge w:val="restart"/>
          </w:tcPr>
          <w:p>
            <w:pPr>
              <w:jc w:val="right"/>
              <w:ind w:right="183"/>
              <w:spacing w:after="0"/>
              <w:rPr>
                <w:sz w:val="20"/>
                <w:szCs w:val="20"/>
                <w:color w:val="auto"/>
              </w:rPr>
            </w:pPr>
            <w:r>
              <w:rPr>
                <w:rFonts w:ascii="Arial" w:cs="Arial" w:eastAsia="Arial" w:hAnsi="Arial"/>
                <w:sz w:val="17"/>
                <w:szCs w:val="17"/>
                <w:color w:val="0000FF"/>
              </w:rPr>
              <w:t>11,538.9407</w:t>
            </w:r>
          </w:p>
        </w:tc>
        <w:tc>
          <w:tcPr>
            <w:tcW w:w="320" w:type="dxa"/>
            <w:vAlign w:val="bottom"/>
          </w:tcPr>
          <w:p>
            <w:pPr>
              <w:spacing w:after="0"/>
              <w:rPr>
                <w:sz w:val="17"/>
                <w:szCs w:val="17"/>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Qualified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880" w:type="dxa"/>
            <w:vAlign w:val="bottom"/>
            <w:tcBorders>
              <w:bottom w:val="single" w:sz="8" w:color="2C2C2C"/>
            </w:tcBorders>
            <w:gridSpan w:val="7"/>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20" w:type="dxa"/>
            <w:vAlign w:val="bottom"/>
            <w:tcBorders>
              <w:top w:val="single" w:sz="8" w:color="2C2C2C"/>
            </w:tcBorders>
            <w:gridSpan w:val="17"/>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40" w:type="dxa"/>
            <w:vAlign w:val="bottom"/>
            <w:gridSpan w:val="16"/>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w w:val="92"/>
              </w:rPr>
              <w:t>5. Number of</w:t>
            </w:r>
          </w:p>
        </w:tc>
        <w:tc>
          <w:tcPr>
            <w:tcW w:w="28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52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5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Derivative Security</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(Instr. 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 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4 and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Ordinary</w:t>
            </w:r>
          </w:p>
        </w:tc>
        <w:tc>
          <w:tcPr>
            <w:tcW w:w="80" w:type="dxa"/>
            <w:vAlign w:val="bottom"/>
          </w:tcPr>
          <w:p>
            <w:pPr>
              <w:spacing w:after="0"/>
              <w:rPr>
                <w:sz w:val="15"/>
                <w:szCs w:val="1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7"/>
                <w:szCs w:val="17"/>
                <w:color w:val="0000FF"/>
                <w:w w:val="93"/>
              </w:rPr>
              <w:t>23,516.262</w:t>
            </w:r>
          </w:p>
        </w:tc>
        <w:tc>
          <w:tcPr>
            <w:tcW w:w="20" w:type="dxa"/>
            <w:vAlign w:val="bottom"/>
          </w:tcPr>
          <w:p>
            <w:pPr>
              <w:spacing w:after="0"/>
              <w:rPr>
                <w:sz w:val="15"/>
                <w:szCs w:val="15"/>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99" w:lineRule="exact"/>
              <w:rPr>
                <w:sz w:val="20"/>
                <w:szCs w:val="20"/>
                <w:color w:val="auto"/>
              </w:rPr>
            </w:pPr>
            <w:r>
              <w:rPr>
                <w:rFonts w:ascii="Arial" w:cs="Arial" w:eastAsia="Arial" w:hAnsi="Arial"/>
                <w:sz w:val="11"/>
                <w:szCs w:val="11"/>
                <w:color w:val="0000FF"/>
              </w:rPr>
              <w:t>Stock</w:t>
            </w: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right"/>
              <w:ind w:right="143"/>
              <w:spacing w:after="0" w:line="99" w:lineRule="exact"/>
              <w:rPr>
                <w:sz w:val="20"/>
                <w:szCs w:val="20"/>
                <w:color w:val="auto"/>
              </w:rPr>
            </w:pPr>
            <w:r>
              <w:rPr>
                <w:rFonts w:ascii="Arial" w:cs="Arial" w:eastAsia="Arial" w:hAnsi="Arial"/>
                <w:sz w:val="11"/>
                <w:szCs w:val="11"/>
                <w:color w:val="0000FF"/>
              </w:rPr>
              <w:t>01/17/2017</w:t>
            </w: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restart"/>
          </w:tcPr>
          <w:p>
            <w:pPr>
              <w:ind w:left="160"/>
              <w:spacing w:after="0" w:line="99" w:lineRule="exact"/>
              <w:rPr>
                <w:sz w:val="20"/>
                <w:szCs w:val="20"/>
                <w:color w:val="auto"/>
              </w:rPr>
            </w:pPr>
            <w:r>
              <w:rPr>
                <w:rFonts w:ascii="Arial" w:cs="Arial" w:eastAsia="Arial" w:hAnsi="Arial"/>
                <w:sz w:val="11"/>
                <w:szCs w:val="11"/>
                <w:color w:val="0000FF"/>
              </w:rPr>
              <w:t>A</w:t>
            </w:r>
          </w:p>
        </w:tc>
        <w:tc>
          <w:tcPr>
            <w:tcW w:w="760" w:type="dxa"/>
            <w:vAlign w:val="bottom"/>
            <w:vMerge w:val="restart"/>
          </w:tcPr>
          <w:p>
            <w:pPr>
              <w:ind w:left="60"/>
              <w:spacing w:after="0" w:line="99" w:lineRule="exact"/>
              <w:rPr>
                <w:sz w:val="20"/>
                <w:szCs w:val="20"/>
                <w:color w:val="auto"/>
              </w:rPr>
            </w:pPr>
            <w:r>
              <w:rPr>
                <w:rFonts w:ascii="Arial" w:cs="Arial" w:eastAsia="Arial" w:hAnsi="Arial"/>
                <w:sz w:val="11"/>
                <w:szCs w:val="11"/>
                <w:color w:val="0000FF"/>
              </w:rPr>
              <w:t>23,516.262</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80" w:type="dxa"/>
            <w:vAlign w:val="bottom"/>
            <w:gridSpan w:val="2"/>
            <w:vMerge w:val="restart"/>
          </w:tcPr>
          <w:p>
            <w:pPr>
              <w:ind w:left="160"/>
              <w:spacing w:after="0" w:line="99" w:lineRule="exact"/>
              <w:rPr>
                <w:sz w:val="20"/>
                <w:szCs w:val="20"/>
                <w:color w:val="auto"/>
              </w:rPr>
            </w:pPr>
            <w:r>
              <w:rPr>
                <w:rFonts w:ascii="Arial" w:cs="Arial" w:eastAsia="Arial" w:hAnsi="Arial"/>
                <w:sz w:val="11"/>
                <w:szCs w:val="11"/>
                <w:color w:val="0000FF"/>
              </w:rPr>
              <w:t>23,516.262</w:t>
            </w:r>
          </w:p>
        </w:tc>
        <w:tc>
          <w:tcPr>
            <w:tcW w:w="660" w:type="dxa"/>
            <w:vAlign w:val="bottom"/>
            <w:vMerge w:val="restart"/>
          </w:tcPr>
          <w:p>
            <w:pPr>
              <w:ind w:left="360"/>
              <w:spacing w:after="0" w:line="99" w:lineRule="exact"/>
              <w:rPr>
                <w:sz w:val="20"/>
                <w:szCs w:val="20"/>
                <w:color w:val="auto"/>
              </w:rPr>
            </w:pPr>
            <w:r>
              <w:rPr>
                <w:rFonts w:ascii="Arial" w:cs="Arial" w:eastAsia="Arial" w:hAnsi="Arial"/>
                <w:sz w:val="11"/>
                <w:szCs w:val="11"/>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ind w:left="60"/>
              <w:spacing w:after="0" w:line="52" w:lineRule="exact"/>
              <w:rPr>
                <w:sz w:val="20"/>
                <w:szCs w:val="20"/>
                <w:color w:val="auto"/>
              </w:rPr>
            </w:pPr>
            <w:r>
              <w:rPr>
                <w:rFonts w:ascii="Arial" w:cs="Arial" w:eastAsia="Arial" w:hAnsi="Arial"/>
                <w:sz w:val="5"/>
                <w:szCs w:val="5"/>
                <w:color w:val="0000FF"/>
              </w:rPr>
              <w:t>Shares</w:t>
            </w:r>
            <w:r>
              <w:rPr>
                <w:rFonts w:ascii="Arial" w:cs="Arial" w:eastAsia="Arial" w:hAnsi="Arial"/>
                <w:sz w:val="6"/>
                <w:szCs w:val="6"/>
                <w:color w:val="008000"/>
                <w:vertAlign w:val="superscript"/>
              </w:rPr>
              <w:t>(4)</w:t>
            </w: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Units</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30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Business Combination Agreement, dated as of June 14, 2016 (the "BCA"), by and among the Issuer, FMC Technologies, Inc. ("FMCTI") and Technip S.A. ("Technip"), each share of FMCTI common stock beneficially owned by the Reporting Person at the effective time of the transactions contemplated by the BCA was exchanged for 1.00 ordinary share of the Issuer.</w:t>
      </w:r>
    </w:p>
    <w:p>
      <w:pPr>
        <w:spacing w:after="0" w:line="26" w:lineRule="exact"/>
        <w:rPr>
          <w:rFonts w:ascii="Arial" w:cs="Arial" w:eastAsia="Arial" w:hAnsi="Arial"/>
          <w:sz w:val="13"/>
          <w:szCs w:val="13"/>
          <w:color w:val="008000"/>
        </w:rPr>
      </w:pPr>
    </w:p>
    <w:p>
      <w:pPr>
        <w:ind w:left="40" w:right="32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Business Combination Agreement, FMCTI Phantom Stock Units were converted into an equal number of units consisting of phantom shares over an equal number of ordinary shares of the Issuer and uninvested cash balances held by the NQ Plan.</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the Issuer, or death.</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A participant's interest in the NQ Plan is represented in units (referred to as Phantom Stock Units) which consists of phantom shares of the Issuer's ordinary shares and uninvested cash balances held by the NQ Plan.</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Pr>
          <w:p>
            <w:pPr>
              <w:spacing w:after="0"/>
              <w:rPr>
                <w:sz w:val="20"/>
                <w:szCs w:val="20"/>
                <w:color w:val="auto"/>
              </w:rPr>
            </w:pPr>
            <w:r>
              <w:rPr>
                <w:rFonts w:ascii="Arial" w:cs="Arial" w:eastAsia="Arial" w:hAnsi="Arial"/>
                <w:sz w:val="17"/>
                <w:szCs w:val="17"/>
                <w:color w:val="0000FF"/>
                <w:w w:val="89"/>
              </w:rPr>
              <w:t>Lisa P. Wang, Attorney-In-Fact</w:t>
            </w:r>
          </w:p>
        </w:tc>
        <w:tc>
          <w:tcPr>
            <w:tcW w:w="1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7"/>
                <w:szCs w:val="17"/>
                <w:color w:val="0000FF"/>
                <w:w w:val="86"/>
              </w:rPr>
              <w:t>01/18/2017</w:t>
            </w:r>
          </w:p>
        </w:tc>
      </w:tr>
      <w:tr>
        <w:trPr>
          <w:trHeight w:val="20"/>
        </w:trPr>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10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406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8964"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2019-12-24T09:05:52Z</dcterms:created>
  <dcterms:modified xsi:type="dcterms:W3CDTF">2019-12-24T09:05:52Z</dcterms:modified>
</cp:coreProperties>
</file>