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650875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5"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____________________</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41"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____________________</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31,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TechnipFMC plc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760" w:type="dxa"/>
            <w:vAlign w:val="bottom"/>
          </w:tcPr>
          <w:p>
            <w:pPr>
              <w:jc w:val="center"/>
              <w:ind w:right="339"/>
              <w:spacing w:after="0"/>
              <w:rPr>
                <w:sz w:val="20"/>
                <w:szCs w:val="20"/>
                <w:color w:val="auto"/>
              </w:rPr>
            </w:pPr>
            <w:r>
              <w:rPr>
                <w:rFonts w:ascii="Arial" w:cs="Arial" w:eastAsia="Arial" w:hAnsi="Arial"/>
                <w:sz w:val="18"/>
                <w:szCs w:val="18"/>
                <w:b w:val="1"/>
                <w:bCs w:val="1"/>
                <w:color w:val="auto"/>
                <w:w w:val="90"/>
              </w:rPr>
              <w:t>England and Wales</w:t>
            </w:r>
          </w:p>
        </w:tc>
        <w:tc>
          <w:tcPr>
            <w:tcW w:w="4800" w:type="dxa"/>
            <w:vAlign w:val="bottom"/>
          </w:tcPr>
          <w:p>
            <w:pPr>
              <w:jc w:val="center"/>
              <w:ind w:right="179"/>
              <w:spacing w:after="0"/>
              <w:rPr>
                <w:sz w:val="20"/>
                <w:szCs w:val="20"/>
                <w:color w:val="auto"/>
              </w:rPr>
            </w:pPr>
            <w:r>
              <w:rPr>
                <w:rFonts w:ascii="Arial" w:cs="Arial" w:eastAsia="Arial" w:hAnsi="Arial"/>
                <w:sz w:val="18"/>
                <w:szCs w:val="18"/>
                <w:b w:val="1"/>
                <w:bCs w:val="1"/>
                <w:color w:val="auto"/>
                <w:w w:val="90"/>
              </w:rPr>
              <w:t>001-37983</w:t>
            </w:r>
          </w:p>
        </w:tc>
        <w:tc>
          <w:tcPr>
            <w:tcW w:w="1860" w:type="dxa"/>
            <w:vAlign w:val="bottom"/>
          </w:tcPr>
          <w:p>
            <w:pPr>
              <w:jc w:val="right"/>
              <w:ind w:right="21"/>
              <w:spacing w:after="0"/>
              <w:rPr>
                <w:sz w:val="20"/>
                <w:szCs w:val="20"/>
                <w:color w:val="auto"/>
              </w:rPr>
            </w:pPr>
            <w:r>
              <w:rPr>
                <w:rFonts w:ascii="Arial" w:cs="Arial" w:eastAsia="Arial" w:hAnsi="Arial"/>
                <w:sz w:val="18"/>
                <w:szCs w:val="18"/>
                <w:b w:val="1"/>
                <w:bCs w:val="1"/>
                <w:color w:val="auto"/>
              </w:rPr>
              <w:t>98-1283037</w:t>
            </w:r>
          </w:p>
        </w:tc>
      </w:tr>
      <w:tr>
        <w:trPr>
          <w:trHeight w:val="184"/>
        </w:trPr>
        <w:tc>
          <w:tcPr>
            <w:tcW w:w="2760" w:type="dxa"/>
            <w:vAlign w:val="bottom"/>
          </w:tcPr>
          <w:p>
            <w:pPr>
              <w:ind w:left="360"/>
              <w:spacing w:after="0"/>
              <w:rPr>
                <w:sz w:val="20"/>
                <w:szCs w:val="20"/>
                <w:color w:val="auto"/>
              </w:rPr>
            </w:pPr>
            <w:r>
              <w:rPr>
                <w:rFonts w:ascii="Arial" w:cs="Arial" w:eastAsia="Arial" w:hAnsi="Arial"/>
                <w:sz w:val="14"/>
                <w:szCs w:val="14"/>
                <w:color w:val="auto"/>
              </w:rPr>
              <w:t>(State or other jurisdiction</w:t>
            </w:r>
          </w:p>
        </w:tc>
        <w:tc>
          <w:tcPr>
            <w:tcW w:w="4800" w:type="dxa"/>
            <w:vAlign w:val="bottom"/>
          </w:tcPr>
          <w:p>
            <w:pPr>
              <w:jc w:val="center"/>
              <w:ind w:right="199"/>
              <w:spacing w:after="0"/>
              <w:rPr>
                <w:sz w:val="20"/>
                <w:szCs w:val="20"/>
                <w:color w:val="auto"/>
              </w:rPr>
            </w:pPr>
            <w:r>
              <w:rPr>
                <w:rFonts w:ascii="Arial" w:cs="Arial" w:eastAsia="Arial" w:hAnsi="Arial"/>
                <w:sz w:val="14"/>
                <w:szCs w:val="14"/>
                <w:color w:val="auto"/>
                <w:w w:val="96"/>
              </w:rPr>
              <w:t>(Commission File Number)</w:t>
            </w:r>
          </w:p>
        </w:tc>
        <w:tc>
          <w:tcPr>
            <w:tcW w:w="1860" w:type="dxa"/>
            <w:vAlign w:val="bottom"/>
          </w:tcPr>
          <w:p>
            <w:pPr>
              <w:jc w:val="center"/>
              <w:ind w:left="681"/>
              <w:spacing w:after="0"/>
              <w:rPr>
                <w:sz w:val="20"/>
                <w:szCs w:val="20"/>
                <w:color w:val="auto"/>
              </w:rPr>
            </w:pPr>
            <w:r>
              <w:rPr>
                <w:rFonts w:ascii="Arial" w:cs="Arial" w:eastAsia="Arial" w:hAnsi="Arial"/>
                <w:sz w:val="14"/>
                <w:szCs w:val="14"/>
                <w:color w:val="auto"/>
                <w:w w:val="95"/>
              </w:rPr>
              <w:t>(I.R.S. Employer</w:t>
            </w:r>
          </w:p>
        </w:tc>
      </w:tr>
      <w:tr>
        <w:trPr>
          <w:trHeight w:val="182"/>
        </w:trPr>
        <w:tc>
          <w:tcPr>
            <w:tcW w:w="2760" w:type="dxa"/>
            <w:vAlign w:val="bottom"/>
          </w:tcPr>
          <w:p>
            <w:pPr>
              <w:jc w:val="center"/>
              <w:ind w:right="379"/>
              <w:spacing w:after="0"/>
              <w:rPr>
                <w:sz w:val="20"/>
                <w:szCs w:val="20"/>
                <w:color w:val="auto"/>
              </w:rPr>
            </w:pPr>
            <w:r>
              <w:rPr>
                <w:rFonts w:ascii="Arial" w:cs="Arial" w:eastAsia="Arial" w:hAnsi="Arial"/>
                <w:sz w:val="14"/>
                <w:szCs w:val="14"/>
                <w:color w:val="auto"/>
                <w:w w:val="96"/>
              </w:rPr>
              <w:t>of incorporation)</w:t>
            </w:r>
          </w:p>
        </w:tc>
        <w:tc>
          <w:tcPr>
            <w:tcW w:w="4800" w:type="dxa"/>
            <w:vAlign w:val="bottom"/>
          </w:tcPr>
          <w:p>
            <w:pPr>
              <w:spacing w:after="0"/>
              <w:rPr>
                <w:sz w:val="15"/>
                <w:szCs w:val="15"/>
                <w:color w:val="auto"/>
              </w:rPr>
            </w:pPr>
          </w:p>
        </w:tc>
        <w:tc>
          <w:tcPr>
            <w:tcW w:w="1860" w:type="dxa"/>
            <w:vAlign w:val="bottom"/>
          </w:tcPr>
          <w:p>
            <w:pPr>
              <w:jc w:val="center"/>
              <w:ind w:left="721"/>
              <w:spacing w:after="0"/>
              <w:rPr>
                <w:sz w:val="20"/>
                <w:szCs w:val="20"/>
                <w:color w:val="auto"/>
              </w:rPr>
            </w:pPr>
            <w:r>
              <w:rPr>
                <w:rFonts w:ascii="Arial" w:cs="Arial" w:eastAsia="Arial" w:hAnsi="Arial"/>
                <w:sz w:val="14"/>
                <w:szCs w:val="14"/>
                <w:color w:val="auto"/>
                <w:w w:val="97"/>
              </w:rPr>
              <w:t>Identification No.)</w:t>
            </w:r>
          </w:p>
        </w:tc>
      </w:tr>
      <w:tr>
        <w:trPr>
          <w:trHeight w:val="804"/>
        </w:trPr>
        <w:tc>
          <w:tcPr>
            <w:tcW w:w="2760" w:type="dxa"/>
            <w:vAlign w:val="bottom"/>
          </w:tcPr>
          <w:p>
            <w:pPr>
              <w:jc w:val="center"/>
              <w:ind w:right="359"/>
              <w:spacing w:after="0"/>
              <w:rPr>
                <w:sz w:val="20"/>
                <w:szCs w:val="20"/>
                <w:color w:val="auto"/>
              </w:rPr>
            </w:pPr>
            <w:r>
              <w:rPr>
                <w:rFonts w:ascii="Arial" w:cs="Arial" w:eastAsia="Arial" w:hAnsi="Arial"/>
                <w:sz w:val="18"/>
                <w:szCs w:val="18"/>
                <w:b w:val="1"/>
                <w:bCs w:val="1"/>
                <w:color w:val="auto"/>
                <w:w w:val="91"/>
              </w:rPr>
              <w:t>One St. Paul’s Churchyard</w:t>
            </w:r>
          </w:p>
        </w:tc>
        <w:tc>
          <w:tcPr>
            <w:tcW w:w="48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34"/>
        </w:trPr>
        <w:tc>
          <w:tcPr>
            <w:tcW w:w="2760" w:type="dxa"/>
            <w:vAlign w:val="bottom"/>
          </w:tcPr>
          <w:p>
            <w:pPr>
              <w:jc w:val="center"/>
              <w:ind w:right="379"/>
              <w:spacing w:after="0"/>
              <w:rPr>
                <w:sz w:val="20"/>
                <w:szCs w:val="20"/>
                <w:color w:val="auto"/>
              </w:rPr>
            </w:pPr>
            <w:r>
              <w:rPr>
                <w:rFonts w:ascii="Arial" w:cs="Arial" w:eastAsia="Arial" w:hAnsi="Arial"/>
                <w:sz w:val="18"/>
                <w:szCs w:val="18"/>
                <w:b w:val="1"/>
                <w:bCs w:val="1"/>
                <w:color w:val="auto"/>
                <w:w w:val="92"/>
              </w:rPr>
              <w:t>London, United Kingdom</w:t>
            </w:r>
          </w:p>
        </w:tc>
        <w:tc>
          <w:tcPr>
            <w:tcW w:w="4800" w:type="dxa"/>
            <w:vAlign w:val="bottom"/>
          </w:tcPr>
          <w:p>
            <w:pPr>
              <w:spacing w:after="0"/>
              <w:rPr>
                <w:sz w:val="20"/>
                <w:szCs w:val="20"/>
                <w:color w:val="auto"/>
              </w:rPr>
            </w:pPr>
          </w:p>
        </w:tc>
        <w:tc>
          <w:tcPr>
            <w:tcW w:w="1860" w:type="dxa"/>
            <w:vAlign w:val="bottom"/>
          </w:tcPr>
          <w:p>
            <w:pPr>
              <w:jc w:val="center"/>
              <w:ind w:left="721"/>
              <w:spacing w:after="0"/>
              <w:rPr>
                <w:sz w:val="20"/>
                <w:szCs w:val="20"/>
                <w:color w:val="auto"/>
              </w:rPr>
            </w:pPr>
            <w:r>
              <w:rPr>
                <w:rFonts w:ascii="Arial" w:cs="Arial" w:eastAsia="Arial" w:hAnsi="Arial"/>
                <w:sz w:val="18"/>
                <w:szCs w:val="18"/>
                <w:b w:val="1"/>
                <w:bCs w:val="1"/>
                <w:color w:val="auto"/>
                <w:w w:val="99"/>
              </w:rPr>
              <w:t>EC4M 8AP</w:t>
            </w:r>
          </w:p>
        </w:tc>
      </w:tr>
      <w:tr>
        <w:trPr>
          <w:trHeight w:val="218"/>
        </w:trPr>
        <w:tc>
          <w:tcPr>
            <w:tcW w:w="2760" w:type="dxa"/>
            <w:vAlign w:val="bottom"/>
          </w:tcPr>
          <w:p>
            <w:pPr>
              <w:jc w:val="center"/>
              <w:ind w:right="399"/>
              <w:spacing w:after="0"/>
              <w:rPr>
                <w:sz w:val="20"/>
                <w:szCs w:val="20"/>
                <w:color w:val="auto"/>
              </w:rPr>
            </w:pPr>
            <w:r>
              <w:rPr>
                <w:rFonts w:ascii="Arial" w:cs="Arial" w:eastAsia="Arial" w:hAnsi="Arial"/>
                <w:sz w:val="14"/>
                <w:szCs w:val="14"/>
                <w:color w:val="auto"/>
                <w:w w:val="95"/>
              </w:rPr>
              <w:t>(Address of principal executive offices)</w:t>
            </w:r>
          </w:p>
        </w:tc>
        <w:tc>
          <w:tcPr>
            <w:tcW w:w="4800" w:type="dxa"/>
            <w:vAlign w:val="bottom"/>
          </w:tcPr>
          <w:p>
            <w:pPr>
              <w:spacing w:after="0"/>
              <w:rPr>
                <w:sz w:val="18"/>
                <w:szCs w:val="18"/>
                <w:color w:val="auto"/>
              </w:rPr>
            </w:pPr>
          </w:p>
        </w:tc>
        <w:tc>
          <w:tcPr>
            <w:tcW w:w="1860" w:type="dxa"/>
            <w:vAlign w:val="bottom"/>
          </w:tcPr>
          <w:p>
            <w:pPr>
              <w:jc w:val="center"/>
              <w:ind w:left="721"/>
              <w:spacing w:after="0"/>
              <w:rPr>
                <w:sz w:val="20"/>
                <w:szCs w:val="20"/>
                <w:color w:val="auto"/>
              </w:rPr>
            </w:pPr>
            <w:r>
              <w:rPr>
                <w:rFonts w:ascii="Arial" w:cs="Arial" w:eastAsia="Arial" w:hAnsi="Arial"/>
                <w:sz w:val="14"/>
                <w:szCs w:val="14"/>
                <w:color w:val="auto"/>
                <w:w w:val="93"/>
              </w:rPr>
              <w:t>(Zip Code)</w:t>
            </w:r>
          </w:p>
        </w:tc>
      </w:tr>
      <w:tr>
        <w:trPr>
          <w:trHeight w:val="493"/>
        </w:trPr>
        <w:tc>
          <w:tcPr>
            <w:tcW w:w="2760" w:type="dxa"/>
            <w:vAlign w:val="bottom"/>
          </w:tcPr>
          <w:p>
            <w:pPr>
              <w:spacing w:after="0"/>
              <w:rPr>
                <w:sz w:val="24"/>
                <w:szCs w:val="24"/>
                <w:color w:val="auto"/>
              </w:rPr>
            </w:pPr>
          </w:p>
        </w:tc>
        <w:tc>
          <w:tcPr>
            <w:tcW w:w="4800" w:type="dxa"/>
            <w:vAlign w:val="bottom"/>
          </w:tcPr>
          <w:p>
            <w:pPr>
              <w:jc w:val="center"/>
              <w:ind w:right="199"/>
              <w:spacing w:after="0"/>
              <w:rPr>
                <w:sz w:val="20"/>
                <w:szCs w:val="20"/>
                <w:color w:val="auto"/>
              </w:rPr>
            </w:pPr>
            <w:r>
              <w:rPr>
                <w:rFonts w:ascii="Arial" w:cs="Arial" w:eastAsia="Arial" w:hAnsi="Arial"/>
                <w:sz w:val="18"/>
                <w:szCs w:val="18"/>
                <w:b w:val="1"/>
                <w:bCs w:val="1"/>
                <w:color w:val="auto"/>
                <w:w w:val="90"/>
              </w:rPr>
              <w:t>+44 203 429 3950</w:t>
            </w:r>
          </w:p>
        </w:tc>
        <w:tc>
          <w:tcPr>
            <w:tcW w:w="1860" w:type="dxa"/>
            <w:vAlign w:val="bottom"/>
          </w:tcPr>
          <w:p>
            <w:pPr>
              <w:spacing w:after="0"/>
              <w:rPr>
                <w:sz w:val="24"/>
                <w:szCs w:val="24"/>
                <w:color w:val="auto"/>
              </w:rPr>
            </w:pPr>
          </w:p>
        </w:tc>
      </w:tr>
      <w:tr>
        <w:trPr>
          <w:trHeight w:val="182"/>
        </w:trPr>
        <w:tc>
          <w:tcPr>
            <w:tcW w:w="2760" w:type="dxa"/>
            <w:vAlign w:val="bottom"/>
          </w:tcPr>
          <w:p>
            <w:pPr>
              <w:spacing w:after="0"/>
              <w:rPr>
                <w:sz w:val="15"/>
                <w:szCs w:val="15"/>
                <w:color w:val="auto"/>
              </w:rPr>
            </w:pPr>
          </w:p>
        </w:tc>
        <w:tc>
          <w:tcPr>
            <w:tcW w:w="4800" w:type="dxa"/>
            <w:vAlign w:val="bottom"/>
          </w:tcPr>
          <w:p>
            <w:pPr>
              <w:jc w:val="center"/>
              <w:ind w:right="199"/>
              <w:spacing w:after="0"/>
              <w:rPr>
                <w:sz w:val="20"/>
                <w:szCs w:val="20"/>
                <w:color w:val="auto"/>
              </w:rPr>
            </w:pPr>
            <w:r>
              <w:rPr>
                <w:rFonts w:ascii="Arial" w:cs="Arial" w:eastAsia="Arial" w:hAnsi="Arial"/>
                <w:sz w:val="14"/>
                <w:szCs w:val="14"/>
                <w:color w:val="auto"/>
                <w:w w:val="93"/>
              </w:rPr>
              <w:t>(Registrant’s Telephone Number, Including Area Code)</w:t>
            </w:r>
          </w:p>
        </w:tc>
        <w:tc>
          <w:tcPr>
            <w:tcW w:w="1860" w:type="dxa"/>
            <w:vAlign w:val="bottom"/>
          </w:tcPr>
          <w:p>
            <w:pPr>
              <w:spacing w:after="0"/>
              <w:rPr>
                <w:sz w:val="15"/>
                <w:szCs w:val="15"/>
                <w:color w:val="auto"/>
              </w:rPr>
            </w:pPr>
          </w:p>
        </w:tc>
      </w:tr>
      <w:tr>
        <w:trPr>
          <w:trHeight w:val="412"/>
        </w:trPr>
        <w:tc>
          <w:tcPr>
            <w:tcW w:w="2760" w:type="dxa"/>
            <w:vAlign w:val="bottom"/>
          </w:tcPr>
          <w:p>
            <w:pPr>
              <w:spacing w:after="0"/>
              <w:rPr>
                <w:sz w:val="24"/>
                <w:szCs w:val="24"/>
                <w:color w:val="auto"/>
              </w:rPr>
            </w:pPr>
          </w:p>
        </w:tc>
        <w:tc>
          <w:tcPr>
            <w:tcW w:w="4800" w:type="dxa"/>
            <w:vAlign w:val="bottom"/>
          </w:tcPr>
          <w:p>
            <w:pPr>
              <w:jc w:val="center"/>
              <w:ind w:right="199"/>
              <w:spacing w:after="0"/>
              <w:rPr>
                <w:sz w:val="20"/>
                <w:szCs w:val="20"/>
                <w:color w:val="auto"/>
              </w:rPr>
            </w:pPr>
            <w:r>
              <w:rPr>
                <w:rFonts w:ascii="Arial" w:cs="Arial" w:eastAsia="Arial" w:hAnsi="Arial"/>
                <w:sz w:val="18"/>
                <w:szCs w:val="18"/>
                <w:b w:val="1"/>
                <w:bCs w:val="1"/>
                <w:color w:val="auto"/>
                <w:w w:val="92"/>
              </w:rPr>
              <w:t>Not Applicable</w:t>
            </w:r>
          </w:p>
        </w:tc>
        <w:tc>
          <w:tcPr>
            <w:tcW w:w="1860" w:type="dxa"/>
            <w:vAlign w:val="bottom"/>
          </w:tcPr>
          <w:p>
            <w:pPr>
              <w:spacing w:after="0"/>
              <w:rPr>
                <w:sz w:val="24"/>
                <w:szCs w:val="24"/>
                <w:color w:val="auto"/>
              </w:rPr>
            </w:pPr>
          </w:p>
        </w:tc>
      </w:tr>
      <w:tr>
        <w:trPr>
          <w:trHeight w:val="182"/>
        </w:trPr>
        <w:tc>
          <w:tcPr>
            <w:tcW w:w="2760" w:type="dxa"/>
            <w:vAlign w:val="bottom"/>
          </w:tcPr>
          <w:p>
            <w:pPr>
              <w:spacing w:after="0"/>
              <w:rPr>
                <w:sz w:val="15"/>
                <w:szCs w:val="15"/>
                <w:color w:val="auto"/>
              </w:rPr>
            </w:pPr>
          </w:p>
        </w:tc>
        <w:tc>
          <w:tcPr>
            <w:tcW w:w="4800" w:type="dxa"/>
            <w:vAlign w:val="bottom"/>
          </w:tcPr>
          <w:p>
            <w:pPr>
              <w:jc w:val="center"/>
              <w:ind w:right="219"/>
              <w:spacing w:after="0"/>
              <w:rPr>
                <w:sz w:val="20"/>
                <w:szCs w:val="20"/>
                <w:color w:val="auto"/>
              </w:rPr>
            </w:pPr>
            <w:r>
              <w:rPr>
                <w:rFonts w:ascii="Arial" w:cs="Arial" w:eastAsia="Arial" w:hAnsi="Arial"/>
                <w:sz w:val="14"/>
                <w:szCs w:val="14"/>
                <w:color w:val="auto"/>
                <w:w w:val="92"/>
              </w:rPr>
              <w:t>(Former name or former address, if changed since last report)</w:t>
            </w:r>
          </w:p>
        </w:tc>
        <w:tc>
          <w:tcPr>
            <w:tcW w:w="18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305" w:lineRule="exact"/>
        <w:rPr>
          <w:sz w:val="24"/>
          <w:szCs w:val="24"/>
          <w:color w:val="auto"/>
        </w:rPr>
      </w:pPr>
    </w:p>
    <w:p>
      <w:pPr>
        <w:ind w:left="80"/>
        <w:spacing w:after="0"/>
        <w:rPr>
          <w:sz w:val="20"/>
          <w:szCs w:val="20"/>
          <w:color w:val="auto"/>
        </w:rPr>
      </w:pPr>
      <w:r>
        <w:rPr>
          <w:rFonts w:ascii="Arial" w:cs="Arial" w:eastAsia="Arial" w:hAnsi="Arial"/>
          <w:sz w:val="17"/>
          <w:szCs w:val="17"/>
          <w:color w:val="auto"/>
        </w:rPr>
        <w:t>Securities registered pursuant to Section 12(b) of the Act:</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Title of Each Class</w:t>
            </w:r>
          </w:p>
        </w:tc>
        <w:tc>
          <w:tcPr>
            <w:tcW w:w="2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Trading Symbol</w:t>
            </w:r>
          </w:p>
        </w:tc>
        <w:tc>
          <w:tcPr>
            <w:tcW w:w="42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Name of Each Exchange on Which Registered</w:t>
            </w:r>
          </w:p>
        </w:tc>
      </w:tr>
      <w:tr>
        <w:trPr>
          <w:trHeight w:val="58"/>
        </w:trPr>
        <w:tc>
          <w:tcPr>
            <w:tcW w:w="4480" w:type="dxa"/>
            <w:vAlign w:val="bottom"/>
            <w:tcBorders>
              <w:bottom w:val="single" w:sz="8" w:color="auto"/>
              <w:right w:val="single" w:sz="8" w:color="auto"/>
            </w:tcBorders>
          </w:tcPr>
          <w:p>
            <w:pPr>
              <w:spacing w:after="0"/>
              <w:rPr>
                <w:sz w:val="5"/>
                <w:szCs w:val="5"/>
                <w:color w:val="auto"/>
              </w:rPr>
            </w:pPr>
          </w:p>
        </w:tc>
        <w:tc>
          <w:tcPr>
            <w:tcW w:w="2740" w:type="dxa"/>
            <w:vAlign w:val="bottom"/>
            <w:tcBorders>
              <w:bottom w:val="single" w:sz="8" w:color="auto"/>
              <w:right w:val="single" w:sz="8" w:color="auto"/>
            </w:tcBorders>
          </w:tcPr>
          <w:p>
            <w:pPr>
              <w:spacing w:after="0"/>
              <w:rPr>
                <w:sz w:val="5"/>
                <w:szCs w:val="5"/>
                <w:color w:val="auto"/>
              </w:rPr>
            </w:pPr>
          </w:p>
        </w:tc>
        <w:tc>
          <w:tcPr>
            <w:tcW w:w="4200" w:type="dxa"/>
            <w:vAlign w:val="bottom"/>
            <w:tcBorders>
              <w:bottom w:val="single" w:sz="8" w:color="auto"/>
            </w:tcBorders>
          </w:tcPr>
          <w:p>
            <w:pPr>
              <w:spacing w:after="0"/>
              <w:rPr>
                <w:sz w:val="5"/>
                <w:szCs w:val="5"/>
                <w:color w:val="auto"/>
              </w:rPr>
            </w:pPr>
          </w:p>
        </w:tc>
      </w:tr>
      <w:tr>
        <w:trPr>
          <w:trHeight w:val="219"/>
        </w:trPr>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Ordinary shares, $1.00 par value per share</w:t>
            </w: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FTI</w:t>
            </w:r>
          </w:p>
        </w:tc>
        <w:tc>
          <w:tcPr>
            <w:tcW w:w="4200" w:type="dxa"/>
            <w:vAlign w:val="bottom"/>
          </w:tcPr>
          <w:p>
            <w:pPr>
              <w:jc w:val="center"/>
              <w:spacing w:after="0"/>
              <w:rPr>
                <w:sz w:val="20"/>
                <w:szCs w:val="20"/>
                <w:color w:val="auto"/>
              </w:rPr>
            </w:pPr>
            <w:r>
              <w:rPr>
                <w:rFonts w:ascii="Arial" w:cs="Arial" w:eastAsia="Arial" w:hAnsi="Arial"/>
                <w:sz w:val="17"/>
                <w:szCs w:val="17"/>
                <w:color w:val="auto"/>
                <w:w w:val="92"/>
              </w:rPr>
              <w:t>New York Stock Exchange</w:t>
            </w:r>
          </w:p>
        </w:tc>
      </w:tr>
      <w:tr>
        <w:trPr>
          <w:trHeight w:val="58"/>
        </w:trPr>
        <w:tc>
          <w:tcPr>
            <w:tcW w:w="4480" w:type="dxa"/>
            <w:vAlign w:val="bottom"/>
            <w:tcBorders>
              <w:bottom w:val="single" w:sz="8" w:color="auto"/>
              <w:right w:val="single" w:sz="8" w:color="auto"/>
            </w:tcBorders>
          </w:tcPr>
          <w:p>
            <w:pPr>
              <w:spacing w:after="0"/>
              <w:rPr>
                <w:sz w:val="5"/>
                <w:szCs w:val="5"/>
                <w:color w:val="auto"/>
              </w:rPr>
            </w:pPr>
          </w:p>
        </w:tc>
        <w:tc>
          <w:tcPr>
            <w:tcW w:w="2740" w:type="dxa"/>
            <w:vAlign w:val="bottom"/>
            <w:tcBorders>
              <w:bottom w:val="single" w:sz="8" w:color="auto"/>
              <w:right w:val="single" w:sz="8" w:color="auto"/>
            </w:tcBorders>
          </w:tcPr>
          <w:p>
            <w:pPr>
              <w:spacing w:after="0"/>
              <w:rPr>
                <w:sz w:val="5"/>
                <w:szCs w:val="5"/>
                <w:color w:val="auto"/>
              </w:rPr>
            </w:pPr>
          </w:p>
        </w:tc>
        <w:tc>
          <w:tcPr>
            <w:tcW w:w="42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156" w:right="239" w:bottom="1440" w:gutter="0" w:footer="0" w:header="0"/>
        </w:sectPr>
      </w:pPr>
    </w:p>
    <w:bookmarkStart w:id="1" w:name="page2"/>
    <w:bookmarkEnd w:id="1"/>
    <w:p>
      <w:pPr>
        <w:spacing w:after="0" w:line="324"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0"/>
          <w:szCs w:val="20"/>
          <w:color w:val="auto"/>
        </w:rPr>
      </w:pPr>
    </w:p>
    <w:p>
      <w:pPr>
        <w:ind w:right="80"/>
        <w:spacing w:after="0" w:line="25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60"/>
          </w:cols>
          <w:pgMar w:left="240" w:top="719" w:right="299" w:bottom="1440" w:gutter="0" w:footer="0" w:header="0"/>
        </w:sectPr>
      </w:pPr>
    </w:p>
    <w:bookmarkStart w:id="2" w:name="page3"/>
    <w:bookmarkEnd w:id="2"/>
    <w:p>
      <w:pPr>
        <w:ind w:left="1300" w:right="1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314" w:lineRule="exact"/>
        <w:rPr>
          <w:sz w:val="20"/>
          <w:szCs w:val="20"/>
          <w:color w:val="auto"/>
        </w:rPr>
      </w:pPr>
    </w:p>
    <w:p>
      <w:pPr>
        <w:jc w:val="both"/>
        <w:ind w:firstLine="8"/>
        <w:spacing w:after="0" w:line="259" w:lineRule="auto"/>
        <w:tabs>
          <w:tab w:leader="none" w:pos="392"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May 31, 2019, upon the recommendation of the Nominating and Corporate Governance Committee (the “Committee”) of the Board of Directors (the “Board”) of TechnipFMC plc (the “Company”), the Board unanimously appointed Messrs. Olivier Piou and John Yearwood as directors of the Company, effective June 1, 2019. In addition, both will serve on the Nominating and Corporate Governance Committee; Mr. Piou will serve on the Strategy Committee; and Mr. Yearwood will serve on the Compensation Committee.</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their service, each of Messrs. Piou and Yearwood will receive compensation commensurate with that received by the Company’s other non-executive directors as disclosed under the caption “Director Compensation” in the Company’s Definitive Proxy Statement, filed with the Securities and Exchange Commission on March 15, 2019, prorated to reflect their length of service in 2019. Such compensation is in accordance with the Company’s shareholder-approved Director Remuneration Policy.</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On May 31, 2019, the Company issued a news release announcing the new director appointments, a copy of which is filed herewith as Exhibit 99.1.</w:t>
      </w:r>
    </w:p>
    <w:p>
      <w:pPr>
        <w:spacing w:after="0" w:line="20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Exhibits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3"/>
              </w:rPr>
              <w:t>Exhibit No.</w:t>
            </w:r>
          </w:p>
        </w:tc>
        <w:tc>
          <w:tcPr>
            <w:tcW w:w="20" w:type="dxa"/>
            <w:vAlign w:val="bottom"/>
          </w:tcPr>
          <w:p>
            <w:pPr>
              <w:spacing w:after="0"/>
              <w:rPr>
                <w:sz w:val="20"/>
                <w:szCs w:val="20"/>
                <w:color w:val="auto"/>
              </w:rPr>
            </w:pPr>
          </w:p>
        </w:tc>
        <w:tc>
          <w:tcPr>
            <w:tcW w:w="9220" w:type="dxa"/>
            <w:vAlign w:val="bottom"/>
            <w:gridSpan w:val="2"/>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162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r>
      <w:tr>
        <w:trPr>
          <w:trHeight w:val="196"/>
        </w:trPr>
        <w:tc>
          <w:tcPr>
            <w:tcW w:w="1620" w:type="dxa"/>
            <w:vAlign w:val="bottom"/>
          </w:tcPr>
          <w:p>
            <w:pPr>
              <w:jc w:val="right"/>
              <w:ind w:right="570"/>
              <w:spacing w:after="0" w:line="196" w:lineRule="exact"/>
              <w:rPr>
                <w:sz w:val="20"/>
                <w:szCs w:val="20"/>
                <w:color w:val="auto"/>
              </w:rPr>
            </w:pPr>
            <w:r>
              <w:rPr>
                <w:rFonts w:ascii="Arial" w:cs="Arial" w:eastAsia="Arial" w:hAnsi="Arial"/>
                <w:sz w:val="18"/>
                <w:szCs w:val="18"/>
                <w:color w:val="auto"/>
              </w:rPr>
              <w:t>99.1</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tcBorders>
              <w:bottom w:val="single" w:sz="8" w:color="0000FF"/>
            </w:tcBorders>
          </w:tcPr>
          <w:p>
            <w:pPr>
              <w:spacing w:after="0" w:line="196" w:lineRule="exact"/>
              <w:rPr>
                <w:rFonts w:ascii="Arial" w:cs="Arial" w:eastAsia="Arial" w:hAnsi="Arial"/>
                <w:sz w:val="18"/>
                <w:szCs w:val="18"/>
                <w:color w:val="0000FF"/>
                <w:w w:val="90"/>
              </w:rPr>
            </w:pPr>
            <w:hyperlink w:anchor="page5">
              <w:r>
                <w:rPr>
                  <w:rFonts w:ascii="Arial" w:cs="Arial" w:eastAsia="Arial" w:hAnsi="Arial"/>
                  <w:sz w:val="18"/>
                  <w:szCs w:val="18"/>
                  <w:color w:val="0000FF"/>
                  <w:w w:val="90"/>
                </w:rPr>
                <w:t>News Release issued by TechnipFMC plc dated May 31, 2019</w:t>
              </w:r>
            </w:hyperlink>
          </w:p>
        </w:tc>
        <w:tc>
          <w:tcPr>
            <w:tcW w:w="4720" w:type="dxa"/>
            <w:vAlign w:val="bottom"/>
          </w:tcPr>
          <w:p>
            <w:pPr>
              <w:spacing w:after="0"/>
              <w:rPr>
                <w:sz w:val="17"/>
                <w:szCs w:val="17"/>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760" w:type="dxa"/>
            <w:vAlign w:val="bottom"/>
            <w:gridSpan w:val="3"/>
          </w:tcPr>
          <w:p>
            <w:pPr>
              <w:ind w:left="2200"/>
              <w:spacing w:after="0"/>
              <w:rPr>
                <w:sz w:val="20"/>
                <w:szCs w:val="20"/>
                <w:color w:val="auto"/>
              </w:rPr>
            </w:pPr>
            <w:r>
              <w:rPr>
                <w:rFonts w:ascii="Arial" w:cs="Arial" w:eastAsia="Arial" w:hAnsi="Arial"/>
                <w:sz w:val="18"/>
                <w:szCs w:val="18"/>
                <w:b w:val="1"/>
                <w:bCs w:val="1"/>
                <w:color w:val="auto"/>
              </w:rPr>
              <w:t>TechnipFMC plc</w:t>
            </w:r>
          </w:p>
        </w:tc>
      </w:tr>
      <w:tr>
        <w:trPr>
          <w:trHeight w:val="230"/>
        </w:trPr>
        <w:tc>
          <w:tcPr>
            <w:tcW w:w="3660" w:type="dxa"/>
            <w:vAlign w:val="bottom"/>
          </w:tcPr>
          <w:p>
            <w:pPr>
              <w:ind w:left="40"/>
              <w:spacing w:after="0"/>
              <w:rPr>
                <w:sz w:val="20"/>
                <w:szCs w:val="20"/>
                <w:color w:val="auto"/>
              </w:rPr>
            </w:pPr>
            <w:r>
              <w:rPr>
                <w:rFonts w:ascii="Arial" w:cs="Arial" w:eastAsia="Arial" w:hAnsi="Arial"/>
                <w:sz w:val="18"/>
                <w:szCs w:val="18"/>
                <w:color w:val="auto"/>
              </w:rPr>
              <w:t>Date: May 31, 2019</w:t>
            </w:r>
          </w:p>
        </w:tc>
        <w:tc>
          <w:tcPr>
            <w:tcW w:w="3120" w:type="dxa"/>
            <w:vAlign w:val="bottom"/>
          </w:tcPr>
          <w:p>
            <w:pPr>
              <w:ind w:left="2200"/>
              <w:spacing w:after="0"/>
              <w:rPr>
                <w:sz w:val="20"/>
                <w:szCs w:val="20"/>
                <w:color w:val="auto"/>
              </w:rPr>
            </w:pPr>
            <w:r>
              <w:rPr>
                <w:rFonts w:ascii="Arial" w:cs="Arial" w:eastAsia="Arial" w:hAnsi="Arial"/>
                <w:sz w:val="18"/>
                <w:szCs w:val="18"/>
                <w:color w:val="auto"/>
              </w:rPr>
              <w:t>By:</w:t>
            </w:r>
          </w:p>
        </w:tc>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Dianne B. Ralston</w:t>
            </w:r>
          </w:p>
        </w:tc>
        <w:tc>
          <w:tcPr>
            <w:tcW w:w="3100" w:type="dxa"/>
            <w:vAlign w:val="bottom"/>
          </w:tcPr>
          <w:p>
            <w:pPr>
              <w:spacing w:after="0"/>
              <w:rPr>
                <w:sz w:val="19"/>
                <w:szCs w:val="19"/>
                <w:color w:val="auto"/>
              </w:rPr>
            </w:pPr>
          </w:p>
        </w:tc>
      </w:tr>
      <w:tr>
        <w:trPr>
          <w:trHeight w:val="291"/>
        </w:trPr>
        <w:tc>
          <w:tcPr>
            <w:tcW w:w="3660" w:type="dxa"/>
            <w:vAlign w:val="bottom"/>
          </w:tcPr>
          <w:p>
            <w:pPr>
              <w:spacing w:after="0"/>
              <w:rPr>
                <w:sz w:val="24"/>
                <w:szCs w:val="24"/>
                <w:color w:val="auto"/>
              </w:rPr>
            </w:pPr>
          </w:p>
        </w:tc>
        <w:tc>
          <w:tcPr>
            <w:tcW w:w="3120" w:type="dxa"/>
            <w:vAlign w:val="bottom"/>
          </w:tcPr>
          <w:p>
            <w:pPr>
              <w:ind w:left="2200"/>
              <w:spacing w:after="0"/>
              <w:rPr>
                <w:sz w:val="20"/>
                <w:szCs w:val="20"/>
                <w:color w:val="auto"/>
              </w:rPr>
            </w:pPr>
            <w:r>
              <w:rPr>
                <w:rFonts w:ascii="Arial" w:cs="Arial" w:eastAsia="Arial" w:hAnsi="Arial"/>
                <w:sz w:val="18"/>
                <w:szCs w:val="18"/>
                <w:color w:val="auto"/>
              </w:rPr>
              <w:t>Name:</w:t>
            </w:r>
          </w:p>
        </w:tc>
        <w:tc>
          <w:tcPr>
            <w:tcW w:w="4640" w:type="dxa"/>
            <w:vAlign w:val="bottom"/>
            <w:gridSpan w:val="2"/>
          </w:tcPr>
          <w:p>
            <w:pPr>
              <w:spacing w:after="0"/>
              <w:rPr>
                <w:sz w:val="20"/>
                <w:szCs w:val="20"/>
                <w:color w:val="auto"/>
              </w:rPr>
            </w:pPr>
            <w:r>
              <w:rPr>
                <w:rFonts w:ascii="Arial" w:cs="Arial" w:eastAsia="Arial" w:hAnsi="Arial"/>
                <w:sz w:val="18"/>
                <w:szCs w:val="18"/>
                <w:color w:val="auto"/>
              </w:rPr>
              <w:t>Dianne B. Ralston</w:t>
            </w:r>
          </w:p>
        </w:tc>
      </w:tr>
      <w:tr>
        <w:trPr>
          <w:trHeight w:val="270"/>
        </w:trPr>
        <w:tc>
          <w:tcPr>
            <w:tcW w:w="3660" w:type="dxa"/>
            <w:vAlign w:val="bottom"/>
          </w:tcPr>
          <w:p>
            <w:pPr>
              <w:spacing w:after="0"/>
              <w:rPr>
                <w:sz w:val="23"/>
                <w:szCs w:val="23"/>
                <w:color w:val="auto"/>
              </w:rPr>
            </w:pPr>
          </w:p>
        </w:tc>
        <w:tc>
          <w:tcPr>
            <w:tcW w:w="3120" w:type="dxa"/>
            <w:vAlign w:val="bottom"/>
          </w:tcPr>
          <w:p>
            <w:pPr>
              <w:ind w:left="2200"/>
              <w:spacing w:after="0"/>
              <w:rPr>
                <w:sz w:val="20"/>
                <w:szCs w:val="20"/>
                <w:color w:val="auto"/>
              </w:rPr>
            </w:pPr>
            <w:r>
              <w:rPr>
                <w:rFonts w:ascii="Arial" w:cs="Arial" w:eastAsia="Arial" w:hAnsi="Arial"/>
                <w:sz w:val="18"/>
                <w:szCs w:val="18"/>
                <w:color w:val="auto"/>
              </w:rPr>
              <w:t>Title:</w:t>
            </w:r>
          </w:p>
        </w:tc>
        <w:tc>
          <w:tcPr>
            <w:tcW w:w="4640" w:type="dxa"/>
            <w:vAlign w:val="bottom"/>
            <w:gridSpan w:val="2"/>
          </w:tcPr>
          <w:p>
            <w:pPr>
              <w:spacing w:after="0"/>
              <w:rPr>
                <w:sz w:val="20"/>
                <w:szCs w:val="20"/>
                <w:color w:val="auto"/>
              </w:rPr>
            </w:pPr>
            <w:r>
              <w:rPr>
                <w:rFonts w:ascii="Arial" w:cs="Arial" w:eastAsia="Arial" w:hAnsi="Arial"/>
                <w:sz w:val="18"/>
                <w:szCs w:val="18"/>
                <w:color w:val="auto"/>
              </w:rPr>
              <w:t>Executive Vice President,</w:t>
            </w:r>
          </w:p>
        </w:tc>
      </w:tr>
      <w:tr>
        <w:trPr>
          <w:trHeight w:val="270"/>
        </w:trPr>
        <w:tc>
          <w:tcPr>
            <w:tcW w:w="366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Chief Legal Officer and Secretary</w:t>
            </w:r>
          </w:p>
        </w:tc>
      </w:tr>
      <w:tr>
        <w:trPr>
          <w:trHeight w:val="1236"/>
        </w:trPr>
        <w:tc>
          <w:tcPr>
            <w:tcW w:w="366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4" w:name="page5"/>
    <w:bookmarkEnd w:id="4"/>
    <w:p>
      <w:pPr>
        <w:spacing w:after="0"/>
        <w:rPr>
          <w:sz w:val="20"/>
          <w:szCs w:val="20"/>
          <w:color w:val="auto"/>
        </w:rPr>
      </w:pPr>
      <w:r>
        <w:rPr>
          <w:sz w:val="1"/>
          <w:szCs w:val="1"/>
          <w:color w:val="auto"/>
        </w:rPr>
        <w:drawing>
          <wp:inline distT="0" distB="0" distL="0" distR="0">
            <wp:extent cx="2452370" cy="4457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52370" cy="445770"/>
                    </a:xfrm>
                    <a:prstGeom prst="rect">
                      <a:avLst/>
                    </a:prstGeom>
                    <a:noFill/>
                    <a:ln>
                      <a:noFill/>
                    </a:ln>
                  </pic:spPr>
                </pic:pic>
              </a:graphicData>
            </a:graphic>
          </wp:inline>
        </w:drawing>
      </w:r>
      <w:r>
        <w:rPr>
          <w:rFonts w:ascii="Arial" w:cs="Arial" w:eastAsia="Arial" w:hAnsi="Arial"/>
          <w:sz w:val="29"/>
          <w:szCs w:val="29"/>
          <w:color w:val="A6A6A6"/>
        </w:rPr>
        <w:t>Press Release</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TechnipFMC names Olivier Piou and John Yearwood to its Board of Directors</w:t>
      </w:r>
    </w:p>
    <w:p>
      <w:pPr>
        <w:spacing w:after="0" w:line="307" w:lineRule="exact"/>
        <w:rPr>
          <w:sz w:val="20"/>
          <w:szCs w:val="20"/>
          <w:color w:val="auto"/>
        </w:rPr>
      </w:pPr>
    </w:p>
    <w:p>
      <w:pPr>
        <w:jc w:val="both"/>
        <w:spacing w:after="0" w:line="261" w:lineRule="auto"/>
        <w:rPr>
          <w:sz w:val="20"/>
          <w:szCs w:val="20"/>
          <w:color w:val="auto"/>
        </w:rPr>
      </w:pPr>
      <w:r>
        <w:rPr>
          <w:rFonts w:ascii="Arial" w:cs="Arial" w:eastAsia="Arial" w:hAnsi="Arial"/>
          <w:sz w:val="25"/>
          <w:szCs w:val="25"/>
          <w:b w:val="1"/>
          <w:bCs w:val="1"/>
          <w:color w:val="auto"/>
        </w:rPr>
        <w:t xml:space="preserve">LONDON, PARIS, HOUSTON, May 31, 2019 </w:t>
      </w:r>
      <w:r>
        <w:rPr>
          <w:rFonts w:ascii="Arial" w:cs="Arial" w:eastAsia="Arial" w:hAnsi="Arial"/>
          <w:sz w:val="25"/>
          <w:szCs w:val="25"/>
          <w:color w:val="auto"/>
        </w:rPr>
        <w:t>— TechnipFMC (NYSE: FTI) (PARIS: FTI) announces</w:t>
      </w:r>
      <w:r>
        <w:rPr>
          <w:rFonts w:ascii="Arial" w:cs="Arial" w:eastAsia="Arial" w:hAnsi="Arial"/>
          <w:sz w:val="25"/>
          <w:szCs w:val="25"/>
          <w:b w:val="1"/>
          <w:bCs w:val="1"/>
          <w:color w:val="auto"/>
        </w:rPr>
        <w:t xml:space="preserve"> </w:t>
      </w:r>
      <w:r>
        <w:rPr>
          <w:rFonts w:ascii="Arial" w:cs="Arial" w:eastAsia="Arial" w:hAnsi="Arial"/>
          <w:sz w:val="25"/>
          <w:szCs w:val="25"/>
          <w:color w:val="auto"/>
        </w:rPr>
        <w:t>today that Olivier Piou, former Chief Executive Officer of Gemalto N.V., and John Yearwood, former Chief Executive Officer of Smith International, Inc., have been named to its Board of Directors, effective June 1, 2019.</w:t>
      </w:r>
    </w:p>
    <w:p>
      <w:pPr>
        <w:spacing w:after="0" w:line="267" w:lineRule="exact"/>
        <w:rPr>
          <w:sz w:val="20"/>
          <w:szCs w:val="20"/>
          <w:color w:val="auto"/>
        </w:rPr>
      </w:pPr>
    </w:p>
    <w:p>
      <w:pPr>
        <w:jc w:val="both"/>
        <w:spacing w:after="0" w:line="250" w:lineRule="auto"/>
        <w:rPr>
          <w:sz w:val="20"/>
          <w:szCs w:val="20"/>
          <w:color w:val="auto"/>
        </w:rPr>
      </w:pPr>
      <w:r>
        <w:rPr>
          <w:rFonts w:ascii="Arial" w:cs="Arial" w:eastAsia="Arial" w:hAnsi="Arial"/>
          <w:sz w:val="25"/>
          <w:szCs w:val="25"/>
          <w:color w:val="auto"/>
        </w:rPr>
        <w:t>Doug Pferdehirt, Chairman and CEO of TechnipFMC, stated “I am pleased to welcome John and Olivier to the Board as the first new members since our merger. Both bring proven leadership and the global perspective gained as the CEO of an international public company. Olivier’s extensive knowledge of digital enterprise development will be invaluable as we continue to execute on our digital transformation strategy. John’s deep knowledge of manufacturing and oilfield services will support the continued differentiation and growth of our businesses. Because of their diverse experiences, John and Olivier are a strong complement to our Board of Directors and will further strengthen the Board’s breadth of talent and competencies.”</w:t>
      </w:r>
    </w:p>
    <w:p>
      <w:pPr>
        <w:spacing w:after="0" w:line="278" w:lineRule="exact"/>
        <w:rPr>
          <w:sz w:val="20"/>
          <w:szCs w:val="20"/>
          <w:color w:val="auto"/>
        </w:rPr>
      </w:pPr>
    </w:p>
    <w:p>
      <w:pPr>
        <w:jc w:val="both"/>
        <w:spacing w:after="0" w:line="261" w:lineRule="auto"/>
        <w:rPr>
          <w:sz w:val="20"/>
          <w:szCs w:val="20"/>
          <w:color w:val="auto"/>
        </w:rPr>
      </w:pPr>
      <w:r>
        <w:rPr>
          <w:rFonts w:ascii="Arial" w:cs="Arial" w:eastAsia="Arial" w:hAnsi="Arial"/>
          <w:sz w:val="25"/>
          <w:szCs w:val="25"/>
          <w:color w:val="auto"/>
        </w:rPr>
        <w:t>Mr. Piou will serve on the Strategy Committee and Mr. Yearwood will serve on the Compensation Committee. Both will serve on the Nominating and Corporate Governance Committee.</w:t>
      </w:r>
    </w:p>
    <w:p>
      <w:pPr>
        <w:spacing w:after="0" w:line="23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About Olivier Piou</w:t>
      </w:r>
    </w:p>
    <w:p>
      <w:pPr>
        <w:spacing w:after="0" w:line="339" w:lineRule="exact"/>
        <w:rPr>
          <w:sz w:val="20"/>
          <w:szCs w:val="20"/>
          <w:color w:val="auto"/>
        </w:rPr>
      </w:pPr>
    </w:p>
    <w:p>
      <w:pPr>
        <w:jc w:val="both"/>
        <w:spacing w:after="0" w:line="246" w:lineRule="auto"/>
        <w:rPr>
          <w:sz w:val="20"/>
          <w:szCs w:val="20"/>
          <w:color w:val="auto"/>
        </w:rPr>
      </w:pPr>
      <w:r>
        <w:rPr>
          <w:rFonts w:ascii="Arial" w:cs="Arial" w:eastAsia="Arial" w:hAnsi="Arial"/>
          <w:sz w:val="25"/>
          <w:szCs w:val="25"/>
          <w:color w:val="auto"/>
        </w:rPr>
        <w:t>Mr. Piou, 60, was the Chief Executive Officer and Board member of Gemalto N.V., an international digital security company, from 2006 to 2016. Gemalto was formed through the combination of Axalto N.V. and Gemplus International. Mr. Piou served as Chief Executive Officer and Board Member of Axalto N.V. from its 2004 initial public offering until its combination with Gemplus in 2006. Mr. Piou began his career at Schlumberger Limited where he held progressively senior positions covering technology, marketing, and operations in Schlumberger’s Oil &amp; Gas and Technology businesses over the course of 23 years. Mr. Piou currently serves on the Board of Directors of Nokia Oyj and Valeo S.A.</w:t>
      </w:r>
      <w:r>
        <w:rPr>
          <w:rFonts w:ascii="Arial" w:cs="Arial" w:eastAsia="Arial" w:hAnsi="Arial"/>
          <w:sz w:val="28"/>
          <w:szCs w:val="28"/>
          <w:color w:val="auto"/>
          <w:vertAlign w:val="superscript"/>
        </w:rPr>
        <w:t>.</w:t>
      </w:r>
      <w:r>
        <w:rPr>
          <w:rFonts w:ascii="Arial" w:cs="Arial" w:eastAsia="Arial" w:hAnsi="Arial"/>
          <w:sz w:val="25"/>
          <w:szCs w:val="25"/>
          <w:color w:val="auto"/>
        </w:rPr>
        <w:t xml:space="preserve"> He previously served on the Boards of Directors of Alcatel-Lucent (2008 to 2016), Axalto N.V. (2004 to 2006), and Gemalto N.V. (2006 to 2016). Mr. Piou holds a Master’s Degree in engineering from Ecole Centrale de Lyon, France.</w:t>
      </w:r>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About John Yearwood</w:t>
      </w:r>
    </w:p>
    <w:p>
      <w:pPr>
        <w:spacing w:after="0" w:line="339" w:lineRule="exact"/>
        <w:rPr>
          <w:sz w:val="20"/>
          <w:szCs w:val="20"/>
          <w:color w:val="auto"/>
        </w:rPr>
      </w:pPr>
    </w:p>
    <w:p>
      <w:pPr>
        <w:jc w:val="both"/>
        <w:spacing w:after="0" w:line="249" w:lineRule="auto"/>
        <w:rPr>
          <w:sz w:val="20"/>
          <w:szCs w:val="20"/>
          <w:color w:val="auto"/>
        </w:rPr>
      </w:pPr>
      <w:r>
        <w:rPr>
          <w:rFonts w:ascii="Arial" w:cs="Arial" w:eastAsia="Arial" w:hAnsi="Arial"/>
          <w:sz w:val="25"/>
          <w:szCs w:val="25"/>
          <w:color w:val="auto"/>
        </w:rPr>
        <w:t>John Yearwood, 59, was Chief Executive Officer, President, and Chief Operating Officer of Smith International, Inc., which was a supplier of services and manufactured products to oil and gas exploration and production companies, from 2009 to 2010 when Smith International merged with Schlumberger Limited. He served as Smith International’s Executive Vice President and President of Completion and Production from September to December 2008. Prior to joining Smith International, Mr. Yearwood spent over 26 years at Schlumberger in a succession of executive leadership positions, including President, North and South America Oilfield Services; Vice President, Finance, WesternGeco, and Oilfield Services Controller. Mr. Yearwood currently serves as the Lead Director of Nabors Industries Ltd. He previously served on the Board of Directors of Sabine Oil &amp; Gas Corp. Mr. Yearwood holds a Bachelor of Science Honors degree in Geology and Environment from Oxford Polytechnic, subsequently renamed Oxford Brookes University, United Kingdom.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808080"/>
        </w:rPr>
        <w:t>About TechnipFMC</w:t>
      </w:r>
    </w:p>
    <w:p>
      <w:pPr>
        <w:sectPr>
          <w:pgSz w:w="11900" w:h="16838" w:orient="portrait"/>
          <w:cols w:equalWidth="0" w:num="1">
            <w:col w:w="11420"/>
          </w:cols>
          <w:pgMar w:left="240" w:top="383" w:right="239" w:bottom="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i w:val="1"/>
          <w:iCs w:val="1"/>
          <w:color w:val="808080"/>
        </w:rPr>
        <w:t>TechnipFMC is a global leader in subsea, onshore/offshore, and surface projects. With our proprietary technologies and</w:t>
      </w:r>
    </w:p>
    <w:p>
      <w:pPr>
        <w:sectPr>
          <w:pgSz w:w="11900" w:h="16838" w:orient="portrait"/>
          <w:cols w:equalWidth="0" w:num="1">
            <w:col w:w="11420"/>
          </w:cols>
          <w:pgMar w:left="240" w:top="383" w:right="239" w:bottom="0" w:gutter="0" w:footer="0" w:header="0"/>
          <w:type w:val="continuous"/>
        </w:sectPr>
      </w:pPr>
    </w:p>
    <w:bookmarkStart w:id="5" w:name="page6"/>
    <w:bookmarkEnd w:id="5"/>
    <w:p>
      <w:pPr>
        <w:spacing w:after="0"/>
        <w:rPr>
          <w:sz w:val="20"/>
          <w:szCs w:val="20"/>
          <w:color w:val="auto"/>
        </w:rPr>
      </w:pPr>
      <w:r>
        <w:rPr>
          <w:rFonts w:ascii="Arial" w:cs="Arial" w:eastAsia="Arial" w:hAnsi="Arial"/>
          <w:sz w:val="20"/>
          <w:szCs w:val="20"/>
          <w:i w:val="1"/>
          <w:iCs w:val="1"/>
          <w:color w:val="808080"/>
        </w:rPr>
        <w:t>production systems, integrated expertise, and comprehensive solutions, we are transforming our clients’ project economics.</w:t>
      </w:r>
    </w:p>
    <w:p>
      <w:pPr>
        <w:spacing w:after="0" w:line="176" w:lineRule="exact"/>
        <w:rPr>
          <w:sz w:val="20"/>
          <w:szCs w:val="20"/>
          <w:color w:val="auto"/>
        </w:rPr>
      </w:pPr>
    </w:p>
    <w:p>
      <w:pPr>
        <w:spacing w:after="0" w:line="253" w:lineRule="auto"/>
        <w:rPr>
          <w:sz w:val="20"/>
          <w:szCs w:val="20"/>
          <w:color w:val="auto"/>
        </w:rPr>
      </w:pPr>
      <w:r>
        <w:rPr>
          <w:rFonts w:ascii="Arial" w:cs="Arial" w:eastAsia="Arial" w:hAnsi="Arial"/>
          <w:sz w:val="20"/>
          <w:szCs w:val="20"/>
          <w:i w:val="1"/>
          <w:iCs w:val="1"/>
          <w:color w:val="808080"/>
        </w:rPr>
        <w:t>We are uniquely positioned to deliver greater efficiency across project lifecycles from concept to project delivery and beyond. Through innovative technologies and improved efficiencies, our offering unlocks new possibilities for our clients in developing their oil and gas resources.</w:t>
      </w:r>
    </w:p>
    <w:p>
      <w:pPr>
        <w:spacing w:after="0" w:line="137" w:lineRule="exact"/>
        <w:rPr>
          <w:sz w:val="20"/>
          <w:szCs w:val="20"/>
          <w:color w:val="auto"/>
        </w:rPr>
      </w:pPr>
    </w:p>
    <w:p>
      <w:pPr>
        <w:ind w:right="500"/>
        <w:spacing w:after="0" w:line="267" w:lineRule="auto"/>
        <w:rPr>
          <w:sz w:val="20"/>
          <w:szCs w:val="20"/>
          <w:color w:val="auto"/>
        </w:rPr>
      </w:pPr>
      <w:r>
        <w:rPr>
          <w:rFonts w:ascii="Arial" w:cs="Arial" w:eastAsia="Arial" w:hAnsi="Arial"/>
          <w:sz w:val="20"/>
          <w:szCs w:val="20"/>
          <w:i w:val="1"/>
          <w:iCs w:val="1"/>
          <w:color w:val="808080"/>
        </w:rPr>
        <w:t>Each of our more than 37,000 employees is driven by a steady commitment to clients and a culture of purposeful innovation, challenging industry conventions, and rethinking how the best results are achieved.</w:t>
      </w:r>
    </w:p>
    <w:p>
      <w:pPr>
        <w:spacing w:after="0" w:line="123" w:lineRule="exact"/>
        <w:rPr>
          <w:sz w:val="20"/>
          <w:szCs w:val="20"/>
          <w:color w:val="auto"/>
        </w:rPr>
      </w:pPr>
    </w:p>
    <w:p>
      <w:pPr>
        <w:ind w:right="280"/>
        <w:spacing w:after="0" w:line="267" w:lineRule="auto"/>
        <w:rPr>
          <w:sz w:val="20"/>
          <w:szCs w:val="20"/>
          <w:color w:val="auto"/>
        </w:rPr>
      </w:pPr>
      <w:r>
        <w:rPr>
          <w:rFonts w:ascii="Arial" w:cs="Arial" w:eastAsia="Arial" w:hAnsi="Arial"/>
          <w:sz w:val="20"/>
          <w:szCs w:val="20"/>
          <w:i w:val="1"/>
          <w:iCs w:val="1"/>
          <w:color w:val="808080"/>
        </w:rPr>
        <w:t>To learn more about us and how we are enhancing the performance of the world’s energy industry, go to TechnipFMC.com and follow us on Twitter @TechnipFMC.</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Contacts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88"/>
        </w:trPr>
        <w:tc>
          <w:tcPr>
            <w:tcW w:w="4260" w:type="dxa"/>
            <w:vAlign w:val="bottom"/>
            <w:gridSpan w:val="4"/>
          </w:tcPr>
          <w:p>
            <w:pPr>
              <w:spacing w:after="0"/>
              <w:rPr>
                <w:sz w:val="20"/>
                <w:szCs w:val="20"/>
                <w:color w:val="auto"/>
              </w:rPr>
            </w:pPr>
            <w:r>
              <w:rPr>
                <w:rFonts w:ascii="Arial" w:cs="Arial" w:eastAsia="Arial" w:hAnsi="Arial"/>
                <w:sz w:val="20"/>
                <w:szCs w:val="20"/>
                <w:b w:val="1"/>
                <w:bCs w:val="1"/>
                <w:color w:val="auto"/>
              </w:rPr>
              <w:t>Investor relations</w:t>
            </w:r>
          </w:p>
        </w:tc>
        <w:tc>
          <w:tcPr>
            <w:tcW w:w="5120" w:type="dxa"/>
            <w:vAlign w:val="bottom"/>
            <w:gridSpan w:val="4"/>
          </w:tcPr>
          <w:p>
            <w:pPr>
              <w:ind w:left="1120"/>
              <w:spacing w:after="0"/>
              <w:rPr>
                <w:sz w:val="20"/>
                <w:szCs w:val="20"/>
                <w:color w:val="auto"/>
              </w:rPr>
            </w:pPr>
            <w:r>
              <w:rPr>
                <w:rFonts w:ascii="Arial" w:cs="Arial" w:eastAsia="Arial" w:hAnsi="Arial"/>
                <w:sz w:val="20"/>
                <w:szCs w:val="20"/>
                <w:b w:val="1"/>
                <w:bCs w:val="1"/>
                <w:color w:val="auto"/>
              </w:rPr>
              <w:t>Media relations</w:t>
            </w:r>
          </w:p>
        </w:tc>
      </w:tr>
      <w:tr>
        <w:trPr>
          <w:trHeight w:val="344"/>
        </w:trPr>
        <w:tc>
          <w:tcPr>
            <w:tcW w:w="4260" w:type="dxa"/>
            <w:vAlign w:val="bottom"/>
            <w:gridSpan w:val="4"/>
          </w:tcPr>
          <w:p>
            <w:pPr>
              <w:spacing w:after="0"/>
              <w:rPr>
                <w:sz w:val="20"/>
                <w:szCs w:val="20"/>
                <w:color w:val="auto"/>
              </w:rPr>
            </w:pPr>
            <w:r>
              <w:rPr>
                <w:rFonts w:ascii="Arial" w:cs="Arial" w:eastAsia="Arial" w:hAnsi="Arial"/>
                <w:sz w:val="20"/>
                <w:szCs w:val="20"/>
                <w:color w:val="auto"/>
              </w:rPr>
              <w:t>Matt Seinsheimer</w:t>
            </w:r>
          </w:p>
        </w:tc>
        <w:tc>
          <w:tcPr>
            <w:tcW w:w="5120" w:type="dxa"/>
            <w:vAlign w:val="bottom"/>
            <w:gridSpan w:val="4"/>
          </w:tcPr>
          <w:p>
            <w:pPr>
              <w:ind w:left="1120"/>
              <w:spacing w:after="0"/>
              <w:rPr>
                <w:sz w:val="20"/>
                <w:szCs w:val="20"/>
                <w:color w:val="auto"/>
              </w:rPr>
            </w:pPr>
            <w:r>
              <w:rPr>
                <w:rFonts w:ascii="Arial" w:cs="Arial" w:eastAsia="Arial" w:hAnsi="Arial"/>
                <w:sz w:val="20"/>
                <w:szCs w:val="20"/>
                <w:color w:val="auto"/>
              </w:rPr>
              <w:t>Christophe Bélorgeot</w:t>
            </w:r>
          </w:p>
        </w:tc>
      </w:tr>
      <w:tr>
        <w:trPr>
          <w:trHeight w:val="216"/>
        </w:trPr>
        <w:tc>
          <w:tcPr>
            <w:tcW w:w="4260" w:type="dxa"/>
            <w:vAlign w:val="bottom"/>
            <w:gridSpan w:val="4"/>
          </w:tcPr>
          <w:p>
            <w:pPr>
              <w:spacing w:after="0" w:line="216" w:lineRule="exact"/>
              <w:rPr>
                <w:sz w:val="20"/>
                <w:szCs w:val="20"/>
                <w:color w:val="auto"/>
              </w:rPr>
            </w:pPr>
            <w:r>
              <w:rPr>
                <w:rFonts w:ascii="Arial" w:cs="Arial" w:eastAsia="Arial" w:hAnsi="Arial"/>
                <w:sz w:val="20"/>
                <w:szCs w:val="20"/>
                <w:color w:val="auto"/>
              </w:rPr>
              <w:t>Vice President Investor Relations</w:t>
            </w:r>
          </w:p>
        </w:tc>
        <w:tc>
          <w:tcPr>
            <w:tcW w:w="5120" w:type="dxa"/>
            <w:vAlign w:val="bottom"/>
            <w:gridSpan w:val="4"/>
          </w:tcPr>
          <w:p>
            <w:pPr>
              <w:ind w:left="1120"/>
              <w:spacing w:after="0" w:line="216" w:lineRule="exact"/>
              <w:rPr>
                <w:sz w:val="20"/>
                <w:szCs w:val="20"/>
                <w:color w:val="auto"/>
              </w:rPr>
            </w:pPr>
            <w:r>
              <w:rPr>
                <w:rFonts w:ascii="Arial" w:cs="Arial" w:eastAsia="Arial" w:hAnsi="Arial"/>
                <w:sz w:val="20"/>
                <w:szCs w:val="20"/>
                <w:color w:val="auto"/>
                <w:w w:val="98"/>
              </w:rPr>
              <w:t>Senior Vice President Corporate Engagement</w:t>
            </w:r>
          </w:p>
        </w:tc>
      </w:tr>
      <w:tr>
        <w:trPr>
          <w:trHeight w:val="203"/>
        </w:trPr>
        <w:tc>
          <w:tcPr>
            <w:tcW w:w="4260" w:type="dxa"/>
            <w:vAlign w:val="bottom"/>
            <w:gridSpan w:val="4"/>
          </w:tcPr>
          <w:p>
            <w:pPr>
              <w:spacing w:after="0" w:line="203" w:lineRule="exact"/>
              <w:rPr>
                <w:sz w:val="20"/>
                <w:szCs w:val="20"/>
                <w:color w:val="auto"/>
              </w:rPr>
            </w:pPr>
            <w:r>
              <w:rPr>
                <w:rFonts w:ascii="Arial" w:cs="Arial" w:eastAsia="Arial" w:hAnsi="Arial"/>
                <w:sz w:val="20"/>
                <w:szCs w:val="20"/>
                <w:color w:val="auto"/>
              </w:rPr>
              <w:t>Tel: +1 281 260 3665</w:t>
            </w:r>
          </w:p>
        </w:tc>
        <w:tc>
          <w:tcPr>
            <w:tcW w:w="5120" w:type="dxa"/>
            <w:vAlign w:val="bottom"/>
            <w:gridSpan w:val="4"/>
          </w:tcPr>
          <w:p>
            <w:pPr>
              <w:ind w:left="1120"/>
              <w:spacing w:after="0" w:line="203" w:lineRule="exact"/>
              <w:rPr>
                <w:sz w:val="20"/>
                <w:szCs w:val="20"/>
                <w:color w:val="auto"/>
              </w:rPr>
            </w:pPr>
            <w:r>
              <w:rPr>
                <w:rFonts w:ascii="Arial" w:cs="Arial" w:eastAsia="Arial" w:hAnsi="Arial"/>
                <w:sz w:val="20"/>
                <w:szCs w:val="20"/>
                <w:color w:val="auto"/>
              </w:rPr>
              <w:t>Tel: +33 1 47 78 39 92</w:t>
            </w:r>
          </w:p>
        </w:tc>
      </w:tr>
      <w:tr>
        <w:trPr>
          <w:trHeight w:val="206"/>
        </w:trPr>
        <w:tc>
          <w:tcPr>
            <w:tcW w:w="4260" w:type="dxa"/>
            <w:vAlign w:val="bottom"/>
            <w:gridSpan w:val="4"/>
          </w:tcPr>
          <w:p>
            <w:pPr>
              <w:spacing w:after="0" w:line="186"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FF"/>
              </w:rPr>
              <w:t>Matt Seinsheimer</w:t>
            </w:r>
          </w:p>
        </w:tc>
        <w:tc>
          <w:tcPr>
            <w:tcW w:w="5120" w:type="dxa"/>
            <w:vAlign w:val="bottom"/>
            <w:gridSpan w:val="4"/>
          </w:tcPr>
          <w:p>
            <w:pPr>
              <w:ind w:left="1120"/>
              <w:spacing w:after="0" w:line="186"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FF"/>
              </w:rPr>
              <w:t>Christophe Belorgeot</w:t>
            </w:r>
          </w:p>
        </w:tc>
      </w:tr>
      <w:tr>
        <w:trPr>
          <w:trHeight w:val="20"/>
        </w:trPr>
        <w:tc>
          <w:tcPr>
            <w:tcW w:w="600" w:type="dxa"/>
            <w:vAlign w:val="bottom"/>
          </w:tcPr>
          <w:p>
            <w:pPr>
              <w:spacing w:after="0" w:line="20" w:lineRule="exact"/>
              <w:rPr>
                <w:sz w:val="1"/>
                <w:szCs w:val="1"/>
                <w:color w:val="auto"/>
              </w:rPr>
            </w:pPr>
          </w:p>
        </w:tc>
        <w:tc>
          <w:tcPr>
            <w:tcW w:w="122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89"/>
        </w:trPr>
        <w:tc>
          <w:tcPr>
            <w:tcW w:w="4260" w:type="dxa"/>
            <w:vAlign w:val="bottom"/>
            <w:gridSpan w:val="4"/>
          </w:tcPr>
          <w:p>
            <w:pPr>
              <w:spacing w:after="0"/>
              <w:rPr>
                <w:sz w:val="20"/>
                <w:szCs w:val="20"/>
                <w:color w:val="auto"/>
              </w:rPr>
            </w:pPr>
            <w:r>
              <w:rPr>
                <w:rFonts w:ascii="Arial" w:cs="Arial" w:eastAsia="Arial" w:hAnsi="Arial"/>
                <w:sz w:val="20"/>
                <w:szCs w:val="20"/>
                <w:color w:val="auto"/>
              </w:rPr>
              <w:t>Phillip Lindsay</w:t>
            </w:r>
          </w:p>
        </w:tc>
        <w:tc>
          <w:tcPr>
            <w:tcW w:w="5120" w:type="dxa"/>
            <w:vAlign w:val="bottom"/>
            <w:gridSpan w:val="4"/>
          </w:tcPr>
          <w:p>
            <w:pPr>
              <w:ind w:left="1120"/>
              <w:spacing w:after="0"/>
              <w:rPr>
                <w:sz w:val="20"/>
                <w:szCs w:val="20"/>
                <w:color w:val="auto"/>
              </w:rPr>
            </w:pPr>
            <w:r>
              <w:rPr>
                <w:rFonts w:ascii="Arial" w:cs="Arial" w:eastAsia="Arial" w:hAnsi="Arial"/>
                <w:sz w:val="20"/>
                <w:szCs w:val="20"/>
                <w:color w:val="auto"/>
              </w:rPr>
              <w:t>Delphine Nayral</w:t>
            </w:r>
          </w:p>
        </w:tc>
      </w:tr>
      <w:tr>
        <w:trPr>
          <w:trHeight w:val="216"/>
        </w:trPr>
        <w:tc>
          <w:tcPr>
            <w:tcW w:w="4260" w:type="dxa"/>
            <w:vAlign w:val="bottom"/>
            <w:gridSpan w:val="4"/>
          </w:tcPr>
          <w:p>
            <w:pPr>
              <w:spacing w:after="0" w:line="216" w:lineRule="exact"/>
              <w:rPr>
                <w:sz w:val="20"/>
                <w:szCs w:val="20"/>
                <w:color w:val="auto"/>
              </w:rPr>
            </w:pPr>
            <w:r>
              <w:rPr>
                <w:rFonts w:ascii="Arial" w:cs="Arial" w:eastAsia="Arial" w:hAnsi="Arial"/>
                <w:sz w:val="20"/>
                <w:szCs w:val="20"/>
                <w:color w:val="auto"/>
              </w:rPr>
              <w:t>Director Investor Relations (Europe)</w:t>
            </w:r>
          </w:p>
        </w:tc>
        <w:tc>
          <w:tcPr>
            <w:tcW w:w="5120" w:type="dxa"/>
            <w:vAlign w:val="bottom"/>
            <w:gridSpan w:val="4"/>
          </w:tcPr>
          <w:p>
            <w:pPr>
              <w:ind w:left="1120"/>
              <w:spacing w:after="0" w:line="216" w:lineRule="exact"/>
              <w:rPr>
                <w:sz w:val="20"/>
                <w:szCs w:val="20"/>
                <w:color w:val="auto"/>
              </w:rPr>
            </w:pPr>
            <w:r>
              <w:rPr>
                <w:rFonts w:ascii="Arial" w:cs="Arial" w:eastAsia="Arial" w:hAnsi="Arial"/>
                <w:sz w:val="20"/>
                <w:szCs w:val="20"/>
                <w:color w:val="auto"/>
              </w:rPr>
              <w:t>Director Public Relations</w:t>
            </w:r>
          </w:p>
        </w:tc>
      </w:tr>
      <w:tr>
        <w:trPr>
          <w:trHeight w:val="203"/>
        </w:trPr>
        <w:tc>
          <w:tcPr>
            <w:tcW w:w="4260" w:type="dxa"/>
            <w:vAlign w:val="bottom"/>
            <w:gridSpan w:val="4"/>
          </w:tcPr>
          <w:p>
            <w:pPr>
              <w:spacing w:after="0" w:line="203" w:lineRule="exact"/>
              <w:rPr>
                <w:sz w:val="20"/>
                <w:szCs w:val="20"/>
                <w:color w:val="auto"/>
              </w:rPr>
            </w:pPr>
            <w:r>
              <w:rPr>
                <w:rFonts w:ascii="Arial" w:cs="Arial" w:eastAsia="Arial" w:hAnsi="Arial"/>
                <w:sz w:val="20"/>
                <w:szCs w:val="20"/>
                <w:color w:val="auto"/>
              </w:rPr>
              <w:t>Tel: +44 (0) 20 3429 3929</w:t>
            </w:r>
          </w:p>
        </w:tc>
        <w:tc>
          <w:tcPr>
            <w:tcW w:w="5120" w:type="dxa"/>
            <w:vAlign w:val="bottom"/>
            <w:gridSpan w:val="4"/>
          </w:tcPr>
          <w:p>
            <w:pPr>
              <w:ind w:left="1120"/>
              <w:spacing w:after="0" w:line="203" w:lineRule="exact"/>
              <w:rPr>
                <w:sz w:val="20"/>
                <w:szCs w:val="20"/>
                <w:color w:val="auto"/>
              </w:rPr>
            </w:pPr>
            <w:r>
              <w:rPr>
                <w:rFonts w:ascii="Arial" w:cs="Arial" w:eastAsia="Arial" w:hAnsi="Arial"/>
                <w:sz w:val="20"/>
                <w:szCs w:val="20"/>
                <w:color w:val="auto"/>
              </w:rPr>
              <w:t>Tel: +33 1 47 78 34 83</w:t>
            </w:r>
          </w:p>
        </w:tc>
      </w:tr>
      <w:tr>
        <w:trPr>
          <w:trHeight w:val="206"/>
        </w:trPr>
        <w:tc>
          <w:tcPr>
            <w:tcW w:w="4260" w:type="dxa"/>
            <w:vAlign w:val="bottom"/>
            <w:gridSpan w:val="4"/>
          </w:tcPr>
          <w:p>
            <w:pPr>
              <w:spacing w:after="0" w:line="206"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FF"/>
              </w:rPr>
              <w:t>Phillip Lindsay</w:t>
            </w:r>
          </w:p>
        </w:tc>
        <w:tc>
          <w:tcPr>
            <w:tcW w:w="5120" w:type="dxa"/>
            <w:vAlign w:val="bottom"/>
            <w:gridSpan w:val="4"/>
          </w:tcPr>
          <w:p>
            <w:pPr>
              <w:ind w:left="1120"/>
              <w:spacing w:after="0" w:line="206"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FF"/>
              </w:rPr>
              <w:t>Delphine Nayral</w:t>
            </w:r>
          </w:p>
        </w:tc>
      </w:tr>
      <w:tr>
        <w:trPr>
          <w:trHeight w:val="20"/>
        </w:trPr>
        <w:tc>
          <w:tcPr>
            <w:tcW w:w="60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80"/>
      </w:cols>
      <w:pgMar w:left="240" w:top="11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2019-12-28T11:27:03Z</dcterms:created>
  <dcterms:modified xsi:type="dcterms:W3CDTF">2019-12-28T11:27:03Z</dcterms:modified>
</cp:coreProperties>
</file>