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de Carvalho Filho Eleazar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94,601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April 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(including vested but undelivered restricted stock units) held by the Reporting Person pursuant to anti-dilution provisions contained in the applicable awards, which provisions were triggered as a result of the Spin-off of TechnipFMC plc's Technip Energies segment.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425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2021-04-02T15:48:31Z</dcterms:created>
  <dcterms:modified xsi:type="dcterms:W3CDTF">2021-04-02T15:48:31Z</dcterms:modified>
</cp:coreProperties>
</file>