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Colombani Pascal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ST. PAUL'S CHURCHYARD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TechnipFMC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FTI</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01/17/2017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EC4M 8AP</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jc w:val="right"/>
              <w:ind w:right="2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Pr>
          <w:p>
            <w:pPr>
              <w:spacing w:after="0"/>
              <w:rPr>
                <w:sz w:val="23"/>
                <w:szCs w:val="23"/>
                <w:color w:val="auto"/>
              </w:rPr>
            </w:pPr>
          </w:p>
        </w:tc>
        <w:tc>
          <w:tcPr>
            <w:tcW w:w="1800" w:type="dxa"/>
            <w:vAlign w:val="bottom"/>
            <w:gridSpan w:val="2"/>
          </w:tcPr>
          <w:p>
            <w:pPr>
              <w:ind w:left="840"/>
              <w:spacing w:after="0"/>
              <w:rPr>
                <w:sz w:val="20"/>
                <w:szCs w:val="20"/>
                <w:color w:val="auto"/>
              </w:rPr>
            </w:pPr>
            <w:r>
              <w:rPr>
                <w:rFonts w:ascii="Arial" w:cs="Arial" w:eastAsia="Arial" w:hAnsi="Arial"/>
                <w:sz w:val="18"/>
                <w:szCs w:val="18"/>
                <w:color w:val="0000FF"/>
              </w:rPr>
              <w:t>01/17/2017</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Pr>
          <w:p>
            <w:pPr>
              <w:spacing w:after="0"/>
              <w:rPr>
                <w:sz w:val="23"/>
                <w:szCs w:val="23"/>
                <w:color w:val="auto"/>
              </w:rPr>
            </w:pPr>
          </w:p>
        </w:tc>
        <w:tc>
          <w:tcPr>
            <w:tcW w:w="560" w:type="dxa"/>
            <w:vAlign w:val="bottom"/>
          </w:tcPr>
          <w:p>
            <w:pPr>
              <w:ind w:left="260"/>
              <w:spacing w:after="0"/>
              <w:rPr>
                <w:sz w:val="20"/>
                <w:szCs w:val="20"/>
                <w:color w:val="auto"/>
              </w:rPr>
            </w:pPr>
            <w:r>
              <w:rPr>
                <w:rFonts w:ascii="Arial" w:cs="Arial" w:eastAsia="Arial" w:hAnsi="Arial"/>
                <w:sz w:val="18"/>
                <w:szCs w:val="18"/>
                <w:color w:val="0000FF"/>
                <w:w w:val="93"/>
              </w:rPr>
              <w:t>820</w:t>
            </w:r>
          </w:p>
        </w:tc>
        <w:tc>
          <w:tcPr>
            <w:tcW w:w="760" w:type="dxa"/>
            <w:vAlign w:val="bottom"/>
          </w:tcPr>
          <w:p>
            <w:pPr>
              <w:ind w:left="440"/>
              <w:spacing w:after="0"/>
              <w:rPr>
                <w:sz w:val="20"/>
                <w:szCs w:val="20"/>
                <w:color w:val="auto"/>
              </w:rPr>
            </w:pPr>
            <w:r>
              <w:rPr>
                <w:rFonts w:ascii="Arial" w:cs="Arial" w:eastAsia="Arial" w:hAnsi="Arial"/>
                <w:sz w:val="18"/>
                <w:szCs w:val="18"/>
                <w:color w:val="0000FF"/>
              </w:rPr>
              <w:t>A</w:t>
            </w:r>
          </w:p>
        </w:tc>
        <w:tc>
          <w:tcPr>
            <w:tcW w:w="240" w:type="dxa"/>
            <w:vAlign w:val="bottom"/>
          </w:tcPr>
          <w:p>
            <w:pPr>
              <w:spacing w:after="0"/>
              <w:rPr>
                <w:sz w:val="23"/>
                <w:szCs w:val="23"/>
                <w:color w:val="auto"/>
              </w:rPr>
            </w:pPr>
          </w:p>
        </w:tc>
        <w:tc>
          <w:tcPr>
            <w:tcW w:w="140" w:type="dxa"/>
            <w:vAlign w:val="bottom"/>
            <w:gridSpan w:val="2"/>
          </w:tcPr>
          <w:p>
            <w:pPr>
              <w:jc w:val="right"/>
              <w:spacing w:after="0"/>
              <w:rPr>
                <w:sz w:val="20"/>
                <w:szCs w:val="20"/>
                <w:color w:val="auto"/>
              </w:rPr>
            </w:pPr>
            <w:r>
              <w:rPr>
                <w:rFonts w:ascii="Arial" w:cs="Arial" w:eastAsia="Arial" w:hAnsi="Arial"/>
                <w:sz w:val="11"/>
                <w:szCs w:val="11"/>
                <w:color w:val="008000"/>
                <w:w w:val="88"/>
              </w:rPr>
              <w:t>(1)</w:t>
            </w: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ind w:left="20"/>
              <w:spacing w:after="0"/>
              <w:rPr>
                <w:sz w:val="20"/>
                <w:szCs w:val="20"/>
                <w:color w:val="auto"/>
              </w:rPr>
            </w:pPr>
            <w:r>
              <w:rPr>
                <w:rFonts w:ascii="Arial" w:cs="Arial" w:eastAsia="Arial" w:hAnsi="Arial"/>
                <w:sz w:val="18"/>
                <w:szCs w:val="18"/>
                <w:color w:val="0000FF"/>
              </w:rPr>
              <w:t>820</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2500" w:type="dxa"/>
            <w:vAlign w:val="bottom"/>
            <w:tcBorders>
              <w:bottom w:val="single" w:sz="8" w:color="2C2C2C"/>
            </w:tcBorders>
            <w:gridSpan w:val="6"/>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2"/>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gridSpan w:val="2"/>
          </w:tcPr>
          <w:p>
            <w:pPr>
              <w:ind w:left="5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gridSpan w:val="2"/>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Pursuant to the Business Combination Agreement, dated as of June 14, 2016 (the "BCA") by and among the Issuer, FMC Technologies, Inc. ("FMCTI") and Technip S.A. ("Technip"), each ordinary share of Technip beneficially owned by the Reporting Person at the effective time of the transactions contemplated by the BCA (the "Effective Time") was exchanged for 2.00 ordinary shares of the Issuer (the "Exchange Ratio").</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Lisa P. Wang, Attorney-In-Fact 01/18/2017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spacing w:after="0" w:line="5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65921" TargetMode="External"/><Relationship Id="rId13" Type="http://schemas.openxmlformats.org/officeDocument/2006/relationships/hyperlink" Target="http://www.sec.gov/cgi-bin/browse-edgar?action=getcompany&amp;CIK=00016814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2019-12-24T09:19:46Z</dcterms:created>
  <dcterms:modified xsi:type="dcterms:W3CDTF">2019-12-24T09:19:46Z</dcterms:modified>
</cp:coreProperties>
</file>