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TechnipFMC PLC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G87110105</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G87110105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748,097</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129,243</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28,553,856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852,368</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29,406,224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6.57%</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TechnipFMC PLC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St. Paul's Churchyard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London, EC4M 8AP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G87110105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29,406,224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748,097</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129,243</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28,553,856 (iv) shared power to dispose or to direct the disposition of: 852,368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610,922 shares or 0.13%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370,927 shares or 0.08% of the Common Stock outstanding of the Company as a result of its serving as investment manager of Australian investment offerings.</w:t>
      </w:r>
    </w:p>
    <w:sectPr>
      <w:pgSz w:w="11900" w:h="16838" w:orient="portrait"/>
      <w:cols w:equalWidth="0" w:num="1">
        <w:col w:w="11200"/>
      </w:cols>
      <w:pgMar w:left="240" w:top="68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2020-02-12T10:20:36Z</dcterms:created>
  <dcterms:modified xsi:type="dcterms:W3CDTF">2020-02-12T10:20:36Z</dcterms:modified>
</cp:coreProperties>
</file>