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243205</wp:posOffset>
            </wp:positionH>
            <wp:positionV relativeFrom="page">
              <wp:posOffset>620395</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534670</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t>UNITED STATES</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2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0" w:lineRule="exact"/>
        <w:rPr>
          <w:sz w:val="24"/>
          <w:szCs w:val="24"/>
          <w:color w:val="auto"/>
        </w:rPr>
      </w:pPr>
    </w:p>
    <w:p>
      <w:pPr>
        <w:spacing w:after="0" w:line="24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July 24, 2019</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TechnipFMC plc</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79" w:lineRule="exact"/>
        <w:rPr>
          <w:sz w:val="24"/>
          <w:szCs w:val="24"/>
          <w:color w:val="auto"/>
        </w:rPr>
      </w:pPr>
    </w:p>
    <w:tbl>
      <w:tblPr>
        <w:tblLayout w:type="fixed"/>
        <w:tblInd w:w="480" w:type="dxa"/>
        <w:tblCellMar>
          <w:top w:w="0" w:type="dxa"/>
          <w:left w:w="0" w:type="dxa"/>
          <w:bottom w:w="0" w:type="dxa"/>
          <w:right w:w="0" w:type="dxa"/>
        </w:tblCellMar>
      </w:tblPr>
      <w:tr>
        <w:trPr>
          <w:trHeight w:val="239"/>
        </w:trPr>
        <w:tc>
          <w:tcPr>
            <w:tcW w:w="3000" w:type="dxa"/>
            <w:vAlign w:val="bottom"/>
          </w:tcPr>
          <w:p>
            <w:pPr>
              <w:jc w:val="center"/>
              <w:ind w:right="197"/>
              <w:spacing w:after="0"/>
              <w:rPr>
                <w:sz w:val="20"/>
                <w:szCs w:val="20"/>
                <w:color w:val="auto"/>
              </w:rPr>
            </w:pPr>
            <w:r>
              <w:rPr>
                <w:rFonts w:ascii="Arial" w:cs="Arial" w:eastAsia="Arial" w:hAnsi="Arial"/>
                <w:sz w:val="18"/>
                <w:szCs w:val="18"/>
                <w:b w:val="1"/>
                <w:bCs w:val="1"/>
                <w:color w:val="auto"/>
                <w:w w:val="99"/>
              </w:rPr>
              <w:t>England and Wales</w:t>
            </w:r>
          </w:p>
        </w:tc>
        <w:tc>
          <w:tcPr>
            <w:tcW w:w="4600" w:type="dxa"/>
            <w:vAlign w:val="bottom"/>
          </w:tcPr>
          <w:p>
            <w:pPr>
              <w:jc w:val="center"/>
              <w:ind w:right="22"/>
              <w:spacing w:after="0"/>
              <w:rPr>
                <w:sz w:val="20"/>
                <w:szCs w:val="20"/>
                <w:color w:val="auto"/>
              </w:rPr>
            </w:pPr>
            <w:r>
              <w:rPr>
                <w:rFonts w:ascii="Arial" w:cs="Arial" w:eastAsia="Arial" w:hAnsi="Arial"/>
                <w:sz w:val="18"/>
                <w:szCs w:val="18"/>
                <w:b w:val="1"/>
                <w:bCs w:val="1"/>
                <w:color w:val="auto"/>
                <w:w w:val="99"/>
              </w:rPr>
              <w:t>001-37983</w:t>
            </w:r>
          </w:p>
        </w:tc>
        <w:tc>
          <w:tcPr>
            <w:tcW w:w="2620" w:type="dxa"/>
            <w:vAlign w:val="bottom"/>
          </w:tcPr>
          <w:p>
            <w:pPr>
              <w:jc w:val="right"/>
              <w:ind w:right="539"/>
              <w:spacing w:after="0"/>
              <w:rPr>
                <w:sz w:val="20"/>
                <w:szCs w:val="20"/>
                <w:color w:val="auto"/>
              </w:rPr>
            </w:pPr>
            <w:r>
              <w:rPr>
                <w:rFonts w:ascii="Arial" w:cs="Arial" w:eastAsia="Arial" w:hAnsi="Arial"/>
                <w:sz w:val="18"/>
                <w:szCs w:val="18"/>
                <w:b w:val="1"/>
                <w:bCs w:val="1"/>
                <w:color w:val="auto"/>
              </w:rPr>
              <w:t>98-1283037</w:t>
            </w:r>
          </w:p>
        </w:tc>
      </w:tr>
      <w:tr>
        <w:trPr>
          <w:trHeight w:val="272"/>
        </w:trPr>
        <w:tc>
          <w:tcPr>
            <w:tcW w:w="3000" w:type="dxa"/>
            <w:vAlign w:val="bottom"/>
          </w:tcPr>
          <w:p>
            <w:pPr>
              <w:jc w:val="center"/>
              <w:ind w:right="197"/>
              <w:spacing w:after="0"/>
              <w:rPr>
                <w:sz w:val="20"/>
                <w:szCs w:val="20"/>
                <w:color w:val="auto"/>
              </w:rPr>
            </w:pPr>
            <w:r>
              <w:rPr>
                <w:rFonts w:ascii="Arial" w:cs="Arial" w:eastAsia="Arial" w:hAnsi="Arial"/>
                <w:sz w:val="14"/>
                <w:szCs w:val="14"/>
                <w:color w:val="auto"/>
              </w:rPr>
              <w:t>(State or other jurisdiction of incorporation)</w:t>
            </w:r>
          </w:p>
        </w:tc>
        <w:tc>
          <w:tcPr>
            <w:tcW w:w="4600" w:type="dxa"/>
            <w:vAlign w:val="bottom"/>
          </w:tcPr>
          <w:p>
            <w:pPr>
              <w:jc w:val="center"/>
              <w:ind w:right="22"/>
              <w:spacing w:after="0"/>
              <w:rPr>
                <w:sz w:val="20"/>
                <w:szCs w:val="20"/>
                <w:color w:val="auto"/>
              </w:rPr>
            </w:pPr>
            <w:r>
              <w:rPr>
                <w:rFonts w:ascii="Arial" w:cs="Arial" w:eastAsia="Arial" w:hAnsi="Arial"/>
                <w:sz w:val="14"/>
                <w:szCs w:val="14"/>
                <w:color w:val="auto"/>
              </w:rPr>
              <w:t>(Commission File Number)</w:t>
            </w:r>
          </w:p>
        </w:tc>
        <w:tc>
          <w:tcPr>
            <w:tcW w:w="2620" w:type="dxa"/>
            <w:vAlign w:val="bottom"/>
          </w:tcPr>
          <w:p>
            <w:pPr>
              <w:jc w:val="center"/>
              <w:ind w:left="319"/>
              <w:spacing w:after="0"/>
              <w:rPr>
                <w:sz w:val="20"/>
                <w:szCs w:val="20"/>
                <w:color w:val="auto"/>
              </w:rPr>
            </w:pPr>
            <w:r>
              <w:rPr>
                <w:rFonts w:ascii="Arial" w:cs="Arial" w:eastAsia="Arial" w:hAnsi="Arial"/>
                <w:sz w:val="14"/>
                <w:szCs w:val="14"/>
                <w:color w:val="auto"/>
              </w:rPr>
              <w:t>(I.R.S. Employer Identification No.)</w:t>
            </w:r>
          </w:p>
        </w:tc>
      </w:tr>
      <w:tr>
        <w:trPr>
          <w:trHeight w:val="570"/>
        </w:trPr>
        <w:tc>
          <w:tcPr>
            <w:tcW w:w="3000" w:type="dxa"/>
            <w:vAlign w:val="bottom"/>
          </w:tcPr>
          <w:p>
            <w:pPr>
              <w:jc w:val="center"/>
              <w:ind w:right="197"/>
              <w:spacing w:after="0"/>
              <w:rPr>
                <w:sz w:val="20"/>
                <w:szCs w:val="20"/>
                <w:color w:val="auto"/>
              </w:rPr>
            </w:pPr>
            <w:r>
              <w:rPr>
                <w:rFonts w:ascii="Arial" w:cs="Arial" w:eastAsia="Arial" w:hAnsi="Arial"/>
                <w:sz w:val="18"/>
                <w:szCs w:val="18"/>
                <w:b w:val="1"/>
                <w:bCs w:val="1"/>
                <w:color w:val="auto"/>
              </w:rPr>
              <w:t>One St. Paul’s Churchyard</w:t>
            </w:r>
          </w:p>
        </w:tc>
        <w:tc>
          <w:tcPr>
            <w:tcW w:w="460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239"/>
        </w:trPr>
        <w:tc>
          <w:tcPr>
            <w:tcW w:w="3000" w:type="dxa"/>
            <w:vAlign w:val="bottom"/>
          </w:tcPr>
          <w:p>
            <w:pPr>
              <w:jc w:val="center"/>
              <w:ind w:right="197"/>
              <w:spacing w:after="0"/>
              <w:rPr>
                <w:sz w:val="20"/>
                <w:szCs w:val="20"/>
                <w:color w:val="auto"/>
              </w:rPr>
            </w:pPr>
            <w:r>
              <w:rPr>
                <w:rFonts w:ascii="Arial" w:cs="Arial" w:eastAsia="Arial" w:hAnsi="Arial"/>
                <w:sz w:val="18"/>
                <w:szCs w:val="18"/>
                <w:b w:val="1"/>
                <w:bCs w:val="1"/>
                <w:color w:val="auto"/>
              </w:rPr>
              <w:t>London, United Kingdom</w:t>
            </w:r>
          </w:p>
        </w:tc>
        <w:tc>
          <w:tcPr>
            <w:tcW w:w="4600" w:type="dxa"/>
            <w:vAlign w:val="bottom"/>
          </w:tcPr>
          <w:p>
            <w:pPr>
              <w:spacing w:after="0"/>
              <w:rPr>
                <w:sz w:val="20"/>
                <w:szCs w:val="20"/>
                <w:color w:val="auto"/>
              </w:rPr>
            </w:pPr>
          </w:p>
        </w:tc>
        <w:tc>
          <w:tcPr>
            <w:tcW w:w="2620" w:type="dxa"/>
            <w:vAlign w:val="bottom"/>
          </w:tcPr>
          <w:p>
            <w:pPr>
              <w:jc w:val="center"/>
              <w:ind w:left="319"/>
              <w:spacing w:after="0"/>
              <w:rPr>
                <w:sz w:val="20"/>
                <w:szCs w:val="20"/>
                <w:color w:val="auto"/>
              </w:rPr>
            </w:pPr>
            <w:r>
              <w:rPr>
                <w:rFonts w:ascii="Arial" w:cs="Arial" w:eastAsia="Arial" w:hAnsi="Arial"/>
                <w:sz w:val="18"/>
                <w:szCs w:val="18"/>
                <w:b w:val="1"/>
                <w:bCs w:val="1"/>
                <w:color w:val="auto"/>
                <w:w w:val="99"/>
              </w:rPr>
              <w:t>EC4M 8AP</w:t>
            </w:r>
          </w:p>
        </w:tc>
      </w:tr>
      <w:tr>
        <w:trPr>
          <w:trHeight w:val="272"/>
        </w:trPr>
        <w:tc>
          <w:tcPr>
            <w:tcW w:w="3000" w:type="dxa"/>
            <w:vAlign w:val="bottom"/>
          </w:tcPr>
          <w:p>
            <w:pPr>
              <w:jc w:val="center"/>
              <w:ind w:right="217"/>
              <w:spacing w:after="0"/>
              <w:rPr>
                <w:sz w:val="20"/>
                <w:szCs w:val="20"/>
                <w:color w:val="auto"/>
              </w:rPr>
            </w:pPr>
            <w:r>
              <w:rPr>
                <w:rFonts w:ascii="Arial" w:cs="Arial" w:eastAsia="Arial" w:hAnsi="Arial"/>
                <w:sz w:val="14"/>
                <w:szCs w:val="14"/>
                <w:color w:val="auto"/>
              </w:rPr>
              <w:t>(Address of principal executive offices)</w:t>
            </w:r>
          </w:p>
        </w:tc>
        <w:tc>
          <w:tcPr>
            <w:tcW w:w="4600" w:type="dxa"/>
            <w:vAlign w:val="bottom"/>
          </w:tcPr>
          <w:p>
            <w:pPr>
              <w:spacing w:after="0"/>
              <w:rPr>
                <w:sz w:val="23"/>
                <w:szCs w:val="23"/>
                <w:color w:val="auto"/>
              </w:rPr>
            </w:pPr>
          </w:p>
        </w:tc>
        <w:tc>
          <w:tcPr>
            <w:tcW w:w="2620" w:type="dxa"/>
            <w:vAlign w:val="bottom"/>
          </w:tcPr>
          <w:p>
            <w:pPr>
              <w:jc w:val="center"/>
              <w:ind w:left="339"/>
              <w:spacing w:after="0"/>
              <w:rPr>
                <w:sz w:val="20"/>
                <w:szCs w:val="20"/>
                <w:color w:val="auto"/>
              </w:rPr>
            </w:pPr>
            <w:r>
              <w:rPr>
                <w:rFonts w:ascii="Arial" w:cs="Arial" w:eastAsia="Arial" w:hAnsi="Arial"/>
                <w:sz w:val="14"/>
                <w:szCs w:val="14"/>
                <w:color w:val="auto"/>
              </w:rPr>
              <w:t>(Zip Code)</w:t>
            </w:r>
          </w:p>
        </w:tc>
      </w:tr>
      <w:tr>
        <w:trPr>
          <w:trHeight w:val="297"/>
        </w:trPr>
        <w:tc>
          <w:tcPr>
            <w:tcW w:w="3000" w:type="dxa"/>
            <w:vAlign w:val="bottom"/>
          </w:tcPr>
          <w:p>
            <w:pPr>
              <w:spacing w:after="0"/>
              <w:rPr>
                <w:sz w:val="24"/>
                <w:szCs w:val="24"/>
                <w:color w:val="auto"/>
              </w:rPr>
            </w:pPr>
          </w:p>
        </w:tc>
        <w:tc>
          <w:tcPr>
            <w:tcW w:w="4600" w:type="dxa"/>
            <w:vAlign w:val="bottom"/>
          </w:tcPr>
          <w:p>
            <w:pPr>
              <w:jc w:val="center"/>
              <w:ind w:right="62"/>
              <w:spacing w:after="0"/>
              <w:rPr>
                <w:sz w:val="20"/>
                <w:szCs w:val="20"/>
                <w:color w:val="auto"/>
              </w:rPr>
            </w:pPr>
            <w:r>
              <w:rPr>
                <w:rFonts w:ascii="Arial" w:cs="Arial" w:eastAsia="Arial" w:hAnsi="Arial"/>
                <w:sz w:val="14"/>
                <w:szCs w:val="14"/>
                <w:b w:val="1"/>
                <w:bCs w:val="1"/>
                <w:color w:val="auto"/>
              </w:rPr>
              <w:t>+44 203-429-3950</w:t>
            </w:r>
          </w:p>
        </w:tc>
        <w:tc>
          <w:tcPr>
            <w:tcW w:w="2620" w:type="dxa"/>
            <w:vAlign w:val="bottom"/>
          </w:tcPr>
          <w:p>
            <w:pPr>
              <w:spacing w:after="0"/>
              <w:rPr>
                <w:sz w:val="24"/>
                <w:szCs w:val="24"/>
                <w:color w:val="auto"/>
              </w:rPr>
            </w:pPr>
          </w:p>
        </w:tc>
      </w:tr>
      <w:tr>
        <w:trPr>
          <w:trHeight w:val="203"/>
        </w:trPr>
        <w:tc>
          <w:tcPr>
            <w:tcW w:w="3000" w:type="dxa"/>
            <w:vAlign w:val="bottom"/>
          </w:tcPr>
          <w:p>
            <w:pPr>
              <w:spacing w:after="0"/>
              <w:rPr>
                <w:sz w:val="17"/>
                <w:szCs w:val="17"/>
                <w:color w:val="auto"/>
              </w:rPr>
            </w:pPr>
          </w:p>
        </w:tc>
        <w:tc>
          <w:tcPr>
            <w:tcW w:w="4600" w:type="dxa"/>
            <w:vAlign w:val="bottom"/>
          </w:tcPr>
          <w:p>
            <w:pPr>
              <w:jc w:val="center"/>
              <w:ind w:right="62"/>
              <w:spacing w:after="0"/>
              <w:rPr>
                <w:sz w:val="20"/>
                <w:szCs w:val="20"/>
                <w:color w:val="auto"/>
              </w:rPr>
            </w:pPr>
            <w:r>
              <w:rPr>
                <w:rFonts w:ascii="Arial" w:cs="Arial" w:eastAsia="Arial" w:hAnsi="Arial"/>
                <w:sz w:val="14"/>
                <w:szCs w:val="14"/>
                <w:color w:val="auto"/>
              </w:rPr>
              <w:t>(Registrant's telephone number, including area code)</w:t>
            </w:r>
          </w:p>
        </w:tc>
        <w:tc>
          <w:tcPr>
            <w:tcW w:w="2620" w:type="dxa"/>
            <w:vAlign w:val="bottom"/>
          </w:tcPr>
          <w:p>
            <w:pPr>
              <w:spacing w:after="0"/>
              <w:rPr>
                <w:sz w:val="17"/>
                <w:szCs w:val="17"/>
                <w:color w:val="auto"/>
              </w:rPr>
            </w:pPr>
          </w:p>
        </w:tc>
      </w:tr>
      <w:tr>
        <w:trPr>
          <w:trHeight w:val="363"/>
        </w:trPr>
        <w:tc>
          <w:tcPr>
            <w:tcW w:w="3000" w:type="dxa"/>
            <w:vAlign w:val="bottom"/>
          </w:tcPr>
          <w:p>
            <w:pPr>
              <w:spacing w:after="0"/>
              <w:rPr>
                <w:sz w:val="24"/>
                <w:szCs w:val="24"/>
                <w:color w:val="auto"/>
              </w:rPr>
            </w:pPr>
          </w:p>
        </w:tc>
        <w:tc>
          <w:tcPr>
            <w:tcW w:w="4600" w:type="dxa"/>
            <w:vAlign w:val="bottom"/>
          </w:tcPr>
          <w:p>
            <w:pPr>
              <w:jc w:val="center"/>
              <w:ind w:right="62"/>
              <w:spacing w:after="0"/>
              <w:rPr>
                <w:sz w:val="20"/>
                <w:szCs w:val="20"/>
                <w:color w:val="auto"/>
              </w:rPr>
            </w:pPr>
            <w:r>
              <w:rPr>
                <w:rFonts w:ascii="Arial" w:cs="Arial" w:eastAsia="Arial" w:hAnsi="Arial"/>
                <w:sz w:val="18"/>
                <w:szCs w:val="18"/>
                <w:b w:val="1"/>
                <w:bCs w:val="1"/>
                <w:color w:val="auto"/>
                <w:w w:val="99"/>
              </w:rPr>
              <w:t>Not Applicable</w:t>
            </w:r>
          </w:p>
        </w:tc>
        <w:tc>
          <w:tcPr>
            <w:tcW w:w="2620" w:type="dxa"/>
            <w:vAlign w:val="bottom"/>
          </w:tcPr>
          <w:p>
            <w:pPr>
              <w:spacing w:after="0"/>
              <w:rPr>
                <w:sz w:val="24"/>
                <w:szCs w:val="24"/>
                <w:color w:val="auto"/>
              </w:rPr>
            </w:pPr>
          </w:p>
        </w:tc>
      </w:tr>
      <w:tr>
        <w:trPr>
          <w:trHeight w:val="177"/>
        </w:trPr>
        <w:tc>
          <w:tcPr>
            <w:tcW w:w="3000" w:type="dxa"/>
            <w:vAlign w:val="bottom"/>
          </w:tcPr>
          <w:p>
            <w:pPr>
              <w:spacing w:after="0"/>
              <w:rPr>
                <w:sz w:val="15"/>
                <w:szCs w:val="15"/>
                <w:color w:val="auto"/>
              </w:rPr>
            </w:pPr>
          </w:p>
        </w:tc>
        <w:tc>
          <w:tcPr>
            <w:tcW w:w="4600" w:type="dxa"/>
            <w:vAlign w:val="bottom"/>
          </w:tcPr>
          <w:p>
            <w:pPr>
              <w:jc w:val="center"/>
              <w:ind w:right="62"/>
              <w:spacing w:after="0"/>
              <w:rPr>
                <w:sz w:val="20"/>
                <w:szCs w:val="20"/>
                <w:color w:val="auto"/>
              </w:rPr>
            </w:pPr>
            <w:r>
              <w:rPr>
                <w:rFonts w:ascii="Arial" w:cs="Arial" w:eastAsia="Arial" w:hAnsi="Arial"/>
                <w:sz w:val="14"/>
                <w:szCs w:val="14"/>
                <w:color w:val="auto"/>
              </w:rPr>
              <w:t>(Former name or former address, if changed since last report)</w:t>
            </w:r>
          </w:p>
        </w:tc>
        <w:tc>
          <w:tcPr>
            <w:tcW w:w="2620" w:type="dxa"/>
            <w:vAlign w:val="bottom"/>
          </w:tcPr>
          <w:p>
            <w:pPr>
              <w:spacing w:after="0"/>
              <w:rPr>
                <w:sz w:val="15"/>
                <w:szCs w:val="15"/>
                <w:color w:val="auto"/>
              </w:rPr>
            </w:pPr>
          </w:p>
        </w:tc>
      </w:tr>
    </w:tbl>
    <w:p>
      <w:pPr>
        <w:spacing w:after="0" w:line="200" w:lineRule="exact"/>
        <w:rPr>
          <w:sz w:val="24"/>
          <w:szCs w:val="24"/>
          <w:color w:val="auto"/>
        </w:rPr>
      </w:pPr>
    </w:p>
    <w:p>
      <w:pPr>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320" w:lineRule="exact"/>
        <w:rPr>
          <w:sz w:val="24"/>
          <w:szCs w:val="24"/>
          <w:color w:val="auto"/>
        </w:rPr>
      </w:pPr>
    </w:p>
    <w:p>
      <w:pPr>
        <w:spacing w:after="0" w:line="262"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70" w:right="2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7"/>
          <w:szCs w:val="17"/>
          <w:b w:val="1"/>
          <w:bCs w:val="1"/>
          <w:color w:val="auto"/>
        </w:rPr>
        <w:t>Results of Operations and Financial Condition</w:t>
      </w:r>
    </w:p>
    <w:p>
      <w:pPr>
        <w:spacing w:after="0" w:line="24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On July 24, 2019, TechnipFMC plc ("TechnipFMC") issued a news release announcing its financial results for the fiscal quarter ended June 30, 2019. A copy of the news release is furnished as Exhibit 99.1 to this report and is incorporated herein by reference.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30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4660" w:type="dxa"/>
            <w:vAlign w:val="bottom"/>
            <w:gridSpan w:val="2"/>
          </w:tcPr>
          <w:p>
            <w:pPr>
              <w:spacing w:after="0"/>
              <w:rPr>
                <w:sz w:val="20"/>
                <w:szCs w:val="20"/>
                <w:color w:val="auto"/>
              </w:rPr>
            </w:pPr>
            <w:r>
              <w:rPr>
                <w:rFonts w:ascii="Arial" w:cs="Arial" w:eastAsia="Arial" w:hAnsi="Arial"/>
                <w:sz w:val="18"/>
                <w:szCs w:val="18"/>
                <w:b w:val="1"/>
                <w:bCs w:val="1"/>
                <w:color w:val="auto"/>
              </w:rPr>
              <w:t>Financial Statements and Exhibits</w:t>
            </w:r>
          </w:p>
        </w:tc>
      </w:tr>
      <w:tr>
        <w:trPr>
          <w:trHeight w:val="413"/>
        </w:trPr>
        <w:tc>
          <w:tcPr>
            <w:tcW w:w="1300" w:type="dxa"/>
            <w:vAlign w:val="bottom"/>
            <w:gridSpan w:val="2"/>
          </w:tcPr>
          <w:p>
            <w:pPr>
              <w:spacing w:after="0"/>
              <w:rPr>
                <w:sz w:val="20"/>
                <w:szCs w:val="20"/>
                <w:color w:val="auto"/>
              </w:rPr>
            </w:pPr>
            <w:r>
              <w:rPr>
                <w:rFonts w:ascii="Arial" w:cs="Arial" w:eastAsia="Arial" w:hAnsi="Arial"/>
                <w:sz w:val="16"/>
                <w:szCs w:val="16"/>
                <w:color w:val="auto"/>
              </w:rPr>
              <w:t>(d) Exhibits</w:t>
            </w:r>
          </w:p>
        </w:tc>
        <w:tc>
          <w:tcPr>
            <w:tcW w:w="8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344"/>
        </w:trPr>
        <w:tc>
          <w:tcPr>
            <w:tcW w:w="8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Exhibit No.</w:t>
            </w:r>
          </w:p>
        </w:tc>
        <w:tc>
          <w:tcPr>
            <w:tcW w:w="500" w:type="dxa"/>
            <w:vAlign w:val="bottom"/>
          </w:tcPr>
          <w:p>
            <w:pPr>
              <w:spacing w:after="0"/>
              <w:rPr>
                <w:sz w:val="24"/>
                <w:szCs w:val="24"/>
                <w:color w:val="auto"/>
              </w:rPr>
            </w:pPr>
          </w:p>
        </w:tc>
        <w:tc>
          <w:tcPr>
            <w:tcW w:w="82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9"/>
              </w:rPr>
              <w:t>Description</w:t>
            </w:r>
          </w:p>
        </w:tc>
        <w:tc>
          <w:tcPr>
            <w:tcW w:w="3840" w:type="dxa"/>
            <w:vAlign w:val="bottom"/>
          </w:tcPr>
          <w:p>
            <w:pPr>
              <w:spacing w:after="0"/>
              <w:rPr>
                <w:sz w:val="24"/>
                <w:szCs w:val="24"/>
                <w:color w:val="auto"/>
              </w:rPr>
            </w:pPr>
          </w:p>
        </w:tc>
      </w:tr>
      <w:tr>
        <w:trPr>
          <w:trHeight w:val="439"/>
        </w:trPr>
        <w:tc>
          <w:tcPr>
            <w:tcW w:w="800" w:type="dxa"/>
            <w:vAlign w:val="bottom"/>
          </w:tcPr>
          <w:p>
            <w:pPr>
              <w:spacing w:after="0"/>
              <w:rPr>
                <w:sz w:val="20"/>
                <w:szCs w:val="20"/>
                <w:color w:val="auto"/>
              </w:rPr>
            </w:pPr>
            <w:r>
              <w:rPr>
                <w:rFonts w:ascii="Arial" w:cs="Arial" w:eastAsia="Arial" w:hAnsi="Arial"/>
                <w:sz w:val="18"/>
                <w:szCs w:val="18"/>
                <w:color w:val="auto"/>
              </w:rPr>
              <w:t>99.1</w:t>
            </w:r>
          </w:p>
        </w:tc>
        <w:tc>
          <w:tcPr>
            <w:tcW w:w="500" w:type="dxa"/>
            <w:vAlign w:val="bottom"/>
          </w:tcPr>
          <w:p>
            <w:pPr>
              <w:spacing w:after="0"/>
              <w:rPr>
                <w:sz w:val="24"/>
                <w:szCs w:val="24"/>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w w:val="99"/>
              </w:rPr>
              <w:t>News Release issued by TechnipFMC dated July 24, 2019</w:t>
            </w:r>
          </w:p>
        </w:tc>
      </w:tr>
    </w:tbl>
    <w:p>
      <w:pPr>
        <w:sectPr>
          <w:pgSz w:w="11900" w:h="16838" w:orient="portrait"/>
          <w:cols w:equalWidth="0" w:num="1">
            <w:col w:w="11420"/>
          </w:cols>
          <w:pgMar w:left="240" w:top="576"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40" w:type="dxa"/>
            <w:vAlign w:val="bottom"/>
            <w:gridSpan w:val="2"/>
          </w:tcPr>
          <w:p>
            <w:pPr>
              <w:ind w:left="2940"/>
              <w:spacing w:after="0"/>
              <w:rPr>
                <w:sz w:val="20"/>
                <w:szCs w:val="20"/>
                <w:color w:val="auto"/>
              </w:rPr>
            </w:pPr>
            <w:r>
              <w:rPr>
                <w:rFonts w:ascii="Arial" w:cs="Arial" w:eastAsia="Arial" w:hAnsi="Arial"/>
                <w:sz w:val="18"/>
                <w:szCs w:val="18"/>
                <w:b w:val="1"/>
                <w:bCs w:val="1"/>
                <w:color w:val="auto"/>
                <w:w w:val="97"/>
              </w:rPr>
              <w:t>EXHIBIT INDEX</w:t>
            </w:r>
          </w:p>
        </w:tc>
      </w:tr>
      <w:tr>
        <w:trPr>
          <w:trHeight w:val="378"/>
        </w:trPr>
        <w:tc>
          <w:tcPr>
            <w:tcW w:w="8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Exhibit No.</w:t>
            </w:r>
          </w:p>
        </w:tc>
        <w:tc>
          <w:tcPr>
            <w:tcW w:w="500" w:type="dxa"/>
            <w:vAlign w:val="bottom"/>
          </w:tcPr>
          <w:p>
            <w:pPr>
              <w:spacing w:after="0"/>
              <w:rPr>
                <w:sz w:val="24"/>
                <w:szCs w:val="24"/>
                <w:color w:val="auto"/>
              </w:rPr>
            </w:pPr>
          </w:p>
        </w:tc>
        <w:tc>
          <w:tcPr>
            <w:tcW w:w="82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9"/>
              </w:rPr>
              <w:t>Description</w:t>
            </w:r>
          </w:p>
        </w:tc>
        <w:tc>
          <w:tcPr>
            <w:tcW w:w="4240" w:type="dxa"/>
            <w:vAlign w:val="bottom"/>
            <w:gridSpan w:val="2"/>
          </w:tcPr>
          <w:p>
            <w:pPr>
              <w:spacing w:after="0"/>
              <w:rPr>
                <w:sz w:val="24"/>
                <w:szCs w:val="24"/>
                <w:color w:val="auto"/>
              </w:rPr>
            </w:pPr>
          </w:p>
        </w:tc>
      </w:tr>
      <w:tr>
        <w:trPr>
          <w:trHeight w:val="399"/>
        </w:trPr>
        <w:tc>
          <w:tcPr>
            <w:tcW w:w="800" w:type="dxa"/>
            <w:vAlign w:val="bottom"/>
          </w:tcPr>
          <w:p>
            <w:pPr>
              <w:spacing w:after="0"/>
              <w:rPr>
                <w:sz w:val="20"/>
                <w:szCs w:val="20"/>
                <w:color w:val="auto"/>
              </w:rPr>
            </w:pPr>
            <w:r>
              <w:rPr>
                <w:rFonts w:ascii="Arial" w:cs="Arial" w:eastAsia="Arial" w:hAnsi="Arial"/>
                <w:sz w:val="18"/>
                <w:szCs w:val="18"/>
                <w:color w:val="auto"/>
              </w:rPr>
              <w:t>99.1</w:t>
            </w:r>
          </w:p>
        </w:tc>
        <w:tc>
          <w:tcPr>
            <w:tcW w:w="500" w:type="dxa"/>
            <w:vAlign w:val="bottom"/>
          </w:tcPr>
          <w:p>
            <w:pPr>
              <w:spacing w:after="0"/>
              <w:rPr>
                <w:sz w:val="24"/>
                <w:szCs w:val="24"/>
                <w:color w:val="auto"/>
              </w:rPr>
            </w:pPr>
          </w:p>
        </w:tc>
        <w:tc>
          <w:tcPr>
            <w:tcW w:w="4940" w:type="dxa"/>
            <w:vAlign w:val="bottom"/>
            <w:tcBorders>
              <w:bottom w:val="single" w:sz="8" w:color="0000FF"/>
            </w:tcBorders>
            <w:gridSpan w:val="2"/>
          </w:tcPr>
          <w:p>
            <w:pP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News Release issued by TechnipFMC plc dated July 24, 2019</w:t>
              </w:r>
            </w:hyperlink>
          </w:p>
        </w:tc>
        <w:tc>
          <w:tcPr>
            <w:tcW w:w="120" w:type="dxa"/>
            <w:vAlign w:val="bottom"/>
          </w:tcPr>
          <w:p>
            <w:pPr>
              <w:spacing w:after="0"/>
              <w:rPr>
                <w:sz w:val="24"/>
                <w:szCs w:val="24"/>
                <w:color w:val="auto"/>
              </w:rPr>
            </w:pPr>
          </w:p>
        </w:tc>
      </w:tr>
    </w:tbl>
    <w:p>
      <w:pPr>
        <w:sectPr>
          <w:pgSz w:w="11900" w:h="16838" w:orient="portrait"/>
          <w:cols w:equalWidth="0" w:num="1">
            <w:col w:w="10219"/>
          </w:cols>
          <w:pgMar w:left="240" w:top="576" w:right="1440"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66"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TechnipFMC plc</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By: /s/ Maryann T. Mannen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2080260</wp:posOffset>
            </wp:positionH>
            <wp:positionV relativeFrom="paragraph">
              <wp:posOffset>14605</wp:posOffset>
            </wp:positionV>
            <wp:extent cx="33534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43" w:lineRule="exact"/>
        <w:rPr>
          <w:sz w:val="20"/>
          <w:szCs w:val="20"/>
          <w:color w:val="auto"/>
        </w:rPr>
      </w:pPr>
    </w:p>
    <w:p>
      <w:pPr>
        <w:ind w:left="40"/>
        <w:spacing w:after="0"/>
        <w:tabs>
          <w:tab w:leader="none" w:pos="3280" w:val="left"/>
        </w:tabs>
        <w:rPr>
          <w:sz w:val="20"/>
          <w:szCs w:val="20"/>
          <w:color w:val="auto"/>
        </w:rPr>
      </w:pPr>
      <w:r>
        <w:rPr>
          <w:rFonts w:ascii="Arial" w:cs="Arial" w:eastAsia="Arial" w:hAnsi="Arial"/>
          <w:sz w:val="18"/>
          <w:szCs w:val="18"/>
          <w:color w:val="auto"/>
        </w:rPr>
        <w:t>Dated:  July 24, 2019</w:t>
      </w:r>
      <w:r>
        <w:rPr>
          <w:sz w:val="20"/>
          <w:szCs w:val="20"/>
          <w:color w:val="auto"/>
        </w:rPr>
        <w:tab/>
      </w:r>
      <w:r>
        <w:rPr>
          <w:rFonts w:ascii="Arial" w:cs="Arial" w:eastAsia="Arial" w:hAnsi="Arial"/>
          <w:sz w:val="17"/>
          <w:szCs w:val="17"/>
          <w:color w:val="auto"/>
        </w:rPr>
        <w:t>Name: Maryann T. Mannen</w:t>
      </w:r>
    </w:p>
    <w:p>
      <w:pPr>
        <w:spacing w:after="0" w:line="63"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Title: Executive Vice President and Chief Financial Officer</w:t>
      </w:r>
    </w:p>
    <w:p>
      <w:pPr>
        <w:sectPr>
          <w:pgSz w:w="11900" w:h="16838" w:orient="portrait"/>
          <w:cols w:equalWidth="0" w:num="1">
            <w:col w:w="11400"/>
          </w:cols>
          <w:pgMar w:left="240" w:top="576" w:right="259" w:bottom="1440" w:gutter="0" w:footer="0" w:header="0"/>
        </w:sectPr>
      </w:pPr>
    </w:p>
    <w:bookmarkStart w:id="4" w:name="page5"/>
    <w:bookmarkEnd w:id="4"/>
    <w:p>
      <w:pPr>
        <w:spacing w:after="0"/>
        <w:rPr>
          <w:sz w:val="20"/>
          <w:szCs w:val="20"/>
          <w:color w:val="auto"/>
        </w:rPr>
      </w:pPr>
      <w:r>
        <w:rPr>
          <w:rFonts w:ascii="Arial" w:cs="Arial" w:eastAsia="Arial" w:hAnsi="Arial"/>
          <w:sz w:val="29"/>
          <w:szCs w:val="29"/>
          <w:color w:val="A6A6A6"/>
        </w:rPr>
        <w:drawing>
          <wp:anchor simplePos="0" relativeHeight="251657728" behindDoc="1" locked="0" layoutInCell="0" allowOverlap="1">
            <wp:simplePos x="0" y="0"/>
            <wp:positionH relativeFrom="page">
              <wp:posOffset>157480</wp:posOffset>
            </wp:positionH>
            <wp:positionV relativeFrom="page">
              <wp:posOffset>88900</wp:posOffset>
            </wp:positionV>
            <wp:extent cx="2778760" cy="5314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778760" cy="531495"/>
                    </a:xfrm>
                    <a:prstGeom prst="rect">
                      <a:avLst/>
                    </a:prstGeom>
                    <a:noFill/>
                  </pic:spPr>
                </pic:pic>
              </a:graphicData>
            </a:graphic>
          </wp:anchor>
        </w:drawing>
        <w:t>Press Release</w:t>
      </w:r>
    </w:p>
    <w:p>
      <w:pPr>
        <w:spacing w:after="0" w:line="328" w:lineRule="exact"/>
        <w:rPr>
          <w:sz w:val="20"/>
          <w:szCs w:val="20"/>
          <w:color w:val="auto"/>
        </w:rPr>
      </w:pPr>
    </w:p>
    <w:p>
      <w:pPr>
        <w:spacing w:after="0"/>
        <w:rPr>
          <w:sz w:val="20"/>
          <w:szCs w:val="20"/>
          <w:color w:val="auto"/>
        </w:rPr>
      </w:pPr>
      <w:r>
        <w:rPr>
          <w:rFonts w:ascii="Arial" w:cs="Arial" w:eastAsia="Arial" w:hAnsi="Arial"/>
          <w:sz w:val="29"/>
          <w:szCs w:val="29"/>
          <w:color w:val="auto"/>
        </w:rPr>
        <w:t>TechnipFMC Announces Second Quarter 2019 Results</w:t>
      </w:r>
    </w:p>
    <w:p>
      <w:pPr>
        <w:spacing w:after="0" w:line="386" w:lineRule="exact"/>
        <w:rPr>
          <w:sz w:val="20"/>
          <w:szCs w:val="20"/>
          <w:color w:val="auto"/>
        </w:rPr>
      </w:pPr>
    </w:p>
    <w:p>
      <w:pPr>
        <w:ind w:left="400" w:hanging="257"/>
        <w:spacing w:after="0"/>
        <w:tabs>
          <w:tab w:leader="none" w:pos="400" w:val="left"/>
        </w:tabs>
        <w:numPr>
          <w:ilvl w:val="0"/>
          <w:numId w:val="1"/>
        </w:numPr>
        <w:rPr>
          <w:rFonts w:ascii="Arial" w:cs="Arial" w:eastAsia="Arial" w:hAnsi="Arial"/>
          <w:sz w:val="20"/>
          <w:szCs w:val="20"/>
          <w:b w:val="1"/>
          <w:bCs w:val="1"/>
          <w:color w:val="auto"/>
        </w:rPr>
      </w:pPr>
      <w:r>
        <w:rPr>
          <w:rFonts w:ascii="Arial" w:cs="Arial" w:eastAsia="Arial" w:hAnsi="Arial"/>
          <w:sz w:val="20"/>
          <w:szCs w:val="20"/>
          <w:b w:val="1"/>
          <w:bCs w:val="1"/>
          <w:color w:val="auto"/>
        </w:rPr>
        <w:t>Total Company orders of $11.2 billion; book-to-bill of 3.3</w:t>
      </w:r>
    </w:p>
    <w:p>
      <w:pPr>
        <w:spacing w:after="0" w:line="23" w:lineRule="exact"/>
        <w:rPr>
          <w:rFonts w:ascii="Arial" w:cs="Arial" w:eastAsia="Arial" w:hAnsi="Arial"/>
          <w:sz w:val="20"/>
          <w:szCs w:val="20"/>
          <w:b w:val="1"/>
          <w:bCs w:val="1"/>
          <w:color w:val="auto"/>
        </w:rPr>
      </w:pPr>
    </w:p>
    <w:p>
      <w:pPr>
        <w:ind w:left="400" w:hanging="257"/>
        <w:spacing w:after="0"/>
        <w:tabs>
          <w:tab w:leader="none" w:pos="400" w:val="left"/>
        </w:tabs>
        <w:numPr>
          <w:ilvl w:val="0"/>
          <w:numId w:val="1"/>
        </w:numPr>
        <w:rPr>
          <w:rFonts w:ascii="Arial" w:cs="Arial" w:eastAsia="Arial" w:hAnsi="Arial"/>
          <w:sz w:val="20"/>
          <w:szCs w:val="20"/>
          <w:b w:val="1"/>
          <w:bCs w:val="1"/>
          <w:color w:val="auto"/>
        </w:rPr>
      </w:pPr>
      <w:r>
        <w:rPr>
          <w:rFonts w:ascii="Arial" w:cs="Arial" w:eastAsia="Arial" w:hAnsi="Arial"/>
          <w:sz w:val="20"/>
          <w:szCs w:val="20"/>
          <w:b w:val="1"/>
          <w:bCs w:val="1"/>
          <w:color w:val="auto"/>
        </w:rPr>
        <w:t>Net income of $97 million and adjusted EBITDA of $450 million</w:t>
      </w:r>
    </w:p>
    <w:p>
      <w:pPr>
        <w:ind w:left="400" w:hanging="257"/>
        <w:spacing w:after="0"/>
        <w:tabs>
          <w:tab w:leader="none" w:pos="400" w:val="left"/>
        </w:tabs>
        <w:numPr>
          <w:ilvl w:val="0"/>
          <w:numId w:val="1"/>
        </w:numPr>
        <w:rPr>
          <w:rFonts w:ascii="Arial" w:cs="Arial" w:eastAsia="Arial" w:hAnsi="Arial"/>
          <w:sz w:val="20"/>
          <w:szCs w:val="20"/>
          <w:b w:val="1"/>
          <w:bCs w:val="1"/>
          <w:color w:val="auto"/>
        </w:rPr>
      </w:pPr>
      <w:r>
        <w:rPr>
          <w:rFonts w:ascii="Arial" w:cs="Arial" w:eastAsia="Arial" w:hAnsi="Arial"/>
          <w:sz w:val="20"/>
          <w:szCs w:val="20"/>
          <w:b w:val="1"/>
          <w:bCs w:val="1"/>
          <w:color w:val="auto"/>
        </w:rPr>
        <w:t>Updated 2019 guidance for Subsea and Onshore/Offshore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72" w:lineRule="auto"/>
        <w:rPr>
          <w:sz w:val="20"/>
          <w:szCs w:val="20"/>
          <w:color w:val="auto"/>
        </w:rPr>
      </w:pPr>
      <w:r>
        <w:rPr>
          <w:rFonts w:ascii="Arial" w:cs="Arial" w:eastAsia="Arial" w:hAnsi="Arial"/>
          <w:sz w:val="20"/>
          <w:szCs w:val="20"/>
          <w:b w:val="1"/>
          <w:bCs w:val="1"/>
          <w:color w:val="auto"/>
        </w:rPr>
        <w:t xml:space="preserve">LONDON, PARIS, HOUSTON, July 24, 2019 - </w:t>
      </w:r>
      <w:r>
        <w:rPr>
          <w:rFonts w:ascii="Arial" w:cs="Arial" w:eastAsia="Arial" w:hAnsi="Arial"/>
          <w:sz w:val="20"/>
          <w:szCs w:val="20"/>
          <w:color w:val="auto"/>
        </w:rPr>
        <w:t>TechnipFMC plc (NYSE: FTI) (Paris: FTI) today reported second quarter 2019</w:t>
      </w:r>
      <w:r>
        <w:rPr>
          <w:rFonts w:ascii="Arial" w:cs="Arial" w:eastAsia="Arial" w:hAnsi="Arial"/>
          <w:sz w:val="20"/>
          <w:szCs w:val="20"/>
          <w:b w:val="1"/>
          <w:bCs w:val="1"/>
          <w:color w:val="auto"/>
        </w:rPr>
        <w:t xml:space="preserve"> </w:t>
      </w:r>
      <w:r>
        <w:rPr>
          <w:rFonts w:ascii="Arial" w:cs="Arial" w:eastAsia="Arial" w:hAnsi="Arial"/>
          <w:sz w:val="20"/>
          <w:szCs w:val="20"/>
          <w:color w:val="auto"/>
        </w:rPr>
        <w:t>results.</w:t>
      </w:r>
    </w:p>
    <w:p>
      <w:pPr>
        <w:spacing w:after="0" w:line="13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Total Company revenue was $3,434.2 million. Net income was $97 million, or $0.21 per diluted share. These results included after-tax charges and credits totaling $78.6 million of expense, or $0.18 per diluted share; adjusted diluted earnings per share were $0.39.</w:t>
      </w:r>
    </w:p>
    <w:p>
      <w:pPr>
        <w:spacing w:after="0" w:line="166"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Adjusted EBITDA, which excludes pre-tax charges and credits, was $450 million; adjusted EBITDA margin was 13.1 percent (Exhibit 9).</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color w:val="auto"/>
        </w:rPr>
        <w:t>Other significant pre-tax items impacting the quarter, for which we do not provide guidance, included the following:</w:t>
      </w:r>
    </w:p>
    <w:p>
      <w:pPr>
        <w:spacing w:after="0" w:line="108"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9"/>
          <w:szCs w:val="19"/>
          <w:color w:val="auto"/>
        </w:rPr>
      </w:pPr>
      <w:r>
        <w:rPr>
          <w:rFonts w:ascii="Arial" w:cs="Arial" w:eastAsia="Arial" w:hAnsi="Arial"/>
          <w:sz w:val="19"/>
          <w:szCs w:val="19"/>
          <w:color w:val="auto"/>
        </w:rPr>
        <w:t>$18 million of foreign exchange losses included in corporate expense, or $0.03 per diluted share on an after-tax basis; and</w:t>
      </w:r>
    </w:p>
    <w:p>
      <w:pPr>
        <w:spacing w:after="0" w:line="11" w:lineRule="exact"/>
        <w:rPr>
          <w:rFonts w:ascii="Arial" w:cs="Arial" w:eastAsia="Arial" w:hAnsi="Arial"/>
          <w:sz w:val="19"/>
          <w:szCs w:val="19"/>
          <w:color w:val="auto"/>
        </w:rPr>
      </w:pPr>
    </w:p>
    <w:p>
      <w:pPr>
        <w:ind w:left="660" w:hanging="328"/>
        <w:spacing w:after="0" w:line="247" w:lineRule="auto"/>
        <w:tabs>
          <w:tab w:leader="none" w:pos="660" w:val="left"/>
        </w:tabs>
        <w:numPr>
          <w:ilvl w:val="0"/>
          <w:numId w:val="2"/>
        </w:numPr>
        <w:rPr>
          <w:rFonts w:ascii="Arial" w:cs="Arial" w:eastAsia="Arial" w:hAnsi="Arial"/>
          <w:sz w:val="20"/>
          <w:szCs w:val="20"/>
          <w:color w:val="auto"/>
        </w:rPr>
      </w:pPr>
      <w:r>
        <w:rPr>
          <w:rFonts w:ascii="Arial" w:cs="Arial" w:eastAsia="Arial" w:hAnsi="Arial"/>
          <w:sz w:val="20"/>
          <w:szCs w:val="20"/>
          <w:color w:val="auto"/>
        </w:rPr>
        <w:t>$140.2 million of increased liability payable to joint venture partners included in interest expense, or $0.31 per diluted share on an after-tax basis.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Summary Financial Statements - Second Quarter 2019</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 of U.S. GAAP to non-GAAP financial measures are below and in financial schedules.</w:t>
      </w:r>
    </w:p>
    <w:p>
      <w:pPr>
        <w:spacing w:after="0" w:line="125" w:lineRule="exact"/>
        <w:rPr>
          <w:sz w:val="20"/>
          <w:szCs w:val="20"/>
          <w:color w:val="auto"/>
        </w:rPr>
      </w:pPr>
    </w:p>
    <w:tbl>
      <w:tblPr>
        <w:tblLayout w:type="fixed"/>
        <w:tblInd w:w="790" w:type="dxa"/>
        <w:tblCellMar>
          <w:top w:w="0" w:type="dxa"/>
          <w:left w:w="0" w:type="dxa"/>
          <w:bottom w:w="0" w:type="dxa"/>
          <w:right w:w="0" w:type="dxa"/>
        </w:tblCellMar>
      </w:tblPr>
      <w:tr>
        <w:trPr>
          <w:trHeight w:val="189"/>
        </w:trPr>
        <w:tc>
          <w:tcPr>
            <w:tcW w:w="4980" w:type="dxa"/>
            <w:vAlign w:val="bottom"/>
            <w:tcBorders>
              <w:top w:val="single" w:sz="8" w:color="B8CCE4"/>
              <w:left w:val="single" w:sz="8" w:color="B8CCE4"/>
              <w:right w:val="single" w:sz="8" w:color="B8CCE4"/>
            </w:tcBorders>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680" w:type="dxa"/>
            <w:vAlign w:val="bottom"/>
            <w:tcBorders>
              <w:top w:val="single" w:sz="8" w:color="B8CCE4"/>
              <w:right w:val="single" w:sz="8" w:color="B8CCE4"/>
            </w:tcBorders>
          </w:tcPr>
          <w:p>
            <w:pPr>
              <w:jc w:val="right"/>
              <w:ind w:right="466"/>
              <w:spacing w:after="0"/>
              <w:rPr>
                <w:sz w:val="20"/>
                <w:szCs w:val="20"/>
                <w:color w:val="auto"/>
              </w:rPr>
            </w:pPr>
            <w:r>
              <w:rPr>
                <w:rFonts w:ascii="Arial" w:cs="Arial" w:eastAsia="Arial" w:hAnsi="Arial"/>
                <w:sz w:val="14"/>
                <w:szCs w:val="14"/>
                <w:b w:val="1"/>
                <w:bCs w:val="1"/>
                <w:color w:val="auto"/>
              </w:rPr>
              <w:t>June 30,</w:t>
            </w:r>
          </w:p>
        </w:tc>
        <w:tc>
          <w:tcPr>
            <w:tcW w:w="1680" w:type="dxa"/>
            <w:vAlign w:val="bottom"/>
            <w:tcBorders>
              <w:top w:val="single" w:sz="8" w:color="B8CCE4"/>
              <w:right w:val="single" w:sz="8" w:color="B8CCE4"/>
            </w:tcBorders>
          </w:tcPr>
          <w:p>
            <w:pPr>
              <w:jc w:val="right"/>
              <w:ind w:right="466"/>
              <w:spacing w:after="0"/>
              <w:rPr>
                <w:sz w:val="20"/>
                <w:szCs w:val="20"/>
                <w:color w:val="auto"/>
              </w:rPr>
            </w:pPr>
            <w:r>
              <w:rPr>
                <w:rFonts w:ascii="Arial" w:cs="Arial" w:eastAsia="Arial" w:hAnsi="Arial"/>
                <w:sz w:val="14"/>
                <w:szCs w:val="14"/>
                <w:b w:val="1"/>
                <w:bCs w:val="1"/>
                <w:color w:val="auto"/>
              </w:rPr>
              <w:t>June 30,</w:t>
            </w:r>
          </w:p>
        </w:tc>
        <w:tc>
          <w:tcPr>
            <w:tcW w:w="1560" w:type="dxa"/>
            <w:vAlign w:val="bottom"/>
            <w:tcBorders>
              <w:top w:val="single" w:sz="8" w:color="B8CCE4"/>
              <w:right w:val="single" w:sz="8" w:color="B8CCE4"/>
            </w:tcBorders>
          </w:tcPr>
          <w:p>
            <w:pPr>
              <w:spacing w:after="0"/>
              <w:rPr>
                <w:sz w:val="16"/>
                <w:szCs w:val="16"/>
                <w:color w:val="auto"/>
              </w:rPr>
            </w:pPr>
          </w:p>
        </w:tc>
      </w:tr>
      <w:tr>
        <w:trPr>
          <w:trHeight w:val="196"/>
        </w:trPr>
        <w:tc>
          <w:tcPr>
            <w:tcW w:w="498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14"/>
                <w:szCs w:val="14"/>
                <w:b w:val="1"/>
                <w:bCs w:val="1"/>
                <w:color w:val="auto"/>
              </w:rPr>
              <w:t>(In millions, except per share amounts)</w:t>
            </w:r>
          </w:p>
        </w:tc>
        <w:tc>
          <w:tcPr>
            <w:tcW w:w="1680" w:type="dxa"/>
            <w:vAlign w:val="bottom"/>
            <w:tcBorders>
              <w:bottom w:val="single" w:sz="8" w:color="B8CCE4"/>
              <w:right w:val="single" w:sz="8" w:color="B8CCE4"/>
            </w:tcBorders>
          </w:tcPr>
          <w:p>
            <w:pPr>
              <w:jc w:val="right"/>
              <w:ind w:right="586"/>
              <w:spacing w:after="0"/>
              <w:rPr>
                <w:sz w:val="20"/>
                <w:szCs w:val="20"/>
                <w:color w:val="auto"/>
              </w:rPr>
            </w:pPr>
            <w:r>
              <w:rPr>
                <w:rFonts w:ascii="Arial" w:cs="Arial" w:eastAsia="Arial" w:hAnsi="Arial"/>
                <w:sz w:val="14"/>
                <w:szCs w:val="14"/>
                <w:b w:val="1"/>
                <w:bCs w:val="1"/>
                <w:color w:val="auto"/>
              </w:rPr>
              <w:t>2019</w:t>
            </w:r>
          </w:p>
        </w:tc>
        <w:tc>
          <w:tcPr>
            <w:tcW w:w="1680" w:type="dxa"/>
            <w:vAlign w:val="bottom"/>
            <w:tcBorders>
              <w:bottom w:val="single" w:sz="8" w:color="B8CCE4"/>
              <w:right w:val="single" w:sz="8" w:color="B8CCE4"/>
            </w:tcBorders>
          </w:tcPr>
          <w:p>
            <w:pPr>
              <w:jc w:val="right"/>
              <w:ind w:right="606"/>
              <w:spacing w:after="0"/>
              <w:rPr>
                <w:sz w:val="20"/>
                <w:szCs w:val="20"/>
                <w:color w:val="auto"/>
              </w:rPr>
            </w:pPr>
            <w:r>
              <w:rPr>
                <w:rFonts w:ascii="Arial" w:cs="Arial" w:eastAsia="Arial" w:hAnsi="Arial"/>
                <w:sz w:val="14"/>
                <w:szCs w:val="14"/>
                <w:b w:val="1"/>
                <w:bCs w:val="1"/>
                <w:color w:val="auto"/>
              </w:rPr>
              <w:t>2018</w:t>
            </w:r>
          </w:p>
        </w:tc>
        <w:tc>
          <w:tcPr>
            <w:tcW w:w="15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4"/>
                <w:szCs w:val="14"/>
                <w:b w:val="1"/>
                <w:bCs w:val="1"/>
                <w:color w:val="auto"/>
              </w:rPr>
              <w:t>Change</w:t>
            </w:r>
          </w:p>
        </w:tc>
      </w:tr>
      <w:tr>
        <w:trPr>
          <w:trHeight w:val="265"/>
        </w:trPr>
        <w:tc>
          <w:tcPr>
            <w:tcW w:w="498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Revenue</w:t>
            </w:r>
          </w:p>
        </w:tc>
        <w:tc>
          <w:tcPr>
            <w:tcW w:w="16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$3,434.2</w:t>
            </w:r>
          </w:p>
        </w:tc>
        <w:tc>
          <w:tcPr>
            <w:tcW w:w="16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$2,960.9</w:t>
            </w:r>
          </w:p>
        </w:tc>
        <w:tc>
          <w:tcPr>
            <w:tcW w:w="15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8"/>
              </w:rPr>
              <w:t>16.0%</w:t>
            </w:r>
          </w:p>
        </w:tc>
      </w:tr>
      <w:tr>
        <w:trPr>
          <w:trHeight w:val="264"/>
        </w:trPr>
        <w:tc>
          <w:tcPr>
            <w:tcW w:w="498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Net income</w:t>
            </w:r>
          </w:p>
        </w:tc>
        <w:tc>
          <w:tcPr>
            <w:tcW w:w="16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$97.0</w:t>
            </w:r>
          </w:p>
        </w:tc>
        <w:tc>
          <w:tcPr>
            <w:tcW w:w="16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$105.7</w:t>
            </w:r>
          </w:p>
        </w:tc>
        <w:tc>
          <w:tcPr>
            <w:tcW w:w="15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rPr>
              <w:t>(8.2%)</w:t>
            </w:r>
          </w:p>
        </w:tc>
      </w:tr>
      <w:tr>
        <w:trPr>
          <w:trHeight w:val="264"/>
        </w:trPr>
        <w:tc>
          <w:tcPr>
            <w:tcW w:w="498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Diluted earnings per share</w:t>
            </w:r>
          </w:p>
        </w:tc>
        <w:tc>
          <w:tcPr>
            <w:tcW w:w="16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$0.21</w:t>
            </w:r>
          </w:p>
        </w:tc>
        <w:tc>
          <w:tcPr>
            <w:tcW w:w="16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$0.23</w:t>
            </w:r>
          </w:p>
        </w:tc>
        <w:tc>
          <w:tcPr>
            <w:tcW w:w="15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rPr>
              <w:t>(8.7%)</w:t>
            </w:r>
          </w:p>
        </w:tc>
      </w:tr>
      <w:tr>
        <w:trPr>
          <w:trHeight w:val="336"/>
        </w:trPr>
        <w:tc>
          <w:tcPr>
            <w:tcW w:w="4980" w:type="dxa"/>
            <w:vAlign w:val="bottom"/>
            <w:tcBorders>
              <w:left w:val="single" w:sz="8" w:color="B8CCE4"/>
              <w:bottom w:val="single" w:sz="8" w:color="B8CCE4"/>
            </w:tcBorders>
          </w:tcPr>
          <w:p>
            <w:pPr>
              <w:spacing w:after="0"/>
              <w:rPr>
                <w:sz w:val="24"/>
                <w:szCs w:val="24"/>
                <w:color w:val="auto"/>
              </w:rPr>
            </w:pPr>
          </w:p>
        </w:tc>
        <w:tc>
          <w:tcPr>
            <w:tcW w:w="1680" w:type="dxa"/>
            <w:vAlign w:val="bottom"/>
            <w:tcBorders>
              <w:bottom w:val="single" w:sz="8" w:color="B8CCE4"/>
            </w:tcBorders>
          </w:tcPr>
          <w:p>
            <w:pPr>
              <w:spacing w:after="0"/>
              <w:rPr>
                <w:sz w:val="24"/>
                <w:szCs w:val="24"/>
                <w:color w:val="auto"/>
              </w:rPr>
            </w:pPr>
          </w:p>
        </w:tc>
        <w:tc>
          <w:tcPr>
            <w:tcW w:w="1680" w:type="dxa"/>
            <w:vAlign w:val="bottom"/>
            <w:tcBorders>
              <w:bottom w:val="single" w:sz="8" w:color="B8CCE4"/>
            </w:tcBorders>
          </w:tcPr>
          <w:p>
            <w:pPr>
              <w:spacing w:after="0"/>
              <w:rPr>
                <w:sz w:val="24"/>
                <w:szCs w:val="24"/>
                <w:color w:val="auto"/>
              </w:rPr>
            </w:pPr>
          </w:p>
        </w:tc>
        <w:tc>
          <w:tcPr>
            <w:tcW w:w="1560" w:type="dxa"/>
            <w:vAlign w:val="bottom"/>
            <w:tcBorders>
              <w:bottom w:val="single" w:sz="8" w:color="B8CCE4"/>
              <w:right w:val="single" w:sz="8" w:color="B8CCE4"/>
            </w:tcBorders>
          </w:tcPr>
          <w:p>
            <w:pPr>
              <w:spacing w:after="0"/>
              <w:rPr>
                <w:sz w:val="24"/>
                <w:szCs w:val="24"/>
                <w:color w:val="auto"/>
              </w:rPr>
            </w:pPr>
          </w:p>
        </w:tc>
      </w:tr>
      <w:tr>
        <w:trPr>
          <w:trHeight w:val="259"/>
        </w:trPr>
        <w:tc>
          <w:tcPr>
            <w:tcW w:w="498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Adjusted EBITDA</w:t>
            </w:r>
          </w:p>
        </w:tc>
        <w:tc>
          <w:tcPr>
            <w:tcW w:w="16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$450.0</w:t>
            </w:r>
          </w:p>
        </w:tc>
        <w:tc>
          <w:tcPr>
            <w:tcW w:w="16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$377.2</w:t>
            </w:r>
          </w:p>
        </w:tc>
        <w:tc>
          <w:tcPr>
            <w:tcW w:w="15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8"/>
              </w:rPr>
              <w:t>19.3%</w:t>
            </w:r>
          </w:p>
        </w:tc>
      </w:tr>
      <w:tr>
        <w:trPr>
          <w:trHeight w:val="264"/>
        </w:trPr>
        <w:tc>
          <w:tcPr>
            <w:tcW w:w="498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Adjusted EBITDA margin</w:t>
            </w:r>
          </w:p>
        </w:tc>
        <w:tc>
          <w:tcPr>
            <w:tcW w:w="16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13.1%</w:t>
            </w:r>
          </w:p>
        </w:tc>
        <w:tc>
          <w:tcPr>
            <w:tcW w:w="16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12.7%</w:t>
            </w:r>
          </w:p>
        </w:tc>
        <w:tc>
          <w:tcPr>
            <w:tcW w:w="15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9"/>
              </w:rPr>
              <w:t>40 bps</w:t>
            </w:r>
          </w:p>
        </w:tc>
      </w:tr>
      <w:tr>
        <w:trPr>
          <w:trHeight w:val="264"/>
        </w:trPr>
        <w:tc>
          <w:tcPr>
            <w:tcW w:w="498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Adjusted net income</w:t>
            </w:r>
          </w:p>
        </w:tc>
        <w:tc>
          <w:tcPr>
            <w:tcW w:w="16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$175.6</w:t>
            </w:r>
          </w:p>
        </w:tc>
        <w:tc>
          <w:tcPr>
            <w:tcW w:w="16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$131.8</w:t>
            </w:r>
          </w:p>
        </w:tc>
        <w:tc>
          <w:tcPr>
            <w:tcW w:w="15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8"/>
              </w:rPr>
              <w:t>33.2%</w:t>
            </w:r>
          </w:p>
        </w:tc>
      </w:tr>
      <w:tr>
        <w:trPr>
          <w:trHeight w:val="264"/>
        </w:trPr>
        <w:tc>
          <w:tcPr>
            <w:tcW w:w="498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Adjusted diluted earnings per share</w:t>
            </w:r>
          </w:p>
        </w:tc>
        <w:tc>
          <w:tcPr>
            <w:tcW w:w="16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$0.39</w:t>
            </w:r>
          </w:p>
        </w:tc>
        <w:tc>
          <w:tcPr>
            <w:tcW w:w="16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$0.28</w:t>
            </w:r>
          </w:p>
        </w:tc>
        <w:tc>
          <w:tcPr>
            <w:tcW w:w="15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8"/>
              </w:rPr>
              <w:t>39.3%</w:t>
            </w:r>
          </w:p>
        </w:tc>
      </w:tr>
      <w:tr>
        <w:trPr>
          <w:trHeight w:val="336"/>
        </w:trPr>
        <w:tc>
          <w:tcPr>
            <w:tcW w:w="4980" w:type="dxa"/>
            <w:vAlign w:val="bottom"/>
            <w:tcBorders>
              <w:left w:val="single" w:sz="8" w:color="B8CCE4"/>
              <w:bottom w:val="single" w:sz="8" w:color="B8CCE4"/>
            </w:tcBorders>
          </w:tcPr>
          <w:p>
            <w:pPr>
              <w:spacing w:after="0"/>
              <w:rPr>
                <w:sz w:val="24"/>
                <w:szCs w:val="24"/>
                <w:color w:val="auto"/>
              </w:rPr>
            </w:pPr>
          </w:p>
        </w:tc>
        <w:tc>
          <w:tcPr>
            <w:tcW w:w="1680" w:type="dxa"/>
            <w:vAlign w:val="bottom"/>
            <w:tcBorders>
              <w:bottom w:val="single" w:sz="8" w:color="B8CCE4"/>
            </w:tcBorders>
          </w:tcPr>
          <w:p>
            <w:pPr>
              <w:spacing w:after="0"/>
              <w:rPr>
                <w:sz w:val="24"/>
                <w:szCs w:val="24"/>
                <w:color w:val="auto"/>
              </w:rPr>
            </w:pPr>
          </w:p>
        </w:tc>
        <w:tc>
          <w:tcPr>
            <w:tcW w:w="1680" w:type="dxa"/>
            <w:vAlign w:val="bottom"/>
            <w:tcBorders>
              <w:bottom w:val="single" w:sz="8" w:color="B8CCE4"/>
            </w:tcBorders>
          </w:tcPr>
          <w:p>
            <w:pPr>
              <w:spacing w:after="0"/>
              <w:rPr>
                <w:sz w:val="24"/>
                <w:szCs w:val="24"/>
                <w:color w:val="auto"/>
              </w:rPr>
            </w:pPr>
          </w:p>
        </w:tc>
        <w:tc>
          <w:tcPr>
            <w:tcW w:w="1560" w:type="dxa"/>
            <w:vAlign w:val="bottom"/>
            <w:tcBorders>
              <w:bottom w:val="single" w:sz="8" w:color="B8CCE4"/>
              <w:right w:val="single" w:sz="8" w:color="B8CCE4"/>
            </w:tcBorders>
          </w:tcPr>
          <w:p>
            <w:pPr>
              <w:spacing w:after="0"/>
              <w:rPr>
                <w:sz w:val="24"/>
                <w:szCs w:val="24"/>
                <w:color w:val="auto"/>
              </w:rPr>
            </w:pPr>
          </w:p>
        </w:tc>
      </w:tr>
      <w:tr>
        <w:trPr>
          <w:trHeight w:val="259"/>
        </w:trPr>
        <w:tc>
          <w:tcPr>
            <w:tcW w:w="498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Inbound orders</w:t>
            </w:r>
          </w:p>
        </w:tc>
        <w:tc>
          <w:tcPr>
            <w:tcW w:w="16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$11,179.6</w:t>
            </w:r>
          </w:p>
        </w:tc>
        <w:tc>
          <w:tcPr>
            <w:tcW w:w="16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$4,231.7</w:t>
            </w:r>
          </w:p>
        </w:tc>
        <w:tc>
          <w:tcPr>
            <w:tcW w:w="15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rPr>
              <w:t>164.2%</w:t>
            </w:r>
          </w:p>
        </w:tc>
      </w:tr>
      <w:tr>
        <w:trPr>
          <w:trHeight w:val="264"/>
        </w:trPr>
        <w:tc>
          <w:tcPr>
            <w:tcW w:w="498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Backlog</w:t>
            </w:r>
          </w:p>
        </w:tc>
        <w:tc>
          <w:tcPr>
            <w:tcW w:w="16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$25,781.9</w:t>
            </w:r>
          </w:p>
        </w:tc>
        <w:tc>
          <w:tcPr>
            <w:tcW w:w="16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$14,871.8</w:t>
            </w:r>
          </w:p>
        </w:tc>
        <w:tc>
          <w:tcPr>
            <w:tcW w:w="15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8"/>
              </w:rPr>
              <w:t>73.4%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180"/>
        <w:spacing w:after="0"/>
        <w:tabs>
          <w:tab w:leader="none" w:pos="1050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1 of </w:t>
      </w:r>
      <w:hyperlink w:anchor="page30">
        <w:r>
          <w:rPr>
            <w:rFonts w:ascii="Arial" w:cs="Arial" w:eastAsia="Arial" w:hAnsi="Arial"/>
            <w:sz w:val="14"/>
            <w:szCs w:val="14"/>
            <w:b w:val="1"/>
            <w:bCs w:val="1"/>
            <w:color w:val="auto"/>
          </w:rPr>
          <w:t>25</w:t>
        </w:r>
      </w:hyperlink>
    </w:p>
    <w:p>
      <w:pPr>
        <w:sectPr>
          <w:pgSz w:w="11900" w:h="16838" w:orient="portrait"/>
          <w:cols w:equalWidth="0" w:num="1">
            <w:col w:w="11420"/>
          </w:cols>
          <w:pgMar w:left="240" w:top="1216" w:right="239" w:bottom="1440" w:gutter="0" w:footer="0" w:header="0"/>
        </w:sectPr>
      </w:pPr>
    </w:p>
    <w:bookmarkStart w:id="5" w:name="page6"/>
    <w:bookmarkEnd w:id="5"/>
    <w:p>
      <w:pPr>
        <w:jc w:val="both"/>
        <w:spacing w:after="0" w:line="241"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2778760" cy="5314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2778760" cy="531495"/>
                    </a:xfrm>
                    <a:prstGeom prst="rect">
                      <a:avLst/>
                    </a:prstGeom>
                    <a:noFill/>
                  </pic:spPr>
                </pic:pic>
              </a:graphicData>
            </a:graphic>
          </wp:anchor>
        </w:drawing>
        <w:t>Doug Pferdehirt, Chairman and CEO of TechnipFMC, stated, “We achieved record inbound orders in the quarter, with total Company orders reaching $11.2 billion – a book-to-bill of 3.3. Onshore/Offshore inbound of $8.1 billion was also a new record for the business segment, driven by the award of Arctic LNG 2. In Subsea, first half orders have already exceeded the levels achieved in all of 2018, with inbound of $2.6 billion. Total Company backlog increased more than 75 percent since year-end to $25.8 billion.”</w:t>
      </w:r>
    </w:p>
    <w:p>
      <w:pPr>
        <w:spacing w:after="0" w:line="169"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Pferdehirt continued, “In the subsea industry, iEPCI™ is a structural transformation that is occurring as a result of the creation of TechnipFMC, and this paradigm shift is accelerating. Integrated project awards have exceeded $3 billion for the first half of the year, and we have secured 100 percent of these awards. Importantly, integrated awards have accounted for more than 50 percent of our inbound orders in 2019. iEPCI™ has clearly proven to be a unique growth engine for TechnipFMC.”</w:t>
      </w:r>
    </w:p>
    <w:p>
      <w:pPr>
        <w:spacing w:after="0" w:line="16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“This momentum is evidenced by our recent award for Anadarko’s Golfinho development in Mozambique. TechnipFMC was a first-mover in the country, and this award further strengthens our leadership position. Golfinho is also our largest integrated subsea project to date and further highlights the differentiation of iEPCI™.”</w:t>
      </w:r>
    </w:p>
    <w:p>
      <w:pPr>
        <w:spacing w:after="0" w:line="166"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Pferdehirt added, “In Onshore/Offshore, we are benefiting from the new wave of liquefied natural gas (LNG) projects. The LNG market growth continues to be underpinned by the structural shift towards natural gas as an energy transition fuel, helping to meet the increasing demand for energy while lowering greenhouse gases. Our demonstrated leadership in this important growth market will continue as we anticipate additional LNG awards in the coming quarters.”</w:t>
      </w:r>
    </w:p>
    <w:p>
      <w:pPr>
        <w:spacing w:after="0" w:line="166"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“In the second quarter, we were awarded the Arctic LNG 2 project. This award exemplifies our experience in the delivery of large scale modularized fabrication for harsh environments. The project will bring on-stream nearly 20 million metric tonnes per annum of new capacity utilizing an innovative engineering solution developed during the FEED stage of the project. We will leverage our recent success from Yamal LNG through the continuity of leadership, execution model and lessons learned.”</w:t>
      </w:r>
    </w:p>
    <w:p>
      <w:pPr>
        <w:spacing w:after="0" w:line="166"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Pferdehirt concluded, “This was a very strong quarter for TechnipFMC. The unprecedented level of order activity demonstrates that we are winning, with an intense focus on project selectivity and commercial differentiation. We reported solid improvements in total Company revenue and adjusted EBITDA. The strength of these results and significant growth in backlog give us even greater confidence that we will achieve our increased full year guidance and provide us with improved visibility as we look to 2020 and beyond.”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180"/>
        <w:spacing w:after="0"/>
        <w:tabs>
          <w:tab w:leader="none" w:pos="1050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2 of </w:t>
      </w:r>
      <w:hyperlink w:anchor="page30">
        <w:r>
          <w:rPr>
            <w:rFonts w:ascii="Arial" w:cs="Arial" w:eastAsia="Arial" w:hAnsi="Arial"/>
            <w:sz w:val="14"/>
            <w:szCs w:val="14"/>
            <w:b w:val="1"/>
            <w:bCs w:val="1"/>
            <w:color w:val="auto"/>
          </w:rPr>
          <w:t>25</w:t>
        </w:r>
      </w:hyperlink>
    </w:p>
    <w:p>
      <w:pPr>
        <w:sectPr>
          <w:pgSz w:w="11900" w:h="16838" w:orient="portrait"/>
          <w:cols w:equalWidth="0" w:num="1">
            <w:col w:w="11420"/>
          </w:cols>
          <w:pgMar w:left="240" w:top="1216" w:right="2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2778760" cy="5314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778760" cy="531495"/>
                    </a:xfrm>
                    <a:prstGeom prst="rect">
                      <a:avLst/>
                    </a:prstGeom>
                    <a:noFill/>
                  </pic:spPr>
                </pic:pic>
              </a:graphicData>
            </a:graphic>
          </wp:anchor>
        </w:drawing>
        <w:t>Operational and Financial Highlights - Second Quarter 2019</w:t>
      </w:r>
    </w:p>
    <w:p>
      <w:pPr>
        <w:spacing w:after="0" w:line="200" w:lineRule="exact"/>
        <w:rPr>
          <w:sz w:val="20"/>
          <w:szCs w:val="20"/>
          <w:color w:val="auto"/>
        </w:rPr>
      </w:pPr>
    </w:p>
    <w:p>
      <w:pPr>
        <w:spacing w:after="0" w:line="353"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Subsea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Highlights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 of U.S. GAAP to non-GAAP financial measures are below and in financial schedules.</w:t>
      </w:r>
    </w:p>
    <w:p>
      <w:pPr>
        <w:spacing w:after="0" w:line="125"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6380" w:type="dxa"/>
            <w:vAlign w:val="bottom"/>
            <w:tcBorders>
              <w:top w:val="single" w:sz="8" w:color="B8CCE4"/>
              <w:left w:val="single" w:sz="8" w:color="B8CCE4"/>
              <w:right w:val="single" w:sz="8" w:color="B8CCE4"/>
            </w:tcBorders>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680" w:type="dxa"/>
            <w:vAlign w:val="bottom"/>
            <w:tcBorders>
              <w:top w:val="single" w:sz="8" w:color="B8CCE4"/>
              <w:right w:val="single" w:sz="8" w:color="B8CCE4"/>
            </w:tcBorders>
          </w:tcPr>
          <w:p>
            <w:pPr>
              <w:jc w:val="right"/>
              <w:ind w:right="468"/>
              <w:spacing w:after="0"/>
              <w:rPr>
                <w:sz w:val="20"/>
                <w:szCs w:val="20"/>
                <w:color w:val="auto"/>
              </w:rPr>
            </w:pPr>
            <w:r>
              <w:rPr>
                <w:rFonts w:ascii="Arial" w:cs="Arial" w:eastAsia="Arial" w:hAnsi="Arial"/>
                <w:sz w:val="14"/>
                <w:szCs w:val="14"/>
                <w:b w:val="1"/>
                <w:bCs w:val="1"/>
                <w:color w:val="auto"/>
              </w:rPr>
              <w:t>June 30,</w:t>
            </w:r>
          </w:p>
        </w:tc>
        <w:tc>
          <w:tcPr>
            <w:tcW w:w="1580" w:type="dxa"/>
            <w:vAlign w:val="bottom"/>
            <w:tcBorders>
              <w:top w:val="single" w:sz="8" w:color="B8CCE4"/>
              <w:right w:val="single" w:sz="8" w:color="B8CCE4"/>
            </w:tcBorders>
          </w:tcPr>
          <w:p>
            <w:pPr>
              <w:jc w:val="right"/>
              <w:ind w:right="428"/>
              <w:spacing w:after="0"/>
              <w:rPr>
                <w:sz w:val="20"/>
                <w:szCs w:val="20"/>
                <w:color w:val="auto"/>
              </w:rPr>
            </w:pPr>
            <w:r>
              <w:rPr>
                <w:rFonts w:ascii="Arial" w:cs="Arial" w:eastAsia="Arial" w:hAnsi="Arial"/>
                <w:sz w:val="14"/>
                <w:szCs w:val="14"/>
                <w:b w:val="1"/>
                <w:bCs w:val="1"/>
                <w:color w:val="auto"/>
              </w:rPr>
              <w:t>June 30,</w:t>
            </w:r>
          </w:p>
        </w:tc>
        <w:tc>
          <w:tcPr>
            <w:tcW w:w="1800" w:type="dxa"/>
            <w:vAlign w:val="bottom"/>
            <w:tcBorders>
              <w:top w:val="single" w:sz="8" w:color="B8CCE4"/>
              <w:right w:val="single" w:sz="8" w:color="B8CCE4"/>
            </w:tcBorders>
          </w:tcPr>
          <w:p>
            <w:pPr>
              <w:spacing w:after="0"/>
              <w:rPr>
                <w:sz w:val="16"/>
                <w:szCs w:val="16"/>
                <w:color w:val="auto"/>
              </w:rPr>
            </w:pPr>
          </w:p>
        </w:tc>
      </w:tr>
      <w:tr>
        <w:trPr>
          <w:trHeight w:val="196"/>
        </w:trPr>
        <w:tc>
          <w:tcPr>
            <w:tcW w:w="638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680" w:type="dxa"/>
            <w:vAlign w:val="bottom"/>
            <w:tcBorders>
              <w:bottom w:val="single" w:sz="8" w:color="B8CCE4"/>
              <w:right w:val="single" w:sz="8" w:color="B8CCE4"/>
            </w:tcBorders>
          </w:tcPr>
          <w:p>
            <w:pPr>
              <w:jc w:val="right"/>
              <w:ind w:right="588"/>
              <w:spacing w:after="0"/>
              <w:rPr>
                <w:sz w:val="20"/>
                <w:szCs w:val="20"/>
                <w:color w:val="auto"/>
              </w:rPr>
            </w:pPr>
            <w:r>
              <w:rPr>
                <w:rFonts w:ascii="Arial" w:cs="Arial" w:eastAsia="Arial" w:hAnsi="Arial"/>
                <w:sz w:val="14"/>
                <w:szCs w:val="14"/>
                <w:b w:val="1"/>
                <w:bCs w:val="1"/>
                <w:color w:val="auto"/>
              </w:rPr>
              <w:t>2019</w:t>
            </w:r>
          </w:p>
        </w:tc>
        <w:tc>
          <w:tcPr>
            <w:tcW w:w="1580" w:type="dxa"/>
            <w:vAlign w:val="bottom"/>
            <w:tcBorders>
              <w:bottom w:val="single" w:sz="8" w:color="B8CCE4"/>
              <w:right w:val="single" w:sz="8" w:color="B8CCE4"/>
            </w:tcBorders>
          </w:tcPr>
          <w:p>
            <w:pPr>
              <w:jc w:val="right"/>
              <w:ind w:right="548"/>
              <w:spacing w:after="0"/>
              <w:rPr>
                <w:sz w:val="20"/>
                <w:szCs w:val="20"/>
                <w:color w:val="auto"/>
              </w:rPr>
            </w:pPr>
            <w:r>
              <w:rPr>
                <w:rFonts w:ascii="Arial" w:cs="Arial" w:eastAsia="Arial" w:hAnsi="Arial"/>
                <w:sz w:val="14"/>
                <w:szCs w:val="14"/>
                <w:b w:val="1"/>
                <w:bCs w:val="1"/>
                <w:color w:val="auto"/>
              </w:rPr>
              <w:t>2018</w:t>
            </w:r>
          </w:p>
        </w:tc>
        <w:tc>
          <w:tcPr>
            <w:tcW w:w="180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4"/>
                <w:szCs w:val="14"/>
                <w:b w:val="1"/>
                <w:bCs w:val="1"/>
                <w:color w:val="auto"/>
              </w:rPr>
              <w:t>Change</w:t>
            </w:r>
          </w:p>
        </w:tc>
      </w:tr>
      <w:tr>
        <w:trPr>
          <w:trHeight w:val="265"/>
        </w:trPr>
        <w:tc>
          <w:tcPr>
            <w:tcW w:w="638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Revenue</w:t>
            </w:r>
          </w:p>
        </w:tc>
        <w:tc>
          <w:tcPr>
            <w:tcW w:w="16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$1,508.7</w:t>
            </w:r>
          </w:p>
        </w:tc>
        <w:tc>
          <w:tcPr>
            <w:tcW w:w="15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$1,217.4</w:t>
            </w:r>
          </w:p>
        </w:tc>
        <w:tc>
          <w:tcPr>
            <w:tcW w:w="180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8"/>
              </w:rPr>
              <w:t>23.9%</w:t>
            </w:r>
          </w:p>
        </w:tc>
      </w:tr>
      <w:tr>
        <w:trPr>
          <w:trHeight w:val="264"/>
        </w:trPr>
        <w:tc>
          <w:tcPr>
            <w:tcW w:w="638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Operating profit</w:t>
            </w:r>
          </w:p>
        </w:tc>
        <w:tc>
          <w:tcPr>
            <w:tcW w:w="16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$94.6</w:t>
            </w:r>
          </w:p>
        </w:tc>
        <w:tc>
          <w:tcPr>
            <w:tcW w:w="15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$75.9</w:t>
            </w:r>
          </w:p>
        </w:tc>
        <w:tc>
          <w:tcPr>
            <w:tcW w:w="180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8"/>
              </w:rPr>
              <w:t>24.6%</w:t>
            </w:r>
          </w:p>
        </w:tc>
      </w:tr>
      <w:tr>
        <w:trPr>
          <w:trHeight w:val="264"/>
        </w:trPr>
        <w:tc>
          <w:tcPr>
            <w:tcW w:w="638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Adjusted EBITDA</w:t>
            </w:r>
          </w:p>
        </w:tc>
        <w:tc>
          <w:tcPr>
            <w:tcW w:w="16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$186.2</w:t>
            </w:r>
          </w:p>
        </w:tc>
        <w:tc>
          <w:tcPr>
            <w:tcW w:w="15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$191.2</w:t>
            </w:r>
          </w:p>
        </w:tc>
        <w:tc>
          <w:tcPr>
            <w:tcW w:w="180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8"/>
              </w:rPr>
              <w:t>(2.6%)</w:t>
            </w:r>
          </w:p>
        </w:tc>
      </w:tr>
      <w:tr>
        <w:trPr>
          <w:trHeight w:val="264"/>
        </w:trPr>
        <w:tc>
          <w:tcPr>
            <w:tcW w:w="638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Adjusted EBITDA margin</w:t>
            </w:r>
          </w:p>
        </w:tc>
        <w:tc>
          <w:tcPr>
            <w:tcW w:w="16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12.3%</w:t>
            </w:r>
          </w:p>
        </w:tc>
        <w:tc>
          <w:tcPr>
            <w:tcW w:w="15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15.7%</w:t>
            </w:r>
          </w:p>
        </w:tc>
        <w:tc>
          <w:tcPr>
            <w:tcW w:w="180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9"/>
              </w:rPr>
              <w:t>(340 bps)</w:t>
            </w:r>
          </w:p>
        </w:tc>
      </w:tr>
      <w:tr>
        <w:trPr>
          <w:trHeight w:val="322"/>
        </w:trPr>
        <w:tc>
          <w:tcPr>
            <w:tcW w:w="6380" w:type="dxa"/>
            <w:vAlign w:val="bottom"/>
            <w:tcBorders>
              <w:left w:val="single" w:sz="8" w:color="B8CCE4"/>
              <w:bottom w:val="single" w:sz="8" w:color="B8CCE4"/>
            </w:tcBorders>
          </w:tcPr>
          <w:p>
            <w:pPr>
              <w:spacing w:after="0"/>
              <w:rPr>
                <w:sz w:val="24"/>
                <w:szCs w:val="24"/>
                <w:color w:val="auto"/>
              </w:rPr>
            </w:pPr>
          </w:p>
        </w:tc>
        <w:tc>
          <w:tcPr>
            <w:tcW w:w="1680" w:type="dxa"/>
            <w:vAlign w:val="bottom"/>
            <w:tcBorders>
              <w:bottom w:val="single" w:sz="8" w:color="B8CCE4"/>
            </w:tcBorders>
          </w:tcPr>
          <w:p>
            <w:pPr>
              <w:spacing w:after="0"/>
              <w:rPr>
                <w:sz w:val="24"/>
                <w:szCs w:val="24"/>
                <w:color w:val="auto"/>
              </w:rPr>
            </w:pPr>
          </w:p>
        </w:tc>
        <w:tc>
          <w:tcPr>
            <w:tcW w:w="1580" w:type="dxa"/>
            <w:vAlign w:val="bottom"/>
            <w:tcBorders>
              <w:bottom w:val="single" w:sz="8" w:color="B8CCE4"/>
            </w:tcBorders>
          </w:tcPr>
          <w:p>
            <w:pPr>
              <w:spacing w:after="0"/>
              <w:rPr>
                <w:sz w:val="24"/>
                <w:szCs w:val="24"/>
                <w:color w:val="auto"/>
              </w:rPr>
            </w:pPr>
          </w:p>
        </w:tc>
        <w:tc>
          <w:tcPr>
            <w:tcW w:w="1800" w:type="dxa"/>
            <w:vAlign w:val="bottom"/>
            <w:tcBorders>
              <w:bottom w:val="single" w:sz="8" w:color="B8CCE4"/>
              <w:right w:val="single" w:sz="8" w:color="B8CCE4"/>
            </w:tcBorders>
          </w:tcPr>
          <w:p>
            <w:pPr>
              <w:spacing w:after="0"/>
              <w:rPr>
                <w:sz w:val="24"/>
                <w:szCs w:val="24"/>
                <w:color w:val="auto"/>
              </w:rPr>
            </w:pPr>
          </w:p>
        </w:tc>
      </w:tr>
      <w:tr>
        <w:trPr>
          <w:trHeight w:val="259"/>
        </w:trPr>
        <w:tc>
          <w:tcPr>
            <w:tcW w:w="638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Inbound orders</w:t>
            </w:r>
          </w:p>
        </w:tc>
        <w:tc>
          <w:tcPr>
            <w:tcW w:w="16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$2,632.7</w:t>
            </w:r>
          </w:p>
        </w:tc>
        <w:tc>
          <w:tcPr>
            <w:tcW w:w="15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$1,516.2</w:t>
            </w:r>
          </w:p>
        </w:tc>
        <w:tc>
          <w:tcPr>
            <w:tcW w:w="180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8"/>
              </w:rPr>
              <w:t>73.6%</w:t>
            </w:r>
          </w:p>
        </w:tc>
      </w:tr>
      <w:tr>
        <w:trPr>
          <w:trHeight w:val="264"/>
        </w:trPr>
        <w:tc>
          <w:tcPr>
            <w:tcW w:w="638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Backlog</w:t>
            </w:r>
          </w:p>
        </w:tc>
        <w:tc>
          <w:tcPr>
            <w:tcW w:w="16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$8,747.0</w:t>
            </w:r>
          </w:p>
        </w:tc>
        <w:tc>
          <w:tcPr>
            <w:tcW w:w="15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$6,177.0</w:t>
            </w:r>
          </w:p>
        </w:tc>
        <w:tc>
          <w:tcPr>
            <w:tcW w:w="180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8"/>
              </w:rPr>
              <w:t>41.6%</w:t>
            </w:r>
          </w:p>
        </w:tc>
      </w:tr>
    </w:tbl>
    <w:p>
      <w:pPr>
        <w:spacing w:after="0" w:line="388" w:lineRule="exact"/>
        <w:rPr>
          <w:sz w:val="20"/>
          <w:szCs w:val="20"/>
          <w:color w:val="auto"/>
        </w:rPr>
      </w:pPr>
    </w:p>
    <w:p>
      <w:pPr>
        <w:jc w:val="both"/>
        <w:ind w:right="20"/>
        <w:spacing w:after="0" w:line="243" w:lineRule="auto"/>
        <w:rPr>
          <w:sz w:val="20"/>
          <w:szCs w:val="20"/>
          <w:color w:val="auto"/>
        </w:rPr>
      </w:pPr>
      <w:r>
        <w:rPr>
          <w:rFonts w:ascii="Arial" w:cs="Arial" w:eastAsia="Arial" w:hAnsi="Arial"/>
          <w:sz w:val="20"/>
          <w:szCs w:val="20"/>
          <w:color w:val="auto"/>
        </w:rPr>
        <w:t>Subsea reported second quarter revenue of $1,508.7 million, up 23.9 percent from the prior year. Revenue increased primarily due to higher project-related activity and growth in Subsea services. Integrated project activity continues to represent an increasing share of revenue.</w:t>
      </w:r>
    </w:p>
    <w:p>
      <w:pPr>
        <w:spacing w:after="0" w:line="166" w:lineRule="exact"/>
        <w:rPr>
          <w:sz w:val="20"/>
          <w:szCs w:val="20"/>
          <w:color w:val="auto"/>
        </w:rPr>
      </w:pPr>
    </w:p>
    <w:p>
      <w:pPr>
        <w:jc w:val="both"/>
        <w:ind w:right="20"/>
        <w:spacing w:after="0" w:line="243" w:lineRule="auto"/>
        <w:rPr>
          <w:sz w:val="20"/>
          <w:szCs w:val="20"/>
          <w:color w:val="auto"/>
        </w:rPr>
      </w:pPr>
      <w:r>
        <w:rPr>
          <w:rFonts w:ascii="Arial" w:cs="Arial" w:eastAsia="Arial" w:hAnsi="Arial"/>
          <w:sz w:val="20"/>
          <w:szCs w:val="20"/>
          <w:color w:val="auto"/>
        </w:rPr>
        <w:t>Subsea reported operating profit of $94.6 million. Operating profit increased from the prior year, benefiting from the achievement of key milestones on projects nearing completion and increased project activity as well as lower purchase price accounting amortization.</w:t>
      </w:r>
    </w:p>
    <w:p>
      <w:pPr>
        <w:spacing w:after="0" w:line="166" w:lineRule="exact"/>
        <w:rPr>
          <w:sz w:val="20"/>
          <w:szCs w:val="20"/>
          <w:color w:val="auto"/>
        </w:rPr>
      </w:pPr>
    </w:p>
    <w:p>
      <w:pPr>
        <w:jc w:val="both"/>
        <w:ind w:right="20"/>
        <w:spacing w:after="0" w:line="243" w:lineRule="auto"/>
        <w:rPr>
          <w:sz w:val="20"/>
          <w:szCs w:val="20"/>
          <w:color w:val="auto"/>
        </w:rPr>
      </w:pPr>
      <w:r>
        <w:rPr>
          <w:rFonts w:ascii="Arial" w:cs="Arial" w:eastAsia="Arial" w:hAnsi="Arial"/>
          <w:sz w:val="20"/>
          <w:szCs w:val="20"/>
          <w:color w:val="auto"/>
        </w:rPr>
        <w:t>Adjusted EBITDA was $186.2 million. Adjusted EBITDA decreased 2.6 percent from the prior-year results due to more competitively priced backlog, partially offset by the achievement of key milestones on projects nearing completion and increased project activity. Adjusted EBITDA margin decreased 340 basis points to 12.3 percent.</w:t>
      </w:r>
    </w:p>
    <w:p>
      <w:pPr>
        <w:spacing w:after="0" w:line="166" w:lineRule="exact"/>
        <w:rPr>
          <w:sz w:val="20"/>
          <w:szCs w:val="20"/>
          <w:color w:val="auto"/>
        </w:rPr>
      </w:pPr>
    </w:p>
    <w:p>
      <w:pPr>
        <w:jc w:val="both"/>
        <w:ind w:right="20"/>
        <w:spacing w:after="0" w:line="247" w:lineRule="auto"/>
        <w:rPr>
          <w:sz w:val="20"/>
          <w:szCs w:val="20"/>
          <w:color w:val="auto"/>
        </w:rPr>
      </w:pPr>
      <w:r>
        <w:rPr>
          <w:rFonts w:ascii="Arial" w:cs="Arial" w:eastAsia="Arial" w:hAnsi="Arial"/>
          <w:sz w:val="20"/>
          <w:szCs w:val="20"/>
          <w:color w:val="auto"/>
        </w:rPr>
        <w:t>Vessel utilization rate for the second quarter was 69 percent, up from 55 percent in the first quarter, but down from 71 percent in the prior-year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180"/>
        <w:spacing w:after="0"/>
        <w:tabs>
          <w:tab w:leader="none" w:pos="1050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3 of </w:t>
      </w:r>
      <w:hyperlink w:anchor="page30">
        <w:r>
          <w:rPr>
            <w:rFonts w:ascii="Arial" w:cs="Arial" w:eastAsia="Arial" w:hAnsi="Arial"/>
            <w:sz w:val="14"/>
            <w:szCs w:val="14"/>
            <w:b w:val="1"/>
            <w:bCs w:val="1"/>
            <w:color w:val="auto"/>
          </w:rPr>
          <w:t>25</w:t>
        </w:r>
      </w:hyperlink>
    </w:p>
    <w:p>
      <w:pPr>
        <w:sectPr>
          <w:pgSz w:w="11900" w:h="16838" w:orient="portrait"/>
          <w:cols w:equalWidth="0" w:num="1">
            <w:col w:w="11440"/>
          </w:cols>
          <w:pgMar w:left="240" w:top="1192" w:right="219" w:bottom="1440" w:gutter="0" w:footer="0" w:header="0"/>
        </w:sectPr>
      </w:pPr>
    </w:p>
    <w:bookmarkStart w:id="7" w:name="page8"/>
    <w:bookmarkEnd w:id="7"/>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2778760" cy="5314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2778760" cy="531495"/>
                    </a:xfrm>
                    <a:prstGeom prst="rect">
                      <a:avLst/>
                    </a:prstGeom>
                    <a:noFill/>
                  </pic:spPr>
                </pic:pic>
              </a:graphicData>
            </a:graphic>
          </wp:anchor>
        </w:drawing>
        <w:t>Second Quarter Subsea Highlights</w:t>
      </w:r>
    </w:p>
    <w:p>
      <w:pPr>
        <w:spacing w:after="0" w:line="192" w:lineRule="exact"/>
        <w:rPr>
          <w:sz w:val="20"/>
          <w:szCs w:val="20"/>
          <w:color w:val="auto"/>
        </w:rPr>
      </w:pPr>
    </w:p>
    <w:p>
      <w:pPr>
        <w:ind w:left="660" w:hanging="328"/>
        <w:spacing w:after="0"/>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b w:val="1"/>
          <w:bCs w:val="1"/>
          <w:color w:val="auto"/>
        </w:rPr>
        <w:t xml:space="preserve">Shell Appomattox </w:t>
      </w:r>
      <w:r>
        <w:rPr>
          <w:rFonts w:ascii="Arial" w:cs="Arial" w:eastAsia="Arial" w:hAnsi="Arial"/>
          <w:sz w:val="18"/>
          <w:szCs w:val="18"/>
          <w:b w:val="1"/>
          <w:bCs w:val="1"/>
          <w:color w:val="auto"/>
        </w:rPr>
        <w:t>(Gulf of Mexico)</w:t>
      </w:r>
    </w:p>
    <w:p>
      <w:pPr>
        <w:spacing w:after="0" w:line="23" w:lineRule="exact"/>
        <w:rPr>
          <w:rFonts w:ascii="Arial" w:cs="Arial" w:eastAsia="Arial" w:hAnsi="Arial"/>
          <w:sz w:val="20"/>
          <w:szCs w:val="20"/>
          <w:color w:val="auto"/>
        </w:rPr>
      </w:pPr>
    </w:p>
    <w:p>
      <w:pPr>
        <w:ind w:left="660" w:right="4980"/>
        <w:spacing w:after="0" w:line="261" w:lineRule="auto"/>
        <w:rPr>
          <w:rFonts w:ascii="Arial" w:cs="Arial" w:eastAsia="Arial" w:hAnsi="Arial"/>
          <w:sz w:val="20"/>
          <w:szCs w:val="20"/>
          <w:color w:val="auto"/>
        </w:rPr>
      </w:pPr>
      <w:r>
        <w:rPr>
          <w:rFonts w:ascii="Arial" w:cs="Arial" w:eastAsia="Arial" w:hAnsi="Arial"/>
          <w:sz w:val="20"/>
          <w:szCs w:val="20"/>
          <w:color w:val="auto"/>
        </w:rPr>
        <w:t>Achieved early first production using TechnipFMC’s high</w:t>
      </w:r>
      <w:r>
        <w:rPr>
          <w:rFonts w:ascii="Arial" w:cs="Arial" w:eastAsia="Arial" w:hAnsi="Arial"/>
          <w:sz w:val="14"/>
          <w:szCs w:val="14"/>
          <w:color w:val="auto"/>
        </w:rPr>
        <w:t>-</w:t>
      </w:r>
      <w:r>
        <w:rPr>
          <w:rFonts w:ascii="Arial" w:cs="Arial" w:eastAsia="Arial" w:hAnsi="Arial"/>
          <w:sz w:val="20"/>
          <w:szCs w:val="20"/>
          <w:color w:val="auto"/>
        </w:rPr>
        <w:t>pressure, high</w:t>
      </w:r>
      <w:r>
        <w:rPr>
          <w:rFonts w:ascii="Arial" w:cs="Arial" w:eastAsia="Arial" w:hAnsi="Arial"/>
          <w:sz w:val="14"/>
          <w:szCs w:val="14"/>
          <w:color w:val="auto"/>
        </w:rPr>
        <w:t>-</w:t>
      </w:r>
      <w:r>
        <w:rPr>
          <w:rFonts w:ascii="Arial" w:cs="Arial" w:eastAsia="Arial" w:hAnsi="Arial"/>
          <w:sz w:val="20"/>
          <w:szCs w:val="20"/>
          <w:color w:val="auto"/>
        </w:rPr>
        <w:t>temperature (HP/HT) full-field subsea solution.</w:t>
      </w:r>
    </w:p>
    <w:p>
      <w:pPr>
        <w:spacing w:after="0" w:line="191" w:lineRule="exact"/>
        <w:rPr>
          <w:rFonts w:ascii="Arial" w:cs="Arial" w:eastAsia="Arial" w:hAnsi="Arial"/>
          <w:sz w:val="20"/>
          <w:szCs w:val="20"/>
          <w:color w:val="auto"/>
        </w:rPr>
      </w:pPr>
    </w:p>
    <w:p>
      <w:pPr>
        <w:ind w:left="660" w:hanging="328"/>
        <w:spacing w:after="0"/>
        <w:tabs>
          <w:tab w:leader="none" w:pos="660"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Neptune Fenja iEPCI™ </w:t>
      </w:r>
      <w:r>
        <w:rPr>
          <w:rFonts w:ascii="Arial" w:cs="Arial" w:eastAsia="Arial" w:hAnsi="Arial"/>
          <w:sz w:val="18"/>
          <w:szCs w:val="18"/>
          <w:b w:val="1"/>
          <w:bCs w:val="1"/>
          <w:color w:val="auto"/>
        </w:rPr>
        <w:t>(Norway)</w:t>
      </w:r>
    </w:p>
    <w:p>
      <w:pPr>
        <w:spacing w:after="0" w:line="23"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20"/>
          <w:szCs w:val="20"/>
          <w:color w:val="auto"/>
        </w:rPr>
        <w:t>Longest application of electrically trace-heated (ETH) pipe-in-pipe installation.</w:t>
      </w:r>
    </w:p>
    <w:p>
      <w:pPr>
        <w:spacing w:after="0" w:line="205" w:lineRule="exact"/>
        <w:rPr>
          <w:rFonts w:ascii="Arial" w:cs="Arial" w:eastAsia="Arial" w:hAnsi="Arial"/>
          <w:sz w:val="20"/>
          <w:szCs w:val="20"/>
          <w:b w:val="1"/>
          <w:bCs w:val="1"/>
          <w:color w:val="auto"/>
        </w:rPr>
      </w:pPr>
    </w:p>
    <w:p>
      <w:pPr>
        <w:ind w:left="660" w:hanging="328"/>
        <w:spacing w:after="0"/>
        <w:tabs>
          <w:tab w:leader="none" w:pos="660"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Shell Gumusut-Kakap 2 iEPCI™ </w:t>
      </w:r>
      <w:r>
        <w:rPr>
          <w:rFonts w:ascii="Arial" w:cs="Arial" w:eastAsia="Arial" w:hAnsi="Arial"/>
          <w:sz w:val="18"/>
          <w:szCs w:val="18"/>
          <w:b w:val="1"/>
          <w:bCs w:val="1"/>
          <w:color w:val="auto"/>
        </w:rPr>
        <w:t>(Malaysia)</w:t>
      </w:r>
    </w:p>
    <w:p>
      <w:pPr>
        <w:spacing w:after="0" w:line="23"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20"/>
          <w:szCs w:val="20"/>
          <w:color w:val="auto"/>
        </w:rPr>
        <w:t>All manufacturing and fabrication work completed; offshore installation campaign progressing.</w:t>
      </w:r>
    </w:p>
    <w:p>
      <w:pPr>
        <w:spacing w:after="0" w:line="205" w:lineRule="exact"/>
        <w:rPr>
          <w:rFonts w:ascii="Arial" w:cs="Arial" w:eastAsia="Arial" w:hAnsi="Arial"/>
          <w:sz w:val="20"/>
          <w:szCs w:val="20"/>
          <w:b w:val="1"/>
          <w:bCs w:val="1"/>
          <w:color w:val="auto"/>
        </w:rPr>
      </w:pPr>
    </w:p>
    <w:p>
      <w:pPr>
        <w:ind w:left="660" w:hanging="328"/>
        <w:spacing w:after="0"/>
        <w:tabs>
          <w:tab w:leader="none" w:pos="660"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Woodside Greater Enfield </w:t>
      </w:r>
      <w:r>
        <w:rPr>
          <w:rFonts w:ascii="Arial" w:cs="Arial" w:eastAsia="Arial" w:hAnsi="Arial"/>
          <w:sz w:val="18"/>
          <w:szCs w:val="18"/>
          <w:b w:val="1"/>
          <w:bCs w:val="1"/>
          <w:color w:val="auto"/>
        </w:rPr>
        <w:t>(Australia)</w:t>
      </w:r>
    </w:p>
    <w:p>
      <w:pPr>
        <w:spacing w:after="0" w:line="23"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20"/>
          <w:szCs w:val="20"/>
          <w:color w:val="auto"/>
        </w:rPr>
        <w:t>Completed the installation of subsea infrastructure.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line="247" w:lineRule="auto"/>
        <w:rPr>
          <w:sz w:val="20"/>
          <w:szCs w:val="20"/>
          <w:color w:val="auto"/>
        </w:rPr>
      </w:pPr>
      <w:r>
        <w:rPr>
          <w:rFonts w:ascii="Arial" w:cs="Arial" w:eastAsia="Arial" w:hAnsi="Arial"/>
          <w:sz w:val="20"/>
          <w:szCs w:val="20"/>
          <w:color w:val="auto"/>
        </w:rPr>
        <w:t>Subsea inbound orders for the quarter were $2,632.7 million, resulting in a book-to-bill of 1.7. The following announced awards were included in the period:</w:t>
      </w:r>
    </w:p>
    <w:p>
      <w:pPr>
        <w:spacing w:after="0" w:line="191" w:lineRule="exact"/>
        <w:rPr>
          <w:sz w:val="20"/>
          <w:szCs w:val="20"/>
          <w:color w:val="auto"/>
        </w:rPr>
      </w:pPr>
    </w:p>
    <w:p>
      <w:pPr>
        <w:ind w:left="660" w:hanging="328"/>
        <w:spacing w:after="0"/>
        <w:tabs>
          <w:tab w:leader="none" w:pos="66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Neptune Energy Duva and Gjøa P1 iEPCI™ Projects </w:t>
      </w:r>
      <w:r>
        <w:rPr>
          <w:rFonts w:ascii="Arial" w:cs="Arial" w:eastAsia="Arial" w:hAnsi="Arial"/>
          <w:sz w:val="18"/>
          <w:szCs w:val="18"/>
          <w:b w:val="1"/>
          <w:bCs w:val="1"/>
          <w:color w:val="auto"/>
        </w:rPr>
        <w:t>(North Sea)</w:t>
      </w:r>
    </w:p>
    <w:p>
      <w:pPr>
        <w:spacing w:after="0" w:line="23" w:lineRule="exact"/>
        <w:rPr>
          <w:rFonts w:ascii="Arial" w:cs="Arial" w:eastAsia="Arial" w:hAnsi="Arial"/>
          <w:sz w:val="20"/>
          <w:szCs w:val="20"/>
          <w:b w:val="1"/>
          <w:bCs w:val="1"/>
          <w:color w:val="auto"/>
        </w:rPr>
      </w:pPr>
    </w:p>
    <w:p>
      <w:pPr>
        <w:ind w:left="660" w:right="20"/>
        <w:spacing w:after="0" w:line="241" w:lineRule="auto"/>
        <w:rPr>
          <w:rFonts w:ascii="Arial" w:cs="Arial" w:eastAsia="Arial" w:hAnsi="Arial"/>
          <w:sz w:val="20"/>
          <w:szCs w:val="20"/>
          <w:b w:val="1"/>
          <w:bCs w:val="1"/>
          <w:color w:val="auto"/>
        </w:rPr>
      </w:pPr>
      <w:r>
        <w:rPr>
          <w:rFonts w:ascii="Arial" w:cs="Arial" w:eastAsia="Arial" w:hAnsi="Arial"/>
          <w:sz w:val="20"/>
          <w:szCs w:val="20"/>
          <w:color w:val="auto"/>
        </w:rPr>
        <w:t>Substantial* iEPCI™ contract from Neptune Energy for the Duva and Gjøa P1 Projects. The contract covers the delivery and installation of subsea equipment including umbilicals, rigid flowlines and subsea production system.</w:t>
      </w:r>
    </w:p>
    <w:p>
      <w:pPr>
        <w:ind w:left="660"/>
        <w:spacing w:after="0"/>
        <w:rPr>
          <w:rFonts w:ascii="Arial" w:cs="Arial" w:eastAsia="Arial" w:hAnsi="Arial"/>
          <w:sz w:val="20"/>
          <w:szCs w:val="20"/>
          <w:b w:val="1"/>
          <w:bCs w:val="1"/>
          <w:color w:val="auto"/>
        </w:rPr>
      </w:pPr>
      <w:r>
        <w:rPr>
          <w:rFonts w:ascii="Arial" w:cs="Arial" w:eastAsia="Arial" w:hAnsi="Arial"/>
          <w:sz w:val="18"/>
          <w:szCs w:val="18"/>
          <w:i w:val="1"/>
          <w:iCs w:val="1"/>
          <w:color w:val="auto"/>
        </w:rPr>
        <w:t>* A “substantial” award ranges between $250 million and $500 million.</w:t>
      </w:r>
    </w:p>
    <w:p>
      <w:pPr>
        <w:spacing w:after="0" w:line="198" w:lineRule="exact"/>
        <w:rPr>
          <w:rFonts w:ascii="Arial" w:cs="Arial" w:eastAsia="Arial" w:hAnsi="Arial"/>
          <w:sz w:val="20"/>
          <w:szCs w:val="20"/>
          <w:b w:val="1"/>
          <w:bCs w:val="1"/>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20"/>
          <w:szCs w:val="20"/>
          <w:b w:val="1"/>
          <w:bCs w:val="1"/>
          <w:color w:val="auto"/>
        </w:rPr>
        <w:t xml:space="preserve">ConocoPhillips TOR II iEPCI™ Project </w:t>
      </w:r>
      <w:r>
        <w:rPr>
          <w:rFonts w:ascii="Arial" w:cs="Arial" w:eastAsia="Arial" w:hAnsi="Arial"/>
          <w:sz w:val="18"/>
          <w:szCs w:val="18"/>
          <w:b w:val="1"/>
          <w:bCs w:val="1"/>
          <w:color w:val="auto"/>
        </w:rPr>
        <w:t>(North Sea)</w:t>
      </w:r>
    </w:p>
    <w:p>
      <w:pPr>
        <w:spacing w:after="0" w:line="23" w:lineRule="exact"/>
        <w:rPr>
          <w:rFonts w:ascii="Arial" w:cs="Arial" w:eastAsia="Arial" w:hAnsi="Arial"/>
          <w:sz w:val="18"/>
          <w:szCs w:val="18"/>
          <w:color w:val="auto"/>
        </w:rPr>
      </w:pPr>
    </w:p>
    <w:p>
      <w:pPr>
        <w:jc w:val="both"/>
        <w:ind w:left="660"/>
        <w:spacing w:after="0"/>
        <w:rPr>
          <w:rFonts w:ascii="Arial" w:cs="Arial" w:eastAsia="Arial" w:hAnsi="Arial"/>
          <w:sz w:val="18"/>
          <w:szCs w:val="18"/>
          <w:color w:val="auto"/>
        </w:rPr>
      </w:pPr>
      <w:r>
        <w:rPr>
          <w:rFonts w:ascii="Arial" w:cs="Arial" w:eastAsia="Arial" w:hAnsi="Arial"/>
          <w:sz w:val="20"/>
          <w:szCs w:val="20"/>
          <w:color w:val="auto"/>
        </w:rPr>
        <w:t>Significant* iEPCI™ contract from ConocoPhillips for the TOR II development. This contract covers the delivery and installation of a subsea production system including installation of umbilicals, rigid flowlines and associated subsea equipment. This is the first iEPCI™ award by ConocoPhillips.</w:t>
      </w:r>
    </w:p>
    <w:p>
      <w:pPr>
        <w:spacing w:after="0" w:line="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i w:val="1"/>
          <w:iCs w:val="1"/>
          <w:color w:val="auto"/>
        </w:rPr>
        <w:t>* A “significant” award ranges between $75 million and $250 million.</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20"/>
          <w:szCs w:val="20"/>
          <w:b w:val="1"/>
          <w:bCs w:val="1"/>
          <w:color w:val="auto"/>
        </w:rPr>
        <w:t xml:space="preserve">BP Thunder Horse Expansion iEPCI™ Project </w:t>
      </w:r>
      <w:r>
        <w:rPr>
          <w:rFonts w:ascii="Arial" w:cs="Arial" w:eastAsia="Arial" w:hAnsi="Arial"/>
          <w:sz w:val="18"/>
          <w:szCs w:val="18"/>
          <w:b w:val="1"/>
          <w:bCs w:val="1"/>
          <w:color w:val="auto"/>
        </w:rPr>
        <w:t>(Gulf of Mexico)</w:t>
      </w:r>
    </w:p>
    <w:p>
      <w:pPr>
        <w:spacing w:after="0" w:line="23" w:lineRule="exact"/>
        <w:rPr>
          <w:rFonts w:ascii="Arial" w:cs="Arial" w:eastAsia="Arial" w:hAnsi="Arial"/>
          <w:sz w:val="18"/>
          <w:szCs w:val="18"/>
          <w:color w:val="auto"/>
        </w:rPr>
      </w:pPr>
    </w:p>
    <w:p>
      <w:pPr>
        <w:jc w:val="both"/>
        <w:ind w:left="660"/>
        <w:spacing w:after="0"/>
        <w:rPr>
          <w:rFonts w:ascii="Arial" w:cs="Arial" w:eastAsia="Arial" w:hAnsi="Arial"/>
          <w:sz w:val="18"/>
          <w:szCs w:val="18"/>
          <w:color w:val="auto"/>
        </w:rPr>
      </w:pPr>
      <w:r>
        <w:rPr>
          <w:rFonts w:ascii="Arial" w:cs="Arial" w:eastAsia="Arial" w:hAnsi="Arial"/>
          <w:sz w:val="20"/>
          <w:szCs w:val="20"/>
          <w:color w:val="auto"/>
        </w:rPr>
        <w:t>Significant* iEPCI™ contract by BP for the Thunder Horse South Expansion 2 Project. TechnipFMC will manufacture, deliver and install subsea equipment, including subsea tree systems, manifolds, flowline, umbilicals and subsea tree jumpers, pipeline end terminations, subsea distribution and topside control equipment. This is the second iEPCI™ awarded to TechnipFMC by BP following Atlantis Phase 3 in the first quarter of 2019.</w:t>
      </w:r>
    </w:p>
    <w:p>
      <w:pPr>
        <w:spacing w:after="0" w:line="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i w:val="1"/>
          <w:iCs w:val="1"/>
          <w:color w:val="auto"/>
        </w:rPr>
        <w:t>* A “significant” award ranges between $75 million and $250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180"/>
        <w:spacing w:after="0"/>
        <w:tabs>
          <w:tab w:leader="none" w:pos="1050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4 of </w:t>
      </w:r>
      <w:hyperlink w:anchor="page30">
        <w:r>
          <w:rPr>
            <w:rFonts w:ascii="Arial" w:cs="Arial" w:eastAsia="Arial" w:hAnsi="Arial"/>
            <w:sz w:val="14"/>
            <w:szCs w:val="14"/>
            <w:b w:val="1"/>
            <w:bCs w:val="1"/>
            <w:color w:val="auto"/>
          </w:rPr>
          <w:t>25</w:t>
        </w:r>
      </w:hyperlink>
    </w:p>
    <w:p>
      <w:pPr>
        <w:sectPr>
          <w:pgSz w:w="11900" w:h="16838" w:orient="portrait"/>
          <w:cols w:equalWidth="0" w:num="1">
            <w:col w:w="11420"/>
          </w:cols>
          <w:pgMar w:left="240" w:top="1216" w:right="239" w:bottom="1440" w:gutter="0" w:footer="0" w:header="0"/>
        </w:sectPr>
      </w:pPr>
    </w:p>
    <w:bookmarkStart w:id="8" w:name="page9"/>
    <w:bookmarkEnd w:id="8"/>
    <w:p>
      <w:pPr>
        <w:ind w:left="620" w:hanging="328"/>
        <w:spacing w:after="0"/>
        <w:tabs>
          <w:tab w:leader="none" w:pos="620" w:val="left"/>
        </w:tabs>
        <w:numPr>
          <w:ilvl w:val="0"/>
          <w:numId w:val="5"/>
        </w:numPr>
        <w:rPr>
          <w:rFonts w:ascii="Arial" w:cs="Arial" w:eastAsia="Arial" w:hAnsi="Arial"/>
          <w:sz w:val="20"/>
          <w:szCs w:val="20"/>
          <w:b w:val="1"/>
          <w:bCs w:val="1"/>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2778760" cy="5314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2778760" cy="531495"/>
                    </a:xfrm>
                    <a:prstGeom prst="rect">
                      <a:avLst/>
                    </a:prstGeom>
                    <a:noFill/>
                  </pic:spPr>
                </pic:pic>
              </a:graphicData>
            </a:graphic>
          </wp:anchor>
        </w:drawing>
        <w:t xml:space="preserve">Anadarko Golfinho/Atum Project </w:t>
      </w:r>
      <w:r>
        <w:rPr>
          <w:rFonts w:ascii="Arial" w:cs="Arial" w:eastAsia="Arial" w:hAnsi="Arial"/>
          <w:sz w:val="18"/>
          <w:szCs w:val="18"/>
          <w:b w:val="1"/>
          <w:bCs w:val="1"/>
          <w:color w:val="auto"/>
        </w:rPr>
        <w:t>(Mozambique)</w:t>
      </w:r>
    </w:p>
    <w:p>
      <w:pPr>
        <w:spacing w:after="0" w:line="23" w:lineRule="exact"/>
        <w:rPr>
          <w:rFonts w:ascii="Arial" w:cs="Arial" w:eastAsia="Arial" w:hAnsi="Arial"/>
          <w:sz w:val="20"/>
          <w:szCs w:val="20"/>
          <w:b w:val="1"/>
          <w:bCs w:val="1"/>
          <w:color w:val="auto"/>
        </w:rPr>
      </w:pPr>
    </w:p>
    <w:p>
      <w:pPr>
        <w:jc w:val="both"/>
        <w:ind w:left="620"/>
        <w:spacing w:after="0"/>
        <w:rPr>
          <w:rFonts w:ascii="Arial" w:cs="Arial" w:eastAsia="Arial" w:hAnsi="Arial"/>
          <w:sz w:val="20"/>
          <w:szCs w:val="20"/>
          <w:b w:val="1"/>
          <w:bCs w:val="1"/>
          <w:color w:val="auto"/>
        </w:rPr>
      </w:pPr>
      <w:r>
        <w:rPr>
          <w:rFonts w:ascii="Arial" w:cs="Arial" w:eastAsia="Arial" w:hAnsi="Arial"/>
          <w:sz w:val="20"/>
          <w:szCs w:val="20"/>
          <w:color w:val="auto"/>
        </w:rPr>
        <w:t>Major* contract award for the engineering, procurement, construction and installation of the subsea hardware system. TechnipFMC will execute the offshore installation scope with its consortium partner Van Oord and in cooperation with strategic major subcontractor, Allseas. TechnipFMC will execute its scope utilizing our integrated model - iEPCI™.</w:t>
      </w:r>
    </w:p>
    <w:p>
      <w:pPr>
        <w:spacing w:after="0" w:line="1" w:lineRule="exact"/>
        <w:rPr>
          <w:rFonts w:ascii="Arial" w:cs="Arial" w:eastAsia="Arial" w:hAnsi="Arial"/>
          <w:sz w:val="20"/>
          <w:szCs w:val="20"/>
          <w:b w:val="1"/>
          <w:bCs w:val="1"/>
          <w:color w:val="auto"/>
        </w:rPr>
      </w:pPr>
    </w:p>
    <w:p>
      <w:pPr>
        <w:ind w:left="620"/>
        <w:spacing w:after="0"/>
        <w:rPr>
          <w:rFonts w:ascii="Arial" w:cs="Arial" w:eastAsia="Arial" w:hAnsi="Arial"/>
          <w:sz w:val="20"/>
          <w:szCs w:val="20"/>
          <w:b w:val="1"/>
          <w:bCs w:val="1"/>
          <w:color w:val="auto"/>
        </w:rPr>
      </w:pPr>
      <w:r>
        <w:rPr>
          <w:rFonts w:ascii="Arial" w:cs="Arial" w:eastAsia="Arial" w:hAnsi="Arial"/>
          <w:sz w:val="18"/>
          <w:szCs w:val="18"/>
          <w:i w:val="1"/>
          <w:iCs w:val="1"/>
          <w:color w:val="auto"/>
        </w:rPr>
        <w:t>* A “major” award is over $1 billion.</w:t>
      </w:r>
    </w:p>
    <w:p>
      <w:pPr>
        <w:spacing w:after="0" w:line="198" w:lineRule="exact"/>
        <w:rPr>
          <w:rFonts w:ascii="Arial" w:cs="Arial" w:eastAsia="Arial" w:hAnsi="Arial"/>
          <w:sz w:val="20"/>
          <w:szCs w:val="20"/>
          <w:b w:val="1"/>
          <w:bCs w:val="1"/>
          <w:color w:val="auto"/>
        </w:rPr>
      </w:pPr>
    </w:p>
    <w:p>
      <w:pPr>
        <w:ind w:left="620" w:hanging="32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20"/>
          <w:szCs w:val="20"/>
          <w:b w:val="1"/>
          <w:bCs w:val="1"/>
          <w:color w:val="auto"/>
        </w:rPr>
        <w:t xml:space="preserve">Reliance MJ1 Project </w:t>
      </w:r>
      <w:r>
        <w:rPr>
          <w:rFonts w:ascii="Arial" w:cs="Arial" w:eastAsia="Arial" w:hAnsi="Arial"/>
          <w:sz w:val="18"/>
          <w:szCs w:val="18"/>
          <w:b w:val="1"/>
          <w:bCs w:val="1"/>
          <w:color w:val="auto"/>
        </w:rPr>
        <w:t>(India)</w:t>
      </w:r>
    </w:p>
    <w:p>
      <w:pPr>
        <w:spacing w:after="0" w:line="23" w:lineRule="exact"/>
        <w:rPr>
          <w:rFonts w:ascii="Arial" w:cs="Arial" w:eastAsia="Arial" w:hAnsi="Arial"/>
          <w:sz w:val="18"/>
          <w:szCs w:val="18"/>
          <w:color w:val="auto"/>
        </w:rPr>
      </w:pPr>
    </w:p>
    <w:p>
      <w:pPr>
        <w:ind w:left="620" w:right="20"/>
        <w:spacing w:after="0" w:line="241" w:lineRule="auto"/>
        <w:rPr>
          <w:rFonts w:ascii="Arial" w:cs="Arial" w:eastAsia="Arial" w:hAnsi="Arial"/>
          <w:sz w:val="18"/>
          <w:szCs w:val="18"/>
          <w:color w:val="auto"/>
        </w:rPr>
      </w:pPr>
      <w:r>
        <w:rPr>
          <w:rFonts w:ascii="Arial" w:cs="Arial" w:eastAsia="Arial" w:hAnsi="Arial"/>
          <w:sz w:val="20"/>
          <w:szCs w:val="20"/>
          <w:color w:val="auto"/>
        </w:rPr>
        <w:t>Significant* subsea contracts by Reliance Industries Limited for the MJ1 field. These contracts cover the fabrication and installation of flexible risers, rigid and flexible flowlines and umbilicals.</w:t>
      </w:r>
    </w:p>
    <w:p>
      <w:pPr>
        <w:ind w:left="620"/>
        <w:spacing w:after="0"/>
        <w:rPr>
          <w:rFonts w:ascii="Arial" w:cs="Arial" w:eastAsia="Arial" w:hAnsi="Arial"/>
          <w:sz w:val="18"/>
          <w:szCs w:val="18"/>
          <w:color w:val="auto"/>
        </w:rPr>
      </w:pPr>
      <w:r>
        <w:rPr>
          <w:rFonts w:ascii="Arial" w:cs="Arial" w:eastAsia="Arial" w:hAnsi="Arial"/>
          <w:sz w:val="18"/>
          <w:szCs w:val="18"/>
          <w:i w:val="1"/>
          <w:iCs w:val="1"/>
          <w:color w:val="auto"/>
        </w:rPr>
        <w:t>* A “significant” award ranges between $75 million and $250 million; the total value of all contracts is also within this range.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0" w:type="dxa"/>
            <w:vAlign w:val="bottom"/>
            <w:tcBorders>
              <w:top w:val="single" w:sz="8" w:color="B6DDE8"/>
              <w:right w:val="single" w:sz="8" w:color="B6DDE8"/>
            </w:tcBorders>
            <w:shd w:val="clear" w:color="auto" w:fill="B6DDE8"/>
          </w:tcPr>
          <w:p>
            <w:pPr>
              <w:spacing w:after="0"/>
              <w:rPr>
                <w:sz w:val="22"/>
                <w:szCs w:val="22"/>
                <w:color w:val="auto"/>
              </w:rPr>
            </w:pPr>
          </w:p>
        </w:tc>
        <w:tc>
          <w:tcPr>
            <w:tcW w:w="7260" w:type="dxa"/>
            <w:vAlign w:val="bottom"/>
            <w:tcBorders>
              <w:top w:val="single" w:sz="8" w:color="B6DDE8"/>
              <w:right w:val="single" w:sz="8" w:color="B6DDE8"/>
            </w:tcBorders>
          </w:tcPr>
          <w:p>
            <w:pPr>
              <w:spacing w:after="0"/>
              <w:rPr>
                <w:sz w:val="20"/>
                <w:szCs w:val="20"/>
                <w:color w:val="auto"/>
              </w:rPr>
            </w:pPr>
            <w:r>
              <w:rPr>
                <w:rFonts w:ascii="Arial" w:cs="Arial" w:eastAsia="Arial" w:hAnsi="Arial"/>
                <w:sz w:val="20"/>
                <w:szCs w:val="20"/>
                <w:b w:val="1"/>
                <w:bCs w:val="1"/>
                <w:color w:val="auto"/>
              </w:rPr>
              <w:t>Subsea</w:t>
            </w:r>
          </w:p>
        </w:tc>
        <w:tc>
          <w:tcPr>
            <w:tcW w:w="2040" w:type="dxa"/>
            <w:vAlign w:val="bottom"/>
            <w:tcBorders>
              <w:top w:val="single" w:sz="8" w:color="B6DDE8"/>
              <w:right w:val="single" w:sz="8" w:color="B6DDE8"/>
            </w:tcBorders>
            <w:vMerge w:val="restart"/>
          </w:tcPr>
          <w:p>
            <w:pPr>
              <w:jc w:val="right"/>
              <w:spacing w:after="0"/>
              <w:rPr>
                <w:sz w:val="20"/>
                <w:szCs w:val="20"/>
                <w:color w:val="auto"/>
              </w:rPr>
            </w:pPr>
            <w:r>
              <w:rPr>
                <w:rFonts w:ascii="Arial" w:cs="Arial" w:eastAsia="Arial" w:hAnsi="Arial"/>
                <w:sz w:val="20"/>
                <w:szCs w:val="20"/>
                <w:color w:val="auto"/>
                <w:w w:val="98"/>
              </w:rPr>
              <w:t>Consolidated backlog*</w:t>
            </w:r>
          </w:p>
        </w:tc>
        <w:tc>
          <w:tcPr>
            <w:tcW w:w="2040" w:type="dxa"/>
            <w:vAlign w:val="bottom"/>
            <w:tcBorders>
              <w:top w:val="single" w:sz="8" w:color="B6DDE8"/>
              <w:right w:val="single" w:sz="8" w:color="B6DDE8"/>
            </w:tcBorders>
            <w:vMerge w:val="restart"/>
          </w:tcPr>
          <w:p>
            <w:pPr>
              <w:jc w:val="right"/>
              <w:ind w:right="161"/>
              <w:spacing w:after="0"/>
              <w:rPr>
                <w:sz w:val="20"/>
                <w:szCs w:val="20"/>
                <w:color w:val="auto"/>
              </w:rPr>
            </w:pPr>
            <w:r>
              <w:rPr>
                <w:rFonts w:ascii="Arial" w:cs="Arial" w:eastAsia="Arial" w:hAnsi="Arial"/>
                <w:sz w:val="20"/>
                <w:szCs w:val="20"/>
                <w:color w:val="auto"/>
              </w:rPr>
              <w:t>Non-consolidated</w:t>
            </w:r>
          </w:p>
        </w:tc>
        <w:tc>
          <w:tcPr>
            <w:tcW w:w="0" w:type="dxa"/>
            <w:vAlign w:val="bottom"/>
          </w:tcPr>
          <w:p>
            <w:pPr>
              <w:spacing w:after="0"/>
              <w:rPr>
                <w:sz w:val="1"/>
                <w:szCs w:val="1"/>
                <w:color w:val="auto"/>
              </w:rPr>
            </w:pPr>
          </w:p>
        </w:tc>
      </w:tr>
      <w:tr>
        <w:trPr>
          <w:trHeight w:val="65"/>
        </w:trPr>
        <w:tc>
          <w:tcPr>
            <w:tcW w:w="40" w:type="dxa"/>
            <w:vAlign w:val="bottom"/>
            <w:tcBorders>
              <w:right w:val="single" w:sz="8" w:color="B6DDE8"/>
            </w:tcBorders>
            <w:shd w:val="clear" w:color="auto" w:fill="B6DDE8"/>
          </w:tcPr>
          <w:p>
            <w:pPr>
              <w:spacing w:after="0"/>
              <w:rPr>
                <w:sz w:val="5"/>
                <w:szCs w:val="5"/>
                <w:color w:val="auto"/>
              </w:rPr>
            </w:pPr>
          </w:p>
        </w:tc>
        <w:tc>
          <w:tcPr>
            <w:tcW w:w="7260" w:type="dxa"/>
            <w:vAlign w:val="bottom"/>
            <w:tcBorders>
              <w:right w:val="single" w:sz="8" w:color="B6DDE8"/>
            </w:tcBorders>
            <w:vMerge w:val="restart"/>
          </w:tcPr>
          <w:p>
            <w:pPr>
              <w:spacing w:after="0"/>
              <w:rPr>
                <w:sz w:val="20"/>
                <w:szCs w:val="20"/>
                <w:color w:val="auto"/>
              </w:rPr>
            </w:pPr>
            <w:r>
              <w:rPr>
                <w:rFonts w:ascii="Arial" w:cs="Arial" w:eastAsia="Arial" w:hAnsi="Arial"/>
                <w:sz w:val="18"/>
                <w:szCs w:val="18"/>
                <w:color w:val="auto"/>
              </w:rPr>
              <w:t>Estimated Backlog Scheduling as of June 30, 2019</w:t>
            </w:r>
          </w:p>
        </w:tc>
        <w:tc>
          <w:tcPr>
            <w:tcW w:w="2040" w:type="dxa"/>
            <w:vAlign w:val="bottom"/>
            <w:tcBorders>
              <w:right w:val="single" w:sz="8" w:color="B6DDE8"/>
            </w:tcBorders>
            <w:vMerge w:val="continue"/>
          </w:tcPr>
          <w:p>
            <w:pPr>
              <w:spacing w:after="0"/>
              <w:rPr>
                <w:sz w:val="5"/>
                <w:szCs w:val="5"/>
                <w:color w:val="auto"/>
              </w:rPr>
            </w:pPr>
          </w:p>
        </w:tc>
        <w:tc>
          <w:tcPr>
            <w:tcW w:w="2040" w:type="dxa"/>
            <w:vAlign w:val="bottom"/>
            <w:tcBorders>
              <w:right w:val="single" w:sz="8" w:color="B6DDE8"/>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 w:type="dxa"/>
            <w:vAlign w:val="bottom"/>
            <w:tcBorders>
              <w:right w:val="single" w:sz="8" w:color="B6DDE8"/>
            </w:tcBorders>
            <w:shd w:val="clear" w:color="auto" w:fill="B6DDE8"/>
          </w:tcPr>
          <w:p>
            <w:pPr>
              <w:spacing w:after="0"/>
              <w:rPr>
                <w:sz w:val="12"/>
                <w:szCs w:val="12"/>
                <w:color w:val="auto"/>
              </w:rPr>
            </w:pPr>
          </w:p>
        </w:tc>
        <w:tc>
          <w:tcPr>
            <w:tcW w:w="7260" w:type="dxa"/>
            <w:vAlign w:val="bottom"/>
            <w:tcBorders>
              <w:right w:val="single" w:sz="8" w:color="B6DDE8"/>
            </w:tcBorders>
            <w:vMerge w:val="continue"/>
          </w:tcPr>
          <w:p>
            <w:pPr>
              <w:spacing w:after="0"/>
              <w:rPr>
                <w:sz w:val="12"/>
                <w:szCs w:val="12"/>
                <w:color w:val="auto"/>
              </w:rPr>
            </w:pPr>
          </w:p>
        </w:tc>
        <w:tc>
          <w:tcPr>
            <w:tcW w:w="2040" w:type="dxa"/>
            <w:vAlign w:val="bottom"/>
            <w:tcBorders>
              <w:right w:val="single" w:sz="8" w:color="B6DDE8"/>
            </w:tcBorders>
            <w:vMerge w:val="continue"/>
          </w:tcPr>
          <w:p>
            <w:pPr>
              <w:spacing w:after="0"/>
              <w:rPr>
                <w:sz w:val="12"/>
                <w:szCs w:val="12"/>
                <w:color w:val="auto"/>
              </w:rPr>
            </w:pPr>
          </w:p>
        </w:tc>
        <w:tc>
          <w:tcPr>
            <w:tcW w:w="2040" w:type="dxa"/>
            <w:vAlign w:val="bottom"/>
            <w:tcBorders>
              <w:right w:val="single" w:sz="8" w:color="B6DDE8"/>
            </w:tcBorders>
            <w:vMerge w:val="restart"/>
          </w:tcPr>
          <w:p>
            <w:pPr>
              <w:jc w:val="right"/>
              <w:ind w:right="521"/>
              <w:spacing w:after="0"/>
              <w:rPr>
                <w:sz w:val="20"/>
                <w:szCs w:val="20"/>
                <w:color w:val="auto"/>
              </w:rPr>
            </w:pPr>
            <w:r>
              <w:rPr>
                <w:rFonts w:ascii="Arial" w:cs="Arial" w:eastAsia="Arial" w:hAnsi="Arial"/>
                <w:sz w:val="20"/>
                <w:szCs w:val="20"/>
                <w:color w:val="auto"/>
              </w:rPr>
              <w:t>backlog**</w:t>
            </w:r>
          </w:p>
        </w:tc>
        <w:tc>
          <w:tcPr>
            <w:tcW w:w="0" w:type="dxa"/>
            <w:vAlign w:val="bottom"/>
          </w:tcPr>
          <w:p>
            <w:pPr>
              <w:spacing w:after="0"/>
              <w:rPr>
                <w:sz w:val="1"/>
                <w:szCs w:val="1"/>
                <w:color w:val="auto"/>
              </w:rPr>
            </w:pPr>
          </w:p>
        </w:tc>
      </w:tr>
      <w:tr>
        <w:trPr>
          <w:trHeight w:val="94"/>
        </w:trPr>
        <w:tc>
          <w:tcPr>
            <w:tcW w:w="40" w:type="dxa"/>
            <w:vAlign w:val="bottom"/>
            <w:tcBorders>
              <w:right w:val="single" w:sz="8" w:color="B6DDE8"/>
            </w:tcBorders>
            <w:shd w:val="clear" w:color="auto" w:fill="B6DDE8"/>
          </w:tcPr>
          <w:p>
            <w:pPr>
              <w:spacing w:after="0"/>
              <w:rPr>
                <w:sz w:val="8"/>
                <w:szCs w:val="8"/>
                <w:color w:val="auto"/>
              </w:rPr>
            </w:pPr>
          </w:p>
        </w:tc>
        <w:tc>
          <w:tcPr>
            <w:tcW w:w="7260" w:type="dxa"/>
            <w:vAlign w:val="bottom"/>
            <w:tcBorders>
              <w:right w:val="single" w:sz="8" w:color="B6DDE8"/>
            </w:tcBorders>
            <w:vMerge w:val="restart"/>
          </w:tcPr>
          <w:p>
            <w:pPr>
              <w:spacing w:after="0"/>
              <w:rPr>
                <w:sz w:val="20"/>
                <w:szCs w:val="20"/>
                <w:color w:val="auto"/>
              </w:rPr>
            </w:pPr>
            <w:r>
              <w:rPr>
                <w:rFonts w:ascii="Arial" w:cs="Arial" w:eastAsia="Arial" w:hAnsi="Arial"/>
                <w:sz w:val="14"/>
                <w:szCs w:val="14"/>
                <w:color w:val="auto"/>
              </w:rPr>
              <w:t>(In millions)</w:t>
            </w:r>
          </w:p>
        </w:tc>
        <w:tc>
          <w:tcPr>
            <w:tcW w:w="2040" w:type="dxa"/>
            <w:vAlign w:val="bottom"/>
            <w:tcBorders>
              <w:right w:val="single" w:sz="8" w:color="B6DDE8"/>
            </w:tcBorders>
          </w:tcPr>
          <w:p>
            <w:pPr>
              <w:spacing w:after="0"/>
              <w:rPr>
                <w:sz w:val="8"/>
                <w:szCs w:val="8"/>
                <w:color w:val="auto"/>
              </w:rPr>
            </w:pPr>
          </w:p>
        </w:tc>
        <w:tc>
          <w:tcPr>
            <w:tcW w:w="2040" w:type="dxa"/>
            <w:vAlign w:val="bottom"/>
            <w:tcBorders>
              <w:right w:val="single" w:sz="8" w:color="B6DDE8"/>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0" w:type="dxa"/>
            <w:vAlign w:val="bottom"/>
            <w:tcBorders>
              <w:bottom w:val="single" w:sz="8" w:color="B6DDE8"/>
              <w:right w:val="single" w:sz="8" w:color="B6DDE8"/>
            </w:tcBorders>
            <w:shd w:val="clear" w:color="auto" w:fill="B6DDE8"/>
          </w:tcPr>
          <w:p>
            <w:pPr>
              <w:spacing w:after="0"/>
              <w:rPr>
                <w:sz w:val="8"/>
                <w:szCs w:val="8"/>
                <w:color w:val="auto"/>
              </w:rPr>
            </w:pPr>
          </w:p>
        </w:tc>
        <w:tc>
          <w:tcPr>
            <w:tcW w:w="7260" w:type="dxa"/>
            <w:vAlign w:val="bottom"/>
            <w:tcBorders>
              <w:bottom w:val="single" w:sz="8" w:color="B8CCE4"/>
              <w:right w:val="single" w:sz="8" w:color="B6DDE8"/>
            </w:tcBorders>
            <w:vMerge w:val="continue"/>
          </w:tcPr>
          <w:p>
            <w:pPr>
              <w:spacing w:after="0"/>
              <w:rPr>
                <w:sz w:val="8"/>
                <w:szCs w:val="8"/>
                <w:color w:val="auto"/>
              </w:rPr>
            </w:pPr>
          </w:p>
        </w:tc>
        <w:tc>
          <w:tcPr>
            <w:tcW w:w="2040" w:type="dxa"/>
            <w:vAlign w:val="bottom"/>
            <w:tcBorders>
              <w:bottom w:val="single" w:sz="8" w:color="B8CCE4"/>
              <w:right w:val="single" w:sz="8" w:color="B6DDE8"/>
            </w:tcBorders>
          </w:tcPr>
          <w:p>
            <w:pPr>
              <w:spacing w:after="0"/>
              <w:rPr>
                <w:sz w:val="8"/>
                <w:szCs w:val="8"/>
                <w:color w:val="auto"/>
              </w:rPr>
            </w:pPr>
          </w:p>
        </w:tc>
        <w:tc>
          <w:tcPr>
            <w:tcW w:w="2040" w:type="dxa"/>
            <w:vAlign w:val="bottom"/>
            <w:tcBorders>
              <w:bottom w:val="single" w:sz="8" w:color="B8CCE4"/>
              <w:right w:val="single" w:sz="8" w:color="B6DDE8"/>
            </w:tcBorders>
          </w:tcPr>
          <w:p>
            <w:pPr>
              <w:spacing w:after="0"/>
              <w:rPr>
                <w:sz w:val="8"/>
                <w:szCs w:val="8"/>
                <w:color w:val="auto"/>
              </w:rPr>
            </w:pPr>
          </w:p>
        </w:tc>
        <w:tc>
          <w:tcPr>
            <w:tcW w:w="0" w:type="dxa"/>
            <w:vAlign w:val="bottom"/>
          </w:tcPr>
          <w:p>
            <w:pPr>
              <w:spacing w:after="0"/>
              <w:rPr>
                <w:sz w:val="1"/>
                <w:szCs w:val="1"/>
                <w:color w:val="auto"/>
              </w:rPr>
            </w:pPr>
          </w:p>
        </w:tc>
      </w:tr>
      <w:tr>
        <w:trPr>
          <w:trHeight w:val="266"/>
        </w:trPr>
        <w:tc>
          <w:tcPr>
            <w:tcW w:w="40" w:type="dxa"/>
            <w:vAlign w:val="bottom"/>
            <w:tcBorders>
              <w:bottom w:val="single" w:sz="8" w:color="B6DDE8"/>
              <w:right w:val="single" w:sz="8" w:color="B6DDE8"/>
            </w:tcBorders>
            <w:shd w:val="clear" w:color="auto" w:fill="B6DDE8"/>
          </w:tcPr>
          <w:p>
            <w:pPr>
              <w:spacing w:after="0"/>
              <w:rPr>
                <w:sz w:val="23"/>
                <w:szCs w:val="23"/>
                <w:color w:val="auto"/>
              </w:rPr>
            </w:pPr>
          </w:p>
        </w:tc>
        <w:tc>
          <w:tcPr>
            <w:tcW w:w="7260" w:type="dxa"/>
            <w:vAlign w:val="bottom"/>
            <w:tcBorders>
              <w:bottom w:val="single" w:sz="8" w:color="B6DDE8"/>
              <w:right w:val="single" w:sz="8" w:color="B6DDE8"/>
            </w:tcBorders>
          </w:tcPr>
          <w:p>
            <w:pPr>
              <w:spacing w:after="0"/>
              <w:rPr>
                <w:sz w:val="20"/>
                <w:szCs w:val="20"/>
                <w:color w:val="auto"/>
              </w:rPr>
            </w:pPr>
            <w:r>
              <w:rPr>
                <w:rFonts w:ascii="Arial" w:cs="Arial" w:eastAsia="Arial" w:hAnsi="Arial"/>
                <w:sz w:val="20"/>
                <w:szCs w:val="20"/>
                <w:b w:val="1"/>
                <w:bCs w:val="1"/>
                <w:color w:val="auto"/>
              </w:rPr>
              <w:t>2019 (6 months)</w:t>
            </w:r>
          </w:p>
        </w:tc>
        <w:tc>
          <w:tcPr>
            <w:tcW w:w="204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color w:val="auto"/>
              </w:rPr>
              <w:t>$2,480.5</w:t>
            </w:r>
          </w:p>
        </w:tc>
        <w:tc>
          <w:tcPr>
            <w:tcW w:w="204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color w:val="auto"/>
              </w:rPr>
              <w:t>$90.9</w:t>
            </w:r>
          </w:p>
        </w:tc>
        <w:tc>
          <w:tcPr>
            <w:tcW w:w="0" w:type="dxa"/>
            <w:vAlign w:val="bottom"/>
          </w:tcPr>
          <w:p>
            <w:pPr>
              <w:spacing w:after="0"/>
              <w:rPr>
                <w:sz w:val="1"/>
                <w:szCs w:val="1"/>
                <w:color w:val="auto"/>
              </w:rPr>
            </w:pPr>
          </w:p>
        </w:tc>
      </w:tr>
      <w:tr>
        <w:trPr>
          <w:trHeight w:val="264"/>
        </w:trPr>
        <w:tc>
          <w:tcPr>
            <w:tcW w:w="40" w:type="dxa"/>
            <w:vAlign w:val="bottom"/>
            <w:tcBorders>
              <w:bottom w:val="single" w:sz="8" w:color="B6DDE8"/>
              <w:right w:val="single" w:sz="8" w:color="B6DDE8"/>
            </w:tcBorders>
            <w:shd w:val="clear" w:color="auto" w:fill="B6DDE8"/>
          </w:tcPr>
          <w:p>
            <w:pPr>
              <w:spacing w:after="0"/>
              <w:rPr>
                <w:sz w:val="22"/>
                <w:szCs w:val="22"/>
                <w:color w:val="auto"/>
              </w:rPr>
            </w:pPr>
          </w:p>
        </w:tc>
        <w:tc>
          <w:tcPr>
            <w:tcW w:w="7260" w:type="dxa"/>
            <w:vAlign w:val="bottom"/>
            <w:tcBorders>
              <w:bottom w:val="single" w:sz="8" w:color="B6DDE8"/>
              <w:right w:val="single" w:sz="8" w:color="B6DDE8"/>
            </w:tcBorders>
          </w:tcPr>
          <w:p>
            <w:pPr>
              <w:spacing w:after="0"/>
              <w:rPr>
                <w:sz w:val="20"/>
                <w:szCs w:val="20"/>
                <w:color w:val="auto"/>
              </w:rPr>
            </w:pPr>
            <w:r>
              <w:rPr>
                <w:rFonts w:ascii="Arial" w:cs="Arial" w:eastAsia="Arial" w:hAnsi="Arial"/>
                <w:sz w:val="20"/>
                <w:szCs w:val="20"/>
                <w:b w:val="1"/>
                <w:bCs w:val="1"/>
                <w:color w:val="auto"/>
              </w:rPr>
              <w:t>2020</w:t>
            </w:r>
          </w:p>
        </w:tc>
        <w:tc>
          <w:tcPr>
            <w:tcW w:w="204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color w:val="auto"/>
              </w:rPr>
              <w:t>$3,465.5</w:t>
            </w:r>
          </w:p>
        </w:tc>
        <w:tc>
          <w:tcPr>
            <w:tcW w:w="204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color w:val="auto"/>
              </w:rPr>
              <w:t>$135.6</w:t>
            </w:r>
          </w:p>
        </w:tc>
        <w:tc>
          <w:tcPr>
            <w:tcW w:w="0" w:type="dxa"/>
            <w:vAlign w:val="bottom"/>
          </w:tcPr>
          <w:p>
            <w:pPr>
              <w:spacing w:after="0"/>
              <w:rPr>
                <w:sz w:val="1"/>
                <w:szCs w:val="1"/>
                <w:color w:val="auto"/>
              </w:rPr>
            </w:pPr>
          </w:p>
        </w:tc>
      </w:tr>
      <w:tr>
        <w:trPr>
          <w:trHeight w:val="264"/>
        </w:trPr>
        <w:tc>
          <w:tcPr>
            <w:tcW w:w="40" w:type="dxa"/>
            <w:vAlign w:val="bottom"/>
            <w:tcBorders>
              <w:bottom w:val="single" w:sz="8" w:color="B6DDE8"/>
              <w:right w:val="single" w:sz="8" w:color="B6DDE8"/>
            </w:tcBorders>
            <w:shd w:val="clear" w:color="auto" w:fill="B6DDE8"/>
          </w:tcPr>
          <w:p>
            <w:pPr>
              <w:spacing w:after="0"/>
              <w:rPr>
                <w:sz w:val="22"/>
                <w:szCs w:val="22"/>
                <w:color w:val="auto"/>
              </w:rPr>
            </w:pPr>
          </w:p>
        </w:tc>
        <w:tc>
          <w:tcPr>
            <w:tcW w:w="7260" w:type="dxa"/>
            <w:vAlign w:val="bottom"/>
            <w:tcBorders>
              <w:bottom w:val="single" w:sz="8" w:color="B6DDE8"/>
              <w:right w:val="single" w:sz="8" w:color="B6DDE8"/>
            </w:tcBorders>
          </w:tcPr>
          <w:p>
            <w:pPr>
              <w:spacing w:after="0"/>
              <w:rPr>
                <w:sz w:val="20"/>
                <w:szCs w:val="20"/>
                <w:color w:val="auto"/>
              </w:rPr>
            </w:pPr>
            <w:r>
              <w:rPr>
                <w:rFonts w:ascii="Arial" w:cs="Arial" w:eastAsia="Arial" w:hAnsi="Arial"/>
                <w:sz w:val="20"/>
                <w:szCs w:val="20"/>
                <w:b w:val="1"/>
                <w:bCs w:val="1"/>
                <w:color w:val="auto"/>
              </w:rPr>
              <w:t>2021 and beyond</w:t>
            </w:r>
          </w:p>
        </w:tc>
        <w:tc>
          <w:tcPr>
            <w:tcW w:w="204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color w:val="auto"/>
              </w:rPr>
              <w:t>$2,801.0</w:t>
            </w:r>
          </w:p>
        </w:tc>
        <w:tc>
          <w:tcPr>
            <w:tcW w:w="204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color w:val="auto"/>
              </w:rPr>
              <w:t>$647.3</w:t>
            </w:r>
          </w:p>
        </w:tc>
        <w:tc>
          <w:tcPr>
            <w:tcW w:w="0" w:type="dxa"/>
            <w:vAlign w:val="bottom"/>
          </w:tcPr>
          <w:p>
            <w:pPr>
              <w:spacing w:after="0"/>
              <w:rPr>
                <w:sz w:val="1"/>
                <w:szCs w:val="1"/>
                <w:color w:val="auto"/>
              </w:rPr>
            </w:pPr>
          </w:p>
        </w:tc>
      </w:tr>
      <w:tr>
        <w:trPr>
          <w:trHeight w:val="264"/>
        </w:trPr>
        <w:tc>
          <w:tcPr>
            <w:tcW w:w="40" w:type="dxa"/>
            <w:vAlign w:val="bottom"/>
            <w:tcBorders>
              <w:bottom w:val="single" w:sz="8" w:color="B6DDE8"/>
              <w:right w:val="single" w:sz="8" w:color="B6DDE8"/>
            </w:tcBorders>
            <w:shd w:val="clear" w:color="auto" w:fill="B6DDE8"/>
          </w:tcPr>
          <w:p>
            <w:pPr>
              <w:spacing w:after="0"/>
              <w:rPr>
                <w:sz w:val="22"/>
                <w:szCs w:val="22"/>
                <w:color w:val="auto"/>
              </w:rPr>
            </w:pPr>
          </w:p>
        </w:tc>
        <w:tc>
          <w:tcPr>
            <w:tcW w:w="7260" w:type="dxa"/>
            <w:vAlign w:val="bottom"/>
            <w:tcBorders>
              <w:bottom w:val="single" w:sz="8" w:color="B6DDE8"/>
              <w:right w:val="single" w:sz="8" w:color="B6DDE8"/>
            </w:tcBorders>
          </w:tcPr>
          <w:p>
            <w:pPr>
              <w:spacing w:after="0"/>
              <w:rPr>
                <w:sz w:val="20"/>
                <w:szCs w:val="20"/>
                <w:color w:val="auto"/>
              </w:rPr>
            </w:pPr>
            <w:r>
              <w:rPr>
                <w:rFonts w:ascii="Arial" w:cs="Arial" w:eastAsia="Arial" w:hAnsi="Arial"/>
                <w:sz w:val="20"/>
                <w:szCs w:val="20"/>
                <w:b w:val="1"/>
                <w:bCs w:val="1"/>
                <w:color w:val="auto"/>
              </w:rPr>
              <w:t>Total</w:t>
            </w:r>
          </w:p>
        </w:tc>
        <w:tc>
          <w:tcPr>
            <w:tcW w:w="204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b w:val="1"/>
                <w:bCs w:val="1"/>
                <w:color w:val="auto"/>
              </w:rPr>
              <w:t>$8,747.0</w:t>
            </w:r>
          </w:p>
        </w:tc>
        <w:tc>
          <w:tcPr>
            <w:tcW w:w="204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b w:val="1"/>
                <w:bCs w:val="1"/>
                <w:color w:val="auto"/>
              </w:rPr>
              <w:t>$873.8</w:t>
            </w:r>
          </w:p>
        </w:tc>
        <w:tc>
          <w:tcPr>
            <w:tcW w:w="0" w:type="dxa"/>
            <w:vAlign w:val="bottom"/>
          </w:tcPr>
          <w:p>
            <w:pPr>
              <w:spacing w:after="0"/>
              <w:rPr>
                <w:sz w:val="1"/>
                <w:szCs w:val="1"/>
                <w:color w:val="auto"/>
              </w:rPr>
            </w:pPr>
          </w:p>
        </w:tc>
      </w:tr>
    </w:tbl>
    <w:p>
      <w:pPr>
        <w:spacing w:after="0" w:line="8" w:lineRule="exact"/>
        <w:rPr>
          <w:sz w:val="20"/>
          <w:szCs w:val="20"/>
          <w:color w:val="auto"/>
        </w:rPr>
      </w:pPr>
    </w:p>
    <w:p>
      <w:pPr>
        <w:ind w:left="140" w:hanging="118"/>
        <w:spacing w:after="0"/>
        <w:tabs>
          <w:tab w:leader="none" w:pos="14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Backlog does not capture all revenue potential for subsea services.</w:t>
      </w:r>
    </w:p>
    <w:p>
      <w:pPr>
        <w:spacing w:after="0" w:line="50" w:lineRule="exact"/>
        <w:rPr>
          <w:sz w:val="20"/>
          <w:szCs w:val="20"/>
          <w:color w:val="auto"/>
        </w:rPr>
      </w:pPr>
    </w:p>
    <w:p>
      <w:pPr>
        <w:ind w:left="20" w:right="440" w:firstLine="2"/>
        <w:spacing w:after="0" w:line="267" w:lineRule="auto"/>
        <w:tabs>
          <w:tab w:leader="none" w:pos="21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Non-consolidated backlog reflects the proportional share of backlog related to joint ventures that is not consolidated due to our minority ownership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140"/>
        <w:spacing w:after="0"/>
        <w:tabs>
          <w:tab w:leader="none" w:pos="1046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5 of </w:t>
      </w:r>
      <w:hyperlink w:anchor="page30">
        <w:r>
          <w:rPr>
            <w:rFonts w:ascii="Arial" w:cs="Arial" w:eastAsia="Arial" w:hAnsi="Arial"/>
            <w:sz w:val="14"/>
            <w:szCs w:val="14"/>
            <w:b w:val="1"/>
            <w:bCs w:val="1"/>
            <w:color w:val="auto"/>
          </w:rPr>
          <w:t>25</w:t>
        </w:r>
      </w:hyperlink>
    </w:p>
    <w:p>
      <w:pPr>
        <w:sectPr>
          <w:pgSz w:w="11900" w:h="16838" w:orient="portrait"/>
          <w:cols w:equalWidth="0" w:num="1">
            <w:col w:w="11380"/>
          </w:cols>
          <w:pgMar w:left="280" w:top="1192" w:right="239" w:bottom="1440" w:gutter="0" w:footer="0" w:header="0"/>
        </w:sectPr>
      </w:pPr>
    </w:p>
    <w:bookmarkStart w:id="9" w:name="page10"/>
    <w:bookmarkEnd w:id="9"/>
    <w:p>
      <w:pPr>
        <w:ind w:left="4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2778760" cy="5314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2778760" cy="531495"/>
                    </a:xfrm>
                    <a:prstGeom prst="rect">
                      <a:avLst/>
                    </a:prstGeom>
                    <a:noFill/>
                  </pic:spPr>
                </pic:pic>
              </a:graphicData>
            </a:graphic>
          </wp:anchor>
        </w:drawing>
        <w:t>Onshore/Offshore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Highlights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 of U.S. GAAP to non-GAAP financial measures are below and in financial schedules.</w:t>
      </w:r>
    </w:p>
    <w:p>
      <w:pPr>
        <w:spacing w:after="0" w:line="125"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6160" w:type="dxa"/>
            <w:vAlign w:val="bottom"/>
            <w:tcBorders>
              <w:top w:val="single" w:sz="8" w:color="B8CCE4"/>
              <w:left w:val="single" w:sz="8" w:color="B8CCE4"/>
              <w:right w:val="single" w:sz="8" w:color="B8CCE4"/>
            </w:tcBorders>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900" w:type="dxa"/>
            <w:vAlign w:val="bottom"/>
            <w:tcBorders>
              <w:top w:val="single" w:sz="8" w:color="B8CCE4"/>
              <w:right w:val="single" w:sz="8" w:color="B8CCE4"/>
            </w:tcBorders>
          </w:tcPr>
          <w:p>
            <w:pPr>
              <w:jc w:val="right"/>
              <w:ind w:right="588"/>
              <w:spacing w:after="0"/>
              <w:rPr>
                <w:sz w:val="20"/>
                <w:szCs w:val="20"/>
                <w:color w:val="auto"/>
              </w:rPr>
            </w:pPr>
            <w:r>
              <w:rPr>
                <w:rFonts w:ascii="Arial" w:cs="Arial" w:eastAsia="Arial" w:hAnsi="Arial"/>
                <w:sz w:val="14"/>
                <w:szCs w:val="14"/>
                <w:b w:val="1"/>
                <w:bCs w:val="1"/>
                <w:color w:val="auto"/>
              </w:rPr>
              <w:t>June 30,</w:t>
            </w:r>
          </w:p>
        </w:tc>
        <w:tc>
          <w:tcPr>
            <w:tcW w:w="1580" w:type="dxa"/>
            <w:vAlign w:val="bottom"/>
            <w:tcBorders>
              <w:top w:val="single" w:sz="8" w:color="B8CCE4"/>
              <w:right w:val="single" w:sz="8" w:color="B8CCE4"/>
            </w:tcBorders>
          </w:tcPr>
          <w:p>
            <w:pPr>
              <w:jc w:val="right"/>
              <w:ind w:right="428"/>
              <w:spacing w:after="0"/>
              <w:rPr>
                <w:sz w:val="20"/>
                <w:szCs w:val="20"/>
                <w:color w:val="auto"/>
              </w:rPr>
            </w:pPr>
            <w:r>
              <w:rPr>
                <w:rFonts w:ascii="Arial" w:cs="Arial" w:eastAsia="Arial" w:hAnsi="Arial"/>
                <w:sz w:val="14"/>
                <w:szCs w:val="14"/>
                <w:b w:val="1"/>
                <w:bCs w:val="1"/>
                <w:color w:val="auto"/>
              </w:rPr>
              <w:t>June 30,</w:t>
            </w:r>
          </w:p>
        </w:tc>
        <w:tc>
          <w:tcPr>
            <w:tcW w:w="1800" w:type="dxa"/>
            <w:vAlign w:val="bottom"/>
            <w:tcBorders>
              <w:top w:val="single" w:sz="8" w:color="B8CCE4"/>
              <w:right w:val="single" w:sz="8" w:color="B8CCE4"/>
            </w:tcBorders>
          </w:tcPr>
          <w:p>
            <w:pPr>
              <w:spacing w:after="0"/>
              <w:rPr>
                <w:sz w:val="16"/>
                <w:szCs w:val="16"/>
                <w:color w:val="auto"/>
              </w:rPr>
            </w:pPr>
          </w:p>
        </w:tc>
      </w:tr>
      <w:tr>
        <w:trPr>
          <w:trHeight w:val="196"/>
        </w:trPr>
        <w:tc>
          <w:tcPr>
            <w:tcW w:w="616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900" w:type="dxa"/>
            <w:vAlign w:val="bottom"/>
            <w:tcBorders>
              <w:bottom w:val="single" w:sz="8" w:color="B8CCE4"/>
              <w:right w:val="single" w:sz="8" w:color="B8CCE4"/>
            </w:tcBorders>
          </w:tcPr>
          <w:p>
            <w:pPr>
              <w:jc w:val="right"/>
              <w:ind w:right="708"/>
              <w:spacing w:after="0"/>
              <w:rPr>
                <w:sz w:val="20"/>
                <w:szCs w:val="20"/>
                <w:color w:val="auto"/>
              </w:rPr>
            </w:pPr>
            <w:r>
              <w:rPr>
                <w:rFonts w:ascii="Arial" w:cs="Arial" w:eastAsia="Arial" w:hAnsi="Arial"/>
                <w:sz w:val="14"/>
                <w:szCs w:val="14"/>
                <w:b w:val="1"/>
                <w:bCs w:val="1"/>
                <w:color w:val="auto"/>
              </w:rPr>
              <w:t>2019</w:t>
            </w:r>
          </w:p>
        </w:tc>
        <w:tc>
          <w:tcPr>
            <w:tcW w:w="1580" w:type="dxa"/>
            <w:vAlign w:val="bottom"/>
            <w:tcBorders>
              <w:bottom w:val="single" w:sz="8" w:color="B8CCE4"/>
              <w:right w:val="single" w:sz="8" w:color="B8CCE4"/>
            </w:tcBorders>
          </w:tcPr>
          <w:p>
            <w:pPr>
              <w:jc w:val="right"/>
              <w:ind w:right="548"/>
              <w:spacing w:after="0"/>
              <w:rPr>
                <w:sz w:val="20"/>
                <w:szCs w:val="20"/>
                <w:color w:val="auto"/>
              </w:rPr>
            </w:pPr>
            <w:r>
              <w:rPr>
                <w:rFonts w:ascii="Arial" w:cs="Arial" w:eastAsia="Arial" w:hAnsi="Arial"/>
                <w:sz w:val="14"/>
                <w:szCs w:val="14"/>
                <w:b w:val="1"/>
                <w:bCs w:val="1"/>
                <w:color w:val="auto"/>
              </w:rPr>
              <w:t>2018</w:t>
            </w:r>
          </w:p>
        </w:tc>
        <w:tc>
          <w:tcPr>
            <w:tcW w:w="180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4"/>
                <w:szCs w:val="14"/>
                <w:b w:val="1"/>
                <w:bCs w:val="1"/>
                <w:color w:val="auto"/>
              </w:rPr>
              <w:t>Change</w:t>
            </w:r>
          </w:p>
        </w:tc>
      </w:tr>
      <w:tr>
        <w:trPr>
          <w:trHeight w:val="265"/>
        </w:trPr>
        <w:tc>
          <w:tcPr>
            <w:tcW w:w="616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Revenue</w:t>
            </w:r>
          </w:p>
        </w:tc>
        <w:tc>
          <w:tcPr>
            <w:tcW w:w="19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$1,505.0</w:t>
            </w:r>
          </w:p>
        </w:tc>
        <w:tc>
          <w:tcPr>
            <w:tcW w:w="15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$1,342.4</w:t>
            </w:r>
          </w:p>
        </w:tc>
        <w:tc>
          <w:tcPr>
            <w:tcW w:w="180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8"/>
              </w:rPr>
              <w:t>12.1%</w:t>
            </w:r>
          </w:p>
        </w:tc>
      </w:tr>
      <w:tr>
        <w:trPr>
          <w:trHeight w:val="264"/>
        </w:trPr>
        <w:tc>
          <w:tcPr>
            <w:tcW w:w="616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Operating profit</w:t>
            </w:r>
          </w:p>
        </w:tc>
        <w:tc>
          <w:tcPr>
            <w:tcW w:w="19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$274.0</w:t>
            </w:r>
          </w:p>
        </w:tc>
        <w:tc>
          <w:tcPr>
            <w:tcW w:w="15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$171.3</w:t>
            </w:r>
          </w:p>
        </w:tc>
        <w:tc>
          <w:tcPr>
            <w:tcW w:w="180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8"/>
              </w:rPr>
              <w:t>60.0%</w:t>
            </w:r>
          </w:p>
        </w:tc>
      </w:tr>
      <w:tr>
        <w:trPr>
          <w:trHeight w:val="264"/>
        </w:trPr>
        <w:tc>
          <w:tcPr>
            <w:tcW w:w="616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Adjusted EBITDA</w:t>
            </w:r>
          </w:p>
        </w:tc>
        <w:tc>
          <w:tcPr>
            <w:tcW w:w="19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$281.9</w:t>
            </w:r>
          </w:p>
        </w:tc>
        <w:tc>
          <w:tcPr>
            <w:tcW w:w="15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$170.9</w:t>
            </w:r>
          </w:p>
        </w:tc>
        <w:tc>
          <w:tcPr>
            <w:tcW w:w="180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8"/>
              </w:rPr>
              <w:t>65.0%</w:t>
            </w:r>
          </w:p>
        </w:tc>
      </w:tr>
      <w:tr>
        <w:trPr>
          <w:trHeight w:val="264"/>
        </w:trPr>
        <w:tc>
          <w:tcPr>
            <w:tcW w:w="616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Adjusted EBITDA margin</w:t>
            </w:r>
          </w:p>
        </w:tc>
        <w:tc>
          <w:tcPr>
            <w:tcW w:w="19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18.7%</w:t>
            </w:r>
          </w:p>
        </w:tc>
        <w:tc>
          <w:tcPr>
            <w:tcW w:w="15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12.7%</w:t>
            </w:r>
          </w:p>
        </w:tc>
        <w:tc>
          <w:tcPr>
            <w:tcW w:w="180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rPr>
              <w:t>600 bps</w:t>
            </w:r>
          </w:p>
        </w:tc>
      </w:tr>
      <w:tr>
        <w:trPr>
          <w:trHeight w:val="322"/>
        </w:trPr>
        <w:tc>
          <w:tcPr>
            <w:tcW w:w="6160" w:type="dxa"/>
            <w:vAlign w:val="bottom"/>
            <w:tcBorders>
              <w:left w:val="single" w:sz="8" w:color="B8CCE4"/>
              <w:bottom w:val="single" w:sz="8" w:color="B8CCE4"/>
            </w:tcBorders>
          </w:tcPr>
          <w:p>
            <w:pPr>
              <w:spacing w:after="0"/>
              <w:rPr>
                <w:sz w:val="24"/>
                <w:szCs w:val="24"/>
                <w:color w:val="auto"/>
              </w:rPr>
            </w:pPr>
          </w:p>
        </w:tc>
        <w:tc>
          <w:tcPr>
            <w:tcW w:w="1900" w:type="dxa"/>
            <w:vAlign w:val="bottom"/>
            <w:tcBorders>
              <w:bottom w:val="single" w:sz="8" w:color="B8CCE4"/>
            </w:tcBorders>
          </w:tcPr>
          <w:p>
            <w:pPr>
              <w:spacing w:after="0"/>
              <w:rPr>
                <w:sz w:val="24"/>
                <w:szCs w:val="24"/>
                <w:color w:val="auto"/>
              </w:rPr>
            </w:pPr>
          </w:p>
        </w:tc>
        <w:tc>
          <w:tcPr>
            <w:tcW w:w="1580" w:type="dxa"/>
            <w:vAlign w:val="bottom"/>
            <w:tcBorders>
              <w:bottom w:val="single" w:sz="8" w:color="B8CCE4"/>
            </w:tcBorders>
          </w:tcPr>
          <w:p>
            <w:pPr>
              <w:spacing w:after="0"/>
              <w:rPr>
                <w:sz w:val="24"/>
                <w:szCs w:val="24"/>
                <w:color w:val="auto"/>
              </w:rPr>
            </w:pPr>
          </w:p>
        </w:tc>
        <w:tc>
          <w:tcPr>
            <w:tcW w:w="1800" w:type="dxa"/>
            <w:vAlign w:val="bottom"/>
            <w:tcBorders>
              <w:bottom w:val="single" w:sz="8" w:color="B8CCE4"/>
              <w:right w:val="single" w:sz="8" w:color="B8CCE4"/>
            </w:tcBorders>
          </w:tcPr>
          <w:p>
            <w:pPr>
              <w:spacing w:after="0"/>
              <w:rPr>
                <w:sz w:val="24"/>
                <w:szCs w:val="24"/>
                <w:color w:val="auto"/>
              </w:rPr>
            </w:pPr>
          </w:p>
        </w:tc>
      </w:tr>
      <w:tr>
        <w:trPr>
          <w:trHeight w:val="259"/>
        </w:trPr>
        <w:tc>
          <w:tcPr>
            <w:tcW w:w="616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Inbound orders</w:t>
            </w:r>
          </w:p>
        </w:tc>
        <w:tc>
          <w:tcPr>
            <w:tcW w:w="19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$8,131.2</w:t>
            </w:r>
          </w:p>
        </w:tc>
        <w:tc>
          <w:tcPr>
            <w:tcW w:w="15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$2,300.8</w:t>
            </w:r>
          </w:p>
        </w:tc>
        <w:tc>
          <w:tcPr>
            <w:tcW w:w="180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rPr>
              <w:t>253.4%</w:t>
            </w:r>
          </w:p>
        </w:tc>
      </w:tr>
      <w:tr>
        <w:trPr>
          <w:trHeight w:val="264"/>
        </w:trPr>
        <w:tc>
          <w:tcPr>
            <w:tcW w:w="616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Backlog</w:t>
            </w:r>
          </w:p>
        </w:tc>
        <w:tc>
          <w:tcPr>
            <w:tcW w:w="19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$16,608.3</w:t>
            </w:r>
          </w:p>
        </w:tc>
        <w:tc>
          <w:tcPr>
            <w:tcW w:w="15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$8,279.5</w:t>
            </w:r>
          </w:p>
        </w:tc>
        <w:tc>
          <w:tcPr>
            <w:tcW w:w="180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rPr>
              <w:t>100.6%</w:t>
            </w:r>
          </w:p>
        </w:tc>
      </w:tr>
    </w:tbl>
    <w:p>
      <w:pPr>
        <w:spacing w:after="0" w:line="388" w:lineRule="exact"/>
        <w:rPr>
          <w:sz w:val="20"/>
          <w:szCs w:val="20"/>
          <w:color w:val="auto"/>
        </w:rPr>
      </w:pPr>
    </w:p>
    <w:p>
      <w:pPr>
        <w:jc w:val="both"/>
        <w:ind w:right="20"/>
        <w:spacing w:after="0" w:line="243" w:lineRule="auto"/>
        <w:rPr>
          <w:sz w:val="20"/>
          <w:szCs w:val="20"/>
          <w:color w:val="auto"/>
        </w:rPr>
      </w:pPr>
      <w:r>
        <w:rPr>
          <w:rFonts w:ascii="Arial" w:cs="Arial" w:eastAsia="Arial" w:hAnsi="Arial"/>
          <w:sz w:val="20"/>
          <w:szCs w:val="20"/>
          <w:color w:val="auto"/>
        </w:rPr>
        <w:t>Onshore/Offshore reported second quarter revenue of $1,505 million. Revenue increased 12.1 percent from the prior-year quarter as activity increased on recent awards in the downstream, petrochemical and offshore sectors, more than offsetting a reduction in revenue from Yamal LNG as the project nears completion.</w:t>
      </w:r>
    </w:p>
    <w:p>
      <w:pPr>
        <w:spacing w:after="0" w:line="166" w:lineRule="exact"/>
        <w:rPr>
          <w:sz w:val="20"/>
          <w:szCs w:val="20"/>
          <w:color w:val="auto"/>
        </w:rPr>
      </w:pPr>
    </w:p>
    <w:p>
      <w:pPr>
        <w:jc w:val="both"/>
        <w:ind w:right="20"/>
        <w:spacing w:after="0" w:line="242" w:lineRule="auto"/>
        <w:rPr>
          <w:sz w:val="20"/>
          <w:szCs w:val="20"/>
          <w:color w:val="auto"/>
        </w:rPr>
      </w:pPr>
      <w:r>
        <w:rPr>
          <w:rFonts w:ascii="Arial" w:cs="Arial" w:eastAsia="Arial" w:hAnsi="Arial"/>
          <w:sz w:val="20"/>
          <w:szCs w:val="20"/>
          <w:color w:val="auto"/>
        </w:rPr>
        <w:t>Onshore/Offshore reported operating profit of $ 274 million; adjusted EBITDA was $281.9 million. Operating profit increased 60 percent versus the prior-year quarter. Operating results in the period benefited from incremental profit related to strong execution and a bonus for completion of key milestones on Yamal LNG. These same factors drove the year-over-year increase in adjusted EBITDA; adjusted EBITDA margin increased 600 basis points from the prior-year results to 18.7 percent.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color w:val="auto"/>
        </w:rPr>
        <w:t>Second Quarter Onshore/Offshore Highlights</w:t>
      </w:r>
    </w:p>
    <w:p>
      <w:pPr>
        <w:spacing w:after="0" w:line="192" w:lineRule="exact"/>
        <w:rPr>
          <w:sz w:val="20"/>
          <w:szCs w:val="20"/>
          <w:color w:val="auto"/>
        </w:rPr>
      </w:pPr>
    </w:p>
    <w:p>
      <w:pPr>
        <w:ind w:left="660" w:hanging="328"/>
        <w:spacing w:after="0"/>
        <w:tabs>
          <w:tab w:leader="none" w:pos="660" w:val="left"/>
        </w:tabs>
        <w:numPr>
          <w:ilvl w:val="0"/>
          <w:numId w:val="8"/>
        </w:numPr>
        <w:rPr>
          <w:rFonts w:ascii="Arial" w:cs="Arial" w:eastAsia="Arial" w:hAnsi="Arial"/>
          <w:sz w:val="20"/>
          <w:szCs w:val="20"/>
          <w:color w:val="auto"/>
        </w:rPr>
      </w:pPr>
      <w:r>
        <w:rPr>
          <w:rFonts w:ascii="Arial" w:cs="Arial" w:eastAsia="Arial" w:hAnsi="Arial"/>
          <w:sz w:val="20"/>
          <w:szCs w:val="20"/>
          <w:b w:val="1"/>
          <w:bCs w:val="1"/>
          <w:color w:val="auto"/>
        </w:rPr>
        <w:t xml:space="preserve">ENI Coral FLNG </w:t>
      </w:r>
      <w:r>
        <w:rPr>
          <w:rFonts w:ascii="Arial" w:cs="Arial" w:eastAsia="Arial" w:hAnsi="Arial"/>
          <w:sz w:val="18"/>
          <w:szCs w:val="18"/>
          <w:b w:val="1"/>
          <w:bCs w:val="1"/>
          <w:color w:val="auto"/>
        </w:rPr>
        <w:t>(Mozambique)</w:t>
      </w:r>
    </w:p>
    <w:p>
      <w:pPr>
        <w:spacing w:after="0" w:line="23"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Installed first mega block for the hull during the keel laying ceremony in Korea.</w:t>
      </w:r>
    </w:p>
    <w:p>
      <w:pPr>
        <w:spacing w:after="0" w:line="205" w:lineRule="exact"/>
        <w:rPr>
          <w:rFonts w:ascii="Arial" w:cs="Arial" w:eastAsia="Arial" w:hAnsi="Arial"/>
          <w:sz w:val="20"/>
          <w:szCs w:val="20"/>
          <w:color w:val="auto"/>
        </w:rPr>
      </w:pPr>
    </w:p>
    <w:p>
      <w:pPr>
        <w:ind w:left="660" w:right="7360" w:hanging="328"/>
        <w:spacing w:after="0" w:line="299" w:lineRule="auto"/>
        <w:tabs>
          <w:tab w:leader="none" w:pos="660" w:val="left"/>
        </w:tabs>
        <w:numPr>
          <w:ilvl w:val="0"/>
          <w:numId w:val="8"/>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ENOC Refinery Upgrade </w:t>
      </w:r>
      <w:r>
        <w:rPr>
          <w:rFonts w:ascii="Arial" w:cs="Arial" w:eastAsia="Arial" w:hAnsi="Arial"/>
          <w:sz w:val="17"/>
          <w:szCs w:val="17"/>
          <w:b w:val="1"/>
          <w:bCs w:val="1"/>
          <w:color w:val="auto"/>
        </w:rPr>
        <w:t>(Jebel Ali)</w:t>
      </w:r>
      <w:r>
        <w:rPr>
          <w:rFonts w:ascii="Arial" w:cs="Arial" w:eastAsia="Arial" w:hAnsi="Arial"/>
          <w:sz w:val="19"/>
          <w:szCs w:val="19"/>
          <w:b w:val="1"/>
          <w:bCs w:val="1"/>
          <w:color w:val="auto"/>
        </w:rPr>
        <w:t xml:space="preserve"> </w:t>
      </w:r>
      <w:r>
        <w:rPr>
          <w:rFonts w:ascii="Arial" w:cs="Arial" w:eastAsia="Arial" w:hAnsi="Arial"/>
          <w:sz w:val="19"/>
          <w:szCs w:val="19"/>
          <w:color w:val="auto"/>
        </w:rPr>
        <w:t>Notified that facility Ready for Start-Up.</w:t>
      </w:r>
    </w:p>
    <w:p>
      <w:pPr>
        <w:spacing w:after="0" w:line="130" w:lineRule="exact"/>
        <w:rPr>
          <w:rFonts w:ascii="Arial" w:cs="Arial" w:eastAsia="Arial" w:hAnsi="Arial"/>
          <w:sz w:val="19"/>
          <w:szCs w:val="19"/>
          <w:b w:val="1"/>
          <w:bCs w:val="1"/>
          <w:color w:val="auto"/>
        </w:rPr>
      </w:pPr>
    </w:p>
    <w:p>
      <w:pPr>
        <w:ind w:left="660" w:hanging="328"/>
        <w:spacing w:after="0"/>
        <w:tabs>
          <w:tab w:leader="none" w:pos="660" w:val="left"/>
        </w:tabs>
        <w:numPr>
          <w:ilvl w:val="0"/>
          <w:numId w:val="8"/>
        </w:numPr>
        <w:rPr>
          <w:rFonts w:ascii="Arial" w:cs="Arial" w:eastAsia="Arial" w:hAnsi="Arial"/>
          <w:sz w:val="20"/>
          <w:szCs w:val="20"/>
          <w:color w:val="auto"/>
        </w:rPr>
      </w:pPr>
      <w:r>
        <w:rPr>
          <w:rFonts w:ascii="Arial" w:cs="Arial" w:eastAsia="Arial" w:hAnsi="Arial"/>
          <w:sz w:val="20"/>
          <w:szCs w:val="20"/>
          <w:b w:val="1"/>
          <w:bCs w:val="1"/>
          <w:color w:val="auto"/>
        </w:rPr>
        <w:t xml:space="preserve">Shell Prelude FLNG </w:t>
      </w:r>
      <w:r>
        <w:rPr>
          <w:rFonts w:ascii="Arial" w:cs="Arial" w:eastAsia="Arial" w:hAnsi="Arial"/>
          <w:sz w:val="18"/>
          <w:szCs w:val="18"/>
          <w:b w:val="1"/>
          <w:bCs w:val="1"/>
          <w:color w:val="auto"/>
        </w:rPr>
        <w:t>(Australia)</w:t>
      </w:r>
    </w:p>
    <w:p>
      <w:pPr>
        <w:spacing w:after="0" w:line="23"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Achieved first export of LNG cargo in June.</w:t>
      </w:r>
    </w:p>
    <w:p>
      <w:pPr>
        <w:spacing w:after="0" w:line="191" w:lineRule="exact"/>
        <w:rPr>
          <w:rFonts w:ascii="Arial" w:cs="Arial" w:eastAsia="Arial" w:hAnsi="Arial"/>
          <w:sz w:val="20"/>
          <w:szCs w:val="20"/>
          <w:color w:val="auto"/>
        </w:rPr>
      </w:pPr>
    </w:p>
    <w:p>
      <w:pPr>
        <w:ind w:left="660" w:hanging="328"/>
        <w:spacing w:after="0"/>
        <w:tabs>
          <w:tab w:leader="none" w:pos="660" w:val="left"/>
        </w:tabs>
        <w:numPr>
          <w:ilvl w:val="0"/>
          <w:numId w:val="8"/>
        </w:numPr>
        <w:rPr>
          <w:rFonts w:ascii="Arial" w:cs="Arial" w:eastAsia="Arial" w:hAnsi="Arial"/>
          <w:sz w:val="20"/>
          <w:szCs w:val="20"/>
          <w:color w:val="auto"/>
        </w:rPr>
      </w:pPr>
      <w:r>
        <w:rPr>
          <w:rFonts w:ascii="Arial" w:cs="Arial" w:eastAsia="Arial" w:hAnsi="Arial"/>
          <w:sz w:val="20"/>
          <w:szCs w:val="20"/>
          <w:b w:val="1"/>
          <w:bCs w:val="1"/>
          <w:color w:val="auto"/>
        </w:rPr>
        <w:t xml:space="preserve">ADNOC Umm Lulu </w:t>
      </w:r>
      <w:r>
        <w:rPr>
          <w:rFonts w:ascii="Arial" w:cs="Arial" w:eastAsia="Arial" w:hAnsi="Arial"/>
          <w:sz w:val="18"/>
          <w:szCs w:val="18"/>
          <w:b w:val="1"/>
          <w:bCs w:val="1"/>
          <w:color w:val="auto"/>
        </w:rPr>
        <w:t>(Abu Dhabi)</w:t>
      </w:r>
    </w:p>
    <w:p>
      <w:pPr>
        <w:spacing w:after="0" w:line="23"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Successfully delivered topsides for the largest offshore oil platform in the region.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180"/>
        <w:spacing w:after="0"/>
        <w:tabs>
          <w:tab w:leader="none" w:pos="1050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6 of </w:t>
      </w:r>
      <w:hyperlink w:anchor="page30">
        <w:r>
          <w:rPr>
            <w:rFonts w:ascii="Arial" w:cs="Arial" w:eastAsia="Arial" w:hAnsi="Arial"/>
            <w:sz w:val="14"/>
            <w:szCs w:val="14"/>
            <w:b w:val="1"/>
            <w:bCs w:val="1"/>
            <w:color w:val="auto"/>
          </w:rPr>
          <w:t>25</w:t>
        </w:r>
      </w:hyperlink>
    </w:p>
    <w:p>
      <w:pPr>
        <w:sectPr>
          <w:pgSz w:w="11900" w:h="16838" w:orient="portrait"/>
          <w:cols w:equalWidth="0" w:num="1">
            <w:col w:w="11440"/>
          </w:cols>
          <w:pgMar w:left="240" w:top="1354" w:right="219" w:bottom="1440" w:gutter="0" w:footer="0" w:header="0"/>
        </w:sectPr>
      </w:pPr>
    </w:p>
    <w:bookmarkStart w:id="10" w:name="page11"/>
    <w:bookmarkEnd w:id="10"/>
    <w:p>
      <w:pPr>
        <w:spacing w:after="0" w:line="247"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2778760" cy="5314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2778760" cy="531495"/>
                    </a:xfrm>
                    <a:prstGeom prst="rect">
                      <a:avLst/>
                    </a:prstGeom>
                    <a:noFill/>
                  </pic:spPr>
                </pic:pic>
              </a:graphicData>
            </a:graphic>
          </wp:anchor>
        </w:drawing>
        <w:t>Onshore/Offshore inbound orders for the quarter were $8,131.2 million, resulting in a book-to-bill of 5.4. The following announced award was included in the period:</w:t>
      </w:r>
    </w:p>
    <w:p>
      <w:pPr>
        <w:spacing w:after="0" w:line="137" w:lineRule="exact"/>
        <w:rPr>
          <w:sz w:val="20"/>
          <w:szCs w:val="20"/>
          <w:color w:val="auto"/>
        </w:rPr>
      </w:pPr>
    </w:p>
    <w:p>
      <w:pPr>
        <w:ind w:left="660" w:hanging="328"/>
        <w:spacing w:after="0"/>
        <w:tabs>
          <w:tab w:leader="none" w:pos="660" w:val="left"/>
        </w:tabs>
        <w:numPr>
          <w:ilvl w:val="0"/>
          <w:numId w:val="9"/>
        </w:numPr>
        <w:rPr>
          <w:rFonts w:ascii="Arial" w:cs="Arial" w:eastAsia="Arial" w:hAnsi="Arial"/>
          <w:sz w:val="20"/>
          <w:szCs w:val="20"/>
          <w:color w:val="auto"/>
        </w:rPr>
      </w:pPr>
      <w:r>
        <w:rPr>
          <w:rFonts w:ascii="Arial" w:cs="Arial" w:eastAsia="Arial" w:hAnsi="Arial"/>
          <w:sz w:val="20"/>
          <w:szCs w:val="20"/>
          <w:b w:val="1"/>
          <w:bCs w:val="1"/>
          <w:color w:val="auto"/>
        </w:rPr>
        <w:t xml:space="preserve">Novatek Arctic LNG 2 Project </w:t>
      </w:r>
      <w:r>
        <w:rPr>
          <w:rFonts w:ascii="Arial" w:cs="Arial" w:eastAsia="Arial" w:hAnsi="Arial"/>
          <w:sz w:val="18"/>
          <w:szCs w:val="18"/>
          <w:b w:val="1"/>
          <w:bCs w:val="1"/>
          <w:color w:val="auto"/>
        </w:rPr>
        <w:t>(Russia)</w:t>
      </w:r>
    </w:p>
    <w:p>
      <w:pPr>
        <w:spacing w:after="0" w:line="23" w:lineRule="exact"/>
        <w:rPr>
          <w:rFonts w:ascii="Arial" w:cs="Arial" w:eastAsia="Arial" w:hAnsi="Arial"/>
          <w:sz w:val="20"/>
          <w:szCs w:val="20"/>
          <w:color w:val="auto"/>
        </w:rPr>
      </w:pPr>
    </w:p>
    <w:p>
      <w:pPr>
        <w:jc w:val="both"/>
        <w:ind w:left="660"/>
        <w:spacing w:after="0"/>
        <w:rPr>
          <w:rFonts w:ascii="Arial" w:cs="Arial" w:eastAsia="Arial" w:hAnsi="Arial"/>
          <w:sz w:val="20"/>
          <w:szCs w:val="20"/>
          <w:color w:val="auto"/>
        </w:rPr>
      </w:pPr>
      <w:r>
        <w:rPr>
          <w:rFonts w:ascii="Arial" w:cs="Arial" w:eastAsia="Arial" w:hAnsi="Arial"/>
          <w:sz w:val="20"/>
          <w:szCs w:val="20"/>
          <w:color w:val="auto"/>
        </w:rPr>
        <w:t>Major* engineering, procurement and construction (EPC) contract by Novatek and its partners for the Arctic LNG 2 project. This development will consist of three LNG trains, each with a capacity of 6.6 million tonnes per annum, which will be installed on three gravity-based structure platforms. TechnipFMC will execute this project under a lump sum and reimbursable basis. It will cover the EPC of the three LNG trains and associated topsides, which will be manufactured on a modular basis in Asian and Russian yards.</w:t>
      </w:r>
    </w:p>
    <w:p>
      <w:pPr>
        <w:ind w:left="660"/>
        <w:spacing w:after="0"/>
        <w:rPr>
          <w:rFonts w:ascii="Arial" w:cs="Arial" w:eastAsia="Arial" w:hAnsi="Arial"/>
          <w:sz w:val="20"/>
          <w:szCs w:val="20"/>
          <w:color w:val="auto"/>
        </w:rPr>
      </w:pPr>
      <w:r>
        <w:rPr>
          <w:rFonts w:ascii="Arial" w:cs="Arial" w:eastAsia="Arial" w:hAnsi="Arial"/>
          <w:sz w:val="18"/>
          <w:szCs w:val="18"/>
          <w:i w:val="1"/>
          <w:iCs w:val="1"/>
          <w:color w:val="auto"/>
        </w:rPr>
        <w:t>* A “major” award is over $1 billion; the consolidated contract value to TechnipFMC for Arctic LNG 2 is $7.6 billion.</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56"/>
        </w:trPr>
        <w:tc>
          <w:tcPr>
            <w:tcW w:w="40" w:type="dxa"/>
            <w:vAlign w:val="bottom"/>
            <w:tcBorders>
              <w:top w:val="single" w:sz="8" w:color="B6DDE8"/>
              <w:right w:val="single" w:sz="8" w:color="B6DDE8"/>
            </w:tcBorders>
            <w:shd w:val="clear" w:color="auto" w:fill="B6DDE8"/>
          </w:tcPr>
          <w:p>
            <w:pPr>
              <w:spacing w:after="0"/>
              <w:rPr>
                <w:sz w:val="22"/>
                <w:szCs w:val="22"/>
                <w:color w:val="auto"/>
              </w:rPr>
            </w:pPr>
          </w:p>
        </w:tc>
        <w:tc>
          <w:tcPr>
            <w:tcW w:w="7260" w:type="dxa"/>
            <w:vAlign w:val="bottom"/>
            <w:tcBorders>
              <w:top w:val="single" w:sz="8" w:color="B6DDE8"/>
              <w:right w:val="single" w:sz="8" w:color="B6DDE8"/>
            </w:tcBorders>
          </w:tcPr>
          <w:p>
            <w:pPr>
              <w:spacing w:after="0"/>
              <w:rPr>
                <w:sz w:val="20"/>
                <w:szCs w:val="20"/>
                <w:color w:val="auto"/>
              </w:rPr>
            </w:pPr>
            <w:r>
              <w:rPr>
                <w:rFonts w:ascii="Arial" w:cs="Arial" w:eastAsia="Arial" w:hAnsi="Arial"/>
                <w:sz w:val="20"/>
                <w:szCs w:val="20"/>
                <w:b w:val="1"/>
                <w:bCs w:val="1"/>
                <w:color w:val="auto"/>
              </w:rPr>
              <w:t>Onshore/Offshore</w:t>
            </w:r>
          </w:p>
        </w:tc>
        <w:tc>
          <w:tcPr>
            <w:tcW w:w="2040" w:type="dxa"/>
            <w:vAlign w:val="bottom"/>
            <w:tcBorders>
              <w:top w:val="single" w:sz="8" w:color="B6DDE8"/>
              <w:right w:val="single" w:sz="8" w:color="B6DDE8"/>
            </w:tcBorders>
            <w:vMerge w:val="restart"/>
          </w:tcPr>
          <w:p>
            <w:pPr>
              <w:jc w:val="right"/>
              <w:ind w:right="1"/>
              <w:spacing w:after="0"/>
              <w:rPr>
                <w:sz w:val="20"/>
                <w:szCs w:val="20"/>
                <w:color w:val="auto"/>
              </w:rPr>
            </w:pPr>
            <w:r>
              <w:rPr>
                <w:rFonts w:ascii="Arial" w:cs="Arial" w:eastAsia="Arial" w:hAnsi="Arial"/>
                <w:sz w:val="20"/>
                <w:szCs w:val="20"/>
                <w:color w:val="auto"/>
              </w:rPr>
              <w:t>Consolidated backlog</w:t>
            </w:r>
          </w:p>
        </w:tc>
        <w:tc>
          <w:tcPr>
            <w:tcW w:w="2040" w:type="dxa"/>
            <w:vAlign w:val="bottom"/>
            <w:tcBorders>
              <w:top w:val="single" w:sz="8" w:color="B6DDE8"/>
              <w:right w:val="single" w:sz="8" w:color="B6DDE8"/>
            </w:tcBorders>
            <w:vMerge w:val="restart"/>
          </w:tcPr>
          <w:p>
            <w:pPr>
              <w:jc w:val="right"/>
              <w:ind w:right="161"/>
              <w:spacing w:after="0"/>
              <w:rPr>
                <w:sz w:val="20"/>
                <w:szCs w:val="20"/>
                <w:color w:val="auto"/>
              </w:rPr>
            </w:pPr>
            <w:r>
              <w:rPr>
                <w:rFonts w:ascii="Arial" w:cs="Arial" w:eastAsia="Arial" w:hAnsi="Arial"/>
                <w:sz w:val="20"/>
                <w:szCs w:val="20"/>
                <w:color w:val="auto"/>
              </w:rPr>
              <w:t>Non-consolidated</w:t>
            </w:r>
          </w:p>
        </w:tc>
        <w:tc>
          <w:tcPr>
            <w:tcW w:w="0" w:type="dxa"/>
            <w:vAlign w:val="bottom"/>
          </w:tcPr>
          <w:p>
            <w:pPr>
              <w:spacing w:after="0"/>
              <w:rPr>
                <w:sz w:val="1"/>
                <w:szCs w:val="1"/>
                <w:color w:val="auto"/>
              </w:rPr>
            </w:pPr>
          </w:p>
        </w:tc>
      </w:tr>
      <w:tr>
        <w:trPr>
          <w:trHeight w:val="65"/>
        </w:trPr>
        <w:tc>
          <w:tcPr>
            <w:tcW w:w="40" w:type="dxa"/>
            <w:vAlign w:val="bottom"/>
            <w:tcBorders>
              <w:right w:val="single" w:sz="8" w:color="B6DDE8"/>
            </w:tcBorders>
            <w:shd w:val="clear" w:color="auto" w:fill="B6DDE8"/>
          </w:tcPr>
          <w:p>
            <w:pPr>
              <w:spacing w:after="0"/>
              <w:rPr>
                <w:sz w:val="5"/>
                <w:szCs w:val="5"/>
                <w:color w:val="auto"/>
              </w:rPr>
            </w:pPr>
          </w:p>
        </w:tc>
        <w:tc>
          <w:tcPr>
            <w:tcW w:w="7260" w:type="dxa"/>
            <w:vAlign w:val="bottom"/>
            <w:tcBorders>
              <w:right w:val="single" w:sz="8" w:color="B6DDE8"/>
            </w:tcBorders>
            <w:vMerge w:val="restart"/>
          </w:tcPr>
          <w:p>
            <w:pPr>
              <w:spacing w:after="0"/>
              <w:rPr>
                <w:sz w:val="20"/>
                <w:szCs w:val="20"/>
                <w:color w:val="auto"/>
              </w:rPr>
            </w:pPr>
            <w:r>
              <w:rPr>
                <w:rFonts w:ascii="Arial" w:cs="Arial" w:eastAsia="Arial" w:hAnsi="Arial"/>
                <w:sz w:val="18"/>
                <w:szCs w:val="18"/>
                <w:color w:val="auto"/>
              </w:rPr>
              <w:t>Estimated Backlog Scheduling as of June 30, 2019</w:t>
            </w:r>
          </w:p>
        </w:tc>
        <w:tc>
          <w:tcPr>
            <w:tcW w:w="2040" w:type="dxa"/>
            <w:vAlign w:val="bottom"/>
            <w:tcBorders>
              <w:right w:val="single" w:sz="8" w:color="B6DDE8"/>
            </w:tcBorders>
            <w:vMerge w:val="continue"/>
          </w:tcPr>
          <w:p>
            <w:pPr>
              <w:spacing w:after="0"/>
              <w:rPr>
                <w:sz w:val="5"/>
                <w:szCs w:val="5"/>
                <w:color w:val="auto"/>
              </w:rPr>
            </w:pPr>
          </w:p>
        </w:tc>
        <w:tc>
          <w:tcPr>
            <w:tcW w:w="2040" w:type="dxa"/>
            <w:vAlign w:val="bottom"/>
            <w:tcBorders>
              <w:right w:val="single" w:sz="8" w:color="B6DDE8"/>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 w:type="dxa"/>
            <w:vAlign w:val="bottom"/>
            <w:tcBorders>
              <w:right w:val="single" w:sz="8" w:color="B6DDE8"/>
            </w:tcBorders>
            <w:shd w:val="clear" w:color="auto" w:fill="B6DDE8"/>
          </w:tcPr>
          <w:p>
            <w:pPr>
              <w:spacing w:after="0"/>
              <w:rPr>
                <w:sz w:val="12"/>
                <w:szCs w:val="12"/>
                <w:color w:val="auto"/>
              </w:rPr>
            </w:pPr>
          </w:p>
        </w:tc>
        <w:tc>
          <w:tcPr>
            <w:tcW w:w="7260" w:type="dxa"/>
            <w:vAlign w:val="bottom"/>
            <w:tcBorders>
              <w:right w:val="single" w:sz="8" w:color="B6DDE8"/>
            </w:tcBorders>
            <w:vMerge w:val="continue"/>
          </w:tcPr>
          <w:p>
            <w:pPr>
              <w:spacing w:after="0"/>
              <w:rPr>
                <w:sz w:val="12"/>
                <w:szCs w:val="12"/>
                <w:color w:val="auto"/>
              </w:rPr>
            </w:pPr>
          </w:p>
        </w:tc>
        <w:tc>
          <w:tcPr>
            <w:tcW w:w="2040" w:type="dxa"/>
            <w:vAlign w:val="bottom"/>
            <w:tcBorders>
              <w:right w:val="single" w:sz="8" w:color="B6DDE8"/>
            </w:tcBorders>
            <w:vMerge w:val="continue"/>
          </w:tcPr>
          <w:p>
            <w:pPr>
              <w:spacing w:after="0"/>
              <w:rPr>
                <w:sz w:val="12"/>
                <w:szCs w:val="12"/>
                <w:color w:val="auto"/>
              </w:rPr>
            </w:pPr>
          </w:p>
        </w:tc>
        <w:tc>
          <w:tcPr>
            <w:tcW w:w="2040" w:type="dxa"/>
            <w:vAlign w:val="bottom"/>
            <w:tcBorders>
              <w:right w:val="single" w:sz="8" w:color="B6DDE8"/>
            </w:tcBorders>
            <w:vMerge w:val="restart"/>
          </w:tcPr>
          <w:p>
            <w:pPr>
              <w:jc w:val="right"/>
              <w:ind w:right="561"/>
              <w:spacing w:after="0"/>
              <w:rPr>
                <w:sz w:val="20"/>
                <w:szCs w:val="20"/>
                <w:color w:val="auto"/>
              </w:rPr>
            </w:pPr>
            <w:r>
              <w:rPr>
                <w:rFonts w:ascii="Arial" w:cs="Arial" w:eastAsia="Arial" w:hAnsi="Arial"/>
                <w:sz w:val="20"/>
                <w:szCs w:val="20"/>
                <w:color w:val="auto"/>
              </w:rPr>
              <w:t>backlog*</w:t>
            </w:r>
          </w:p>
        </w:tc>
        <w:tc>
          <w:tcPr>
            <w:tcW w:w="0" w:type="dxa"/>
            <w:vAlign w:val="bottom"/>
          </w:tcPr>
          <w:p>
            <w:pPr>
              <w:spacing w:after="0"/>
              <w:rPr>
                <w:sz w:val="1"/>
                <w:szCs w:val="1"/>
                <w:color w:val="auto"/>
              </w:rPr>
            </w:pPr>
          </w:p>
        </w:tc>
      </w:tr>
      <w:tr>
        <w:trPr>
          <w:trHeight w:val="94"/>
        </w:trPr>
        <w:tc>
          <w:tcPr>
            <w:tcW w:w="40" w:type="dxa"/>
            <w:vAlign w:val="bottom"/>
            <w:tcBorders>
              <w:right w:val="single" w:sz="8" w:color="B6DDE8"/>
            </w:tcBorders>
            <w:shd w:val="clear" w:color="auto" w:fill="B6DDE8"/>
          </w:tcPr>
          <w:p>
            <w:pPr>
              <w:spacing w:after="0"/>
              <w:rPr>
                <w:sz w:val="8"/>
                <w:szCs w:val="8"/>
                <w:color w:val="auto"/>
              </w:rPr>
            </w:pPr>
          </w:p>
        </w:tc>
        <w:tc>
          <w:tcPr>
            <w:tcW w:w="7260" w:type="dxa"/>
            <w:vAlign w:val="bottom"/>
            <w:tcBorders>
              <w:right w:val="single" w:sz="8" w:color="B6DDE8"/>
            </w:tcBorders>
            <w:vMerge w:val="restart"/>
          </w:tcPr>
          <w:p>
            <w:pPr>
              <w:spacing w:after="0"/>
              <w:rPr>
                <w:sz w:val="20"/>
                <w:szCs w:val="20"/>
                <w:color w:val="auto"/>
              </w:rPr>
            </w:pPr>
            <w:r>
              <w:rPr>
                <w:rFonts w:ascii="Arial" w:cs="Arial" w:eastAsia="Arial" w:hAnsi="Arial"/>
                <w:sz w:val="14"/>
                <w:szCs w:val="14"/>
                <w:color w:val="auto"/>
              </w:rPr>
              <w:t>(In millions)</w:t>
            </w:r>
          </w:p>
        </w:tc>
        <w:tc>
          <w:tcPr>
            <w:tcW w:w="2040" w:type="dxa"/>
            <w:vAlign w:val="bottom"/>
            <w:tcBorders>
              <w:right w:val="single" w:sz="8" w:color="B6DDE8"/>
            </w:tcBorders>
          </w:tcPr>
          <w:p>
            <w:pPr>
              <w:spacing w:after="0"/>
              <w:rPr>
                <w:sz w:val="8"/>
                <w:szCs w:val="8"/>
                <w:color w:val="auto"/>
              </w:rPr>
            </w:pPr>
          </w:p>
        </w:tc>
        <w:tc>
          <w:tcPr>
            <w:tcW w:w="2040" w:type="dxa"/>
            <w:vAlign w:val="bottom"/>
            <w:tcBorders>
              <w:right w:val="single" w:sz="8" w:color="B6DDE8"/>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0" w:type="dxa"/>
            <w:vAlign w:val="bottom"/>
            <w:tcBorders>
              <w:bottom w:val="single" w:sz="8" w:color="B6DDE8"/>
              <w:right w:val="single" w:sz="8" w:color="B6DDE8"/>
            </w:tcBorders>
            <w:shd w:val="clear" w:color="auto" w:fill="B6DDE8"/>
          </w:tcPr>
          <w:p>
            <w:pPr>
              <w:spacing w:after="0"/>
              <w:rPr>
                <w:sz w:val="8"/>
                <w:szCs w:val="8"/>
                <w:color w:val="auto"/>
              </w:rPr>
            </w:pPr>
          </w:p>
        </w:tc>
        <w:tc>
          <w:tcPr>
            <w:tcW w:w="7260" w:type="dxa"/>
            <w:vAlign w:val="bottom"/>
            <w:tcBorders>
              <w:bottom w:val="single" w:sz="8" w:color="B8CCE4"/>
              <w:right w:val="single" w:sz="8" w:color="B6DDE8"/>
            </w:tcBorders>
            <w:vMerge w:val="continue"/>
          </w:tcPr>
          <w:p>
            <w:pPr>
              <w:spacing w:after="0"/>
              <w:rPr>
                <w:sz w:val="8"/>
                <w:szCs w:val="8"/>
                <w:color w:val="auto"/>
              </w:rPr>
            </w:pPr>
          </w:p>
        </w:tc>
        <w:tc>
          <w:tcPr>
            <w:tcW w:w="2040" w:type="dxa"/>
            <w:vAlign w:val="bottom"/>
            <w:tcBorders>
              <w:bottom w:val="single" w:sz="8" w:color="B8CCE4"/>
              <w:right w:val="single" w:sz="8" w:color="B6DDE8"/>
            </w:tcBorders>
          </w:tcPr>
          <w:p>
            <w:pPr>
              <w:spacing w:after="0"/>
              <w:rPr>
                <w:sz w:val="8"/>
                <w:szCs w:val="8"/>
                <w:color w:val="auto"/>
              </w:rPr>
            </w:pPr>
          </w:p>
        </w:tc>
        <w:tc>
          <w:tcPr>
            <w:tcW w:w="2040" w:type="dxa"/>
            <w:vAlign w:val="bottom"/>
            <w:tcBorders>
              <w:bottom w:val="single" w:sz="8" w:color="B8CCE4"/>
              <w:right w:val="single" w:sz="8" w:color="B6DDE8"/>
            </w:tcBorders>
          </w:tcPr>
          <w:p>
            <w:pPr>
              <w:spacing w:after="0"/>
              <w:rPr>
                <w:sz w:val="8"/>
                <w:szCs w:val="8"/>
                <w:color w:val="auto"/>
              </w:rPr>
            </w:pPr>
          </w:p>
        </w:tc>
        <w:tc>
          <w:tcPr>
            <w:tcW w:w="0" w:type="dxa"/>
            <w:vAlign w:val="bottom"/>
          </w:tcPr>
          <w:p>
            <w:pPr>
              <w:spacing w:after="0"/>
              <w:rPr>
                <w:sz w:val="1"/>
                <w:szCs w:val="1"/>
                <w:color w:val="auto"/>
              </w:rPr>
            </w:pPr>
          </w:p>
        </w:tc>
      </w:tr>
      <w:tr>
        <w:trPr>
          <w:trHeight w:val="266"/>
        </w:trPr>
        <w:tc>
          <w:tcPr>
            <w:tcW w:w="40" w:type="dxa"/>
            <w:vAlign w:val="bottom"/>
            <w:tcBorders>
              <w:bottom w:val="single" w:sz="8" w:color="B6DDE8"/>
              <w:right w:val="single" w:sz="8" w:color="B6DDE8"/>
            </w:tcBorders>
            <w:shd w:val="clear" w:color="auto" w:fill="B6DDE8"/>
          </w:tcPr>
          <w:p>
            <w:pPr>
              <w:spacing w:after="0"/>
              <w:rPr>
                <w:sz w:val="23"/>
                <w:szCs w:val="23"/>
                <w:color w:val="auto"/>
              </w:rPr>
            </w:pPr>
          </w:p>
        </w:tc>
        <w:tc>
          <w:tcPr>
            <w:tcW w:w="7260" w:type="dxa"/>
            <w:vAlign w:val="bottom"/>
            <w:tcBorders>
              <w:bottom w:val="single" w:sz="8" w:color="B6DDE8"/>
              <w:right w:val="single" w:sz="8" w:color="B6DDE8"/>
            </w:tcBorders>
          </w:tcPr>
          <w:p>
            <w:pPr>
              <w:spacing w:after="0"/>
              <w:rPr>
                <w:sz w:val="20"/>
                <w:szCs w:val="20"/>
                <w:color w:val="auto"/>
              </w:rPr>
            </w:pPr>
            <w:r>
              <w:rPr>
                <w:rFonts w:ascii="Arial" w:cs="Arial" w:eastAsia="Arial" w:hAnsi="Arial"/>
                <w:sz w:val="20"/>
                <w:szCs w:val="20"/>
                <w:b w:val="1"/>
                <w:bCs w:val="1"/>
                <w:color w:val="auto"/>
              </w:rPr>
              <w:t>2019 (6 months)</w:t>
            </w:r>
          </w:p>
        </w:tc>
        <w:tc>
          <w:tcPr>
            <w:tcW w:w="204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color w:val="auto"/>
              </w:rPr>
              <w:t>$3,252.7</w:t>
            </w:r>
          </w:p>
        </w:tc>
        <w:tc>
          <w:tcPr>
            <w:tcW w:w="204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color w:val="auto"/>
              </w:rPr>
              <w:t>$438.2</w:t>
            </w:r>
          </w:p>
        </w:tc>
        <w:tc>
          <w:tcPr>
            <w:tcW w:w="0" w:type="dxa"/>
            <w:vAlign w:val="bottom"/>
          </w:tcPr>
          <w:p>
            <w:pPr>
              <w:spacing w:after="0"/>
              <w:rPr>
                <w:sz w:val="1"/>
                <w:szCs w:val="1"/>
                <w:color w:val="auto"/>
              </w:rPr>
            </w:pPr>
          </w:p>
        </w:tc>
      </w:tr>
      <w:tr>
        <w:trPr>
          <w:trHeight w:val="264"/>
        </w:trPr>
        <w:tc>
          <w:tcPr>
            <w:tcW w:w="40" w:type="dxa"/>
            <w:vAlign w:val="bottom"/>
            <w:tcBorders>
              <w:bottom w:val="single" w:sz="8" w:color="B6DDE8"/>
              <w:right w:val="single" w:sz="8" w:color="B6DDE8"/>
            </w:tcBorders>
            <w:shd w:val="clear" w:color="auto" w:fill="B6DDE8"/>
          </w:tcPr>
          <w:p>
            <w:pPr>
              <w:spacing w:after="0"/>
              <w:rPr>
                <w:sz w:val="22"/>
                <w:szCs w:val="22"/>
                <w:color w:val="auto"/>
              </w:rPr>
            </w:pPr>
          </w:p>
        </w:tc>
        <w:tc>
          <w:tcPr>
            <w:tcW w:w="7260" w:type="dxa"/>
            <w:vAlign w:val="bottom"/>
            <w:tcBorders>
              <w:bottom w:val="single" w:sz="8" w:color="B6DDE8"/>
              <w:right w:val="single" w:sz="8" w:color="B6DDE8"/>
            </w:tcBorders>
          </w:tcPr>
          <w:p>
            <w:pPr>
              <w:spacing w:after="0"/>
              <w:rPr>
                <w:sz w:val="20"/>
                <w:szCs w:val="20"/>
                <w:color w:val="auto"/>
              </w:rPr>
            </w:pPr>
            <w:r>
              <w:rPr>
                <w:rFonts w:ascii="Arial" w:cs="Arial" w:eastAsia="Arial" w:hAnsi="Arial"/>
                <w:sz w:val="20"/>
                <w:szCs w:val="20"/>
                <w:b w:val="1"/>
                <w:bCs w:val="1"/>
                <w:color w:val="auto"/>
              </w:rPr>
              <w:t>2020</w:t>
            </w:r>
          </w:p>
        </w:tc>
        <w:tc>
          <w:tcPr>
            <w:tcW w:w="204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color w:val="auto"/>
              </w:rPr>
              <w:t>$4,758.7</w:t>
            </w:r>
          </w:p>
        </w:tc>
        <w:tc>
          <w:tcPr>
            <w:tcW w:w="204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color w:val="auto"/>
              </w:rPr>
              <w:t>$673.4</w:t>
            </w:r>
          </w:p>
        </w:tc>
        <w:tc>
          <w:tcPr>
            <w:tcW w:w="0" w:type="dxa"/>
            <w:vAlign w:val="bottom"/>
          </w:tcPr>
          <w:p>
            <w:pPr>
              <w:spacing w:after="0"/>
              <w:rPr>
                <w:sz w:val="1"/>
                <w:szCs w:val="1"/>
                <w:color w:val="auto"/>
              </w:rPr>
            </w:pPr>
          </w:p>
        </w:tc>
      </w:tr>
      <w:tr>
        <w:trPr>
          <w:trHeight w:val="264"/>
        </w:trPr>
        <w:tc>
          <w:tcPr>
            <w:tcW w:w="40" w:type="dxa"/>
            <w:vAlign w:val="bottom"/>
            <w:tcBorders>
              <w:bottom w:val="single" w:sz="8" w:color="B6DDE8"/>
              <w:right w:val="single" w:sz="8" w:color="B6DDE8"/>
            </w:tcBorders>
            <w:shd w:val="clear" w:color="auto" w:fill="B6DDE8"/>
          </w:tcPr>
          <w:p>
            <w:pPr>
              <w:spacing w:after="0"/>
              <w:rPr>
                <w:sz w:val="22"/>
                <w:szCs w:val="22"/>
                <w:color w:val="auto"/>
              </w:rPr>
            </w:pPr>
          </w:p>
        </w:tc>
        <w:tc>
          <w:tcPr>
            <w:tcW w:w="7260" w:type="dxa"/>
            <w:vAlign w:val="bottom"/>
            <w:tcBorders>
              <w:bottom w:val="single" w:sz="8" w:color="B6DDE8"/>
              <w:right w:val="single" w:sz="8" w:color="B6DDE8"/>
            </w:tcBorders>
          </w:tcPr>
          <w:p>
            <w:pPr>
              <w:spacing w:after="0"/>
              <w:rPr>
                <w:sz w:val="20"/>
                <w:szCs w:val="20"/>
                <w:color w:val="auto"/>
              </w:rPr>
            </w:pPr>
            <w:r>
              <w:rPr>
                <w:rFonts w:ascii="Arial" w:cs="Arial" w:eastAsia="Arial" w:hAnsi="Arial"/>
                <w:sz w:val="20"/>
                <w:szCs w:val="20"/>
                <w:b w:val="1"/>
                <w:bCs w:val="1"/>
                <w:color w:val="auto"/>
              </w:rPr>
              <w:t>2021 and beyond</w:t>
            </w:r>
          </w:p>
        </w:tc>
        <w:tc>
          <w:tcPr>
            <w:tcW w:w="204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color w:val="auto"/>
              </w:rPr>
              <w:t>$8,596.9</w:t>
            </w:r>
          </w:p>
        </w:tc>
        <w:tc>
          <w:tcPr>
            <w:tcW w:w="204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color w:val="auto"/>
              </w:rPr>
              <w:t>$1,713.8</w:t>
            </w:r>
          </w:p>
        </w:tc>
        <w:tc>
          <w:tcPr>
            <w:tcW w:w="0" w:type="dxa"/>
            <w:vAlign w:val="bottom"/>
          </w:tcPr>
          <w:p>
            <w:pPr>
              <w:spacing w:after="0"/>
              <w:rPr>
                <w:sz w:val="1"/>
                <w:szCs w:val="1"/>
                <w:color w:val="auto"/>
              </w:rPr>
            </w:pPr>
          </w:p>
        </w:tc>
      </w:tr>
      <w:tr>
        <w:trPr>
          <w:trHeight w:val="264"/>
        </w:trPr>
        <w:tc>
          <w:tcPr>
            <w:tcW w:w="40" w:type="dxa"/>
            <w:vAlign w:val="bottom"/>
            <w:tcBorders>
              <w:bottom w:val="single" w:sz="8" w:color="B6DDE8"/>
              <w:right w:val="single" w:sz="8" w:color="B6DDE8"/>
            </w:tcBorders>
            <w:shd w:val="clear" w:color="auto" w:fill="B6DDE8"/>
          </w:tcPr>
          <w:p>
            <w:pPr>
              <w:spacing w:after="0"/>
              <w:rPr>
                <w:sz w:val="22"/>
                <w:szCs w:val="22"/>
                <w:color w:val="auto"/>
              </w:rPr>
            </w:pPr>
          </w:p>
        </w:tc>
        <w:tc>
          <w:tcPr>
            <w:tcW w:w="7260" w:type="dxa"/>
            <w:vAlign w:val="bottom"/>
            <w:tcBorders>
              <w:bottom w:val="single" w:sz="8" w:color="B6DDE8"/>
              <w:right w:val="single" w:sz="8" w:color="B6DDE8"/>
            </w:tcBorders>
          </w:tcPr>
          <w:p>
            <w:pPr>
              <w:spacing w:after="0"/>
              <w:rPr>
                <w:sz w:val="20"/>
                <w:szCs w:val="20"/>
                <w:color w:val="auto"/>
              </w:rPr>
            </w:pPr>
            <w:r>
              <w:rPr>
                <w:rFonts w:ascii="Arial" w:cs="Arial" w:eastAsia="Arial" w:hAnsi="Arial"/>
                <w:sz w:val="20"/>
                <w:szCs w:val="20"/>
                <w:b w:val="1"/>
                <w:bCs w:val="1"/>
                <w:color w:val="auto"/>
              </w:rPr>
              <w:t>Total</w:t>
            </w:r>
          </w:p>
        </w:tc>
        <w:tc>
          <w:tcPr>
            <w:tcW w:w="204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b w:val="1"/>
                <w:bCs w:val="1"/>
                <w:color w:val="auto"/>
              </w:rPr>
              <w:t>$16,608.3</w:t>
            </w:r>
          </w:p>
        </w:tc>
        <w:tc>
          <w:tcPr>
            <w:tcW w:w="204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b w:val="1"/>
                <w:bCs w:val="1"/>
                <w:color w:val="auto"/>
              </w:rPr>
              <w:t>$2,825.4</w:t>
            </w:r>
          </w:p>
        </w:tc>
        <w:tc>
          <w:tcPr>
            <w:tcW w:w="0" w:type="dxa"/>
            <w:vAlign w:val="bottom"/>
          </w:tcPr>
          <w:p>
            <w:pPr>
              <w:spacing w:after="0"/>
              <w:rPr>
                <w:sz w:val="1"/>
                <w:szCs w:val="1"/>
                <w:color w:val="auto"/>
              </w:rPr>
            </w:pPr>
          </w:p>
        </w:tc>
      </w:tr>
    </w:tbl>
    <w:p>
      <w:pPr>
        <w:spacing w:after="0" w:line="8" w:lineRule="exact"/>
        <w:rPr>
          <w:sz w:val="20"/>
          <w:szCs w:val="20"/>
          <w:color w:val="auto"/>
        </w:rPr>
      </w:pPr>
    </w:p>
    <w:p>
      <w:pPr>
        <w:ind w:left="60" w:right="520" w:firstLine="2"/>
        <w:spacing w:after="0" w:line="267" w:lineRule="auto"/>
        <w:tabs>
          <w:tab w:leader="none" w:pos="18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Non-consolidated backlog reflects the proportional share of backlog related to joint ventures that is not consolidated due to our minority ownership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180"/>
        <w:spacing w:after="0"/>
        <w:tabs>
          <w:tab w:leader="none" w:pos="1050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7 of </w:t>
      </w:r>
      <w:hyperlink w:anchor="page30">
        <w:r>
          <w:rPr>
            <w:rFonts w:ascii="Arial" w:cs="Arial" w:eastAsia="Arial" w:hAnsi="Arial"/>
            <w:sz w:val="14"/>
            <w:szCs w:val="14"/>
            <w:b w:val="1"/>
            <w:bCs w:val="1"/>
            <w:color w:val="auto"/>
          </w:rPr>
          <w:t>25</w:t>
        </w:r>
      </w:hyperlink>
    </w:p>
    <w:p>
      <w:pPr>
        <w:sectPr>
          <w:pgSz w:w="11900" w:h="16838" w:orient="portrait"/>
          <w:cols w:equalWidth="0" w:num="1">
            <w:col w:w="11420"/>
          </w:cols>
          <w:pgMar w:left="240" w:top="1216" w:right="239" w:bottom="1440" w:gutter="0" w:footer="0" w:header="0"/>
        </w:sectPr>
      </w:pPr>
    </w:p>
    <w:bookmarkStart w:id="11" w:name="page12"/>
    <w:bookmarkEnd w:id="11"/>
    <w:p>
      <w:pPr>
        <w:ind w:left="4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2778760" cy="5314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2778760" cy="531495"/>
                    </a:xfrm>
                    <a:prstGeom prst="rect">
                      <a:avLst/>
                    </a:prstGeom>
                    <a:noFill/>
                  </pic:spPr>
                </pic:pic>
              </a:graphicData>
            </a:graphic>
          </wp:anchor>
        </w:drawing>
        <w:t>Surface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Highlights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 of U.S. GAAP to non-GAAP financial measures are below and in financial schedules.</w:t>
      </w:r>
    </w:p>
    <w:p>
      <w:pPr>
        <w:spacing w:after="0" w:line="125"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6500" w:type="dxa"/>
            <w:vAlign w:val="bottom"/>
            <w:tcBorders>
              <w:top w:val="single" w:sz="8" w:color="B8CCE4"/>
              <w:left w:val="single" w:sz="8" w:color="B8CCE4"/>
              <w:right w:val="single" w:sz="8" w:color="B8CCE4"/>
            </w:tcBorders>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560" w:type="dxa"/>
            <w:vAlign w:val="bottom"/>
            <w:tcBorders>
              <w:top w:val="single" w:sz="8" w:color="B8CCE4"/>
              <w:right w:val="single" w:sz="8" w:color="B8CCE4"/>
            </w:tcBorders>
          </w:tcPr>
          <w:p>
            <w:pPr>
              <w:jc w:val="right"/>
              <w:ind w:right="408"/>
              <w:spacing w:after="0"/>
              <w:rPr>
                <w:sz w:val="20"/>
                <w:szCs w:val="20"/>
                <w:color w:val="auto"/>
              </w:rPr>
            </w:pPr>
            <w:r>
              <w:rPr>
                <w:rFonts w:ascii="Arial" w:cs="Arial" w:eastAsia="Arial" w:hAnsi="Arial"/>
                <w:sz w:val="14"/>
                <w:szCs w:val="14"/>
                <w:b w:val="1"/>
                <w:bCs w:val="1"/>
                <w:color w:val="auto"/>
              </w:rPr>
              <w:t>June 30,</w:t>
            </w:r>
          </w:p>
        </w:tc>
        <w:tc>
          <w:tcPr>
            <w:tcW w:w="1580" w:type="dxa"/>
            <w:vAlign w:val="bottom"/>
            <w:tcBorders>
              <w:top w:val="single" w:sz="8" w:color="B8CCE4"/>
              <w:right w:val="single" w:sz="8" w:color="B8CCE4"/>
            </w:tcBorders>
          </w:tcPr>
          <w:p>
            <w:pPr>
              <w:spacing w:after="0"/>
              <w:rPr>
                <w:sz w:val="16"/>
                <w:szCs w:val="16"/>
                <w:color w:val="auto"/>
              </w:rPr>
            </w:pPr>
          </w:p>
        </w:tc>
        <w:tc>
          <w:tcPr>
            <w:tcW w:w="1800" w:type="dxa"/>
            <w:vAlign w:val="bottom"/>
            <w:tcBorders>
              <w:top w:val="single" w:sz="8" w:color="B8CCE4"/>
              <w:right w:val="single" w:sz="8" w:color="B8CCE4"/>
            </w:tcBorders>
          </w:tcPr>
          <w:p>
            <w:pPr>
              <w:spacing w:after="0"/>
              <w:rPr>
                <w:sz w:val="16"/>
                <w:szCs w:val="16"/>
                <w:color w:val="auto"/>
              </w:rPr>
            </w:pPr>
          </w:p>
        </w:tc>
      </w:tr>
      <w:tr>
        <w:trPr>
          <w:trHeight w:val="196"/>
        </w:trPr>
        <w:tc>
          <w:tcPr>
            <w:tcW w:w="650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560" w:type="dxa"/>
            <w:vAlign w:val="bottom"/>
            <w:tcBorders>
              <w:bottom w:val="single" w:sz="8" w:color="B8CCE4"/>
              <w:right w:val="single" w:sz="8" w:color="B8CCE4"/>
            </w:tcBorders>
          </w:tcPr>
          <w:p>
            <w:pPr>
              <w:jc w:val="right"/>
              <w:ind w:right="548"/>
              <w:spacing w:after="0"/>
              <w:rPr>
                <w:sz w:val="20"/>
                <w:szCs w:val="20"/>
                <w:color w:val="auto"/>
              </w:rPr>
            </w:pPr>
            <w:r>
              <w:rPr>
                <w:rFonts w:ascii="Arial" w:cs="Arial" w:eastAsia="Arial" w:hAnsi="Arial"/>
                <w:sz w:val="14"/>
                <w:szCs w:val="14"/>
                <w:b w:val="1"/>
                <w:bCs w:val="1"/>
                <w:color w:val="auto"/>
              </w:rPr>
              <w:t>2019</w:t>
            </w:r>
          </w:p>
        </w:tc>
        <w:tc>
          <w:tcPr>
            <w:tcW w:w="1580" w:type="dxa"/>
            <w:vAlign w:val="bottom"/>
            <w:tcBorders>
              <w:bottom w:val="single" w:sz="8" w:color="B8CCE4"/>
              <w:right w:val="single" w:sz="8" w:color="B8CCE4"/>
            </w:tcBorders>
          </w:tcPr>
          <w:p>
            <w:pPr>
              <w:jc w:val="right"/>
              <w:ind w:right="245"/>
              <w:spacing w:after="0"/>
              <w:rPr>
                <w:sz w:val="20"/>
                <w:szCs w:val="20"/>
                <w:color w:val="auto"/>
              </w:rPr>
            </w:pPr>
            <w:r>
              <w:rPr>
                <w:rFonts w:ascii="Arial" w:cs="Arial" w:eastAsia="Arial" w:hAnsi="Arial"/>
                <w:sz w:val="14"/>
                <w:szCs w:val="14"/>
                <w:b w:val="1"/>
                <w:bCs w:val="1"/>
                <w:color w:val="auto"/>
              </w:rPr>
              <w:t>June 30, 2018</w:t>
            </w:r>
          </w:p>
        </w:tc>
        <w:tc>
          <w:tcPr>
            <w:tcW w:w="180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4"/>
                <w:szCs w:val="14"/>
                <w:b w:val="1"/>
                <w:bCs w:val="1"/>
                <w:color w:val="auto"/>
              </w:rPr>
              <w:t>Change</w:t>
            </w:r>
          </w:p>
        </w:tc>
      </w:tr>
      <w:tr>
        <w:trPr>
          <w:trHeight w:val="265"/>
        </w:trPr>
        <w:tc>
          <w:tcPr>
            <w:tcW w:w="650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Revenue</w:t>
            </w:r>
          </w:p>
        </w:tc>
        <w:tc>
          <w:tcPr>
            <w:tcW w:w="156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$420.5</w:t>
            </w:r>
          </w:p>
        </w:tc>
        <w:tc>
          <w:tcPr>
            <w:tcW w:w="15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$401.1</w:t>
            </w:r>
          </w:p>
        </w:tc>
        <w:tc>
          <w:tcPr>
            <w:tcW w:w="180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6"/>
              </w:rPr>
              <w:t>4.8%</w:t>
            </w:r>
          </w:p>
        </w:tc>
      </w:tr>
      <w:tr>
        <w:trPr>
          <w:trHeight w:val="264"/>
        </w:trPr>
        <w:tc>
          <w:tcPr>
            <w:tcW w:w="650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Operating profit</w:t>
            </w:r>
          </w:p>
        </w:tc>
        <w:tc>
          <w:tcPr>
            <w:tcW w:w="1560" w:type="dxa"/>
            <w:vAlign w:val="bottom"/>
            <w:tcBorders>
              <w:bottom w:val="single" w:sz="8" w:color="B4C6E7"/>
              <w:right w:val="single" w:sz="8" w:color="B8CCE4"/>
            </w:tcBorders>
          </w:tcPr>
          <w:p>
            <w:pPr>
              <w:jc w:val="right"/>
              <w:spacing w:after="0"/>
              <w:rPr>
                <w:sz w:val="20"/>
                <w:szCs w:val="20"/>
                <w:color w:val="auto"/>
              </w:rPr>
            </w:pPr>
            <w:r>
              <w:rPr>
                <w:rFonts w:ascii="Arial" w:cs="Arial" w:eastAsia="Arial" w:hAnsi="Arial"/>
                <w:sz w:val="20"/>
                <w:szCs w:val="20"/>
                <w:color w:val="auto"/>
              </w:rPr>
              <w:t>$25.5</w:t>
            </w:r>
          </w:p>
        </w:tc>
        <w:tc>
          <w:tcPr>
            <w:tcW w:w="1580" w:type="dxa"/>
            <w:vAlign w:val="bottom"/>
            <w:tcBorders>
              <w:bottom w:val="single" w:sz="8" w:color="B4C6E7"/>
              <w:right w:val="single" w:sz="8" w:color="B8CCE4"/>
            </w:tcBorders>
          </w:tcPr>
          <w:p>
            <w:pPr>
              <w:jc w:val="right"/>
              <w:spacing w:after="0"/>
              <w:rPr>
                <w:sz w:val="20"/>
                <w:szCs w:val="20"/>
                <w:color w:val="auto"/>
              </w:rPr>
            </w:pPr>
            <w:r>
              <w:rPr>
                <w:rFonts w:ascii="Arial" w:cs="Arial" w:eastAsia="Arial" w:hAnsi="Arial"/>
                <w:sz w:val="20"/>
                <w:szCs w:val="20"/>
                <w:color w:val="auto"/>
              </w:rPr>
              <w:t>$51.5</w:t>
            </w:r>
          </w:p>
        </w:tc>
        <w:tc>
          <w:tcPr>
            <w:tcW w:w="180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7"/>
              </w:rPr>
              <w:t>(50.5%)</w:t>
            </w:r>
          </w:p>
        </w:tc>
      </w:tr>
      <w:tr>
        <w:trPr>
          <w:trHeight w:val="264"/>
        </w:trPr>
        <w:tc>
          <w:tcPr>
            <w:tcW w:w="650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Adjusted EBITDA</w:t>
            </w:r>
          </w:p>
        </w:tc>
        <w:tc>
          <w:tcPr>
            <w:tcW w:w="1560" w:type="dxa"/>
            <w:vAlign w:val="bottom"/>
            <w:tcBorders>
              <w:bottom w:val="single" w:sz="8" w:color="B4C6E7"/>
              <w:right w:val="single" w:sz="8" w:color="B8CCE4"/>
            </w:tcBorders>
          </w:tcPr>
          <w:p>
            <w:pPr>
              <w:jc w:val="right"/>
              <w:spacing w:after="0"/>
              <w:rPr>
                <w:sz w:val="20"/>
                <w:szCs w:val="20"/>
                <w:color w:val="auto"/>
              </w:rPr>
            </w:pPr>
            <w:r>
              <w:rPr>
                <w:rFonts w:ascii="Arial" w:cs="Arial" w:eastAsia="Arial" w:hAnsi="Arial"/>
                <w:sz w:val="20"/>
                <w:szCs w:val="20"/>
                <w:color w:val="auto"/>
              </w:rPr>
              <w:t>$46.7</w:t>
            </w:r>
          </w:p>
        </w:tc>
        <w:tc>
          <w:tcPr>
            <w:tcW w:w="1580" w:type="dxa"/>
            <w:vAlign w:val="bottom"/>
            <w:tcBorders>
              <w:bottom w:val="single" w:sz="8" w:color="B4C6E7"/>
              <w:right w:val="single" w:sz="8" w:color="B8CCE4"/>
            </w:tcBorders>
          </w:tcPr>
          <w:p>
            <w:pPr>
              <w:jc w:val="right"/>
              <w:spacing w:after="0"/>
              <w:rPr>
                <w:sz w:val="20"/>
                <w:szCs w:val="20"/>
                <w:color w:val="auto"/>
              </w:rPr>
            </w:pPr>
            <w:r>
              <w:rPr>
                <w:rFonts w:ascii="Arial" w:cs="Arial" w:eastAsia="Arial" w:hAnsi="Arial"/>
                <w:sz w:val="20"/>
                <w:szCs w:val="20"/>
                <w:color w:val="auto"/>
              </w:rPr>
              <w:t>$72.6</w:t>
            </w:r>
          </w:p>
        </w:tc>
        <w:tc>
          <w:tcPr>
            <w:tcW w:w="180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7"/>
              </w:rPr>
              <w:t>(35.7%)</w:t>
            </w:r>
          </w:p>
        </w:tc>
      </w:tr>
      <w:tr>
        <w:trPr>
          <w:trHeight w:val="264"/>
        </w:trPr>
        <w:tc>
          <w:tcPr>
            <w:tcW w:w="650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Adjusted EBITDA margin</w:t>
            </w:r>
          </w:p>
        </w:tc>
        <w:tc>
          <w:tcPr>
            <w:tcW w:w="156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11.1%</w:t>
            </w:r>
          </w:p>
        </w:tc>
        <w:tc>
          <w:tcPr>
            <w:tcW w:w="1580" w:type="dxa"/>
            <w:vAlign w:val="bottom"/>
            <w:tcBorders>
              <w:bottom w:val="single" w:sz="8" w:color="B4C6E7"/>
              <w:right w:val="single" w:sz="8" w:color="B8CCE4"/>
            </w:tcBorders>
          </w:tcPr>
          <w:p>
            <w:pPr>
              <w:jc w:val="right"/>
              <w:spacing w:after="0"/>
              <w:rPr>
                <w:sz w:val="20"/>
                <w:szCs w:val="20"/>
                <w:color w:val="auto"/>
              </w:rPr>
            </w:pPr>
            <w:r>
              <w:rPr>
                <w:rFonts w:ascii="Arial" w:cs="Arial" w:eastAsia="Arial" w:hAnsi="Arial"/>
                <w:sz w:val="20"/>
                <w:szCs w:val="20"/>
                <w:color w:val="auto"/>
              </w:rPr>
              <w:t>18.1%</w:t>
            </w:r>
          </w:p>
        </w:tc>
        <w:tc>
          <w:tcPr>
            <w:tcW w:w="180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9"/>
              </w:rPr>
              <w:t>(700 bps)</w:t>
            </w:r>
          </w:p>
        </w:tc>
      </w:tr>
      <w:tr>
        <w:trPr>
          <w:trHeight w:val="322"/>
        </w:trPr>
        <w:tc>
          <w:tcPr>
            <w:tcW w:w="6500" w:type="dxa"/>
            <w:vAlign w:val="bottom"/>
            <w:tcBorders>
              <w:left w:val="single" w:sz="8" w:color="B8CCE4"/>
              <w:bottom w:val="single" w:sz="8" w:color="B8CCE4"/>
            </w:tcBorders>
          </w:tcPr>
          <w:p>
            <w:pPr>
              <w:spacing w:after="0"/>
              <w:rPr>
                <w:sz w:val="24"/>
                <w:szCs w:val="24"/>
                <w:color w:val="auto"/>
              </w:rPr>
            </w:pPr>
          </w:p>
        </w:tc>
        <w:tc>
          <w:tcPr>
            <w:tcW w:w="1560" w:type="dxa"/>
            <w:vAlign w:val="bottom"/>
            <w:tcBorders>
              <w:bottom w:val="single" w:sz="8" w:color="B8CCE4"/>
            </w:tcBorders>
          </w:tcPr>
          <w:p>
            <w:pPr>
              <w:spacing w:after="0"/>
              <w:rPr>
                <w:sz w:val="24"/>
                <w:szCs w:val="24"/>
                <w:color w:val="auto"/>
              </w:rPr>
            </w:pPr>
          </w:p>
        </w:tc>
        <w:tc>
          <w:tcPr>
            <w:tcW w:w="1580" w:type="dxa"/>
            <w:vAlign w:val="bottom"/>
            <w:tcBorders>
              <w:bottom w:val="single" w:sz="8" w:color="B8CCE4"/>
            </w:tcBorders>
          </w:tcPr>
          <w:p>
            <w:pPr>
              <w:spacing w:after="0"/>
              <w:rPr>
                <w:sz w:val="24"/>
                <w:szCs w:val="24"/>
                <w:color w:val="auto"/>
              </w:rPr>
            </w:pPr>
          </w:p>
        </w:tc>
        <w:tc>
          <w:tcPr>
            <w:tcW w:w="1800" w:type="dxa"/>
            <w:vAlign w:val="bottom"/>
            <w:tcBorders>
              <w:bottom w:val="single" w:sz="8" w:color="B8CCE4"/>
              <w:right w:val="single" w:sz="8" w:color="B8CCE4"/>
            </w:tcBorders>
          </w:tcPr>
          <w:p>
            <w:pPr>
              <w:spacing w:after="0"/>
              <w:rPr>
                <w:sz w:val="24"/>
                <w:szCs w:val="24"/>
                <w:color w:val="auto"/>
              </w:rPr>
            </w:pPr>
          </w:p>
        </w:tc>
      </w:tr>
      <w:tr>
        <w:trPr>
          <w:trHeight w:val="259"/>
        </w:trPr>
        <w:tc>
          <w:tcPr>
            <w:tcW w:w="650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Inbound orders</w:t>
            </w:r>
          </w:p>
        </w:tc>
        <w:tc>
          <w:tcPr>
            <w:tcW w:w="156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$415.7</w:t>
            </w:r>
          </w:p>
        </w:tc>
        <w:tc>
          <w:tcPr>
            <w:tcW w:w="15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$414.7</w:t>
            </w:r>
          </w:p>
        </w:tc>
        <w:tc>
          <w:tcPr>
            <w:tcW w:w="180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6"/>
              </w:rPr>
              <w:t>0.2%</w:t>
            </w:r>
          </w:p>
        </w:tc>
      </w:tr>
      <w:tr>
        <w:trPr>
          <w:trHeight w:val="264"/>
        </w:trPr>
        <w:tc>
          <w:tcPr>
            <w:tcW w:w="650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Backlog</w:t>
            </w:r>
          </w:p>
        </w:tc>
        <w:tc>
          <w:tcPr>
            <w:tcW w:w="156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$426.6</w:t>
            </w:r>
          </w:p>
        </w:tc>
        <w:tc>
          <w:tcPr>
            <w:tcW w:w="15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$415.3</w:t>
            </w:r>
          </w:p>
        </w:tc>
        <w:tc>
          <w:tcPr>
            <w:tcW w:w="180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6"/>
              </w:rPr>
              <w:t>2.7%</w:t>
            </w:r>
          </w:p>
        </w:tc>
      </w:tr>
    </w:tbl>
    <w:p>
      <w:pPr>
        <w:spacing w:after="0" w:line="388" w:lineRule="exact"/>
        <w:rPr>
          <w:sz w:val="20"/>
          <w:szCs w:val="20"/>
          <w:color w:val="auto"/>
        </w:rPr>
      </w:pPr>
    </w:p>
    <w:p>
      <w:pPr>
        <w:jc w:val="both"/>
        <w:ind w:right="20"/>
        <w:spacing w:after="0" w:line="243" w:lineRule="auto"/>
        <w:rPr>
          <w:sz w:val="20"/>
          <w:szCs w:val="20"/>
          <w:color w:val="auto"/>
        </w:rPr>
      </w:pPr>
      <w:r>
        <w:rPr>
          <w:rFonts w:ascii="Arial" w:cs="Arial" w:eastAsia="Arial" w:hAnsi="Arial"/>
          <w:sz w:val="20"/>
          <w:szCs w:val="20"/>
          <w:color w:val="auto"/>
        </w:rPr>
        <w:t>Surface Technologies reported second quarter revenue of $420.5 million, an increase of 4.8 percent from the prior-year quarter. The revenue growth was primarily driven by higher wellhead equipment sales globally and frac rental service revenue in North America, partially offset by reduced flowline product sales due to lower completions-related activity in North America.</w:t>
      </w:r>
    </w:p>
    <w:p>
      <w:pPr>
        <w:spacing w:after="0" w:line="166" w:lineRule="exact"/>
        <w:rPr>
          <w:sz w:val="20"/>
          <w:szCs w:val="20"/>
          <w:color w:val="auto"/>
        </w:rPr>
      </w:pPr>
    </w:p>
    <w:p>
      <w:pPr>
        <w:jc w:val="both"/>
        <w:ind w:right="20"/>
        <w:spacing w:after="0" w:line="242" w:lineRule="auto"/>
        <w:rPr>
          <w:sz w:val="20"/>
          <w:szCs w:val="20"/>
          <w:color w:val="auto"/>
        </w:rPr>
      </w:pPr>
      <w:r>
        <w:rPr>
          <w:rFonts w:ascii="Arial" w:cs="Arial" w:eastAsia="Arial" w:hAnsi="Arial"/>
          <w:sz w:val="20"/>
          <w:szCs w:val="20"/>
          <w:color w:val="auto"/>
        </w:rPr>
        <w:t>Surface Technologies reported operating profit of $25.5 million; adjusted EBITDA was $46.7 million with a margin of 11.1 percent. Operating profit decreased versus the prior-year quarter primarily due to the continued decline in completions-related activity in North America, resulting in a weaker pricing environment and an unfavorable product line mix. These same factors drove the year-over-year decrease in adjusted EBITDA.</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color w:val="auto"/>
        </w:rPr>
        <w:t>Inbound orders for the quarter were $415.7 million. Backlog increased 2.7 percent versus the prior-year quarter to $426.6 million.</w:t>
      </w:r>
    </w:p>
    <w:p>
      <w:pPr>
        <w:spacing w:after="0"/>
        <w:rPr>
          <w:sz w:val="20"/>
          <w:szCs w:val="20"/>
          <w:color w:val="auto"/>
        </w:rPr>
      </w:pPr>
      <w:r>
        <w:rPr>
          <w:rFonts w:ascii="Arial" w:cs="Arial" w:eastAsia="Arial" w:hAnsi="Arial"/>
          <w:sz w:val="20"/>
          <w:szCs w:val="20"/>
          <w:color w:val="auto"/>
        </w:rPr>
        <w:t>Given the short-cycle nature of the business, orders are generally converted into revenue within twelve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180"/>
        <w:spacing w:after="0"/>
        <w:tabs>
          <w:tab w:leader="none" w:pos="1050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8 of </w:t>
      </w:r>
      <w:hyperlink w:anchor="page30">
        <w:r>
          <w:rPr>
            <w:rFonts w:ascii="Arial" w:cs="Arial" w:eastAsia="Arial" w:hAnsi="Arial"/>
            <w:sz w:val="14"/>
            <w:szCs w:val="14"/>
            <w:b w:val="1"/>
            <w:bCs w:val="1"/>
            <w:color w:val="auto"/>
          </w:rPr>
          <w:t>25</w:t>
        </w:r>
      </w:hyperlink>
    </w:p>
    <w:p>
      <w:pPr>
        <w:sectPr>
          <w:pgSz w:w="11900" w:h="16838" w:orient="portrait"/>
          <w:cols w:equalWidth="0" w:num="1">
            <w:col w:w="11440"/>
          </w:cols>
          <w:pgMar w:left="240" w:top="1354" w:right="219" w:bottom="1440" w:gutter="0" w:footer="0" w:header="0"/>
        </w:sectPr>
      </w:pPr>
    </w:p>
    <w:bookmarkStart w:id="12" w:name="page13"/>
    <w:bookmarkEnd w:id="12"/>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2778760" cy="5314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2778760" cy="531495"/>
                    </a:xfrm>
                    <a:prstGeom prst="rect">
                      <a:avLst/>
                    </a:prstGeom>
                    <a:noFill/>
                  </pic:spPr>
                </pic:pic>
              </a:graphicData>
            </a:graphic>
          </wp:anchor>
        </w:drawing>
        <w:t>Corporate and Other Items</w:t>
      </w:r>
    </w:p>
    <w:p>
      <w:pPr>
        <w:spacing w:after="0" w:line="240" w:lineRule="exact"/>
        <w:rPr>
          <w:sz w:val="20"/>
          <w:szCs w:val="20"/>
          <w:color w:val="auto"/>
        </w:rPr>
      </w:pPr>
    </w:p>
    <w:p>
      <w:pPr>
        <w:spacing w:after="0" w:line="247" w:lineRule="auto"/>
        <w:rPr>
          <w:sz w:val="20"/>
          <w:szCs w:val="20"/>
          <w:color w:val="auto"/>
        </w:rPr>
      </w:pPr>
      <w:r>
        <w:rPr>
          <w:rFonts w:ascii="Arial" w:cs="Arial" w:eastAsia="Arial" w:hAnsi="Arial"/>
          <w:sz w:val="20"/>
          <w:szCs w:val="20"/>
          <w:color w:val="auto"/>
        </w:rPr>
        <w:t>Corporate expense in the second quarter was $138.9 million. Included in corporate expense were the following charges and credits:</w:t>
      </w:r>
    </w:p>
    <w:p>
      <w:pPr>
        <w:spacing w:after="0" w:line="161"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20"/>
          <w:szCs w:val="20"/>
          <w:color w:val="auto"/>
        </w:rPr>
      </w:pPr>
      <w:r>
        <w:rPr>
          <w:rFonts w:ascii="Arial" w:cs="Arial" w:eastAsia="Arial" w:hAnsi="Arial"/>
          <w:sz w:val="20"/>
          <w:szCs w:val="20"/>
          <w:color w:val="auto"/>
        </w:rPr>
        <w:t>$55.2 million of legal provisions, net, including the following:</w:t>
      </w:r>
    </w:p>
    <w:p>
      <w:pPr>
        <w:ind w:left="1300" w:hanging="320"/>
        <w:spacing w:after="0" w:line="239" w:lineRule="auto"/>
        <w:tabs>
          <w:tab w:leader="none" w:pos="1300" w:val="left"/>
        </w:tabs>
        <w:numPr>
          <w:ilvl w:val="1"/>
          <w:numId w:val="11"/>
        </w:numPr>
        <w:rPr>
          <w:rFonts w:ascii="Arial" w:cs="Arial" w:eastAsia="Arial" w:hAnsi="Arial"/>
          <w:sz w:val="20"/>
          <w:szCs w:val="20"/>
          <w:color w:val="auto"/>
        </w:rPr>
      </w:pPr>
      <w:r>
        <w:rPr>
          <w:rFonts w:ascii="Arial" w:cs="Arial" w:eastAsia="Arial" w:hAnsi="Arial"/>
          <w:sz w:val="20"/>
          <w:szCs w:val="20"/>
          <w:color w:val="auto"/>
        </w:rPr>
        <w:t>A provision of $70 million to maintain the probable estimate for the settlement of an investigation related to historical projects in Equatorial Guinea and Ghana;</w:t>
      </w:r>
    </w:p>
    <w:p>
      <w:pPr>
        <w:spacing w:after="0" w:line="1" w:lineRule="exact"/>
        <w:rPr>
          <w:rFonts w:ascii="Arial" w:cs="Arial" w:eastAsia="Arial" w:hAnsi="Arial"/>
          <w:sz w:val="20"/>
          <w:szCs w:val="20"/>
          <w:color w:val="auto"/>
        </w:rPr>
      </w:pPr>
    </w:p>
    <w:p>
      <w:pPr>
        <w:jc w:val="both"/>
        <w:ind w:left="1300" w:hanging="320"/>
        <w:spacing w:after="0" w:line="239" w:lineRule="auto"/>
        <w:tabs>
          <w:tab w:leader="none" w:pos="1300" w:val="left"/>
        </w:tabs>
        <w:numPr>
          <w:ilvl w:val="1"/>
          <w:numId w:val="11"/>
        </w:numPr>
        <w:rPr>
          <w:rFonts w:ascii="Arial" w:cs="Arial" w:eastAsia="Arial" w:hAnsi="Arial"/>
          <w:sz w:val="20"/>
          <w:szCs w:val="20"/>
          <w:color w:val="auto"/>
        </w:rPr>
      </w:pPr>
      <w:r>
        <w:rPr>
          <w:rFonts w:ascii="Arial" w:cs="Arial" w:eastAsia="Arial" w:hAnsi="Arial"/>
          <w:sz w:val="20"/>
          <w:szCs w:val="20"/>
          <w:color w:val="auto"/>
        </w:rPr>
        <w:t>A charge of $21.3 million related to the final settlement with the U.S. Department of Justice, the U.S. Securities and Exchange Commission Staff and the Brazilian authorities to resolve investigations in Brazil and relating to the intermediary, Unaoil; and</w:t>
      </w:r>
    </w:p>
    <w:p>
      <w:pPr>
        <w:spacing w:after="0" w:line="1" w:lineRule="exact"/>
        <w:rPr>
          <w:rFonts w:ascii="Arial" w:cs="Arial" w:eastAsia="Arial" w:hAnsi="Arial"/>
          <w:sz w:val="20"/>
          <w:szCs w:val="20"/>
          <w:color w:val="auto"/>
        </w:rPr>
      </w:pPr>
    </w:p>
    <w:p>
      <w:pPr>
        <w:ind w:left="1300" w:right="20" w:hanging="320"/>
        <w:spacing w:after="0" w:line="239" w:lineRule="auto"/>
        <w:tabs>
          <w:tab w:leader="none" w:pos="1300" w:val="left"/>
        </w:tabs>
        <w:numPr>
          <w:ilvl w:val="1"/>
          <w:numId w:val="11"/>
        </w:numPr>
        <w:rPr>
          <w:rFonts w:ascii="Arial" w:cs="Arial" w:eastAsia="Arial" w:hAnsi="Arial"/>
          <w:sz w:val="20"/>
          <w:szCs w:val="20"/>
          <w:color w:val="auto"/>
        </w:rPr>
      </w:pPr>
      <w:r>
        <w:rPr>
          <w:rFonts w:ascii="Arial" w:cs="Arial" w:eastAsia="Arial" w:hAnsi="Arial"/>
          <w:sz w:val="20"/>
          <w:szCs w:val="20"/>
          <w:color w:val="auto"/>
        </w:rPr>
        <w:t>Net litigation credits, including the favorable settlement in the matter entitled TechnipFMC plc v. Samik Mukherjee and McDermott International, Inc.</w:t>
      </w:r>
    </w:p>
    <w:p>
      <w:pPr>
        <w:spacing w:after="0" w:line="1" w:lineRule="exact"/>
        <w:rPr>
          <w:rFonts w:ascii="Arial" w:cs="Arial" w:eastAsia="Arial" w:hAnsi="Arial"/>
          <w:sz w:val="20"/>
          <w:szCs w:val="20"/>
          <w:color w:val="auto"/>
        </w:rPr>
      </w:pPr>
    </w:p>
    <w:p>
      <w:pPr>
        <w:ind w:left="660" w:hanging="328"/>
        <w:spacing w:after="0"/>
        <w:tabs>
          <w:tab w:leader="none" w:pos="660" w:val="left"/>
        </w:tabs>
        <w:numPr>
          <w:ilvl w:val="0"/>
          <w:numId w:val="11"/>
        </w:numPr>
        <w:rPr>
          <w:rFonts w:ascii="Arial" w:cs="Arial" w:eastAsia="Arial" w:hAnsi="Arial"/>
          <w:sz w:val="20"/>
          <w:szCs w:val="20"/>
          <w:color w:val="auto"/>
        </w:rPr>
      </w:pPr>
      <w:r>
        <w:rPr>
          <w:rFonts w:ascii="Arial" w:cs="Arial" w:eastAsia="Arial" w:hAnsi="Arial"/>
          <w:sz w:val="20"/>
          <w:szCs w:val="20"/>
          <w:color w:val="auto"/>
        </w:rPr>
        <w:t>$14.3 million of expense primarily related to merger integration and severance charges.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Excluding charges and credits, corporate expense was $69.4 million which included $18 million of foreign exchange losses.</w:t>
      </w:r>
    </w:p>
    <w:p>
      <w:pPr>
        <w:spacing w:after="0" w:line="200" w:lineRule="exact"/>
        <w:rPr>
          <w:sz w:val="20"/>
          <w:szCs w:val="20"/>
          <w:color w:val="auto"/>
        </w:rPr>
      </w:pPr>
    </w:p>
    <w:p>
      <w:pPr>
        <w:spacing w:after="0" w:line="259" w:lineRule="exact"/>
        <w:rPr>
          <w:sz w:val="20"/>
          <w:szCs w:val="20"/>
          <w:color w:val="auto"/>
        </w:rPr>
      </w:pPr>
    </w:p>
    <w:p>
      <w:pPr>
        <w:ind w:right="20"/>
        <w:spacing w:after="0" w:line="247" w:lineRule="auto"/>
        <w:rPr>
          <w:sz w:val="20"/>
          <w:szCs w:val="20"/>
          <w:color w:val="auto"/>
        </w:rPr>
      </w:pPr>
      <w:r>
        <w:rPr>
          <w:rFonts w:ascii="Arial" w:cs="Arial" w:eastAsia="Arial" w:hAnsi="Arial"/>
          <w:sz w:val="20"/>
          <w:szCs w:val="20"/>
          <w:color w:val="auto"/>
        </w:rPr>
        <w:t>Net interest expense was $140.6 million in the quarter, which included an increase in the liability payable to joint venture partners of $140.2 million. Net interest expense was favorably impacted by higher interest income on cash balances.</w:t>
      </w:r>
    </w:p>
    <w:p>
      <w:pPr>
        <w:spacing w:after="0" w:line="161" w:lineRule="exact"/>
        <w:rPr>
          <w:sz w:val="20"/>
          <w:szCs w:val="20"/>
          <w:color w:val="auto"/>
        </w:rPr>
      </w:pPr>
    </w:p>
    <w:p>
      <w:pPr>
        <w:spacing w:after="0" w:line="247" w:lineRule="auto"/>
        <w:rPr>
          <w:sz w:val="20"/>
          <w:szCs w:val="20"/>
          <w:color w:val="auto"/>
        </w:rPr>
      </w:pPr>
      <w:r>
        <w:rPr>
          <w:rFonts w:ascii="Arial" w:cs="Arial" w:eastAsia="Arial" w:hAnsi="Arial"/>
          <w:sz w:val="20"/>
          <w:szCs w:val="20"/>
          <w:color w:val="auto"/>
        </w:rPr>
        <w:t>The Company recorded a tax provision during the quarter of $0.9 million. Including the impact of discrete items, the effective tax rate in the quarter was 0.8 percent.</w:t>
      </w:r>
    </w:p>
    <w:p>
      <w:pPr>
        <w:spacing w:after="0" w:line="161" w:lineRule="exact"/>
        <w:rPr>
          <w:sz w:val="20"/>
          <w:szCs w:val="20"/>
          <w:color w:val="auto"/>
        </w:rPr>
      </w:pPr>
    </w:p>
    <w:p>
      <w:pPr>
        <w:spacing w:after="0" w:line="247" w:lineRule="auto"/>
        <w:rPr>
          <w:sz w:val="20"/>
          <w:szCs w:val="20"/>
          <w:color w:val="auto"/>
        </w:rPr>
      </w:pPr>
      <w:r>
        <w:rPr>
          <w:rFonts w:ascii="Arial" w:cs="Arial" w:eastAsia="Arial" w:hAnsi="Arial"/>
          <w:sz w:val="20"/>
          <w:szCs w:val="20"/>
          <w:color w:val="auto"/>
        </w:rPr>
        <w:t>Total depreciation and amortization for the quarter was $117.5 million, including depreciation and amortization related to purchase price accounting for the merger of $8.5 million.</w:t>
      </w:r>
    </w:p>
    <w:p>
      <w:pPr>
        <w:spacing w:after="0" w:line="161" w:lineRule="exact"/>
        <w:rPr>
          <w:sz w:val="20"/>
          <w:szCs w:val="20"/>
          <w:color w:val="auto"/>
        </w:rPr>
      </w:pPr>
    </w:p>
    <w:p>
      <w:pPr>
        <w:ind w:right="20"/>
        <w:spacing w:after="0" w:line="247" w:lineRule="auto"/>
        <w:rPr>
          <w:sz w:val="20"/>
          <w:szCs w:val="20"/>
          <w:color w:val="auto"/>
        </w:rPr>
      </w:pPr>
      <w:r>
        <w:rPr>
          <w:rFonts w:ascii="Arial" w:cs="Arial" w:eastAsia="Arial" w:hAnsi="Arial"/>
          <w:sz w:val="20"/>
          <w:szCs w:val="20"/>
          <w:color w:val="auto"/>
        </w:rPr>
        <w:t>The Company repurchased 1.8 million shares during the quarter. Total consideration was $40 million; cash impact in the quarter was $57.1 million due to the timing of settlement.</w:t>
      </w:r>
    </w:p>
    <w:p>
      <w:pPr>
        <w:spacing w:after="0" w:line="161" w:lineRule="exact"/>
        <w:rPr>
          <w:sz w:val="20"/>
          <w:szCs w:val="20"/>
          <w:color w:val="auto"/>
        </w:rPr>
      </w:pPr>
    </w:p>
    <w:p>
      <w:pPr>
        <w:spacing w:after="0" w:line="247" w:lineRule="auto"/>
        <w:rPr>
          <w:sz w:val="20"/>
          <w:szCs w:val="20"/>
          <w:color w:val="auto"/>
        </w:rPr>
      </w:pPr>
      <w:r>
        <w:rPr>
          <w:rFonts w:ascii="Arial" w:cs="Arial" w:eastAsia="Arial" w:hAnsi="Arial"/>
          <w:sz w:val="20"/>
          <w:szCs w:val="20"/>
          <w:color w:val="auto"/>
        </w:rPr>
        <w:t>Cash flow from operations in the quarter was $96.6 million. The Company ended the period with cash and cash equivalents of $4,621.3 million; net cash was $839.5 million.</w:t>
      </w:r>
    </w:p>
    <w:p>
      <w:pPr>
        <w:spacing w:after="0" w:line="200" w:lineRule="exact"/>
        <w:rPr>
          <w:sz w:val="20"/>
          <w:szCs w:val="20"/>
          <w:color w:val="auto"/>
        </w:rPr>
      </w:pPr>
    </w:p>
    <w:p>
      <w:pPr>
        <w:spacing w:after="0" w:line="245" w:lineRule="exact"/>
        <w:rPr>
          <w:sz w:val="20"/>
          <w:szCs w:val="20"/>
          <w:color w:val="auto"/>
        </w:rPr>
      </w:pPr>
    </w:p>
    <w:p>
      <w:pPr>
        <w:spacing w:after="0" w:line="247" w:lineRule="auto"/>
        <w:rPr>
          <w:sz w:val="20"/>
          <w:szCs w:val="20"/>
          <w:color w:val="auto"/>
        </w:rPr>
      </w:pPr>
      <w:r>
        <w:rPr>
          <w:rFonts w:ascii="Arial" w:cs="Arial" w:eastAsia="Arial" w:hAnsi="Arial"/>
          <w:sz w:val="20"/>
          <w:szCs w:val="20"/>
          <w:color w:val="auto"/>
        </w:rPr>
        <w:t>A new schedule (Exhibit 6) has been added to the earnings release that provides additional financial disclosures related to the Yamal LNG Joint Venture.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180"/>
        <w:spacing w:after="0"/>
        <w:tabs>
          <w:tab w:leader="none" w:pos="1050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9 of </w:t>
      </w:r>
      <w:hyperlink w:anchor="page30">
        <w:r>
          <w:rPr>
            <w:rFonts w:ascii="Arial" w:cs="Arial" w:eastAsia="Arial" w:hAnsi="Arial"/>
            <w:sz w:val="14"/>
            <w:szCs w:val="14"/>
            <w:b w:val="1"/>
            <w:bCs w:val="1"/>
            <w:color w:val="auto"/>
          </w:rPr>
          <w:t>25</w:t>
        </w:r>
      </w:hyperlink>
    </w:p>
    <w:p>
      <w:pPr>
        <w:sectPr>
          <w:pgSz w:w="11900" w:h="16838" w:orient="portrait"/>
          <w:cols w:equalWidth="0" w:num="1">
            <w:col w:w="11420"/>
          </w:cols>
          <w:pgMar w:left="240" w:top="1192" w:right="239" w:bottom="1440" w:gutter="0" w:footer="0" w:header="0"/>
        </w:sectPr>
      </w:pPr>
    </w:p>
    <w:bookmarkStart w:id="13" w:name="page14"/>
    <w:bookmarkEnd w:id="13"/>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2778760" cy="5314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2778760" cy="531495"/>
                    </a:xfrm>
                    <a:prstGeom prst="rect">
                      <a:avLst/>
                    </a:prstGeom>
                    <a:noFill/>
                  </pic:spPr>
                </pic:pic>
              </a:graphicData>
            </a:graphic>
          </wp:anchor>
        </w:drawing>
        <w:t>2019 Financial Guidance</w:t>
      </w:r>
      <w:r>
        <w:rPr>
          <w:rFonts w:ascii="Arial" w:cs="Arial" w:eastAsia="Arial" w:hAnsi="Arial"/>
          <w:sz w:val="25"/>
          <w:szCs w:val="25"/>
          <w:b w:val="1"/>
          <w:bCs w:val="1"/>
          <w:color w:val="auto"/>
          <w:vertAlign w:val="superscript"/>
        </w:rPr>
        <w:t>1</w:t>
      </w:r>
    </w:p>
    <w:p>
      <w:pPr>
        <w:spacing w:after="0" w:line="74" w:lineRule="exact"/>
        <w:rPr>
          <w:sz w:val="20"/>
          <w:szCs w:val="20"/>
          <w:color w:val="auto"/>
        </w:rPr>
      </w:pPr>
    </w:p>
    <w:p>
      <w:pPr>
        <w:spacing w:after="0"/>
        <w:rPr>
          <w:sz w:val="20"/>
          <w:szCs w:val="20"/>
          <w:color w:val="auto"/>
        </w:rPr>
      </w:pPr>
      <w:r>
        <w:rPr>
          <w:rFonts w:ascii="Arial" w:cs="Arial" w:eastAsia="Arial" w:hAnsi="Arial"/>
          <w:sz w:val="19"/>
          <w:szCs w:val="19"/>
          <w:color w:val="auto"/>
        </w:rPr>
        <w:t>Updates to the Company’s full-year guidance for 2019 are included in the revised table below and detailed on the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377825</wp:posOffset>
            </wp:positionV>
            <wp:extent cx="6869430" cy="3003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69430" cy="300355"/>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 xml:space="preserve">2019 Guidance </w:t>
      </w:r>
      <w:r>
        <w:rPr>
          <w:rFonts w:ascii="Arial" w:cs="Arial" w:eastAsia="Arial" w:hAnsi="Arial"/>
          <w:sz w:val="14"/>
          <w:szCs w:val="14"/>
          <w:i w:val="1"/>
          <w:iCs w:val="1"/>
          <w:color w:val="auto"/>
        </w:rPr>
        <w:t>*Updated July 24,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351790</wp:posOffset>
            </wp:positionV>
            <wp:extent cx="6869430" cy="14319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69430" cy="1431925"/>
                    </a:xfrm>
                    <a:prstGeom prst="rect">
                      <a:avLst/>
                    </a:prstGeom>
                    <a:noFill/>
                  </pic:spPr>
                </pic:pic>
              </a:graphicData>
            </a:graphic>
          </wp:anchor>
        </w:drawing>
      </w:r>
    </w:p>
    <w:p>
      <w:pPr>
        <w:sectPr>
          <w:pgSz w:w="11900" w:h="16838" w:orient="portrait"/>
          <w:cols w:equalWidth="0" w:num="1">
            <w:col w:w="11420"/>
          </w:cols>
          <w:pgMar w:left="240" w:top="1192" w:right="2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left="480"/>
        <w:spacing w:after="0"/>
        <w:rPr>
          <w:sz w:val="20"/>
          <w:szCs w:val="20"/>
          <w:color w:val="auto"/>
        </w:rPr>
      </w:pPr>
      <w:r>
        <w:rPr>
          <w:rFonts w:ascii="Arial" w:cs="Arial" w:eastAsia="Arial" w:hAnsi="Arial"/>
          <w:sz w:val="20"/>
          <w:szCs w:val="20"/>
          <w:b w:val="1"/>
          <w:bCs w:val="1"/>
          <w:color w:val="FFFFFF"/>
        </w:rPr>
        <w:t>Subsea</w:t>
      </w:r>
    </w:p>
    <w:p>
      <w:pPr>
        <w:spacing w:after="0" w:line="78" w:lineRule="exact"/>
        <w:rPr>
          <w:sz w:val="20"/>
          <w:szCs w:val="20"/>
          <w:color w:val="auto"/>
        </w:rPr>
      </w:pPr>
    </w:p>
    <w:p>
      <w:pPr>
        <w:ind w:left="360" w:right="200"/>
        <w:spacing w:after="0" w:line="236" w:lineRule="auto"/>
        <w:rPr>
          <w:sz w:val="20"/>
          <w:szCs w:val="20"/>
          <w:color w:val="auto"/>
        </w:rPr>
      </w:pPr>
      <w:r>
        <w:rPr>
          <w:rFonts w:ascii="Arial" w:cs="Arial" w:eastAsia="Arial" w:hAnsi="Arial"/>
          <w:sz w:val="20"/>
          <w:szCs w:val="20"/>
          <w:color w:val="auto"/>
        </w:rPr>
        <w:t>Revenue in a range of $5.6 - 5.8 billion*</w:t>
      </w:r>
    </w:p>
    <w:p>
      <w:pPr>
        <w:spacing w:after="0" w:line="358" w:lineRule="exact"/>
        <w:rPr>
          <w:sz w:val="20"/>
          <w:szCs w:val="20"/>
          <w:color w:val="auto"/>
        </w:rPr>
      </w:pPr>
    </w:p>
    <w:p>
      <w:pPr>
        <w:ind w:left="360"/>
        <w:spacing w:after="0" w:line="229" w:lineRule="auto"/>
        <w:rPr>
          <w:sz w:val="20"/>
          <w:szCs w:val="20"/>
          <w:color w:val="auto"/>
        </w:rPr>
      </w:pPr>
      <w:r>
        <w:rPr>
          <w:rFonts w:ascii="Arial" w:cs="Arial" w:eastAsia="Arial" w:hAnsi="Arial"/>
          <w:sz w:val="20"/>
          <w:szCs w:val="20"/>
          <w:color w:val="auto"/>
        </w:rPr>
        <w:t>EBITDA margin at least 11.5%* (excluding amortization related impact of purchase price accounting, and other charges and credits)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7" w:lineRule="exact"/>
        <w:rPr>
          <w:sz w:val="20"/>
          <w:szCs w:val="20"/>
          <w:color w:val="auto"/>
        </w:rPr>
      </w:pPr>
    </w:p>
    <w:p>
      <w:pPr>
        <w:jc w:val="center"/>
        <w:ind w:left="-59"/>
        <w:spacing w:after="0"/>
        <w:rPr>
          <w:sz w:val="20"/>
          <w:szCs w:val="20"/>
          <w:color w:val="auto"/>
        </w:rPr>
      </w:pPr>
      <w:r>
        <w:rPr>
          <w:rFonts w:ascii="Arial" w:cs="Arial" w:eastAsia="Arial" w:hAnsi="Arial"/>
          <w:sz w:val="20"/>
          <w:szCs w:val="20"/>
          <w:b w:val="1"/>
          <w:bCs w:val="1"/>
          <w:color w:val="FFFFFF"/>
        </w:rPr>
        <w:t>Onshore/Offshore</w:t>
      </w:r>
    </w:p>
    <w:p>
      <w:pPr>
        <w:spacing w:after="0" w:line="78" w:lineRule="exact"/>
        <w:rPr>
          <w:sz w:val="20"/>
          <w:szCs w:val="20"/>
          <w:color w:val="auto"/>
        </w:rPr>
      </w:pPr>
    </w:p>
    <w:p>
      <w:pPr>
        <w:ind w:right="500"/>
        <w:spacing w:after="0" w:line="236" w:lineRule="auto"/>
        <w:rPr>
          <w:sz w:val="20"/>
          <w:szCs w:val="20"/>
          <w:color w:val="auto"/>
        </w:rPr>
      </w:pPr>
      <w:r>
        <w:rPr>
          <w:rFonts w:ascii="Arial" w:cs="Arial" w:eastAsia="Arial" w:hAnsi="Arial"/>
          <w:sz w:val="20"/>
          <w:szCs w:val="20"/>
          <w:color w:val="auto"/>
        </w:rPr>
        <w:t>Revenue in a range of $6.0 - 6.3 billion</w:t>
      </w:r>
    </w:p>
    <w:p>
      <w:pPr>
        <w:spacing w:after="0" w:line="200" w:lineRule="exact"/>
        <w:rPr>
          <w:sz w:val="20"/>
          <w:szCs w:val="20"/>
          <w:color w:val="auto"/>
        </w:rPr>
      </w:pPr>
    </w:p>
    <w:p>
      <w:pPr>
        <w:spacing w:after="0" w:line="374" w:lineRule="exact"/>
        <w:rPr>
          <w:sz w:val="20"/>
          <w:szCs w:val="20"/>
          <w:color w:val="auto"/>
        </w:rPr>
      </w:pPr>
    </w:p>
    <w:p>
      <w:pPr>
        <w:spacing w:after="0" w:line="231" w:lineRule="auto"/>
        <w:rPr>
          <w:sz w:val="20"/>
          <w:szCs w:val="20"/>
          <w:color w:val="auto"/>
        </w:rPr>
      </w:pPr>
      <w:r>
        <w:rPr>
          <w:rFonts w:ascii="Arial" w:cs="Arial" w:eastAsia="Arial" w:hAnsi="Arial"/>
          <w:sz w:val="20"/>
          <w:szCs w:val="20"/>
          <w:color w:val="auto"/>
        </w:rPr>
        <w:t>EBITDA margin at least 16.5%* (excluding amortization related impact of purchase price accounting, and other charges and credits)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-2286000</wp:posOffset>
            </wp:positionH>
            <wp:positionV relativeFrom="paragraph">
              <wp:posOffset>220345</wp:posOffset>
            </wp:positionV>
            <wp:extent cx="6869430" cy="36874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69430" cy="36874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7" w:lineRule="exact"/>
        <w:rPr>
          <w:sz w:val="20"/>
          <w:szCs w:val="20"/>
          <w:color w:val="auto"/>
        </w:rPr>
      </w:pPr>
    </w:p>
    <w:p>
      <w:pPr>
        <w:ind w:left="680"/>
        <w:spacing w:after="0"/>
        <w:rPr>
          <w:sz w:val="20"/>
          <w:szCs w:val="20"/>
          <w:color w:val="auto"/>
        </w:rPr>
      </w:pPr>
      <w:r>
        <w:rPr>
          <w:rFonts w:ascii="Arial" w:cs="Arial" w:eastAsia="Arial" w:hAnsi="Arial"/>
          <w:sz w:val="20"/>
          <w:szCs w:val="20"/>
          <w:b w:val="1"/>
          <w:bCs w:val="1"/>
          <w:color w:val="FFFFFF"/>
        </w:rPr>
        <w:t>Surface Technologies</w:t>
      </w:r>
    </w:p>
    <w:p>
      <w:pPr>
        <w:spacing w:after="0" w:line="78" w:lineRule="exact"/>
        <w:rPr>
          <w:sz w:val="20"/>
          <w:szCs w:val="20"/>
          <w:color w:val="auto"/>
        </w:rPr>
      </w:pPr>
    </w:p>
    <w:p>
      <w:pPr>
        <w:ind w:right="880"/>
        <w:spacing w:after="0" w:line="236" w:lineRule="auto"/>
        <w:rPr>
          <w:sz w:val="20"/>
          <w:szCs w:val="20"/>
          <w:color w:val="auto"/>
        </w:rPr>
      </w:pPr>
      <w:r>
        <w:rPr>
          <w:rFonts w:ascii="Arial" w:cs="Arial" w:eastAsia="Arial" w:hAnsi="Arial"/>
          <w:sz w:val="20"/>
          <w:szCs w:val="20"/>
          <w:color w:val="auto"/>
        </w:rPr>
        <w:t>Revenue in a range of $1.6 - 1.7 billion</w:t>
      </w:r>
    </w:p>
    <w:p>
      <w:pPr>
        <w:spacing w:after="0" w:line="200" w:lineRule="exact"/>
        <w:rPr>
          <w:sz w:val="20"/>
          <w:szCs w:val="20"/>
          <w:color w:val="auto"/>
        </w:rPr>
      </w:pPr>
    </w:p>
    <w:p>
      <w:pPr>
        <w:spacing w:after="0" w:line="374" w:lineRule="exact"/>
        <w:rPr>
          <w:sz w:val="20"/>
          <w:szCs w:val="20"/>
          <w:color w:val="auto"/>
        </w:rPr>
      </w:pPr>
    </w:p>
    <w:p>
      <w:pPr>
        <w:ind w:right="380"/>
        <w:spacing w:after="0" w:line="231" w:lineRule="auto"/>
        <w:rPr>
          <w:sz w:val="20"/>
          <w:szCs w:val="20"/>
          <w:color w:val="auto"/>
        </w:rPr>
      </w:pPr>
      <w:r>
        <w:rPr>
          <w:rFonts w:ascii="Arial" w:cs="Arial" w:eastAsia="Arial" w:hAnsi="Arial"/>
          <w:sz w:val="20"/>
          <w:szCs w:val="20"/>
          <w:color w:val="auto"/>
        </w:rPr>
        <w:t>EBITDA margin at least 12% (excluding amortization related impact of purchase price accounting, and other charges and credits)</w:t>
      </w:r>
    </w:p>
    <w:p>
      <w:pPr>
        <w:spacing w:after="0" w:line="200" w:lineRule="exact"/>
        <w:rPr>
          <w:sz w:val="20"/>
          <w:szCs w:val="20"/>
          <w:color w:val="auto"/>
        </w:rPr>
      </w:pPr>
    </w:p>
    <w:p>
      <w:pPr>
        <w:sectPr>
          <w:pgSz w:w="11900" w:h="16838" w:orient="portrait"/>
          <w:cols w:equalWidth="0" w:num="3">
            <w:col w:w="3400" w:space="520"/>
            <w:col w:w="3340" w:space="440"/>
            <w:col w:w="3720"/>
          </w:cols>
          <w:pgMar w:left="240" w:top="1192" w:right="239" w:bottom="1440" w:gutter="0" w:footer="0" w:header="0"/>
          <w:type w:val="continuous"/>
        </w:sectPr>
      </w:pP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FFFFFF"/>
        </w:rPr>
        <w:t>TechnipFMC</w:t>
      </w:r>
    </w:p>
    <w:p>
      <w:pPr>
        <w:spacing w:after="0" w:line="54"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 xml:space="preserve">Corporate expense, net </w:t>
      </w:r>
      <w:r>
        <w:rPr>
          <w:rFonts w:ascii="Arial" w:cs="Arial" w:eastAsia="Arial" w:hAnsi="Arial"/>
          <w:sz w:val="20"/>
          <w:szCs w:val="20"/>
          <w:color w:val="auto"/>
        </w:rPr>
        <w:t>$160 - 170 million for the full year (excluding the impact of foreign currency fluctuations)</w:t>
      </w:r>
    </w:p>
    <w:p>
      <w:pPr>
        <w:spacing w:after="0" w:line="200" w:lineRule="exact"/>
        <w:rPr>
          <w:sz w:val="20"/>
          <w:szCs w:val="20"/>
          <w:color w:val="auto"/>
        </w:rPr>
      </w:pPr>
    </w:p>
    <w:p>
      <w:pPr>
        <w:spacing w:after="0" w:line="340" w:lineRule="exact"/>
        <w:rPr>
          <w:sz w:val="20"/>
          <w:szCs w:val="20"/>
          <w:color w:val="auto"/>
        </w:rPr>
      </w:pPr>
    </w:p>
    <w:p>
      <w:pPr>
        <w:ind w:left="360" w:right="340"/>
        <w:spacing w:after="0" w:line="258" w:lineRule="auto"/>
        <w:rPr>
          <w:sz w:val="20"/>
          <w:szCs w:val="20"/>
          <w:color w:val="auto"/>
        </w:rPr>
      </w:pPr>
      <w:r>
        <w:rPr>
          <w:rFonts w:ascii="Arial" w:cs="Arial" w:eastAsia="Arial" w:hAnsi="Arial"/>
          <w:sz w:val="20"/>
          <w:szCs w:val="20"/>
          <w:b w:val="1"/>
          <w:bCs w:val="1"/>
          <w:color w:val="auto"/>
        </w:rPr>
        <w:t xml:space="preserve">Net interest expense* </w:t>
      </w:r>
      <w:r>
        <w:rPr>
          <w:rFonts w:ascii="Arial" w:cs="Arial" w:eastAsia="Arial" w:hAnsi="Arial"/>
          <w:sz w:val="20"/>
          <w:szCs w:val="20"/>
          <w:color w:val="auto"/>
        </w:rPr>
        <w:t>$30 - 40 million for the full year (excluding the impact of revaluation of partners’ mandatorily</w:t>
      </w:r>
      <w:r>
        <w:rPr>
          <w:rFonts w:ascii="Arial" w:cs="Arial" w:eastAsia="Arial" w:hAnsi="Arial"/>
          <w:sz w:val="20"/>
          <w:szCs w:val="20"/>
          <w:b w:val="1"/>
          <w:bCs w:val="1"/>
          <w:color w:val="auto"/>
        </w:rPr>
        <w:t xml:space="preserve"> </w:t>
      </w:r>
      <w:r>
        <w:rPr>
          <w:rFonts w:ascii="Arial" w:cs="Arial" w:eastAsia="Arial" w:hAnsi="Arial"/>
          <w:sz w:val="20"/>
          <w:szCs w:val="20"/>
          <w:color w:val="auto"/>
        </w:rPr>
        <w:t>redeemable financial liability)</w:t>
      </w:r>
    </w:p>
    <w:p>
      <w:pPr>
        <w:spacing w:after="0" w:line="200" w:lineRule="exact"/>
        <w:rPr>
          <w:sz w:val="20"/>
          <w:szCs w:val="20"/>
          <w:color w:val="auto"/>
        </w:rPr>
      </w:pPr>
    </w:p>
    <w:p>
      <w:pPr>
        <w:spacing w:after="0" w:line="291"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 xml:space="preserve">Tax rate* </w:t>
      </w:r>
      <w:r>
        <w:rPr>
          <w:rFonts w:ascii="Arial" w:cs="Arial" w:eastAsia="Arial" w:hAnsi="Arial"/>
          <w:sz w:val="20"/>
          <w:szCs w:val="20"/>
          <w:color w:val="auto"/>
        </w:rPr>
        <w:t>26 - 30% for the full year</w:t>
      </w:r>
    </w:p>
    <w:p>
      <w:pPr>
        <w:spacing w:after="0" w:line="200" w:lineRule="exact"/>
        <w:rPr>
          <w:sz w:val="20"/>
          <w:szCs w:val="20"/>
          <w:color w:val="auto"/>
        </w:rPr>
      </w:pPr>
    </w:p>
    <w:p>
      <w:pPr>
        <w:spacing w:after="0" w:line="340"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 xml:space="preserve">Capital expenditures </w:t>
      </w:r>
      <w:r>
        <w:rPr>
          <w:rFonts w:ascii="Arial" w:cs="Arial" w:eastAsia="Arial" w:hAnsi="Arial"/>
          <w:sz w:val="20"/>
          <w:szCs w:val="20"/>
          <w:color w:val="auto"/>
        </w:rPr>
        <w:t>approximately $350 million for the full year</w:t>
      </w:r>
    </w:p>
    <w:p>
      <w:pPr>
        <w:spacing w:after="0" w:line="200" w:lineRule="exact"/>
        <w:rPr>
          <w:sz w:val="20"/>
          <w:szCs w:val="20"/>
          <w:color w:val="auto"/>
        </w:rPr>
      </w:pPr>
    </w:p>
    <w:p>
      <w:pPr>
        <w:spacing w:after="0" w:line="340"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 xml:space="preserve">Cash flow from operating activities </w:t>
      </w:r>
      <w:r>
        <w:rPr>
          <w:rFonts w:ascii="Arial" w:cs="Arial" w:eastAsia="Arial" w:hAnsi="Arial"/>
          <w:sz w:val="20"/>
          <w:szCs w:val="20"/>
          <w:color w:val="auto"/>
        </w:rPr>
        <w:t>positive for the full year</w:t>
      </w:r>
    </w:p>
    <w:p>
      <w:pPr>
        <w:spacing w:after="0" w:line="200" w:lineRule="exact"/>
        <w:rPr>
          <w:sz w:val="20"/>
          <w:szCs w:val="20"/>
          <w:color w:val="auto"/>
        </w:rPr>
      </w:pPr>
    </w:p>
    <w:p>
      <w:pPr>
        <w:spacing w:after="0" w:line="340"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 xml:space="preserve">Merger integration and restructuring costs </w:t>
      </w:r>
      <w:r>
        <w:rPr>
          <w:rFonts w:ascii="Arial" w:cs="Arial" w:eastAsia="Arial" w:hAnsi="Arial"/>
          <w:sz w:val="20"/>
          <w:szCs w:val="20"/>
          <w:color w:val="auto"/>
        </w:rPr>
        <w:t>approximately $50 million for the full year</w:t>
      </w:r>
    </w:p>
    <w:p>
      <w:pPr>
        <w:spacing w:after="0" w:line="200" w:lineRule="exact"/>
        <w:rPr>
          <w:sz w:val="20"/>
          <w:szCs w:val="20"/>
          <w:color w:val="auto"/>
        </w:rPr>
      </w:pPr>
    </w:p>
    <w:p>
      <w:pPr>
        <w:spacing w:after="0" w:line="340" w:lineRule="exact"/>
        <w:rPr>
          <w:sz w:val="20"/>
          <w:szCs w:val="20"/>
          <w:color w:val="auto"/>
        </w:rPr>
      </w:pPr>
    </w:p>
    <w:p>
      <w:pPr>
        <w:ind w:left="360" w:right="340"/>
        <w:spacing w:after="0" w:line="258" w:lineRule="auto"/>
        <w:rPr>
          <w:sz w:val="20"/>
          <w:szCs w:val="20"/>
          <w:color w:val="auto"/>
        </w:rPr>
      </w:pPr>
      <w:r>
        <w:rPr>
          <w:rFonts w:ascii="Arial" w:cs="Arial" w:eastAsia="Arial" w:hAnsi="Arial"/>
          <w:sz w:val="20"/>
          <w:szCs w:val="20"/>
          <w:b w:val="1"/>
          <w:bCs w:val="1"/>
          <w:color w:val="auto"/>
        </w:rPr>
        <w:t xml:space="preserve">Cost synergies </w:t>
      </w:r>
      <w:r>
        <w:rPr>
          <w:rFonts w:ascii="Arial" w:cs="Arial" w:eastAsia="Arial" w:hAnsi="Arial"/>
          <w:sz w:val="20"/>
          <w:szCs w:val="20"/>
          <w:color w:val="auto"/>
        </w:rPr>
        <w:t>$450 million total savings ($220m exit run-rate 12/31/17, $400m exit run-rate 12/31/18, $450m exit run-rate 12/31/19)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w:t>
      </w:r>
    </w:p>
    <w:p>
      <w:pPr>
        <w:spacing w:after="0" w:line="120" w:lineRule="exact"/>
        <w:rPr>
          <w:sz w:val="20"/>
          <w:szCs w:val="20"/>
          <w:color w:val="auto"/>
        </w:rPr>
      </w:pPr>
    </w:p>
    <w:p>
      <w:pPr>
        <w:jc w:val="both"/>
        <w:ind w:firstLine="8"/>
        <w:spacing w:after="0" w:line="230" w:lineRule="auto"/>
        <w:tabs>
          <w:tab w:leader="none" w:pos="117" w:val="left"/>
        </w:tabs>
        <w:numPr>
          <w:ilvl w:val="0"/>
          <w:numId w:val="12"/>
        </w:numPr>
        <w:rPr>
          <w:rFonts w:ascii="Arial" w:cs="Arial" w:eastAsia="Arial" w:hAnsi="Arial"/>
          <w:sz w:val="22"/>
          <w:szCs w:val="22"/>
          <w:color w:val="auto"/>
          <w:vertAlign w:val="superscript"/>
        </w:rPr>
      </w:pPr>
      <w:r>
        <w:rPr>
          <w:rFonts w:ascii="Arial" w:cs="Arial" w:eastAsia="Arial" w:hAnsi="Arial"/>
          <w:sz w:val="16"/>
          <w:szCs w:val="16"/>
          <w:color w:val="auto"/>
        </w:rPr>
        <w:t>Our guidance measures adjusted EBITDA margin, corporate expense, net (excluding the impact of foreign currency fluctuations), net interest expense (excluding the impact of revaluation of partners’ mandatorily redeemable financial liability), and tax rate are non-GAAP financial measures. We are unable to provide a reconciliation to comparable GAAP financial measures on a forward-looking basis without unreasonable effort because of the unpredictability of the individual components of the most directly comparable GAAP financial measure and the variability of items excluded from each such measure. Such information may have a significant, and potentially unpredictable, impact on our future financial results.</w:t>
      </w:r>
    </w:p>
    <w:p>
      <w:pPr>
        <w:sectPr>
          <w:pgSz w:w="11900" w:h="16838" w:orient="portrait"/>
          <w:cols w:equalWidth="0" w:num="1">
            <w:col w:w="11420"/>
          </w:cols>
          <w:pgMar w:left="240" w:top="1192" w:right="239" w:bottom="1440" w:gutter="0" w:footer="0" w:header="0"/>
          <w:type w:val="continuous"/>
        </w:sectPr>
      </w:pPr>
    </w:p>
    <w:p>
      <w:pPr>
        <w:spacing w:after="0" w:line="200" w:lineRule="exact"/>
        <w:rPr>
          <w:sz w:val="20"/>
          <w:szCs w:val="20"/>
          <w:color w:val="auto"/>
        </w:rPr>
      </w:pPr>
    </w:p>
    <w:p>
      <w:pPr>
        <w:spacing w:after="0" w:line="350" w:lineRule="exact"/>
        <w:rPr>
          <w:sz w:val="20"/>
          <w:szCs w:val="20"/>
          <w:color w:val="auto"/>
        </w:rPr>
      </w:pPr>
    </w:p>
    <w:p>
      <w:pPr>
        <w:ind w:left="5180"/>
        <w:spacing w:after="0"/>
        <w:tabs>
          <w:tab w:leader="none" w:pos="1042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10 of </w:t>
      </w:r>
      <w:hyperlink w:anchor="page30">
        <w:r>
          <w:rPr>
            <w:rFonts w:ascii="Arial" w:cs="Arial" w:eastAsia="Arial" w:hAnsi="Arial"/>
            <w:sz w:val="14"/>
            <w:szCs w:val="14"/>
            <w:b w:val="1"/>
            <w:bCs w:val="1"/>
            <w:color w:val="auto"/>
          </w:rPr>
          <w:t>25</w:t>
        </w:r>
      </w:hyperlink>
    </w:p>
    <w:p>
      <w:pPr>
        <w:sectPr>
          <w:pgSz w:w="11900" w:h="16838" w:orient="portrait"/>
          <w:cols w:equalWidth="0" w:num="1">
            <w:col w:w="11420"/>
          </w:cols>
          <w:pgMar w:left="240" w:top="1192" w:right="2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2778760" cy="5314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2778760" cy="531495"/>
                    </a:xfrm>
                    <a:prstGeom prst="rect">
                      <a:avLst/>
                    </a:prstGeom>
                    <a:noFill/>
                  </pic:spPr>
                </pic:pic>
              </a:graphicData>
            </a:graphic>
          </wp:anchor>
        </w:drawing>
        <w:t>Updates to the Company’s full-year guidance for 2019 are detailed below:</w:t>
      </w:r>
    </w:p>
    <w:p>
      <w:pPr>
        <w:spacing w:after="0" w:line="107"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20"/>
          <w:szCs w:val="20"/>
          <w:color w:val="auto"/>
        </w:rPr>
        <w:t>Subsea revenue in a range of $5.6 - 5.8 billion, which increased from the previous guidance range of $5.4 - 5.7 billion.</w:t>
      </w:r>
    </w:p>
    <w:p>
      <w:pPr>
        <w:ind w:left="660" w:right="20" w:hanging="328"/>
        <w:spacing w:after="0" w:line="239" w:lineRule="auto"/>
        <w:tabs>
          <w:tab w:leader="none" w:pos="660" w:val="left"/>
        </w:tabs>
        <w:numPr>
          <w:ilvl w:val="0"/>
          <w:numId w:val="13"/>
        </w:numPr>
        <w:rPr>
          <w:rFonts w:ascii="Arial" w:cs="Arial" w:eastAsia="Arial" w:hAnsi="Arial"/>
          <w:sz w:val="20"/>
          <w:szCs w:val="20"/>
          <w:color w:val="auto"/>
        </w:rPr>
      </w:pPr>
      <w:r>
        <w:rPr>
          <w:rFonts w:ascii="Arial" w:cs="Arial" w:eastAsia="Arial" w:hAnsi="Arial"/>
          <w:sz w:val="20"/>
          <w:szCs w:val="20"/>
          <w:color w:val="auto"/>
        </w:rPr>
        <w:t>Subsea EBITDA margin of at least 11.5% (excluding amortization related impact of purchase price accounting, and other charges and credits), which increased from the previous guidance of at least 11%.</w:t>
      </w:r>
    </w:p>
    <w:p>
      <w:pPr>
        <w:spacing w:after="0" w:line="1" w:lineRule="exact"/>
        <w:rPr>
          <w:rFonts w:ascii="Arial" w:cs="Arial" w:eastAsia="Arial" w:hAnsi="Arial"/>
          <w:sz w:val="20"/>
          <w:szCs w:val="20"/>
          <w:color w:val="auto"/>
        </w:rPr>
      </w:pPr>
    </w:p>
    <w:p>
      <w:pPr>
        <w:ind w:left="660" w:hanging="328"/>
        <w:spacing w:after="0" w:line="239" w:lineRule="auto"/>
        <w:tabs>
          <w:tab w:leader="none" w:pos="660" w:val="left"/>
        </w:tabs>
        <w:numPr>
          <w:ilvl w:val="0"/>
          <w:numId w:val="13"/>
        </w:numPr>
        <w:rPr>
          <w:rFonts w:ascii="Arial" w:cs="Arial" w:eastAsia="Arial" w:hAnsi="Arial"/>
          <w:sz w:val="20"/>
          <w:szCs w:val="20"/>
          <w:color w:val="auto"/>
        </w:rPr>
      </w:pPr>
      <w:r>
        <w:rPr>
          <w:rFonts w:ascii="Arial" w:cs="Arial" w:eastAsia="Arial" w:hAnsi="Arial"/>
          <w:sz w:val="20"/>
          <w:szCs w:val="20"/>
          <w:color w:val="auto"/>
        </w:rPr>
        <w:t>Onshore/Offshore EBITDA margin of at least 16.5% (excluding amortization related impact of purchase price accounting, and other charges and credits), which increased from the previous guidance of at least 14%.</w:t>
      </w:r>
    </w:p>
    <w:p>
      <w:pPr>
        <w:spacing w:after="0" w:line="1" w:lineRule="exact"/>
        <w:rPr>
          <w:rFonts w:ascii="Arial" w:cs="Arial" w:eastAsia="Arial" w:hAnsi="Arial"/>
          <w:sz w:val="20"/>
          <w:szCs w:val="20"/>
          <w:color w:val="auto"/>
        </w:rPr>
      </w:pPr>
    </w:p>
    <w:p>
      <w:pPr>
        <w:ind w:left="660" w:hanging="328"/>
        <w:spacing w:after="0" w:line="239" w:lineRule="auto"/>
        <w:tabs>
          <w:tab w:leader="none" w:pos="660" w:val="left"/>
        </w:tabs>
        <w:numPr>
          <w:ilvl w:val="0"/>
          <w:numId w:val="13"/>
        </w:numPr>
        <w:rPr>
          <w:rFonts w:ascii="Arial" w:cs="Arial" w:eastAsia="Arial" w:hAnsi="Arial"/>
          <w:sz w:val="20"/>
          <w:szCs w:val="20"/>
          <w:color w:val="auto"/>
        </w:rPr>
      </w:pPr>
      <w:r>
        <w:rPr>
          <w:rFonts w:ascii="Arial" w:cs="Arial" w:eastAsia="Arial" w:hAnsi="Arial"/>
          <w:sz w:val="20"/>
          <w:szCs w:val="20"/>
          <w:color w:val="auto"/>
        </w:rPr>
        <w:t>Net interest expense of $30 - 40 million for the full year (excluding the impact of revaluation of partners’ mandatorily redeemable financial liability), which decreased from the previous guidance range of $40 - 60 million for the full year.</w:t>
      </w:r>
    </w:p>
    <w:p>
      <w:pPr>
        <w:spacing w:after="0" w:line="1" w:lineRule="exact"/>
        <w:rPr>
          <w:rFonts w:ascii="Arial" w:cs="Arial" w:eastAsia="Arial" w:hAnsi="Arial"/>
          <w:sz w:val="20"/>
          <w:szCs w:val="20"/>
          <w:color w:val="auto"/>
        </w:rPr>
      </w:pPr>
    </w:p>
    <w:p>
      <w:pPr>
        <w:ind w:left="660" w:hanging="328"/>
        <w:spacing w:after="0" w:line="247" w:lineRule="auto"/>
        <w:tabs>
          <w:tab w:leader="none" w:pos="660" w:val="left"/>
        </w:tabs>
        <w:numPr>
          <w:ilvl w:val="0"/>
          <w:numId w:val="13"/>
        </w:numPr>
        <w:rPr>
          <w:rFonts w:ascii="Arial" w:cs="Arial" w:eastAsia="Arial" w:hAnsi="Arial"/>
          <w:sz w:val="20"/>
          <w:szCs w:val="20"/>
          <w:color w:val="auto"/>
        </w:rPr>
      </w:pPr>
      <w:r>
        <w:rPr>
          <w:rFonts w:ascii="Arial" w:cs="Arial" w:eastAsia="Arial" w:hAnsi="Arial"/>
          <w:sz w:val="20"/>
          <w:szCs w:val="20"/>
          <w:color w:val="auto"/>
        </w:rPr>
        <w:t>Tax rate 26 - 30% for the full year, which has been modified from the previous guidance of 28 - 32% for the full year (excluding the impact of discrete items).</w:t>
      </w: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Teleconference</w:t>
      </w:r>
    </w:p>
    <w:p>
      <w:pPr>
        <w:spacing w:after="0" w:line="240"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 xml:space="preserve">The Company will host a teleconference on Thursday, July 25, 2019 to discuss the second quarter 2019 financial results. The call will begin at 1 p.m. London time (8 a.m. New York time). Dial-in information and an accompanying presentation can be found at </w:t>
      </w:r>
      <w:r>
        <w:rPr>
          <w:rFonts w:ascii="Arial" w:cs="Arial" w:eastAsia="Arial" w:hAnsi="Arial"/>
          <w:sz w:val="20"/>
          <w:szCs w:val="20"/>
          <w:u w:val="single" w:color="auto"/>
          <w:color w:val="0000FF"/>
        </w:rPr>
        <w:t>www.technipfmc.com</w:t>
      </w:r>
      <w:r>
        <w:rPr>
          <w:rFonts w:ascii="Arial" w:cs="Arial" w:eastAsia="Arial" w:hAnsi="Arial"/>
          <w:sz w:val="20"/>
          <w:szCs w:val="20"/>
          <w:color w:val="000000"/>
        </w:rPr>
        <w:t>.</w:t>
      </w:r>
    </w:p>
    <w:p>
      <w:pPr>
        <w:spacing w:after="0" w:line="16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Webcast access will also be available on our website prior to the start of the call. An archived audio replay will be available after the event at the same website address. In the event of a disruption of service or technical difficulty during the call, information will be posted on our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180"/>
        <w:spacing w:after="0"/>
        <w:tabs>
          <w:tab w:leader="none" w:pos="1042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11 of </w:t>
      </w:r>
      <w:hyperlink w:anchor="page30">
        <w:r>
          <w:rPr>
            <w:rFonts w:ascii="Arial" w:cs="Arial" w:eastAsia="Arial" w:hAnsi="Arial"/>
            <w:sz w:val="14"/>
            <w:szCs w:val="14"/>
            <w:b w:val="1"/>
            <w:bCs w:val="1"/>
            <w:color w:val="auto"/>
          </w:rPr>
          <w:t>25</w:t>
        </w:r>
      </w:hyperlink>
    </w:p>
    <w:p>
      <w:pPr>
        <w:sectPr>
          <w:pgSz w:w="11900" w:h="16838" w:orient="portrait"/>
          <w:cols w:equalWidth="0" w:num="1">
            <w:col w:w="11420"/>
          </w:cols>
          <w:pgMar w:left="240" w:top="1216"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2778760" cy="5314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2778760" cy="531495"/>
                    </a:xfrm>
                    <a:prstGeom prst="rect">
                      <a:avLst/>
                    </a:prstGeom>
                    <a:noFill/>
                  </pic:spPr>
                </pic:pic>
              </a:graphicData>
            </a:graphic>
          </wp:anchor>
        </w:drawing>
        <w:t>###</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808080"/>
        </w:rPr>
        <w:t>About TechnipFMC</w:t>
      </w:r>
    </w:p>
    <w:p>
      <w:pPr>
        <w:spacing w:after="0" w:line="395" w:lineRule="exact"/>
        <w:rPr>
          <w:sz w:val="20"/>
          <w:szCs w:val="20"/>
          <w:color w:val="auto"/>
        </w:rPr>
      </w:pPr>
    </w:p>
    <w:p>
      <w:pPr>
        <w:jc w:val="both"/>
        <w:ind w:right="20"/>
        <w:spacing w:after="0" w:line="267" w:lineRule="auto"/>
        <w:rPr>
          <w:sz w:val="20"/>
          <w:szCs w:val="20"/>
          <w:color w:val="auto"/>
        </w:rPr>
      </w:pPr>
      <w:r>
        <w:rPr>
          <w:rFonts w:ascii="Arial" w:cs="Arial" w:eastAsia="Arial" w:hAnsi="Arial"/>
          <w:sz w:val="20"/>
          <w:szCs w:val="20"/>
          <w:i w:val="1"/>
          <w:iCs w:val="1"/>
          <w:color w:val="808080"/>
        </w:rPr>
        <w:t>TechnipFMC is a global leader in subsea, onshore/offshore, and surface projects. With our proprietary technologies and production systems, integrated expertise, and comprehensive solutions, we are transforming our clients’ project economics.</w:t>
      </w:r>
    </w:p>
    <w:p>
      <w:pPr>
        <w:spacing w:after="0" w:line="123" w:lineRule="exact"/>
        <w:rPr>
          <w:sz w:val="20"/>
          <w:szCs w:val="20"/>
          <w:color w:val="auto"/>
        </w:rPr>
      </w:pPr>
    </w:p>
    <w:p>
      <w:pPr>
        <w:jc w:val="both"/>
        <w:spacing w:after="0" w:line="253" w:lineRule="auto"/>
        <w:rPr>
          <w:sz w:val="20"/>
          <w:szCs w:val="20"/>
          <w:color w:val="auto"/>
        </w:rPr>
      </w:pPr>
      <w:r>
        <w:rPr>
          <w:rFonts w:ascii="Arial" w:cs="Arial" w:eastAsia="Arial" w:hAnsi="Arial"/>
          <w:sz w:val="20"/>
          <w:szCs w:val="20"/>
          <w:i w:val="1"/>
          <w:iCs w:val="1"/>
          <w:color w:val="808080"/>
        </w:rPr>
        <w:t>We are uniquely positioned to deliver greater efficiency across project lifecycles from concept to project delivery and beyond. Through innovative technologies and improved efficiencies, our offering unlocks new possibilities for our clients in developing their oil and gas resources.</w:t>
      </w:r>
    </w:p>
    <w:p>
      <w:pPr>
        <w:spacing w:after="0" w:line="137" w:lineRule="exact"/>
        <w:rPr>
          <w:sz w:val="20"/>
          <w:szCs w:val="20"/>
          <w:color w:val="auto"/>
        </w:rPr>
      </w:pPr>
    </w:p>
    <w:p>
      <w:pPr>
        <w:jc w:val="both"/>
        <w:spacing w:after="0" w:line="267" w:lineRule="auto"/>
        <w:rPr>
          <w:sz w:val="20"/>
          <w:szCs w:val="20"/>
          <w:color w:val="auto"/>
        </w:rPr>
      </w:pPr>
      <w:r>
        <w:rPr>
          <w:rFonts w:ascii="Arial" w:cs="Arial" w:eastAsia="Arial" w:hAnsi="Arial"/>
          <w:sz w:val="20"/>
          <w:szCs w:val="20"/>
          <w:i w:val="1"/>
          <w:iCs w:val="1"/>
          <w:color w:val="808080"/>
        </w:rPr>
        <w:t>Each of our more than 37,000 employees is driven by a steady commitment to clients and a culture of purposeful innovation, challenging industry conventions, and rethinking how the best results are achieved.</w:t>
      </w:r>
    </w:p>
    <w:p>
      <w:pPr>
        <w:spacing w:after="0" w:line="123" w:lineRule="exact"/>
        <w:rPr>
          <w:sz w:val="20"/>
          <w:szCs w:val="20"/>
          <w:color w:val="auto"/>
        </w:rPr>
      </w:pPr>
    </w:p>
    <w:p>
      <w:pPr>
        <w:jc w:val="both"/>
        <w:ind w:right="20"/>
        <w:spacing w:after="0" w:line="267" w:lineRule="auto"/>
        <w:rPr>
          <w:sz w:val="20"/>
          <w:szCs w:val="20"/>
          <w:color w:val="auto"/>
        </w:rPr>
      </w:pPr>
      <w:r>
        <w:rPr>
          <w:rFonts w:ascii="Arial" w:cs="Arial" w:eastAsia="Arial" w:hAnsi="Arial"/>
          <w:sz w:val="20"/>
          <w:szCs w:val="20"/>
          <w:i w:val="1"/>
          <w:iCs w:val="1"/>
          <w:color w:val="808080"/>
        </w:rPr>
        <w:t>To learn more about us and how we are enhancing the performance of the world’s energy industry, go to TechnipFMC.com and follow us on Twitter @TechnipFMC.</w:t>
      </w:r>
    </w:p>
    <w:p>
      <w:pPr>
        <w:spacing w:after="0" w:line="200" w:lineRule="exact"/>
        <w:rPr>
          <w:sz w:val="20"/>
          <w:szCs w:val="20"/>
          <w:color w:val="auto"/>
        </w:rPr>
      </w:pPr>
    </w:p>
    <w:p>
      <w:pPr>
        <w:spacing w:after="0" w:line="3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808080"/>
        </w:rPr>
        <w:t>This communication contains “forward-looking statements” as defined in Section 27A of the United States Securities Act of 1933, as amended, and Section 21E of the United States Securities Exchange Act of 1934, as amended. Words such as “guidance,” “confident,” “believe,” “expect,” “anticipate,” “plan,” “intend,” “foresee,” “should,” “would,” “could,” “may,” “will,” “likely,” “predicated,” “estimate,” “outlook” and similar expressions are intended to identify forward-looking statements, which are generally not historical in nature. Such forward-looking statements involve significant risks, uncertainties and assumptions that could cause actual results to differ materially from our historical experience and our present expectations or projections, including the following known material factors:</w:t>
      </w:r>
    </w:p>
    <w:p>
      <w:pPr>
        <w:spacing w:after="0" w:line="142"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808080"/>
        </w:rPr>
        <w:t>unanticipated changes relating to competitive factors in our industry;</w:t>
      </w:r>
    </w:p>
    <w:p>
      <w:pPr>
        <w:spacing w:after="0" w:line="27"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808080"/>
        </w:rPr>
        <w:t>demand for our products and services, which is affected by changes in the price of, and demand for, crude oil and natural gas in domestic and international markets;</w:t>
      </w:r>
    </w:p>
    <w:p>
      <w:pPr>
        <w:ind w:left="6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808080"/>
        </w:rPr>
        <w:t>our ability to develop and implement new technologies and services, as well as our ability to protect and maintain critical intellectual property assets;</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808080"/>
        </w:rPr>
        <w:t>potential liabilities arising out of the installation or use of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808080"/>
        </w:rPr>
        <w:t>cost overruns related to our fixed price contracts or capital asset construction projects that may affect revenues;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808080"/>
        </w:rPr>
        <w:t>our ability to timely deliver our backlog and its effect on our future sales, profitability, and our relationships with our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808080"/>
        </w:rPr>
        <w:t>our reliance on subcontractors, suppliers and joint venture partners in the performance of our contracts;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808080"/>
        </w:rPr>
        <w:t>our ability to hire and retain key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808080"/>
        </w:rPr>
        <w:t>piracy risks for our maritime employees and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808080"/>
        </w:rPr>
        <w:t>the potential impacts of seasonal and weather conditions;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808080"/>
        </w:rPr>
        <w:t>the cumulative loss of major contracts or alliances;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808080"/>
        </w:rPr>
        <w:t>U.S. and international laws and regulations, including existing or future environmental regulations, that may increase our costs, limit the demand for our products and services or restrict our operations;</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808080"/>
        </w:rPr>
        <w:t>disruptions in the political, regulatory, economic and social conditions of the countries in which we conduct business;</w:t>
      </w:r>
    </w:p>
    <w:p>
      <w:pPr>
        <w:spacing w:after="0" w:line="200" w:lineRule="exact"/>
        <w:rPr>
          <w:sz w:val="20"/>
          <w:szCs w:val="20"/>
          <w:color w:val="auto"/>
        </w:rPr>
      </w:pPr>
    </w:p>
    <w:p>
      <w:pPr>
        <w:spacing w:after="0" w:line="256" w:lineRule="exact"/>
        <w:rPr>
          <w:sz w:val="20"/>
          <w:szCs w:val="20"/>
          <w:color w:val="auto"/>
        </w:rPr>
      </w:pPr>
    </w:p>
    <w:p>
      <w:pPr>
        <w:ind w:left="5180"/>
        <w:spacing w:after="0"/>
        <w:tabs>
          <w:tab w:leader="none" w:pos="1042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12 of </w:t>
      </w:r>
      <w:hyperlink w:anchor="page30">
        <w:r>
          <w:rPr>
            <w:rFonts w:ascii="Arial" w:cs="Arial" w:eastAsia="Arial" w:hAnsi="Arial"/>
            <w:sz w:val="14"/>
            <w:szCs w:val="14"/>
            <w:b w:val="1"/>
            <w:bCs w:val="1"/>
            <w:color w:val="auto"/>
          </w:rPr>
          <w:t>25</w:t>
        </w:r>
      </w:hyperlink>
    </w:p>
    <w:p>
      <w:pPr>
        <w:sectPr>
          <w:pgSz w:w="11900" w:h="16838" w:orient="portrait"/>
          <w:cols w:equalWidth="0" w:num="1">
            <w:col w:w="11420"/>
          </w:cols>
          <w:pgMar w:left="240" w:top="1192" w:right="239" w:bottom="1440" w:gutter="0" w:footer="0" w:header="0"/>
        </w:sectPr>
      </w:pPr>
    </w:p>
    <w:bookmarkStart w:id="16" w:name="page17"/>
    <w:bookmarkEnd w:id="16"/>
    <w:p>
      <w:pPr>
        <w:ind w:left="660" w:hanging="328"/>
        <w:spacing w:after="0" w:line="26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808080"/>
        </w:rPr>
        <w:drawing>
          <wp:anchor simplePos="0" relativeHeight="251657728" behindDoc="1" locked="0" layoutInCell="0" allowOverlap="1">
            <wp:simplePos x="0" y="0"/>
            <wp:positionH relativeFrom="page">
              <wp:posOffset>157480</wp:posOffset>
            </wp:positionH>
            <wp:positionV relativeFrom="page">
              <wp:posOffset>88900</wp:posOffset>
            </wp:positionV>
            <wp:extent cx="2778760" cy="5314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2778760" cy="531495"/>
                    </a:xfrm>
                    <a:prstGeom prst="rect">
                      <a:avLst/>
                    </a:prstGeom>
                    <a:noFill/>
                  </pic:spPr>
                </pic:pic>
              </a:graphicData>
            </a:graphic>
          </wp:anchor>
        </w:drawing>
        <w:t>risks associated with The Depository Trust Company and Euroclear for clearance services for shares traded on the NYSE and Euronext Paris, respectively;</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808080"/>
        </w:rPr>
        <w:t>the United Kingdom’s proposed withdrawal from the European Union; risks associated with being an English public limited company, including the need for “distributable profits”, shareholder approval of certain capital structure decisions, and the risk that we may not be able to pay dividends or repurchase shares in accordance with our announced capital allocation plan;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808080"/>
        </w:rPr>
        <w:t>compliance with covenants under our debt instruments and conditions in the credit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808080"/>
        </w:rPr>
        <w:t>downgrade in the ratings of our debt could restrict our ability to access the debt capital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808080"/>
        </w:rPr>
        <w:t>the outcome of uninsured claims and litigation against us;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808080"/>
        </w:rPr>
        <w:t>the risks of currency exchange rate fluctuations associated with our international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808080"/>
        </w:rPr>
        <w:t>significant merger-related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808080"/>
        </w:rPr>
        <w:t>risks related to our acquisition and divestiture activities;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808080"/>
        </w:rPr>
        <w:t>failure of our information technology infrastructure or any significant breach of security, including related to cyber attacks, and actual or perceived failure to comply with data security and privacy obligations;</w:t>
      </w:r>
    </w:p>
    <w:p>
      <w:pPr>
        <w:jc w:val="both"/>
        <w:ind w:left="66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808080"/>
        </w:rPr>
        <w:t>risks that the legacy businesses of FMC Technologies, Inc. and Technip S.A. will not be integrated successfully or that the combined company will not realize estimated cost savings, value of certain tax assets, synergies and growth or that such benefits may take longer to realize than expected;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808080"/>
        </w:rPr>
        <w:t>risks associated with tax liabilities, changes in U.S. federal or international tax laws or interpretations to which they are subject;</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808080"/>
        </w:rPr>
        <w:t>the remedial measures to address our material weaknesses could be insufficient or additional issues relating to disclosure controls and procedures or internal control over financial reporting could be identified; and</w:t>
      </w:r>
    </w:p>
    <w:p>
      <w:pPr>
        <w:ind w:left="660" w:hanging="328"/>
        <w:spacing w:after="0" w:line="26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808080"/>
        </w:rPr>
        <w:t>such other risk factors set forth in our filings with the United States Securities and Exchange Commission and in our filings with the Autorité des marchés financiers or the U.K. Financial Conduct Authority.</w:t>
      </w:r>
    </w:p>
    <w:p>
      <w:pPr>
        <w:spacing w:after="0" w:line="17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808080"/>
        </w:rPr>
        <w:t>We caution you not to place undue reliance on any forward-looking statements, which speak only as of the date hereof. We undertake no obligation to publicly update or revise any of our forward-looking statements after the date they are made, whether as a result of new information, future events or otherwise, except to the extent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180"/>
        <w:spacing w:after="0"/>
        <w:tabs>
          <w:tab w:leader="none" w:pos="1042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13 of </w:t>
      </w:r>
      <w:hyperlink w:anchor="page30">
        <w:r>
          <w:rPr>
            <w:rFonts w:ascii="Arial" w:cs="Arial" w:eastAsia="Arial" w:hAnsi="Arial"/>
            <w:sz w:val="14"/>
            <w:szCs w:val="14"/>
            <w:b w:val="1"/>
            <w:bCs w:val="1"/>
            <w:color w:val="auto"/>
          </w:rPr>
          <w:t>25</w:t>
        </w:r>
      </w:hyperlink>
    </w:p>
    <w:p>
      <w:pPr>
        <w:sectPr>
          <w:pgSz w:w="11900" w:h="16838" w:orient="portrait"/>
          <w:cols w:equalWidth="0" w:num="1">
            <w:col w:w="11420"/>
          </w:cols>
          <w:pgMar w:left="240" w:top="1201" w:right="239" w:bottom="1440" w:gutter="0" w:footer="0" w:header="0"/>
        </w:sectPr>
      </w:pPr>
    </w:p>
    <w:bookmarkStart w:id="17" w:name="page18"/>
    <w:bookmarkEnd w:id="17"/>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2778760" cy="5314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2778760" cy="531495"/>
                    </a:xfrm>
                    <a:prstGeom prst="rect">
                      <a:avLst/>
                    </a:prstGeom>
                    <a:noFill/>
                  </pic:spPr>
                </pic:pic>
              </a:graphicData>
            </a:graphic>
          </wp:anchor>
        </w:drawing>
        <w:t>Contacts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260" w:type="dxa"/>
            <w:vAlign w:val="bottom"/>
            <w:gridSpan w:val="4"/>
          </w:tcPr>
          <w:p>
            <w:pPr>
              <w:spacing w:after="0"/>
              <w:rPr>
                <w:sz w:val="20"/>
                <w:szCs w:val="20"/>
                <w:color w:val="auto"/>
              </w:rPr>
            </w:pPr>
            <w:r>
              <w:rPr>
                <w:rFonts w:ascii="Arial" w:cs="Arial" w:eastAsia="Arial" w:hAnsi="Arial"/>
                <w:sz w:val="20"/>
                <w:szCs w:val="20"/>
                <w:b w:val="1"/>
                <w:bCs w:val="1"/>
                <w:color w:val="auto"/>
              </w:rPr>
              <w:t>Investor relations</w:t>
            </w:r>
          </w:p>
        </w:tc>
        <w:tc>
          <w:tcPr>
            <w:tcW w:w="5120" w:type="dxa"/>
            <w:vAlign w:val="bottom"/>
            <w:gridSpan w:val="4"/>
          </w:tcPr>
          <w:p>
            <w:pPr>
              <w:ind w:left="1120"/>
              <w:spacing w:after="0"/>
              <w:rPr>
                <w:sz w:val="20"/>
                <w:szCs w:val="20"/>
                <w:color w:val="auto"/>
              </w:rPr>
            </w:pPr>
            <w:r>
              <w:rPr>
                <w:rFonts w:ascii="Arial" w:cs="Arial" w:eastAsia="Arial" w:hAnsi="Arial"/>
                <w:sz w:val="20"/>
                <w:szCs w:val="20"/>
                <w:b w:val="1"/>
                <w:bCs w:val="1"/>
                <w:color w:val="auto"/>
              </w:rPr>
              <w:t>Media relations</w:t>
            </w:r>
          </w:p>
        </w:tc>
      </w:tr>
      <w:tr>
        <w:trPr>
          <w:trHeight w:val="411"/>
        </w:trPr>
        <w:tc>
          <w:tcPr>
            <w:tcW w:w="4260" w:type="dxa"/>
            <w:vAlign w:val="bottom"/>
            <w:gridSpan w:val="4"/>
          </w:tcPr>
          <w:p>
            <w:pPr>
              <w:spacing w:after="0"/>
              <w:rPr>
                <w:sz w:val="20"/>
                <w:szCs w:val="20"/>
                <w:color w:val="auto"/>
              </w:rPr>
            </w:pPr>
            <w:r>
              <w:rPr>
                <w:rFonts w:ascii="Arial" w:cs="Arial" w:eastAsia="Arial" w:hAnsi="Arial"/>
                <w:sz w:val="20"/>
                <w:szCs w:val="20"/>
                <w:color w:val="auto"/>
              </w:rPr>
              <w:t>Matt Seinsheimer</w:t>
            </w:r>
          </w:p>
        </w:tc>
        <w:tc>
          <w:tcPr>
            <w:tcW w:w="5120" w:type="dxa"/>
            <w:vAlign w:val="bottom"/>
            <w:gridSpan w:val="4"/>
          </w:tcPr>
          <w:p>
            <w:pPr>
              <w:ind w:left="1120"/>
              <w:spacing w:after="0"/>
              <w:rPr>
                <w:sz w:val="20"/>
                <w:szCs w:val="20"/>
                <w:color w:val="auto"/>
              </w:rPr>
            </w:pPr>
            <w:r>
              <w:rPr>
                <w:rFonts w:ascii="Arial" w:cs="Arial" w:eastAsia="Arial" w:hAnsi="Arial"/>
                <w:sz w:val="20"/>
                <w:szCs w:val="20"/>
                <w:color w:val="auto"/>
              </w:rPr>
              <w:t>Christophe Bélorgeot</w:t>
            </w:r>
          </w:p>
        </w:tc>
      </w:tr>
      <w:tr>
        <w:trPr>
          <w:trHeight w:val="216"/>
        </w:trPr>
        <w:tc>
          <w:tcPr>
            <w:tcW w:w="4260" w:type="dxa"/>
            <w:vAlign w:val="bottom"/>
            <w:gridSpan w:val="4"/>
          </w:tcPr>
          <w:p>
            <w:pPr>
              <w:spacing w:after="0" w:line="216" w:lineRule="exact"/>
              <w:rPr>
                <w:sz w:val="20"/>
                <w:szCs w:val="20"/>
                <w:color w:val="auto"/>
              </w:rPr>
            </w:pPr>
            <w:r>
              <w:rPr>
                <w:rFonts w:ascii="Arial" w:cs="Arial" w:eastAsia="Arial" w:hAnsi="Arial"/>
                <w:sz w:val="20"/>
                <w:szCs w:val="20"/>
                <w:color w:val="auto"/>
              </w:rPr>
              <w:t>Vice President Investor Relations</w:t>
            </w:r>
          </w:p>
        </w:tc>
        <w:tc>
          <w:tcPr>
            <w:tcW w:w="5120" w:type="dxa"/>
            <w:vAlign w:val="bottom"/>
            <w:gridSpan w:val="4"/>
          </w:tcPr>
          <w:p>
            <w:pPr>
              <w:ind w:left="1120"/>
              <w:spacing w:after="0" w:line="216" w:lineRule="exact"/>
              <w:rPr>
                <w:sz w:val="20"/>
                <w:szCs w:val="20"/>
                <w:color w:val="auto"/>
              </w:rPr>
            </w:pPr>
            <w:r>
              <w:rPr>
                <w:rFonts w:ascii="Arial" w:cs="Arial" w:eastAsia="Arial" w:hAnsi="Arial"/>
                <w:sz w:val="20"/>
                <w:szCs w:val="20"/>
                <w:color w:val="auto"/>
                <w:w w:val="98"/>
              </w:rPr>
              <w:t>Senior Vice President Corporate Engagement</w:t>
            </w:r>
          </w:p>
        </w:tc>
      </w:tr>
      <w:tr>
        <w:trPr>
          <w:trHeight w:val="216"/>
        </w:trPr>
        <w:tc>
          <w:tcPr>
            <w:tcW w:w="4260" w:type="dxa"/>
            <w:vAlign w:val="bottom"/>
            <w:gridSpan w:val="4"/>
          </w:tcPr>
          <w:p>
            <w:pPr>
              <w:spacing w:after="0" w:line="216" w:lineRule="exact"/>
              <w:rPr>
                <w:sz w:val="20"/>
                <w:szCs w:val="20"/>
                <w:color w:val="auto"/>
              </w:rPr>
            </w:pPr>
            <w:r>
              <w:rPr>
                <w:rFonts w:ascii="Arial" w:cs="Arial" w:eastAsia="Arial" w:hAnsi="Arial"/>
                <w:sz w:val="20"/>
                <w:szCs w:val="20"/>
                <w:color w:val="auto"/>
              </w:rPr>
              <w:t>Tel: +1 281 260 3665</w:t>
            </w:r>
          </w:p>
        </w:tc>
        <w:tc>
          <w:tcPr>
            <w:tcW w:w="5120" w:type="dxa"/>
            <w:vAlign w:val="bottom"/>
            <w:gridSpan w:val="4"/>
          </w:tcPr>
          <w:p>
            <w:pPr>
              <w:ind w:left="1120"/>
              <w:spacing w:after="0" w:line="216" w:lineRule="exact"/>
              <w:rPr>
                <w:sz w:val="20"/>
                <w:szCs w:val="20"/>
                <w:color w:val="auto"/>
              </w:rPr>
            </w:pPr>
            <w:r>
              <w:rPr>
                <w:rFonts w:ascii="Arial" w:cs="Arial" w:eastAsia="Arial" w:hAnsi="Arial"/>
                <w:sz w:val="20"/>
                <w:szCs w:val="20"/>
                <w:color w:val="auto"/>
              </w:rPr>
              <w:t>Tel: +33 1 47 78 39 92</w:t>
            </w:r>
          </w:p>
        </w:tc>
      </w:tr>
      <w:tr>
        <w:trPr>
          <w:trHeight w:val="193"/>
        </w:trPr>
        <w:tc>
          <w:tcPr>
            <w:tcW w:w="4260" w:type="dxa"/>
            <w:vAlign w:val="bottom"/>
            <w:gridSpan w:val="4"/>
          </w:tcPr>
          <w:p>
            <w:pPr>
              <w:spacing w:after="0" w:line="193" w:lineRule="exact"/>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color w:val="0000EE"/>
              </w:rPr>
              <w:t>Matt Seinsheimer</w:t>
            </w:r>
          </w:p>
        </w:tc>
        <w:tc>
          <w:tcPr>
            <w:tcW w:w="5120" w:type="dxa"/>
            <w:vAlign w:val="bottom"/>
            <w:gridSpan w:val="4"/>
          </w:tcPr>
          <w:p>
            <w:pPr>
              <w:ind w:left="1120"/>
              <w:spacing w:after="0" w:line="193" w:lineRule="exact"/>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color w:val="0000EE"/>
              </w:rPr>
              <w:t>Christophe Belorgeot</w:t>
            </w:r>
          </w:p>
        </w:tc>
      </w:tr>
      <w:tr>
        <w:trPr>
          <w:trHeight w:val="20"/>
        </w:trPr>
        <w:tc>
          <w:tcPr>
            <w:tcW w:w="60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436"/>
        </w:trPr>
        <w:tc>
          <w:tcPr>
            <w:tcW w:w="4260" w:type="dxa"/>
            <w:vAlign w:val="bottom"/>
            <w:gridSpan w:val="4"/>
          </w:tcPr>
          <w:p>
            <w:pPr>
              <w:spacing w:after="0"/>
              <w:rPr>
                <w:sz w:val="20"/>
                <w:szCs w:val="20"/>
                <w:color w:val="auto"/>
              </w:rPr>
            </w:pPr>
            <w:r>
              <w:rPr>
                <w:rFonts w:ascii="Arial" w:cs="Arial" w:eastAsia="Arial" w:hAnsi="Arial"/>
                <w:sz w:val="20"/>
                <w:szCs w:val="20"/>
                <w:color w:val="auto"/>
              </w:rPr>
              <w:t>Phillip Lindsay</w:t>
            </w:r>
          </w:p>
        </w:tc>
        <w:tc>
          <w:tcPr>
            <w:tcW w:w="5120" w:type="dxa"/>
            <w:vAlign w:val="bottom"/>
            <w:gridSpan w:val="4"/>
          </w:tcPr>
          <w:p>
            <w:pPr>
              <w:ind w:left="1120"/>
              <w:spacing w:after="0"/>
              <w:rPr>
                <w:sz w:val="20"/>
                <w:szCs w:val="20"/>
                <w:color w:val="auto"/>
              </w:rPr>
            </w:pPr>
            <w:r>
              <w:rPr>
                <w:rFonts w:ascii="Arial" w:cs="Arial" w:eastAsia="Arial" w:hAnsi="Arial"/>
                <w:sz w:val="20"/>
                <w:szCs w:val="20"/>
                <w:color w:val="auto"/>
              </w:rPr>
              <w:t>Delphine Nayral</w:t>
            </w:r>
          </w:p>
        </w:tc>
      </w:tr>
      <w:tr>
        <w:trPr>
          <w:trHeight w:val="216"/>
        </w:trPr>
        <w:tc>
          <w:tcPr>
            <w:tcW w:w="4260" w:type="dxa"/>
            <w:vAlign w:val="bottom"/>
            <w:gridSpan w:val="4"/>
          </w:tcPr>
          <w:p>
            <w:pPr>
              <w:spacing w:after="0" w:line="216" w:lineRule="exact"/>
              <w:rPr>
                <w:sz w:val="20"/>
                <w:szCs w:val="20"/>
                <w:color w:val="auto"/>
              </w:rPr>
            </w:pPr>
            <w:r>
              <w:rPr>
                <w:rFonts w:ascii="Arial" w:cs="Arial" w:eastAsia="Arial" w:hAnsi="Arial"/>
                <w:sz w:val="20"/>
                <w:szCs w:val="20"/>
                <w:color w:val="auto"/>
              </w:rPr>
              <w:t>Director Investor Relations (Europe)</w:t>
            </w:r>
          </w:p>
        </w:tc>
        <w:tc>
          <w:tcPr>
            <w:tcW w:w="5120" w:type="dxa"/>
            <w:vAlign w:val="bottom"/>
            <w:gridSpan w:val="4"/>
          </w:tcPr>
          <w:p>
            <w:pPr>
              <w:ind w:left="1120"/>
              <w:spacing w:after="0" w:line="216" w:lineRule="exact"/>
              <w:rPr>
                <w:sz w:val="20"/>
                <w:szCs w:val="20"/>
                <w:color w:val="auto"/>
              </w:rPr>
            </w:pPr>
            <w:r>
              <w:rPr>
                <w:rFonts w:ascii="Arial" w:cs="Arial" w:eastAsia="Arial" w:hAnsi="Arial"/>
                <w:sz w:val="20"/>
                <w:szCs w:val="20"/>
                <w:color w:val="auto"/>
              </w:rPr>
              <w:t>Director Public Relations</w:t>
            </w:r>
          </w:p>
        </w:tc>
      </w:tr>
      <w:tr>
        <w:trPr>
          <w:trHeight w:val="216"/>
        </w:trPr>
        <w:tc>
          <w:tcPr>
            <w:tcW w:w="4260" w:type="dxa"/>
            <w:vAlign w:val="bottom"/>
            <w:gridSpan w:val="4"/>
          </w:tcPr>
          <w:p>
            <w:pPr>
              <w:spacing w:after="0" w:line="216" w:lineRule="exact"/>
              <w:rPr>
                <w:sz w:val="20"/>
                <w:szCs w:val="20"/>
                <w:color w:val="auto"/>
              </w:rPr>
            </w:pPr>
            <w:r>
              <w:rPr>
                <w:rFonts w:ascii="Arial" w:cs="Arial" w:eastAsia="Arial" w:hAnsi="Arial"/>
                <w:sz w:val="20"/>
                <w:szCs w:val="20"/>
                <w:color w:val="auto"/>
              </w:rPr>
              <w:t>Tel: +44 (0) 20 3429 3929</w:t>
            </w:r>
          </w:p>
        </w:tc>
        <w:tc>
          <w:tcPr>
            <w:tcW w:w="5120" w:type="dxa"/>
            <w:vAlign w:val="bottom"/>
            <w:gridSpan w:val="4"/>
          </w:tcPr>
          <w:p>
            <w:pPr>
              <w:ind w:left="1120"/>
              <w:spacing w:after="0" w:line="216" w:lineRule="exact"/>
              <w:rPr>
                <w:sz w:val="20"/>
                <w:szCs w:val="20"/>
                <w:color w:val="auto"/>
              </w:rPr>
            </w:pPr>
            <w:r>
              <w:rPr>
                <w:rFonts w:ascii="Arial" w:cs="Arial" w:eastAsia="Arial" w:hAnsi="Arial"/>
                <w:sz w:val="20"/>
                <w:szCs w:val="20"/>
                <w:color w:val="auto"/>
              </w:rPr>
              <w:t>Tel: +33 1 47 78 34 83</w:t>
            </w:r>
          </w:p>
        </w:tc>
      </w:tr>
      <w:tr>
        <w:trPr>
          <w:trHeight w:val="193"/>
        </w:trPr>
        <w:tc>
          <w:tcPr>
            <w:tcW w:w="4260" w:type="dxa"/>
            <w:vAlign w:val="bottom"/>
            <w:gridSpan w:val="4"/>
          </w:tcPr>
          <w:p>
            <w:pPr>
              <w:spacing w:after="0" w:line="193" w:lineRule="exact"/>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color w:val="0000EE"/>
              </w:rPr>
              <w:t>Phillip Lindsay</w:t>
            </w:r>
          </w:p>
        </w:tc>
        <w:tc>
          <w:tcPr>
            <w:tcW w:w="5120" w:type="dxa"/>
            <w:vAlign w:val="bottom"/>
            <w:gridSpan w:val="4"/>
          </w:tcPr>
          <w:p>
            <w:pPr>
              <w:ind w:left="1120"/>
              <w:spacing w:after="0" w:line="193" w:lineRule="exact"/>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color w:val="0000EE"/>
              </w:rPr>
              <w:t>Delphine Nayral</w:t>
            </w:r>
          </w:p>
        </w:tc>
      </w:tr>
      <w:tr>
        <w:trPr>
          <w:trHeight w:val="20"/>
        </w:trPr>
        <w:tc>
          <w:tcPr>
            <w:tcW w:w="60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left="5140"/>
        <w:spacing w:after="0"/>
        <w:tabs>
          <w:tab w:leader="none" w:pos="1038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14 of </w:t>
      </w:r>
      <w:hyperlink w:anchor="page30">
        <w:r>
          <w:rPr>
            <w:rFonts w:ascii="Arial" w:cs="Arial" w:eastAsia="Arial" w:hAnsi="Arial"/>
            <w:sz w:val="14"/>
            <w:szCs w:val="14"/>
            <w:b w:val="1"/>
            <w:bCs w:val="1"/>
            <w:color w:val="auto"/>
          </w:rPr>
          <w:t>25</w:t>
        </w:r>
      </w:hyperlink>
    </w:p>
    <w:p>
      <w:pPr>
        <w:sectPr>
          <w:pgSz w:w="11900" w:h="16838" w:orient="portrait"/>
          <w:cols w:equalWidth="0" w:num="1">
            <w:col w:w="11320"/>
          </w:cols>
          <w:pgMar w:left="280" w:top="1350" w:right="299" w:bottom="1440" w:gutter="0" w:footer="0" w:header="0"/>
        </w:sectPr>
      </w:pPr>
    </w:p>
    <w:bookmarkStart w:id="18" w:name="page19"/>
    <w:bookmarkEnd w:id="18"/>
    <w:p>
      <w:pPr>
        <w:jc w:val="right"/>
        <w:spacing w:after="0"/>
        <w:rPr>
          <w:sz w:val="20"/>
          <w:szCs w:val="20"/>
          <w:color w:val="auto"/>
        </w:rPr>
      </w:pPr>
      <w:r>
        <w:rPr>
          <w:rFonts w:ascii="Arial" w:cs="Arial" w:eastAsia="Arial" w:hAnsi="Arial"/>
          <w:sz w:val="13"/>
          <w:szCs w:val="13"/>
          <w:b w:val="1"/>
          <w:bCs w:val="1"/>
          <w:color w:val="auto"/>
        </w:rPr>
        <w:t>Exhibit 1</w:t>
      </w:r>
    </w:p>
    <w:p>
      <w:pPr>
        <w:spacing w:after="0" w:line="161"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u w:val="single" w:color="auto"/>
          <w:color w:val="auto"/>
        </w:rPr>
        <w:t>TECHNIPFMC PLC AND CONSOLIDATED SUBSIDIARIES</w:t>
      </w:r>
    </w:p>
    <w:p>
      <w:pPr>
        <w:spacing w:after="0" w:line="27"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u w:val="single" w:color="auto"/>
          <w:color w:val="auto"/>
        </w:rPr>
        <w:t>CONDENSED CONSOLIDATED STATEMENTS OF INCOME</w:t>
      </w:r>
    </w:p>
    <w:p>
      <w:pPr>
        <w:spacing w:after="0" w:line="9"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(In millions, except per share data)</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20" w:type="dxa"/>
            <w:vAlign w:val="bottom"/>
            <w:gridSpan w:val="5"/>
          </w:tcPr>
          <w:p>
            <w:pPr>
              <w:ind w:left="440"/>
              <w:spacing w:after="0"/>
              <w:rPr>
                <w:sz w:val="20"/>
                <w:szCs w:val="20"/>
                <w:color w:val="auto"/>
              </w:rPr>
            </w:pPr>
            <w:r>
              <w:rPr>
                <w:rFonts w:ascii="Arial" w:cs="Arial" w:eastAsia="Arial" w:hAnsi="Arial"/>
                <w:sz w:val="18"/>
                <w:szCs w:val="18"/>
                <w:b w:val="1"/>
                <w:bCs w:val="1"/>
                <w:color w:val="auto"/>
              </w:rPr>
              <w:t>(Unaudited)</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5"/>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4"/>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00" w:type="dxa"/>
            <w:vAlign w:val="bottom"/>
            <w:gridSpan w:val="5"/>
          </w:tcPr>
          <w:p>
            <w:pPr>
              <w:ind w:left="16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20"/>
                <w:szCs w:val="20"/>
                <w:color w:val="auto"/>
              </w:rPr>
            </w:pPr>
          </w:p>
        </w:tc>
        <w:tc>
          <w:tcPr>
            <w:tcW w:w="3260" w:type="dxa"/>
            <w:vAlign w:val="bottom"/>
            <w:gridSpan w:val="5"/>
          </w:tcPr>
          <w:p>
            <w:pPr>
              <w:ind w:left="28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70"/>
        </w:trPr>
        <w:tc>
          <w:tcPr>
            <w:tcW w:w="3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ind w:right="330"/>
              <w:spacing w:after="0"/>
              <w:rPr>
                <w:sz w:val="20"/>
                <w:szCs w:val="20"/>
                <w:color w:val="auto"/>
              </w:rPr>
            </w:pPr>
            <w:r>
              <w:rPr>
                <w:rFonts w:ascii="Arial" w:cs="Arial" w:eastAsia="Arial" w:hAnsi="Arial"/>
                <w:sz w:val="18"/>
                <w:szCs w:val="18"/>
                <w:b w:val="1"/>
                <w:bCs w:val="1"/>
                <w:color w:val="auto"/>
                <w:w w:val="99"/>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20"/>
        </w:trPr>
        <w:tc>
          <w:tcPr>
            <w:tcW w:w="3920" w:type="dxa"/>
            <w:vAlign w:val="bottom"/>
          </w:tcPr>
          <w:p>
            <w:pPr>
              <w:spacing w:after="0"/>
              <w:rPr>
                <w:sz w:val="20"/>
                <w:szCs w:val="20"/>
                <w:color w:val="auto"/>
              </w:rPr>
            </w:pPr>
            <w:r>
              <w:rPr>
                <w:rFonts w:ascii="Arial" w:cs="Arial" w:eastAsia="Arial" w:hAnsi="Arial"/>
                <w:sz w:val="18"/>
                <w:szCs w:val="18"/>
                <w:color w:val="auto"/>
              </w:rPr>
              <w:t>Revenue</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3,434.2</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2,960.9</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6,347.2</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6,086.1</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920" w:type="dxa"/>
            <w:vAlign w:val="bottom"/>
          </w:tcPr>
          <w:p>
            <w:pPr>
              <w:spacing w:after="0"/>
              <w:rPr>
                <w:sz w:val="20"/>
                <w:szCs w:val="20"/>
                <w:color w:val="auto"/>
              </w:rPr>
            </w:pPr>
            <w:r>
              <w:rPr>
                <w:rFonts w:ascii="Arial" w:cs="Arial" w:eastAsia="Arial" w:hAnsi="Arial"/>
                <w:sz w:val="18"/>
                <w:szCs w:val="18"/>
                <w:color w:val="auto"/>
              </w:rPr>
              <w:t>Costs and expenses</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3,120.6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2,777.6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5,898.8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5,663.5</w:t>
            </w: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313.6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183.3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448.4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422.6</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392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(70.7)</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31.2</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3920" w:type="dxa"/>
            <w:vAlign w:val="bottom"/>
          </w:tcPr>
          <w:p>
            <w:pPr>
              <w:spacing w:after="0"/>
              <w:rPr>
                <w:sz w:val="20"/>
                <w:szCs w:val="20"/>
                <w:color w:val="auto"/>
              </w:rPr>
            </w:pPr>
            <w:r>
              <w:rPr>
                <w:rFonts w:ascii="Arial" w:cs="Arial" w:eastAsia="Arial" w:hAnsi="Arial"/>
                <w:sz w:val="18"/>
                <w:szCs w:val="18"/>
                <w:color w:val="auto"/>
                <w:w w:val="91"/>
              </w:rPr>
              <w:t>Income before net interest expense and income taxes</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255.2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225.7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377.7</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453.8</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920" w:type="dxa"/>
            <w:vAlign w:val="bottom"/>
          </w:tcPr>
          <w:p>
            <w:pPr>
              <w:spacing w:after="0"/>
              <w:rPr>
                <w:sz w:val="20"/>
                <w:szCs w:val="20"/>
                <w:color w:val="auto"/>
              </w:rPr>
            </w:pPr>
            <w:r>
              <w:rPr>
                <w:rFonts w:ascii="Arial" w:cs="Arial" w:eastAsia="Arial" w:hAnsi="Arial"/>
                <w:sz w:val="18"/>
                <w:szCs w:val="18"/>
                <w:color w:val="auto"/>
              </w:rPr>
              <w:t>Net interest expense</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(140.6)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(228.8)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(138.3)</w:t>
            </w: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39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114.6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174.8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148.9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315.5</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9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64.7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114.0</w:t>
            </w: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3920" w:type="dxa"/>
            <w:vAlign w:val="bottom"/>
          </w:tcPr>
          <w:p>
            <w:pPr>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113.7</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110.1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133.5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201.5</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920" w:type="dxa"/>
            <w:vAlign w:val="bottom"/>
          </w:tcPr>
          <w:p>
            <w:pPr>
              <w:spacing w:after="0"/>
              <w:rPr>
                <w:sz w:val="20"/>
                <w:szCs w:val="20"/>
                <w:color w:val="auto"/>
              </w:rPr>
            </w:pPr>
            <w:r>
              <w:rPr>
                <w:rFonts w:ascii="Arial" w:cs="Arial" w:eastAsia="Arial" w:hAnsi="Arial"/>
                <w:sz w:val="18"/>
                <w:szCs w:val="18"/>
                <w:color w:val="auto"/>
                <w:w w:val="98"/>
              </w:rPr>
              <w:t>Net income attributable to noncontrolling interests</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(0.7)</w:t>
            </w: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73"/>
        </w:trPr>
        <w:tc>
          <w:tcPr>
            <w:tcW w:w="3920" w:type="dxa"/>
            <w:vAlign w:val="bottom"/>
          </w:tcPr>
          <w:p>
            <w:pPr>
              <w:spacing w:after="0"/>
              <w:rPr>
                <w:sz w:val="20"/>
                <w:szCs w:val="20"/>
                <w:color w:val="auto"/>
              </w:rPr>
            </w:pPr>
            <w:r>
              <w:rPr>
                <w:rFonts w:ascii="Arial" w:cs="Arial" w:eastAsia="Arial" w:hAnsi="Arial"/>
                <w:sz w:val="18"/>
                <w:szCs w:val="18"/>
                <w:color w:val="auto"/>
              </w:rPr>
              <w:t>Net income attributable to TechnipFMC plc</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97.0</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105.7</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117.9</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200.8</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Arial" w:cs="Arial" w:eastAsia="Arial" w:hAnsi="Arial"/>
                <w:sz w:val="18"/>
                <w:szCs w:val="18"/>
                <w:color w:val="auto"/>
                <w:w w:val="95"/>
              </w:rPr>
              <w:t>Earnings per share attributable to TechnipFMC plc:</w:t>
            </w: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39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920" w:type="dxa"/>
            <w:vAlign w:val="bottom"/>
          </w:tcPr>
          <w:p>
            <w:pPr>
              <w:ind w:left="240"/>
              <w:spacing w:after="0"/>
              <w:rPr>
                <w:sz w:val="20"/>
                <w:szCs w:val="20"/>
                <w:color w:val="auto"/>
              </w:rPr>
            </w:pPr>
            <w:r>
              <w:rPr>
                <w:rFonts w:ascii="Arial" w:cs="Arial" w:eastAsia="Arial" w:hAnsi="Arial"/>
                <w:sz w:val="18"/>
                <w:szCs w:val="18"/>
                <w:color w:val="auto"/>
              </w:rPr>
              <w:t>Basic</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0.43</w:t>
            </w: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20" w:type="dxa"/>
            <w:vAlign w:val="bottom"/>
          </w:tcPr>
          <w:p>
            <w:pPr>
              <w:ind w:left="240"/>
              <w:spacing w:after="0"/>
              <w:rPr>
                <w:sz w:val="20"/>
                <w:szCs w:val="20"/>
                <w:color w:val="auto"/>
              </w:rPr>
            </w:pPr>
            <w:r>
              <w:rPr>
                <w:rFonts w:ascii="Arial" w:cs="Arial" w:eastAsia="Arial" w:hAnsi="Arial"/>
                <w:sz w:val="18"/>
                <w:szCs w:val="18"/>
                <w:color w:val="auto"/>
              </w:rPr>
              <w:t>Diluted</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0.43</w:t>
            </w: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54"/>
        </w:trPr>
        <w:tc>
          <w:tcPr>
            <w:tcW w:w="392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920" w:type="dxa"/>
            <w:vAlign w:val="bottom"/>
          </w:tcPr>
          <w:p>
            <w:pPr>
              <w:ind w:left="24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447.5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461.4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447.7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462.8</w:t>
            </w: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20" w:type="dxa"/>
            <w:vAlign w:val="bottom"/>
          </w:tcPr>
          <w:p>
            <w:pPr>
              <w:ind w:left="240"/>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451.2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463.3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451.9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464.2</w:t>
            </w: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54"/>
        </w:trPr>
        <w:tc>
          <w:tcPr>
            <w:tcW w:w="3920" w:type="dxa"/>
            <w:vAlign w:val="bottom"/>
          </w:tcPr>
          <w:p>
            <w:pPr>
              <w:spacing w:after="0"/>
              <w:rPr>
                <w:sz w:val="20"/>
                <w:szCs w:val="20"/>
                <w:color w:val="auto"/>
              </w:rPr>
            </w:pPr>
            <w:r>
              <w:rPr>
                <w:rFonts w:ascii="Arial" w:cs="Arial" w:eastAsia="Arial" w:hAnsi="Arial"/>
                <w:sz w:val="18"/>
                <w:szCs w:val="18"/>
                <w:color w:val="auto"/>
              </w:rPr>
              <w:t>Cash dividends declared per share</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0.26</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3"/>
        </w:trPr>
        <w:tc>
          <w:tcPr>
            <w:tcW w:w="3920" w:type="dxa"/>
            <w:vAlign w:val="bottom"/>
          </w:tcPr>
          <w:p>
            <w:pPr>
              <w:spacing w:after="0"/>
              <w:rPr>
                <w:sz w:val="24"/>
                <w:szCs w:val="24"/>
                <w:color w:val="auto"/>
              </w:rPr>
            </w:pPr>
          </w:p>
        </w:tc>
        <w:tc>
          <w:tcPr>
            <w:tcW w:w="1480" w:type="dxa"/>
            <w:vAlign w:val="bottom"/>
            <w:gridSpan w:val="4"/>
          </w:tcPr>
          <w:p>
            <w:pPr>
              <w:ind w:left="100"/>
              <w:spacing w:after="0"/>
              <w:rPr>
                <w:sz w:val="20"/>
                <w:szCs w:val="20"/>
                <w:color w:val="auto"/>
              </w:rPr>
            </w:pPr>
            <w:r>
              <w:rPr>
                <w:rFonts w:ascii="Arial" w:cs="Arial" w:eastAsia="Arial" w:hAnsi="Arial"/>
                <w:sz w:val="14"/>
                <w:szCs w:val="14"/>
                <w:b w:val="1"/>
                <w:bCs w:val="1"/>
                <w:color w:val="auto"/>
              </w:rPr>
              <w:t>TechnipFMC.com</w:t>
            </w: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tcPr>
          <w:p>
            <w:pPr>
              <w:ind w:left="140"/>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Page 15 of </w:t>
            </w:r>
            <w:hyperlink w:anchor="page30">
              <w:r>
                <w:rPr>
                  <w:rFonts w:ascii="Arial" w:cs="Arial" w:eastAsia="Arial" w:hAnsi="Arial"/>
                  <w:sz w:val="14"/>
                  <w:szCs w:val="14"/>
                  <w:b w:val="1"/>
                  <w:bCs w:val="1"/>
                  <w:color w:val="auto"/>
                </w:rPr>
                <w:t>25</w:t>
              </w:r>
            </w:hyperlink>
          </w:p>
        </w:tc>
        <w:tc>
          <w:tcPr>
            <w:tcW w:w="0" w:type="dxa"/>
            <w:vAlign w:val="bottom"/>
          </w:tcPr>
          <w:p>
            <w:pPr>
              <w:spacing w:after="0"/>
              <w:rPr>
                <w:sz w:val="1"/>
                <w:szCs w:val="1"/>
                <w:color w:val="auto"/>
              </w:rPr>
            </w:pPr>
          </w:p>
        </w:tc>
      </w:tr>
    </w:tbl>
    <w:p>
      <w:pPr>
        <w:sectPr>
          <w:pgSz w:w="11900" w:h="16838" w:orient="portrait"/>
          <w:cols w:equalWidth="0" w:num="1">
            <w:col w:w="10260"/>
          </w:cols>
          <w:pgMar w:left="1400" w:top="526"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13"/>
          <w:szCs w:val="13"/>
          <w:b w:val="1"/>
          <w:bCs w:val="1"/>
          <w:color w:val="auto"/>
        </w:rPr>
        <w:t>Exhibit 2</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TECHNIPFMC PLC AND CONSOLIDATED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BUSINESS SEGMENT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69" w:lineRule="exact"/>
        <w:rPr>
          <w:sz w:val="20"/>
          <w:szCs w:val="20"/>
          <w:color w:val="auto"/>
        </w:rPr>
      </w:pPr>
    </w:p>
    <w:tbl>
      <w:tblPr>
        <w:tblLayout w:type="fixed"/>
        <w:tblInd w:w="138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20" w:type="dxa"/>
            <w:vAlign w:val="bottom"/>
            <w:gridSpan w:val="5"/>
          </w:tcPr>
          <w:p>
            <w:pPr>
              <w:ind w:left="440"/>
              <w:spacing w:after="0"/>
              <w:rPr>
                <w:sz w:val="20"/>
                <w:szCs w:val="20"/>
                <w:color w:val="auto"/>
              </w:rPr>
            </w:pPr>
            <w:r>
              <w:rPr>
                <w:rFonts w:ascii="Arial" w:cs="Arial" w:eastAsia="Arial" w:hAnsi="Arial"/>
                <w:sz w:val="18"/>
                <w:szCs w:val="18"/>
                <w:b w:val="1"/>
                <w:bCs w:val="1"/>
                <w:color w:val="auto"/>
              </w:rPr>
              <w:t>(Unaudited)</w:t>
            </w: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5"/>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8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20"/>
                <w:szCs w:val="20"/>
                <w:color w:val="auto"/>
              </w:rPr>
            </w:pPr>
          </w:p>
        </w:tc>
        <w:tc>
          <w:tcPr>
            <w:tcW w:w="220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70"/>
        </w:trPr>
        <w:tc>
          <w:tcPr>
            <w:tcW w:w="6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ind w:right="330"/>
              <w:spacing w:after="0"/>
              <w:rPr>
                <w:sz w:val="20"/>
                <w:szCs w:val="20"/>
                <w:color w:val="auto"/>
              </w:rPr>
            </w:pPr>
            <w:r>
              <w:rPr>
                <w:rFonts w:ascii="Arial" w:cs="Arial" w:eastAsia="Arial" w:hAnsi="Arial"/>
                <w:sz w:val="18"/>
                <w:szCs w:val="18"/>
                <w:b w:val="1"/>
                <w:bCs w:val="1"/>
                <w:color w:val="auto"/>
                <w:w w:val="99"/>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2018</w:t>
            </w:r>
          </w:p>
        </w:tc>
        <w:tc>
          <w:tcPr>
            <w:tcW w:w="0" w:type="dxa"/>
            <w:vAlign w:val="bottom"/>
          </w:tcPr>
          <w:p>
            <w:pPr>
              <w:spacing w:after="0"/>
              <w:rPr>
                <w:sz w:val="1"/>
                <w:szCs w:val="1"/>
                <w:color w:val="auto"/>
              </w:rPr>
            </w:pPr>
          </w:p>
        </w:tc>
      </w:tr>
      <w:tr>
        <w:trPr>
          <w:trHeight w:val="27"/>
        </w:trPr>
        <w:tc>
          <w:tcPr>
            <w:tcW w:w="660" w:type="dxa"/>
            <w:vAlign w:val="bottom"/>
            <w:vMerge w:val="restart"/>
          </w:tcPr>
          <w:p>
            <w:pPr>
              <w:spacing w:after="0"/>
              <w:rPr>
                <w:sz w:val="20"/>
                <w:szCs w:val="20"/>
                <w:color w:val="auto"/>
              </w:rPr>
            </w:pPr>
            <w:r>
              <w:rPr>
                <w:rFonts w:ascii="Arial" w:cs="Arial" w:eastAsia="Arial" w:hAnsi="Arial"/>
                <w:sz w:val="18"/>
                <w:szCs w:val="18"/>
                <w:b w:val="1"/>
                <w:bCs w:val="1"/>
                <w:color w:val="auto"/>
                <w:w w:val="85"/>
              </w:rPr>
              <w:t>Revenue</w:t>
            </w:r>
          </w:p>
        </w:tc>
        <w:tc>
          <w:tcPr>
            <w:tcW w:w="3040" w:type="dxa"/>
            <w:vAlign w:val="bottom"/>
            <w:gridSpan w:val="4"/>
            <w:vMerge w:val="restart"/>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660" w:type="dxa"/>
            <w:vAlign w:val="bottom"/>
            <w:tcBorders>
              <w:bottom w:val="single" w:sz="8" w:color="auto"/>
            </w:tcBorders>
            <w:vMerge w:val="continue"/>
          </w:tcPr>
          <w:p>
            <w:pPr>
              <w:spacing w:after="0"/>
              <w:rPr>
                <w:sz w:val="17"/>
                <w:szCs w:val="17"/>
                <w:color w:val="auto"/>
              </w:rPr>
            </w:pPr>
          </w:p>
        </w:tc>
        <w:tc>
          <w:tcPr>
            <w:tcW w:w="3040" w:type="dxa"/>
            <w:vAlign w:val="bottom"/>
            <w:gridSpan w:val="4"/>
            <w:vMerge w:val="continue"/>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3700" w:type="dxa"/>
            <w:vAlign w:val="bottom"/>
            <w:gridSpan w:val="5"/>
          </w:tcPr>
          <w:p>
            <w:pPr>
              <w:spacing w:after="0"/>
              <w:rPr>
                <w:sz w:val="20"/>
                <w:szCs w:val="20"/>
                <w:color w:val="auto"/>
              </w:rPr>
            </w:pPr>
            <w:r>
              <w:rPr>
                <w:rFonts w:ascii="Arial" w:cs="Arial" w:eastAsia="Arial" w:hAnsi="Arial"/>
                <w:sz w:val="18"/>
                <w:szCs w:val="18"/>
                <w:color w:val="auto"/>
              </w:rPr>
              <w:t>Subsea</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1,508.7</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1,217.4</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2,694.0</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2,397.6</w:t>
            </w:r>
          </w:p>
        </w:tc>
        <w:tc>
          <w:tcPr>
            <w:tcW w:w="0" w:type="dxa"/>
            <w:vAlign w:val="bottom"/>
          </w:tcPr>
          <w:p>
            <w:pPr>
              <w:spacing w:after="0"/>
              <w:rPr>
                <w:sz w:val="1"/>
                <w:szCs w:val="1"/>
                <w:color w:val="auto"/>
              </w:rPr>
            </w:pPr>
          </w:p>
        </w:tc>
      </w:tr>
      <w:tr>
        <w:trPr>
          <w:trHeight w:val="270"/>
        </w:trPr>
        <w:tc>
          <w:tcPr>
            <w:tcW w:w="3700" w:type="dxa"/>
            <w:vAlign w:val="bottom"/>
            <w:gridSpan w:val="5"/>
          </w:tcPr>
          <w:p>
            <w:pPr>
              <w:spacing w:after="0"/>
              <w:rPr>
                <w:sz w:val="20"/>
                <w:szCs w:val="20"/>
                <w:color w:val="auto"/>
              </w:rPr>
            </w:pPr>
            <w:r>
              <w:rPr>
                <w:rFonts w:ascii="Arial" w:cs="Arial" w:eastAsia="Arial" w:hAnsi="Arial"/>
                <w:sz w:val="18"/>
                <w:szCs w:val="18"/>
                <w:color w:val="auto"/>
              </w:rPr>
              <w:t>Onshore/Offshore</w:t>
            </w:r>
          </w:p>
        </w:tc>
        <w:tc>
          <w:tcPr>
            <w:tcW w:w="2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1,505.0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1,342.4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2,840.1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2,915.8</w:t>
            </w:r>
          </w:p>
        </w:tc>
        <w:tc>
          <w:tcPr>
            <w:tcW w:w="0" w:type="dxa"/>
            <w:vAlign w:val="bottom"/>
          </w:tcPr>
          <w:p>
            <w:pPr>
              <w:spacing w:after="0"/>
              <w:rPr>
                <w:sz w:val="1"/>
                <w:szCs w:val="1"/>
                <w:color w:val="auto"/>
              </w:rPr>
            </w:pPr>
          </w:p>
        </w:tc>
      </w:tr>
      <w:tr>
        <w:trPr>
          <w:trHeight w:val="270"/>
        </w:trPr>
        <w:tc>
          <w:tcPr>
            <w:tcW w:w="3700" w:type="dxa"/>
            <w:vAlign w:val="bottom"/>
            <w:gridSpan w:val="5"/>
          </w:tcPr>
          <w:p>
            <w:pPr>
              <w:spacing w:after="0"/>
              <w:rPr>
                <w:sz w:val="20"/>
                <w:szCs w:val="20"/>
                <w:color w:val="auto"/>
              </w:rPr>
            </w:pPr>
            <w:r>
              <w:rPr>
                <w:rFonts w:ascii="Arial" w:cs="Arial" w:eastAsia="Arial" w:hAnsi="Arial"/>
                <w:sz w:val="18"/>
                <w:szCs w:val="18"/>
                <w:color w:val="auto"/>
              </w:rPr>
              <w:t>Surface Technologies</w:t>
            </w:r>
          </w:p>
        </w:tc>
        <w:tc>
          <w:tcPr>
            <w:tcW w:w="2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420.5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401.1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813.1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772.7</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3,434.2</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2,960.9</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6,347.2</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6,086.1</w:t>
            </w:r>
          </w:p>
        </w:tc>
        <w:tc>
          <w:tcPr>
            <w:tcW w:w="0" w:type="dxa"/>
            <w:vAlign w:val="bottom"/>
          </w:tcPr>
          <w:p>
            <w:pPr>
              <w:spacing w:after="0"/>
              <w:rPr>
                <w:sz w:val="1"/>
                <w:szCs w:val="1"/>
                <w:color w:val="auto"/>
              </w:rPr>
            </w:pPr>
          </w:p>
        </w:tc>
      </w:tr>
      <w:tr>
        <w:trPr>
          <w:trHeight w:val="27"/>
        </w:trPr>
        <w:tc>
          <w:tcPr>
            <w:tcW w:w="370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Income before income taxes</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00" w:type="dxa"/>
            <w:vAlign w:val="bottom"/>
            <w:gridSpan w:val="5"/>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3700" w:type="dxa"/>
            <w:vAlign w:val="bottom"/>
            <w:gridSpan w:val="5"/>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4"/>
        </w:trPr>
        <w:tc>
          <w:tcPr>
            <w:tcW w:w="180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8"/>
                <w:szCs w:val="18"/>
                <w:color w:val="auto"/>
                <w:w w:val="90"/>
              </w:rPr>
              <w:t>Segment operating profit</w:t>
            </w:r>
          </w:p>
        </w:tc>
        <w:tc>
          <w:tcPr>
            <w:tcW w:w="320" w:type="dxa"/>
            <w:vAlign w:val="bottom"/>
            <w:tcBorders>
              <w:top w:val="single" w:sz="8" w:color="auto"/>
            </w:tcBorders>
          </w:tcPr>
          <w:p>
            <w:pPr>
              <w:spacing w:after="0"/>
              <w:rPr>
                <w:sz w:val="24"/>
                <w:szCs w:val="24"/>
                <w:color w:val="auto"/>
              </w:rPr>
            </w:pPr>
          </w:p>
        </w:tc>
        <w:tc>
          <w:tcPr>
            <w:tcW w:w="1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3700" w:type="dxa"/>
            <w:vAlign w:val="bottom"/>
            <w:gridSpan w:val="5"/>
          </w:tcPr>
          <w:p>
            <w:pPr>
              <w:spacing w:after="0"/>
              <w:rPr>
                <w:sz w:val="20"/>
                <w:szCs w:val="20"/>
                <w:color w:val="auto"/>
              </w:rPr>
            </w:pPr>
            <w:r>
              <w:rPr>
                <w:rFonts w:ascii="Arial" w:cs="Arial" w:eastAsia="Arial" w:hAnsi="Arial"/>
                <w:sz w:val="18"/>
                <w:szCs w:val="18"/>
                <w:color w:val="auto"/>
              </w:rPr>
              <w:t>Subsea</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94.6</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75.9</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144.5</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130.3</w:t>
            </w:r>
          </w:p>
        </w:tc>
        <w:tc>
          <w:tcPr>
            <w:tcW w:w="0" w:type="dxa"/>
            <w:vAlign w:val="bottom"/>
          </w:tcPr>
          <w:p>
            <w:pPr>
              <w:spacing w:after="0"/>
              <w:rPr>
                <w:sz w:val="1"/>
                <w:szCs w:val="1"/>
                <w:color w:val="auto"/>
              </w:rPr>
            </w:pPr>
          </w:p>
        </w:tc>
      </w:tr>
      <w:tr>
        <w:trPr>
          <w:trHeight w:val="270"/>
        </w:trPr>
        <w:tc>
          <w:tcPr>
            <w:tcW w:w="3700" w:type="dxa"/>
            <w:vAlign w:val="bottom"/>
            <w:gridSpan w:val="5"/>
          </w:tcPr>
          <w:p>
            <w:pPr>
              <w:spacing w:after="0"/>
              <w:rPr>
                <w:sz w:val="20"/>
                <w:szCs w:val="20"/>
                <w:color w:val="auto"/>
              </w:rPr>
            </w:pPr>
            <w:r>
              <w:rPr>
                <w:rFonts w:ascii="Arial" w:cs="Arial" w:eastAsia="Arial" w:hAnsi="Arial"/>
                <w:sz w:val="18"/>
                <w:szCs w:val="18"/>
                <w:color w:val="auto"/>
              </w:rPr>
              <w:t>Onshore/Offshore</w:t>
            </w:r>
          </w:p>
        </w:tc>
        <w:tc>
          <w:tcPr>
            <w:tcW w:w="2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274.0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171.3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429.7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374.2</w:t>
            </w:r>
          </w:p>
        </w:tc>
        <w:tc>
          <w:tcPr>
            <w:tcW w:w="0" w:type="dxa"/>
            <w:vAlign w:val="bottom"/>
          </w:tcPr>
          <w:p>
            <w:pPr>
              <w:spacing w:after="0"/>
              <w:rPr>
                <w:sz w:val="1"/>
                <w:szCs w:val="1"/>
                <w:color w:val="auto"/>
              </w:rPr>
            </w:pPr>
          </w:p>
        </w:tc>
      </w:tr>
      <w:tr>
        <w:trPr>
          <w:trHeight w:val="270"/>
        </w:trPr>
        <w:tc>
          <w:tcPr>
            <w:tcW w:w="3700" w:type="dxa"/>
            <w:vAlign w:val="bottom"/>
            <w:gridSpan w:val="5"/>
          </w:tcPr>
          <w:p>
            <w:pPr>
              <w:spacing w:after="0"/>
              <w:rPr>
                <w:sz w:val="20"/>
                <w:szCs w:val="20"/>
                <w:color w:val="auto"/>
              </w:rPr>
            </w:pPr>
            <w:r>
              <w:rPr>
                <w:rFonts w:ascii="Arial" w:cs="Arial" w:eastAsia="Arial" w:hAnsi="Arial"/>
                <w:sz w:val="18"/>
                <w:szCs w:val="18"/>
                <w:color w:val="auto"/>
              </w:rPr>
              <w:t>Surface Technologies</w:t>
            </w:r>
          </w:p>
        </w:tc>
        <w:tc>
          <w:tcPr>
            <w:tcW w:w="2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00" w:type="dxa"/>
            <w:vAlign w:val="bottom"/>
            <w:gridSpan w:val="5"/>
          </w:tcPr>
          <w:p>
            <w:pPr>
              <w:spacing w:after="0"/>
              <w:rPr>
                <w:sz w:val="20"/>
                <w:szCs w:val="20"/>
                <w:color w:val="auto"/>
              </w:rPr>
            </w:pPr>
            <w:r>
              <w:rPr>
                <w:rFonts w:ascii="Arial" w:cs="Arial" w:eastAsia="Arial" w:hAnsi="Arial"/>
                <w:sz w:val="18"/>
                <w:szCs w:val="18"/>
                <w:color w:val="auto"/>
              </w:rPr>
              <w:t>Total segment operating profit</w:t>
            </w:r>
          </w:p>
        </w:tc>
        <w:tc>
          <w:tcPr>
            <w:tcW w:w="26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394.1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298.7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610.2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586.6</w:t>
            </w:r>
          </w:p>
        </w:tc>
        <w:tc>
          <w:tcPr>
            <w:tcW w:w="0" w:type="dxa"/>
            <w:vAlign w:val="bottom"/>
          </w:tcPr>
          <w:p>
            <w:pPr>
              <w:spacing w:after="0"/>
              <w:rPr>
                <w:sz w:val="1"/>
                <w:szCs w:val="1"/>
                <w:color w:val="auto"/>
              </w:rPr>
            </w:pPr>
          </w:p>
        </w:tc>
      </w:tr>
      <w:tr>
        <w:trPr>
          <w:trHeight w:val="27"/>
        </w:trPr>
        <w:tc>
          <w:tcPr>
            <w:tcW w:w="3700" w:type="dxa"/>
            <w:vAlign w:val="bottom"/>
            <w:gridSpan w:val="5"/>
            <w:vMerge w:val="restart"/>
          </w:tcPr>
          <w:p>
            <w:pPr>
              <w:spacing w:after="0"/>
              <w:rPr>
                <w:sz w:val="20"/>
                <w:szCs w:val="20"/>
                <w:color w:val="auto"/>
              </w:rPr>
            </w:pPr>
            <w:r>
              <w:rPr>
                <w:rFonts w:ascii="Arial" w:cs="Arial" w:eastAsia="Arial" w:hAnsi="Arial"/>
                <w:sz w:val="18"/>
                <w:szCs w:val="18"/>
                <w:color w:val="auto"/>
              </w:rPr>
              <w:t>Corporate items</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0"/>
        </w:trPr>
        <w:tc>
          <w:tcPr>
            <w:tcW w:w="3700" w:type="dxa"/>
            <w:vAlign w:val="bottom"/>
            <w:gridSpan w:val="5"/>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gridSpan w:val="2"/>
            <w:shd w:val="clear" w:color="auto" w:fill="000000"/>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3700" w:type="dxa"/>
            <w:vAlign w:val="bottom"/>
            <w:gridSpan w:val="5"/>
          </w:tcPr>
          <w:p>
            <w:pPr>
              <w:spacing w:after="0"/>
              <w:rPr>
                <w:sz w:val="20"/>
                <w:szCs w:val="20"/>
                <w:color w:val="auto"/>
              </w:rPr>
            </w:pPr>
            <w:r>
              <w:rPr>
                <w:rFonts w:ascii="Arial" w:cs="Arial" w:eastAsia="Arial" w:hAnsi="Arial"/>
                <w:sz w:val="18"/>
                <w:szCs w:val="18"/>
                <w:color w:val="auto"/>
              </w:rPr>
              <w:t xml:space="preserve">Corporate expense </w:t>
            </w:r>
            <w:r>
              <w:rPr>
                <w:rFonts w:ascii="Arial" w:cs="Arial" w:eastAsia="Arial" w:hAnsi="Arial"/>
                <w:sz w:val="25"/>
                <w:szCs w:val="25"/>
                <w:color w:val="auto"/>
                <w:vertAlign w:val="superscript"/>
              </w:rPr>
              <w:t>(1)</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(138.9)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(73.0)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(232.5)</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(132.8)</w:t>
            </w:r>
          </w:p>
        </w:tc>
        <w:tc>
          <w:tcPr>
            <w:tcW w:w="0" w:type="dxa"/>
            <w:vAlign w:val="bottom"/>
          </w:tcPr>
          <w:p>
            <w:pPr>
              <w:spacing w:after="0"/>
              <w:rPr>
                <w:sz w:val="1"/>
                <w:szCs w:val="1"/>
                <w:color w:val="auto"/>
              </w:rPr>
            </w:pPr>
          </w:p>
        </w:tc>
      </w:tr>
      <w:tr>
        <w:trPr>
          <w:trHeight w:val="230"/>
        </w:trPr>
        <w:tc>
          <w:tcPr>
            <w:tcW w:w="3700" w:type="dxa"/>
            <w:vAlign w:val="bottom"/>
            <w:gridSpan w:val="5"/>
          </w:tcPr>
          <w:p>
            <w:pPr>
              <w:spacing w:after="0"/>
              <w:rPr>
                <w:sz w:val="20"/>
                <w:szCs w:val="20"/>
                <w:color w:val="auto"/>
              </w:rPr>
            </w:pPr>
            <w:r>
              <w:rPr>
                <w:rFonts w:ascii="Arial" w:cs="Arial" w:eastAsia="Arial" w:hAnsi="Arial"/>
                <w:sz w:val="18"/>
                <w:szCs w:val="18"/>
                <w:color w:val="auto"/>
              </w:rPr>
              <w:t>Net interest expense</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(140.6)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(228.8)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(138.3)</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00" w:type="dxa"/>
            <w:vAlign w:val="bottom"/>
            <w:gridSpan w:val="5"/>
          </w:tcPr>
          <w:p>
            <w:pPr>
              <w:spacing w:after="0"/>
              <w:rPr>
                <w:sz w:val="20"/>
                <w:szCs w:val="20"/>
                <w:color w:val="auto"/>
              </w:rPr>
            </w:pPr>
            <w:r>
              <w:rPr>
                <w:rFonts w:ascii="Arial" w:cs="Arial" w:eastAsia="Arial" w:hAnsi="Arial"/>
                <w:sz w:val="18"/>
                <w:szCs w:val="18"/>
                <w:color w:val="auto"/>
              </w:rPr>
              <w:t>Total corporate items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(279.5)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(123.9)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(461.3)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(271.1)</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47"/>
        </w:trPr>
        <w:tc>
          <w:tcPr>
            <w:tcW w:w="3700" w:type="dxa"/>
            <w:vAlign w:val="bottom"/>
            <w:gridSpan w:val="5"/>
          </w:tcPr>
          <w:p>
            <w:pPr>
              <w:spacing w:after="0"/>
              <w:rPr>
                <w:sz w:val="20"/>
                <w:szCs w:val="20"/>
                <w:color w:val="auto"/>
              </w:rPr>
            </w:pPr>
            <w:r>
              <w:rPr>
                <w:rFonts w:ascii="Arial" w:cs="Arial" w:eastAsia="Arial" w:hAnsi="Arial"/>
                <w:sz w:val="18"/>
                <w:szCs w:val="18"/>
                <w:color w:val="auto"/>
              </w:rPr>
              <w:t xml:space="preserve">Net income before income taxes </w:t>
            </w:r>
            <w:r>
              <w:rPr>
                <w:rFonts w:ascii="Arial" w:cs="Arial" w:eastAsia="Arial" w:hAnsi="Arial"/>
                <w:sz w:val="25"/>
                <w:szCs w:val="25"/>
                <w:color w:val="auto"/>
                <w:vertAlign w:val="superscript"/>
              </w:rPr>
              <w:t>(2)</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114.6</w:t>
            </w:r>
          </w:p>
        </w:tc>
        <w:tc>
          <w:tcPr>
            <w:tcW w:w="100" w:type="dxa"/>
            <w:vAlign w:val="bottom"/>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174.8</w:t>
            </w:r>
          </w:p>
        </w:tc>
        <w:tc>
          <w:tcPr>
            <w:tcW w:w="100" w:type="dxa"/>
            <w:vAlign w:val="bottom"/>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148.9</w:t>
            </w:r>
          </w:p>
        </w:tc>
        <w:tc>
          <w:tcPr>
            <w:tcW w:w="100" w:type="dxa"/>
            <w:vAlign w:val="bottom"/>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315.5</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520" w:hanging="332"/>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Corporate expense primarily includes corporate staff expenses, legal reserve, share-based compensation expenses, other employee benefits, certain foreign exchange gains and losses, and merger transaction and integration expenses.</w:t>
      </w:r>
    </w:p>
    <w:p>
      <w:pPr>
        <w:spacing w:after="0" w:line="116"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amounts attributable to noncontrolling interests.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180"/>
        <w:spacing w:after="0"/>
        <w:tabs>
          <w:tab w:leader="none" w:pos="1042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16 of </w:t>
      </w:r>
      <w:hyperlink w:anchor="page30">
        <w:r>
          <w:rPr>
            <w:rFonts w:ascii="Arial" w:cs="Arial" w:eastAsia="Arial" w:hAnsi="Arial"/>
            <w:sz w:val="14"/>
            <w:szCs w:val="14"/>
            <w:b w:val="1"/>
            <w:bCs w:val="1"/>
            <w:color w:val="auto"/>
          </w:rPr>
          <w:t>25</w:t>
        </w:r>
      </w:hyperlink>
    </w:p>
    <w:p>
      <w:pPr>
        <w:sectPr>
          <w:pgSz w:w="11900" w:h="16838" w:orient="portrait"/>
          <w:cols w:equalWidth="0" w:num="1">
            <w:col w:w="11420"/>
          </w:cols>
          <w:pgMar w:left="240" w:top="526"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3"/>
          <w:szCs w:val="13"/>
          <w:b w:val="1"/>
          <w:bCs w:val="1"/>
          <w:color w:val="auto"/>
        </w:rPr>
        <w:t>Exhibit 3</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TECHNIPFMC PLC AND CONSOLIDATED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BUSINESS SEGMENT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unaudited)</w:t>
      </w:r>
    </w:p>
    <w:p>
      <w:pPr>
        <w:spacing w:after="0" w:line="369" w:lineRule="exact"/>
        <w:rPr>
          <w:sz w:val="20"/>
          <w:szCs w:val="20"/>
          <w:color w:val="auto"/>
        </w:rPr>
      </w:pPr>
    </w:p>
    <w:tbl>
      <w:tblPr>
        <w:tblLayout w:type="fixed"/>
        <w:tblInd w:w="116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6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20"/>
                <w:szCs w:val="20"/>
                <w:color w:val="auto"/>
              </w:rPr>
            </w:pPr>
          </w:p>
        </w:tc>
        <w:tc>
          <w:tcPr>
            <w:tcW w:w="214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Six Months Ended</w:t>
            </w:r>
          </w:p>
        </w:tc>
      </w:tr>
      <w:tr>
        <w:trPr>
          <w:trHeight w:val="230"/>
        </w:trPr>
        <w:tc>
          <w:tcPr>
            <w:tcW w:w="4220" w:type="dxa"/>
            <w:vAlign w:val="bottom"/>
            <w:gridSpan w:val="2"/>
          </w:tcPr>
          <w:p>
            <w:pPr>
              <w:spacing w:after="0" w:line="229" w:lineRule="exact"/>
              <w:rPr>
                <w:sz w:val="20"/>
                <w:szCs w:val="20"/>
                <w:color w:val="auto"/>
              </w:rPr>
            </w:pPr>
            <w:r>
              <w:rPr>
                <w:rFonts w:ascii="Arial" w:cs="Arial" w:eastAsia="Arial" w:hAnsi="Arial"/>
                <w:sz w:val="18"/>
                <w:szCs w:val="18"/>
                <w:b w:val="1"/>
                <w:bCs w:val="1"/>
                <w:color w:val="auto"/>
              </w:rPr>
              <w:t xml:space="preserve">Inbound Orders </w:t>
            </w:r>
            <w:r>
              <w:rPr>
                <w:rFonts w:ascii="Arial" w:cs="Arial" w:eastAsia="Arial" w:hAnsi="Arial"/>
                <w:sz w:val="25"/>
                <w:szCs w:val="25"/>
                <w:b w:val="1"/>
                <w:bCs w:val="1"/>
                <w:color w:val="auto"/>
                <w:vertAlign w:val="superscript"/>
              </w:rPr>
              <w:t>(1)</w:t>
            </w:r>
          </w:p>
        </w:tc>
        <w:tc>
          <w:tcPr>
            <w:tcW w:w="260" w:type="dxa"/>
            <w:vAlign w:val="bottom"/>
          </w:tcPr>
          <w:p>
            <w:pPr>
              <w:spacing w:after="0"/>
              <w:rPr>
                <w:sz w:val="19"/>
                <w:szCs w:val="19"/>
                <w:color w:val="auto"/>
              </w:rPr>
            </w:pPr>
          </w:p>
        </w:tc>
        <w:tc>
          <w:tcPr>
            <w:tcW w:w="1340" w:type="dxa"/>
            <w:vAlign w:val="bottom"/>
            <w:gridSpan w:val="3"/>
          </w:tcPr>
          <w:p>
            <w:pPr>
              <w:ind w:left="640"/>
              <w:spacing w:after="0"/>
              <w:rPr>
                <w:sz w:val="20"/>
                <w:szCs w:val="20"/>
                <w:color w:val="auto"/>
              </w:rPr>
            </w:pPr>
            <w:r>
              <w:rPr>
                <w:rFonts w:ascii="Arial" w:cs="Arial" w:eastAsia="Arial" w:hAnsi="Arial"/>
                <w:sz w:val="18"/>
                <w:szCs w:val="18"/>
                <w:b w:val="1"/>
                <w:bCs w:val="1"/>
                <w:color w:val="auto"/>
                <w:w w:val="94"/>
              </w:rPr>
              <w:t>June 30,</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Pr>
          <w:p>
            <w:pPr>
              <w:spacing w:after="0"/>
              <w:rPr>
                <w:sz w:val="19"/>
                <w:szCs w:val="19"/>
                <w:color w:val="auto"/>
              </w:rPr>
            </w:pPr>
          </w:p>
        </w:tc>
      </w:tr>
      <w:tr>
        <w:trPr>
          <w:trHeight w:val="48"/>
        </w:trPr>
        <w:tc>
          <w:tcPr>
            <w:tcW w:w="1260" w:type="dxa"/>
            <w:vAlign w:val="bottom"/>
            <w:tcBorders>
              <w:top w:val="single" w:sz="8" w:color="auto"/>
            </w:tcBorders>
          </w:tcPr>
          <w:p>
            <w:pPr>
              <w:spacing w:after="0"/>
              <w:rPr>
                <w:sz w:val="4"/>
                <w:szCs w:val="4"/>
                <w:color w:val="auto"/>
              </w:rPr>
            </w:pPr>
          </w:p>
        </w:tc>
        <w:tc>
          <w:tcPr>
            <w:tcW w:w="296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37"/>
        </w:trPr>
        <w:tc>
          <w:tcPr>
            <w:tcW w:w="126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ind w:left="14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2018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2018</w:t>
            </w:r>
          </w:p>
        </w:tc>
      </w:tr>
      <w:tr>
        <w:trPr>
          <w:trHeight w:val="27"/>
        </w:trPr>
        <w:tc>
          <w:tcPr>
            <w:tcW w:w="12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520"/>
        </w:trPr>
        <w:tc>
          <w:tcPr>
            <w:tcW w:w="4220" w:type="dxa"/>
            <w:vAlign w:val="bottom"/>
            <w:gridSpan w:val="2"/>
          </w:tcPr>
          <w:p>
            <w:pPr>
              <w:spacing w:after="0"/>
              <w:rPr>
                <w:sz w:val="20"/>
                <w:szCs w:val="20"/>
                <w:color w:val="auto"/>
              </w:rPr>
            </w:pPr>
            <w:r>
              <w:rPr>
                <w:rFonts w:ascii="Arial" w:cs="Arial" w:eastAsia="Arial" w:hAnsi="Arial"/>
                <w:sz w:val="18"/>
                <w:szCs w:val="18"/>
                <w:color w:val="auto"/>
              </w:rPr>
              <w:t>Subsea</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2,632.7</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1,516.2</w:t>
            </w:r>
          </w:p>
        </w:tc>
        <w:tc>
          <w:tcPr>
            <w:tcW w:w="12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5,310.4</w:t>
            </w:r>
          </w:p>
        </w:tc>
        <w:tc>
          <w:tcPr>
            <w:tcW w:w="12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2,744.0</w:t>
            </w:r>
          </w:p>
        </w:tc>
      </w:tr>
      <w:tr>
        <w:trPr>
          <w:trHeight w:val="270"/>
        </w:trPr>
        <w:tc>
          <w:tcPr>
            <w:tcW w:w="4220" w:type="dxa"/>
            <w:vAlign w:val="bottom"/>
            <w:gridSpan w:val="2"/>
          </w:tcPr>
          <w:p>
            <w:pPr>
              <w:spacing w:after="0"/>
              <w:rPr>
                <w:sz w:val="20"/>
                <w:szCs w:val="20"/>
                <w:color w:val="auto"/>
              </w:rPr>
            </w:pPr>
            <w:r>
              <w:rPr>
                <w:rFonts w:ascii="Arial" w:cs="Arial" w:eastAsia="Arial" w:hAnsi="Arial"/>
                <w:sz w:val="18"/>
                <w:szCs w:val="18"/>
                <w:color w:val="auto"/>
              </w:rPr>
              <w:t>Onshore/Offshore</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8,131.2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2,300.8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11,270.0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4,150.4</w:t>
            </w:r>
          </w:p>
        </w:tc>
      </w:tr>
      <w:tr>
        <w:trPr>
          <w:trHeight w:val="270"/>
        </w:trPr>
        <w:tc>
          <w:tcPr>
            <w:tcW w:w="4220" w:type="dxa"/>
            <w:vAlign w:val="bottom"/>
            <w:gridSpan w:val="2"/>
          </w:tcPr>
          <w:p>
            <w:pPr>
              <w:spacing w:after="0"/>
              <w:rPr>
                <w:sz w:val="20"/>
                <w:szCs w:val="20"/>
                <w:color w:val="auto"/>
              </w:rPr>
            </w:pPr>
            <w:r>
              <w:rPr>
                <w:rFonts w:ascii="Arial" w:cs="Arial" w:eastAsia="Arial" w:hAnsi="Arial"/>
                <w:sz w:val="18"/>
                <w:szCs w:val="18"/>
                <w:color w:val="auto"/>
              </w:rPr>
              <w:t>Surface Technologies</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415.7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414.7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783.6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824.3</w:t>
            </w:r>
          </w:p>
        </w:tc>
      </w:tr>
      <w:tr>
        <w:trPr>
          <w:trHeight w:val="27"/>
        </w:trPr>
        <w:tc>
          <w:tcPr>
            <w:tcW w:w="12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4220" w:type="dxa"/>
            <w:vAlign w:val="bottom"/>
            <w:gridSpan w:val="2"/>
          </w:tcPr>
          <w:p>
            <w:pPr>
              <w:spacing w:after="0"/>
              <w:rPr>
                <w:sz w:val="20"/>
                <w:szCs w:val="20"/>
                <w:color w:val="auto"/>
              </w:rPr>
            </w:pPr>
            <w:r>
              <w:rPr>
                <w:rFonts w:ascii="Arial" w:cs="Arial" w:eastAsia="Arial" w:hAnsi="Arial"/>
                <w:sz w:val="18"/>
                <w:szCs w:val="18"/>
                <w:color w:val="auto"/>
              </w:rPr>
              <w:t>Total inbound orders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11,179.6</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4,231.7</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17,364.0</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7,718.7</w:t>
            </w:r>
          </w:p>
        </w:tc>
      </w:tr>
      <w:tr>
        <w:trPr>
          <w:trHeight w:val="20"/>
        </w:trPr>
        <w:tc>
          <w:tcPr>
            <w:tcW w:w="12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66" w:lineRule="exact"/>
        <w:rPr>
          <w:sz w:val="20"/>
          <w:szCs w:val="20"/>
          <w:color w:val="auto"/>
        </w:rPr>
      </w:pPr>
    </w:p>
    <w:tbl>
      <w:tblPr>
        <w:tblLayout w:type="fixed"/>
        <w:tblInd w:w="1140" w:type="dxa"/>
        <w:tblCellMar>
          <w:top w:w="0" w:type="dxa"/>
          <w:left w:w="0" w:type="dxa"/>
          <w:bottom w:w="0" w:type="dxa"/>
          <w:right w:w="0" w:type="dxa"/>
        </w:tblCellMar>
      </w:tblPr>
      <w:tr>
        <w:trPr>
          <w:trHeight w:val="287"/>
        </w:trPr>
        <w:tc>
          <w:tcPr>
            <w:tcW w:w="676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Order Backlog </w:t>
            </w:r>
            <w:r>
              <w:rPr>
                <w:rFonts w:ascii="Arial" w:cs="Arial" w:eastAsia="Arial" w:hAnsi="Arial"/>
                <w:sz w:val="25"/>
                <w:szCs w:val="25"/>
                <w:b w:val="1"/>
                <w:bCs w:val="1"/>
                <w:color w:val="auto"/>
                <w:vertAlign w:val="superscript"/>
              </w:rPr>
              <w:t>(2)</w:t>
            </w:r>
          </w:p>
        </w:tc>
        <w:tc>
          <w:tcPr>
            <w:tcW w:w="260" w:type="dxa"/>
            <w:vAlign w:val="bottom"/>
          </w:tcPr>
          <w:p>
            <w:pPr>
              <w:spacing w:after="0"/>
              <w:rPr>
                <w:sz w:val="24"/>
                <w:szCs w:val="24"/>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Pr>
          <w:p>
            <w:pPr>
              <w:spacing w:after="0"/>
              <w:rPr>
                <w:sz w:val="24"/>
                <w:szCs w:val="24"/>
                <w:color w:val="auto"/>
              </w:rPr>
            </w:pPr>
          </w:p>
        </w:tc>
      </w:tr>
      <w:tr>
        <w:trPr>
          <w:trHeight w:val="48"/>
        </w:trPr>
        <w:tc>
          <w:tcPr>
            <w:tcW w:w="1140" w:type="dxa"/>
            <w:vAlign w:val="bottom"/>
            <w:tcBorders>
              <w:top w:val="single" w:sz="8" w:color="auto"/>
            </w:tcBorders>
          </w:tcPr>
          <w:p>
            <w:pPr>
              <w:spacing w:after="0"/>
              <w:rPr>
                <w:sz w:val="4"/>
                <w:szCs w:val="4"/>
                <w:color w:val="auto"/>
              </w:rPr>
            </w:pPr>
          </w:p>
        </w:tc>
        <w:tc>
          <w:tcPr>
            <w:tcW w:w="562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37"/>
        </w:trPr>
        <w:tc>
          <w:tcPr>
            <w:tcW w:w="114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2018</w:t>
            </w:r>
          </w:p>
        </w:tc>
      </w:tr>
      <w:tr>
        <w:trPr>
          <w:trHeight w:val="27"/>
        </w:trPr>
        <w:tc>
          <w:tcPr>
            <w:tcW w:w="1140" w:type="dxa"/>
            <w:vAlign w:val="bottom"/>
          </w:tcPr>
          <w:p>
            <w:pPr>
              <w:spacing w:after="0"/>
              <w:rPr>
                <w:sz w:val="2"/>
                <w:szCs w:val="2"/>
                <w:color w:val="auto"/>
              </w:rPr>
            </w:pPr>
          </w:p>
        </w:tc>
        <w:tc>
          <w:tcPr>
            <w:tcW w:w="5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520"/>
        </w:trPr>
        <w:tc>
          <w:tcPr>
            <w:tcW w:w="6760" w:type="dxa"/>
            <w:vAlign w:val="bottom"/>
            <w:gridSpan w:val="2"/>
          </w:tcPr>
          <w:p>
            <w:pPr>
              <w:spacing w:after="0"/>
              <w:rPr>
                <w:sz w:val="20"/>
                <w:szCs w:val="20"/>
                <w:color w:val="auto"/>
              </w:rPr>
            </w:pPr>
            <w:r>
              <w:rPr>
                <w:rFonts w:ascii="Arial" w:cs="Arial" w:eastAsia="Arial" w:hAnsi="Arial"/>
                <w:sz w:val="18"/>
                <w:szCs w:val="18"/>
                <w:color w:val="auto"/>
              </w:rPr>
              <w:t>Subsea</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8,747.0</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6,177.0</w:t>
            </w:r>
          </w:p>
        </w:tc>
      </w:tr>
      <w:tr>
        <w:trPr>
          <w:trHeight w:val="270"/>
        </w:trPr>
        <w:tc>
          <w:tcPr>
            <w:tcW w:w="6760" w:type="dxa"/>
            <w:vAlign w:val="bottom"/>
            <w:gridSpan w:val="2"/>
          </w:tcPr>
          <w:p>
            <w:pPr>
              <w:spacing w:after="0"/>
              <w:rPr>
                <w:sz w:val="20"/>
                <w:szCs w:val="20"/>
                <w:color w:val="auto"/>
              </w:rPr>
            </w:pPr>
            <w:r>
              <w:rPr>
                <w:rFonts w:ascii="Arial" w:cs="Arial" w:eastAsia="Arial" w:hAnsi="Arial"/>
                <w:sz w:val="18"/>
                <w:szCs w:val="18"/>
                <w:color w:val="auto"/>
              </w:rPr>
              <w:t>Onshore/Offshore</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16,608.3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8,279.5</w:t>
            </w:r>
          </w:p>
        </w:tc>
      </w:tr>
      <w:tr>
        <w:trPr>
          <w:trHeight w:val="270"/>
        </w:trPr>
        <w:tc>
          <w:tcPr>
            <w:tcW w:w="6760" w:type="dxa"/>
            <w:vAlign w:val="bottom"/>
            <w:gridSpan w:val="2"/>
          </w:tcPr>
          <w:p>
            <w:pPr>
              <w:spacing w:after="0"/>
              <w:rPr>
                <w:sz w:val="20"/>
                <w:szCs w:val="20"/>
                <w:color w:val="auto"/>
              </w:rPr>
            </w:pPr>
            <w:r>
              <w:rPr>
                <w:rFonts w:ascii="Arial" w:cs="Arial" w:eastAsia="Arial" w:hAnsi="Arial"/>
                <w:sz w:val="18"/>
                <w:szCs w:val="18"/>
                <w:color w:val="auto"/>
              </w:rPr>
              <w:t>Surface Technologies</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426.6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415.3</w:t>
            </w:r>
          </w:p>
        </w:tc>
      </w:tr>
      <w:tr>
        <w:trPr>
          <w:trHeight w:val="27"/>
        </w:trPr>
        <w:tc>
          <w:tcPr>
            <w:tcW w:w="1140" w:type="dxa"/>
            <w:vAlign w:val="bottom"/>
          </w:tcPr>
          <w:p>
            <w:pPr>
              <w:spacing w:after="0"/>
              <w:rPr>
                <w:sz w:val="2"/>
                <w:szCs w:val="2"/>
                <w:color w:val="auto"/>
              </w:rPr>
            </w:pPr>
          </w:p>
        </w:tc>
        <w:tc>
          <w:tcPr>
            <w:tcW w:w="5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Total order backlog</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25,781.9</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14,871.8</w:t>
            </w:r>
          </w:p>
        </w:tc>
      </w:tr>
      <w:tr>
        <w:trPr>
          <w:trHeight w:val="20"/>
        </w:trPr>
        <w:tc>
          <w:tcPr>
            <w:tcW w:w="114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Inbound orders represent the estimated sales value of confirmed customer orders received during the reporting period.</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Order backlog is calculated as the estimated sales value of unfilled, confirmed customer orders at the reporting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180"/>
        <w:spacing w:after="0"/>
        <w:tabs>
          <w:tab w:leader="none" w:pos="1042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17 of </w:t>
      </w:r>
      <w:hyperlink w:anchor="page30">
        <w:r>
          <w:rPr>
            <w:rFonts w:ascii="Arial" w:cs="Arial" w:eastAsia="Arial" w:hAnsi="Arial"/>
            <w:sz w:val="14"/>
            <w:szCs w:val="14"/>
            <w:b w:val="1"/>
            <w:bCs w:val="1"/>
            <w:color w:val="auto"/>
          </w:rPr>
          <w:t>25</w:t>
        </w:r>
      </w:hyperlink>
    </w:p>
    <w:p>
      <w:pPr>
        <w:sectPr>
          <w:pgSz w:w="11900" w:h="16838" w:orient="portrait"/>
          <w:cols w:equalWidth="0" w:num="1">
            <w:col w:w="11420"/>
          </w:cols>
          <w:pgMar w:left="240" w:top="526"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3"/>
          <w:szCs w:val="13"/>
          <w:b w:val="1"/>
          <w:bCs w:val="1"/>
          <w:color w:val="auto"/>
        </w:rPr>
        <w:t>Exhibit 4</w:t>
      </w:r>
    </w:p>
    <w:p>
      <w:pPr>
        <w:spacing w:after="0" w:line="161" w:lineRule="exact"/>
        <w:rPr>
          <w:sz w:val="20"/>
          <w:szCs w:val="20"/>
          <w:color w:val="auto"/>
        </w:rPr>
      </w:pPr>
    </w:p>
    <w:p>
      <w:pPr>
        <w:jc w:val="center"/>
        <w:ind w:right="1140"/>
        <w:spacing w:after="0"/>
        <w:rPr>
          <w:sz w:val="20"/>
          <w:szCs w:val="20"/>
          <w:color w:val="auto"/>
        </w:rPr>
      </w:pPr>
      <w:r>
        <w:rPr>
          <w:rFonts w:ascii="Arial" w:cs="Arial" w:eastAsia="Arial" w:hAnsi="Arial"/>
          <w:sz w:val="18"/>
          <w:szCs w:val="18"/>
          <w:b w:val="1"/>
          <w:bCs w:val="1"/>
          <w:u w:val="single" w:color="auto"/>
          <w:color w:val="auto"/>
        </w:rPr>
        <w:t>TECHNIPFMC PLC AND CONSOLIDATED SUBSIDIARIES</w:t>
      </w:r>
    </w:p>
    <w:p>
      <w:pPr>
        <w:spacing w:after="0" w:line="27" w:lineRule="exact"/>
        <w:rPr>
          <w:sz w:val="20"/>
          <w:szCs w:val="20"/>
          <w:color w:val="auto"/>
        </w:rPr>
      </w:pPr>
    </w:p>
    <w:p>
      <w:pPr>
        <w:jc w:val="center"/>
        <w:ind w:right="1140"/>
        <w:spacing w:after="0"/>
        <w:rPr>
          <w:sz w:val="20"/>
          <w:szCs w:val="20"/>
          <w:color w:val="auto"/>
        </w:rPr>
      </w:pPr>
      <w:r>
        <w:rPr>
          <w:rFonts w:ascii="Arial" w:cs="Arial" w:eastAsia="Arial" w:hAnsi="Arial"/>
          <w:sz w:val="18"/>
          <w:szCs w:val="18"/>
          <w:b w:val="1"/>
          <w:bCs w:val="1"/>
          <w:u w:val="single" w:color="auto"/>
          <w:color w:val="auto"/>
        </w:rPr>
        <w:t>CONDENSED CONSOLIDATED BALANCE SHEETS</w:t>
      </w:r>
    </w:p>
    <w:p>
      <w:pPr>
        <w:spacing w:after="0" w:line="9" w:lineRule="exact"/>
        <w:rPr>
          <w:sz w:val="20"/>
          <w:szCs w:val="20"/>
          <w:color w:val="auto"/>
        </w:rPr>
      </w:pPr>
    </w:p>
    <w:p>
      <w:pPr>
        <w:jc w:val="center"/>
        <w:ind w:right="1140"/>
        <w:spacing w:after="0"/>
        <w:rPr>
          <w:sz w:val="20"/>
          <w:szCs w:val="20"/>
          <w:color w:val="auto"/>
        </w:rPr>
      </w:pPr>
      <w:r>
        <w:rPr>
          <w:rFonts w:ascii="Arial" w:cs="Arial" w:eastAsia="Arial" w:hAnsi="Arial"/>
          <w:sz w:val="18"/>
          <w:szCs w:val="18"/>
          <w:b w:val="1"/>
          <w:bCs w:val="1"/>
          <w:color w:val="auto"/>
        </w:rPr>
        <w:t>(In millions)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80" w:type="dxa"/>
            <w:vAlign w:val="bottom"/>
            <w:gridSpan w:val="5"/>
          </w:tcPr>
          <w:p>
            <w:pPr>
              <w:ind w:left="580"/>
              <w:spacing w:after="0"/>
              <w:rPr>
                <w:sz w:val="20"/>
                <w:szCs w:val="20"/>
                <w:color w:val="auto"/>
              </w:rPr>
            </w:pPr>
            <w:r>
              <w:rPr>
                <w:rFonts w:ascii="Arial" w:cs="Arial" w:eastAsia="Arial" w:hAnsi="Arial"/>
                <w:sz w:val="18"/>
                <w:szCs w:val="18"/>
                <w:b w:val="1"/>
                <w:bCs w:val="1"/>
                <w:color w:val="auto"/>
              </w:rPr>
              <w:t>(Unaudited)</w:t>
            </w:r>
          </w:p>
        </w:tc>
      </w:tr>
      <w:tr>
        <w:trPr>
          <w:trHeight w:val="27"/>
        </w:trPr>
        <w:tc>
          <w:tcPr>
            <w:tcW w:w="39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040" w:type="dxa"/>
            <w:vAlign w:val="bottom"/>
          </w:tcPr>
          <w:p>
            <w:pPr>
              <w:spacing w:after="0"/>
              <w:rPr>
                <w:sz w:val="2"/>
                <w:szCs w:val="2"/>
                <w:color w:val="auto"/>
              </w:rPr>
            </w:pPr>
          </w:p>
        </w:tc>
      </w:tr>
      <w:tr>
        <w:trPr>
          <w:trHeight w:val="218"/>
        </w:trPr>
        <w:tc>
          <w:tcPr>
            <w:tcW w:w="39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ind w:left="60"/>
              <w:spacing w:after="0"/>
              <w:rPr>
                <w:sz w:val="20"/>
                <w:szCs w:val="20"/>
                <w:color w:val="auto"/>
              </w:rPr>
            </w:pPr>
            <w:r>
              <w:rPr>
                <w:rFonts w:ascii="Arial" w:cs="Arial" w:eastAsia="Arial" w:hAnsi="Arial"/>
                <w:sz w:val="18"/>
                <w:szCs w:val="18"/>
                <w:b w:val="1"/>
                <w:bCs w:val="1"/>
                <w:color w:val="auto"/>
              </w:rPr>
              <w:t>June 30,</w:t>
            </w:r>
          </w:p>
        </w:tc>
        <w:tc>
          <w:tcPr>
            <w:tcW w:w="220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39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40" w:type="dxa"/>
            <w:vAlign w:val="bottom"/>
          </w:tcPr>
          <w:p>
            <w:pPr>
              <w:spacing w:after="0"/>
              <w:rPr>
                <w:sz w:val="20"/>
                <w:szCs w:val="20"/>
                <w:color w:val="auto"/>
              </w:rPr>
            </w:pPr>
          </w:p>
        </w:tc>
      </w:tr>
      <w:tr>
        <w:trPr>
          <w:trHeight w:val="27"/>
        </w:trPr>
        <w:tc>
          <w:tcPr>
            <w:tcW w:w="39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40" w:type="dxa"/>
            <w:vAlign w:val="bottom"/>
          </w:tcPr>
          <w:p>
            <w:pPr>
              <w:spacing w:after="0"/>
              <w:rPr>
                <w:sz w:val="2"/>
                <w:szCs w:val="2"/>
                <w:color w:val="auto"/>
              </w:rPr>
            </w:pPr>
          </w:p>
        </w:tc>
      </w:tr>
      <w:tr>
        <w:trPr>
          <w:trHeight w:val="520"/>
        </w:trPr>
        <w:tc>
          <w:tcPr>
            <w:tcW w:w="39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4,621.3</w:t>
            </w:r>
          </w:p>
        </w:tc>
        <w:tc>
          <w:tcPr>
            <w:tcW w:w="100" w:type="dxa"/>
            <w:vAlign w:val="bottom"/>
          </w:tcPr>
          <w:p>
            <w:pPr>
              <w:spacing w:after="0"/>
              <w:rPr>
                <w:sz w:val="24"/>
                <w:szCs w:val="24"/>
                <w:color w:val="auto"/>
              </w:rPr>
            </w:pP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5,540.0</w:t>
            </w:r>
          </w:p>
        </w:tc>
        <w:tc>
          <w:tcPr>
            <w:tcW w:w="1040" w:type="dxa"/>
            <w:vAlign w:val="bottom"/>
          </w:tcPr>
          <w:p>
            <w:pPr>
              <w:spacing w:after="0"/>
              <w:rPr>
                <w:sz w:val="24"/>
                <w:szCs w:val="24"/>
                <w:color w:val="auto"/>
              </w:rPr>
            </w:pPr>
          </w:p>
        </w:tc>
      </w:tr>
      <w:tr>
        <w:trPr>
          <w:trHeight w:val="270"/>
        </w:trPr>
        <w:tc>
          <w:tcPr>
            <w:tcW w:w="3960" w:type="dxa"/>
            <w:vAlign w:val="bottom"/>
          </w:tcPr>
          <w:p>
            <w:pPr>
              <w:spacing w:after="0"/>
              <w:rPr>
                <w:sz w:val="20"/>
                <w:szCs w:val="20"/>
                <w:color w:val="auto"/>
              </w:rPr>
            </w:pPr>
            <w:r>
              <w:rPr>
                <w:rFonts w:ascii="Arial" w:cs="Arial" w:eastAsia="Arial" w:hAnsi="Arial"/>
                <w:sz w:val="18"/>
                <w:szCs w:val="18"/>
                <w:color w:val="auto"/>
              </w:rPr>
              <w:t>Trade receivables, net</w:t>
            </w:r>
          </w:p>
        </w:tc>
        <w:tc>
          <w:tcPr>
            <w:tcW w:w="28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2,240.4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2,469.7</w:t>
            </w:r>
          </w:p>
        </w:tc>
        <w:tc>
          <w:tcPr>
            <w:tcW w:w="1040" w:type="dxa"/>
            <w:vAlign w:val="bottom"/>
          </w:tcPr>
          <w:p>
            <w:pPr>
              <w:spacing w:after="0"/>
              <w:rPr>
                <w:sz w:val="23"/>
                <w:szCs w:val="23"/>
                <w:color w:val="auto"/>
              </w:rPr>
            </w:pPr>
          </w:p>
        </w:tc>
      </w:tr>
      <w:tr>
        <w:trPr>
          <w:trHeight w:val="270"/>
        </w:trPr>
        <w:tc>
          <w:tcPr>
            <w:tcW w:w="3960" w:type="dxa"/>
            <w:vAlign w:val="bottom"/>
          </w:tcPr>
          <w:p>
            <w:pPr>
              <w:spacing w:after="0"/>
              <w:rPr>
                <w:sz w:val="20"/>
                <w:szCs w:val="20"/>
                <w:color w:val="auto"/>
              </w:rPr>
            </w:pPr>
            <w:r>
              <w:rPr>
                <w:rFonts w:ascii="Arial" w:cs="Arial" w:eastAsia="Arial" w:hAnsi="Arial"/>
                <w:sz w:val="18"/>
                <w:szCs w:val="18"/>
                <w:color w:val="auto"/>
              </w:rPr>
              <w:t>Contract assets</w:t>
            </w:r>
          </w:p>
        </w:tc>
        <w:tc>
          <w:tcPr>
            <w:tcW w:w="28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1,612.4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1,295.0</w:t>
            </w:r>
          </w:p>
        </w:tc>
        <w:tc>
          <w:tcPr>
            <w:tcW w:w="1040" w:type="dxa"/>
            <w:vAlign w:val="bottom"/>
          </w:tcPr>
          <w:p>
            <w:pPr>
              <w:spacing w:after="0"/>
              <w:rPr>
                <w:sz w:val="23"/>
                <w:szCs w:val="23"/>
                <w:color w:val="auto"/>
              </w:rPr>
            </w:pPr>
          </w:p>
        </w:tc>
      </w:tr>
      <w:tr>
        <w:trPr>
          <w:trHeight w:val="270"/>
        </w:trPr>
        <w:tc>
          <w:tcPr>
            <w:tcW w:w="3960" w:type="dxa"/>
            <w:vAlign w:val="bottom"/>
          </w:tcPr>
          <w:p>
            <w:pPr>
              <w:spacing w:after="0"/>
              <w:rPr>
                <w:sz w:val="20"/>
                <w:szCs w:val="20"/>
                <w:color w:val="auto"/>
              </w:rPr>
            </w:pPr>
            <w:r>
              <w:rPr>
                <w:rFonts w:ascii="Arial" w:cs="Arial" w:eastAsia="Arial" w:hAnsi="Arial"/>
                <w:sz w:val="18"/>
                <w:szCs w:val="18"/>
                <w:color w:val="auto"/>
              </w:rPr>
              <w:t>Inventories, net</w:t>
            </w:r>
          </w:p>
        </w:tc>
        <w:tc>
          <w:tcPr>
            <w:tcW w:w="28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1,387.0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1,251.2</w:t>
            </w:r>
          </w:p>
        </w:tc>
        <w:tc>
          <w:tcPr>
            <w:tcW w:w="1040" w:type="dxa"/>
            <w:vAlign w:val="bottom"/>
          </w:tcPr>
          <w:p>
            <w:pPr>
              <w:spacing w:after="0"/>
              <w:rPr>
                <w:sz w:val="23"/>
                <w:szCs w:val="23"/>
                <w:color w:val="auto"/>
              </w:rPr>
            </w:pPr>
          </w:p>
        </w:tc>
      </w:tr>
      <w:tr>
        <w:trPr>
          <w:trHeight w:val="270"/>
        </w:trPr>
        <w:tc>
          <w:tcPr>
            <w:tcW w:w="3960" w:type="dxa"/>
            <w:vAlign w:val="bottom"/>
          </w:tcPr>
          <w:p>
            <w:pPr>
              <w:spacing w:after="0"/>
              <w:rPr>
                <w:sz w:val="20"/>
                <w:szCs w:val="20"/>
                <w:color w:val="auto"/>
              </w:rPr>
            </w:pPr>
            <w:r>
              <w:rPr>
                <w:rFonts w:ascii="Arial" w:cs="Arial" w:eastAsia="Arial" w:hAnsi="Arial"/>
                <w:sz w:val="18"/>
                <w:szCs w:val="18"/>
                <w:color w:val="auto"/>
              </w:rPr>
              <w:t>Other current assets</w:t>
            </w:r>
          </w:p>
        </w:tc>
        <w:tc>
          <w:tcPr>
            <w:tcW w:w="28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1,442.7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1,225.3</w:t>
            </w:r>
          </w:p>
        </w:tc>
        <w:tc>
          <w:tcPr>
            <w:tcW w:w="1040" w:type="dxa"/>
            <w:vAlign w:val="bottom"/>
          </w:tcPr>
          <w:p>
            <w:pPr>
              <w:spacing w:after="0"/>
              <w:rPr>
                <w:sz w:val="23"/>
                <w:szCs w:val="23"/>
                <w:color w:val="auto"/>
              </w:rPr>
            </w:pPr>
          </w:p>
        </w:tc>
      </w:tr>
      <w:tr>
        <w:trPr>
          <w:trHeight w:val="27"/>
        </w:trPr>
        <w:tc>
          <w:tcPr>
            <w:tcW w:w="39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40" w:type="dxa"/>
            <w:vAlign w:val="bottom"/>
          </w:tcPr>
          <w:p>
            <w:pPr>
              <w:spacing w:after="0"/>
              <w:rPr>
                <w:sz w:val="2"/>
                <w:szCs w:val="2"/>
                <w:color w:val="auto"/>
              </w:rPr>
            </w:pPr>
          </w:p>
        </w:tc>
      </w:tr>
      <w:tr>
        <w:trPr>
          <w:trHeight w:val="237"/>
        </w:trPr>
        <w:tc>
          <w:tcPr>
            <w:tcW w:w="3960" w:type="dxa"/>
            <w:vAlign w:val="bottom"/>
          </w:tcPr>
          <w:p>
            <w:pPr>
              <w:ind w:left="240"/>
              <w:spacing w:after="0"/>
              <w:rPr>
                <w:sz w:val="20"/>
                <w:szCs w:val="20"/>
                <w:color w:val="auto"/>
              </w:rPr>
            </w:pPr>
            <w:r>
              <w:rPr>
                <w:rFonts w:ascii="Arial" w:cs="Arial" w:eastAsia="Arial" w:hAnsi="Arial"/>
                <w:sz w:val="18"/>
                <w:szCs w:val="18"/>
                <w:color w:val="auto"/>
              </w:rPr>
              <w:t>Total current assets</w:t>
            </w:r>
          </w:p>
        </w:tc>
        <w:tc>
          <w:tcPr>
            <w:tcW w:w="2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11,303.8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11,781.2</w:t>
            </w:r>
          </w:p>
        </w:tc>
        <w:tc>
          <w:tcPr>
            <w:tcW w:w="1040" w:type="dxa"/>
            <w:vAlign w:val="bottom"/>
          </w:tcPr>
          <w:p>
            <w:pPr>
              <w:spacing w:after="0"/>
              <w:rPr>
                <w:sz w:val="20"/>
                <w:szCs w:val="20"/>
                <w:color w:val="auto"/>
              </w:rPr>
            </w:pPr>
          </w:p>
        </w:tc>
      </w:tr>
      <w:tr>
        <w:trPr>
          <w:trHeight w:val="554"/>
        </w:trPr>
        <w:tc>
          <w:tcPr>
            <w:tcW w:w="396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3,345.0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3,259.8</w:t>
            </w:r>
          </w:p>
        </w:tc>
        <w:tc>
          <w:tcPr>
            <w:tcW w:w="1040" w:type="dxa"/>
            <w:vAlign w:val="bottom"/>
          </w:tcPr>
          <w:p>
            <w:pPr>
              <w:spacing w:after="0"/>
              <w:rPr>
                <w:sz w:val="24"/>
                <w:szCs w:val="24"/>
                <w:color w:val="auto"/>
              </w:rPr>
            </w:pPr>
          </w:p>
        </w:tc>
      </w:tr>
      <w:tr>
        <w:trPr>
          <w:trHeight w:val="270"/>
        </w:trPr>
        <w:tc>
          <w:tcPr>
            <w:tcW w:w="3960" w:type="dxa"/>
            <w:vAlign w:val="bottom"/>
          </w:tcPr>
          <w:p>
            <w:pPr>
              <w:spacing w:after="0"/>
              <w:rPr>
                <w:sz w:val="20"/>
                <w:szCs w:val="20"/>
                <w:color w:val="auto"/>
              </w:rPr>
            </w:pPr>
            <w:r>
              <w:rPr>
                <w:rFonts w:ascii="Arial" w:cs="Arial" w:eastAsia="Arial" w:hAnsi="Arial"/>
                <w:sz w:val="18"/>
                <w:szCs w:val="18"/>
                <w:color w:val="auto"/>
              </w:rPr>
              <w:t>Goodwill</w:t>
            </w:r>
          </w:p>
        </w:tc>
        <w:tc>
          <w:tcPr>
            <w:tcW w:w="28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7,609.2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7,607.6</w:t>
            </w:r>
          </w:p>
        </w:tc>
        <w:tc>
          <w:tcPr>
            <w:tcW w:w="1040" w:type="dxa"/>
            <w:vAlign w:val="bottom"/>
          </w:tcPr>
          <w:p>
            <w:pPr>
              <w:spacing w:after="0"/>
              <w:rPr>
                <w:sz w:val="23"/>
                <w:szCs w:val="23"/>
                <w:color w:val="auto"/>
              </w:rPr>
            </w:pPr>
          </w:p>
        </w:tc>
      </w:tr>
      <w:tr>
        <w:trPr>
          <w:trHeight w:val="270"/>
        </w:trPr>
        <w:tc>
          <w:tcPr>
            <w:tcW w:w="3960" w:type="dxa"/>
            <w:vAlign w:val="bottom"/>
          </w:tcPr>
          <w:p>
            <w:pPr>
              <w:spacing w:after="0"/>
              <w:rPr>
                <w:sz w:val="20"/>
                <w:szCs w:val="20"/>
                <w:color w:val="auto"/>
              </w:rPr>
            </w:pPr>
            <w:r>
              <w:rPr>
                <w:rFonts w:ascii="Arial" w:cs="Arial" w:eastAsia="Arial" w:hAnsi="Arial"/>
                <w:sz w:val="18"/>
                <w:szCs w:val="18"/>
                <w:color w:val="auto"/>
              </w:rPr>
              <w:t>Intangible assets, net</w:t>
            </w:r>
          </w:p>
        </w:tc>
        <w:tc>
          <w:tcPr>
            <w:tcW w:w="28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1,123.7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1,176.7</w:t>
            </w:r>
          </w:p>
        </w:tc>
        <w:tc>
          <w:tcPr>
            <w:tcW w:w="1040" w:type="dxa"/>
            <w:vAlign w:val="bottom"/>
          </w:tcPr>
          <w:p>
            <w:pPr>
              <w:spacing w:after="0"/>
              <w:rPr>
                <w:sz w:val="23"/>
                <w:szCs w:val="23"/>
                <w:color w:val="auto"/>
              </w:rPr>
            </w:pPr>
          </w:p>
        </w:tc>
      </w:tr>
      <w:tr>
        <w:trPr>
          <w:trHeight w:val="270"/>
        </w:trPr>
        <w:tc>
          <w:tcPr>
            <w:tcW w:w="3960" w:type="dxa"/>
            <w:vAlign w:val="bottom"/>
          </w:tcPr>
          <w:p>
            <w:pPr>
              <w:spacing w:after="0"/>
              <w:rPr>
                <w:sz w:val="20"/>
                <w:szCs w:val="20"/>
                <w:color w:val="auto"/>
              </w:rPr>
            </w:pPr>
            <w:r>
              <w:rPr>
                <w:rFonts w:ascii="Arial" w:cs="Arial" w:eastAsia="Arial" w:hAnsi="Arial"/>
                <w:sz w:val="18"/>
                <w:szCs w:val="18"/>
                <w:color w:val="auto"/>
              </w:rPr>
              <w:t>Other assets</w:t>
            </w:r>
          </w:p>
        </w:tc>
        <w:tc>
          <w:tcPr>
            <w:tcW w:w="28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2,197.2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959.2</w:t>
            </w:r>
          </w:p>
        </w:tc>
        <w:tc>
          <w:tcPr>
            <w:tcW w:w="1040" w:type="dxa"/>
            <w:vAlign w:val="bottom"/>
          </w:tcPr>
          <w:p>
            <w:pPr>
              <w:spacing w:after="0"/>
              <w:rPr>
                <w:sz w:val="23"/>
                <w:szCs w:val="23"/>
                <w:color w:val="auto"/>
              </w:rPr>
            </w:pPr>
          </w:p>
        </w:tc>
      </w:tr>
      <w:tr>
        <w:trPr>
          <w:trHeight w:val="27"/>
        </w:trPr>
        <w:tc>
          <w:tcPr>
            <w:tcW w:w="39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40" w:type="dxa"/>
            <w:vAlign w:val="bottom"/>
          </w:tcPr>
          <w:p>
            <w:pPr>
              <w:spacing w:after="0"/>
              <w:rPr>
                <w:sz w:val="2"/>
                <w:szCs w:val="2"/>
                <w:color w:val="auto"/>
              </w:rPr>
            </w:pPr>
          </w:p>
        </w:tc>
      </w:tr>
      <w:tr>
        <w:trPr>
          <w:trHeight w:val="257"/>
        </w:trPr>
        <w:tc>
          <w:tcPr>
            <w:tcW w:w="3960" w:type="dxa"/>
            <w:vAlign w:val="bottom"/>
          </w:tcPr>
          <w:p>
            <w:pPr>
              <w:spacing w:after="0"/>
              <w:rPr>
                <w:sz w:val="20"/>
                <w:szCs w:val="20"/>
                <w:color w:val="auto"/>
              </w:rPr>
            </w:pPr>
            <w:r>
              <w:rPr>
                <w:rFonts w:ascii="Arial" w:cs="Arial" w:eastAsia="Arial" w:hAnsi="Arial"/>
                <w:sz w:val="18"/>
                <w:szCs w:val="18"/>
                <w:color w:val="auto"/>
              </w:rPr>
              <w:t>Total assets</w:t>
            </w:r>
          </w:p>
        </w:tc>
        <w:tc>
          <w:tcPr>
            <w:tcW w:w="28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25,578.9</w:t>
            </w:r>
          </w:p>
        </w:tc>
        <w:tc>
          <w:tcPr>
            <w:tcW w:w="100" w:type="dxa"/>
            <w:vAlign w:val="bottom"/>
          </w:tcPr>
          <w:p>
            <w:pPr>
              <w:spacing w:after="0"/>
              <w:rPr>
                <w:sz w:val="22"/>
                <w:szCs w:val="22"/>
                <w:color w:val="auto"/>
              </w:rPr>
            </w:pP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24,784.5</w:t>
            </w:r>
          </w:p>
        </w:tc>
        <w:tc>
          <w:tcPr>
            <w:tcW w:w="1040" w:type="dxa"/>
            <w:vAlign w:val="bottom"/>
          </w:tcPr>
          <w:p>
            <w:pPr>
              <w:spacing w:after="0"/>
              <w:rPr>
                <w:sz w:val="22"/>
                <w:szCs w:val="22"/>
                <w:color w:val="auto"/>
              </w:rPr>
            </w:pPr>
          </w:p>
        </w:tc>
      </w:tr>
      <w:tr>
        <w:trPr>
          <w:trHeight w:val="20"/>
        </w:trPr>
        <w:tc>
          <w:tcPr>
            <w:tcW w:w="39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514"/>
        </w:trPr>
        <w:tc>
          <w:tcPr>
            <w:tcW w:w="3960" w:type="dxa"/>
            <w:vAlign w:val="bottom"/>
          </w:tcPr>
          <w:p>
            <w:pPr>
              <w:spacing w:after="0"/>
              <w:rPr>
                <w:sz w:val="20"/>
                <w:szCs w:val="20"/>
                <w:color w:val="auto"/>
              </w:rPr>
            </w:pPr>
            <w:r>
              <w:rPr>
                <w:rFonts w:ascii="Arial" w:cs="Arial" w:eastAsia="Arial" w:hAnsi="Arial"/>
                <w:sz w:val="18"/>
                <w:szCs w:val="18"/>
                <w:color w:val="auto"/>
                <w:w w:val="93"/>
              </w:rPr>
              <w:t>Short-term debt and current portion of long-term debt</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80.7</w:t>
            </w:r>
          </w:p>
        </w:tc>
        <w:tc>
          <w:tcPr>
            <w:tcW w:w="100" w:type="dxa"/>
            <w:vAlign w:val="bottom"/>
          </w:tcPr>
          <w:p>
            <w:pPr>
              <w:spacing w:after="0"/>
              <w:rPr>
                <w:sz w:val="24"/>
                <w:szCs w:val="24"/>
                <w:color w:val="auto"/>
              </w:rPr>
            </w:pP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67.4</w:t>
            </w:r>
          </w:p>
        </w:tc>
        <w:tc>
          <w:tcPr>
            <w:tcW w:w="1040" w:type="dxa"/>
            <w:vAlign w:val="bottom"/>
          </w:tcPr>
          <w:p>
            <w:pPr>
              <w:spacing w:after="0"/>
              <w:rPr>
                <w:sz w:val="24"/>
                <w:szCs w:val="24"/>
                <w:color w:val="auto"/>
              </w:rPr>
            </w:pPr>
          </w:p>
        </w:tc>
      </w:tr>
      <w:tr>
        <w:trPr>
          <w:trHeight w:val="270"/>
        </w:trPr>
        <w:tc>
          <w:tcPr>
            <w:tcW w:w="3960" w:type="dxa"/>
            <w:vAlign w:val="bottom"/>
          </w:tcPr>
          <w:p>
            <w:pPr>
              <w:spacing w:after="0"/>
              <w:rPr>
                <w:sz w:val="20"/>
                <w:szCs w:val="20"/>
                <w:color w:val="auto"/>
              </w:rPr>
            </w:pPr>
            <w:r>
              <w:rPr>
                <w:rFonts w:ascii="Arial" w:cs="Arial" w:eastAsia="Arial" w:hAnsi="Arial"/>
                <w:sz w:val="18"/>
                <w:szCs w:val="18"/>
                <w:color w:val="auto"/>
              </w:rPr>
              <w:t>Accounts payable, trade</w:t>
            </w:r>
          </w:p>
        </w:tc>
        <w:tc>
          <w:tcPr>
            <w:tcW w:w="28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2,488.7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2,600.3</w:t>
            </w:r>
          </w:p>
        </w:tc>
        <w:tc>
          <w:tcPr>
            <w:tcW w:w="1040" w:type="dxa"/>
            <w:vAlign w:val="bottom"/>
          </w:tcPr>
          <w:p>
            <w:pPr>
              <w:spacing w:after="0"/>
              <w:rPr>
                <w:sz w:val="23"/>
                <w:szCs w:val="23"/>
                <w:color w:val="auto"/>
              </w:rPr>
            </w:pPr>
          </w:p>
        </w:tc>
      </w:tr>
      <w:tr>
        <w:trPr>
          <w:trHeight w:val="270"/>
        </w:trPr>
        <w:tc>
          <w:tcPr>
            <w:tcW w:w="3960" w:type="dxa"/>
            <w:vAlign w:val="bottom"/>
          </w:tcPr>
          <w:p>
            <w:pPr>
              <w:spacing w:after="0"/>
              <w:rPr>
                <w:sz w:val="20"/>
                <w:szCs w:val="20"/>
                <w:color w:val="auto"/>
              </w:rPr>
            </w:pPr>
            <w:r>
              <w:rPr>
                <w:rFonts w:ascii="Arial" w:cs="Arial" w:eastAsia="Arial" w:hAnsi="Arial"/>
                <w:sz w:val="18"/>
                <w:szCs w:val="18"/>
                <w:color w:val="auto"/>
              </w:rPr>
              <w:t>Contract liabilities</w:t>
            </w:r>
          </w:p>
        </w:tc>
        <w:tc>
          <w:tcPr>
            <w:tcW w:w="28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4,354.6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4,085.1</w:t>
            </w:r>
          </w:p>
        </w:tc>
        <w:tc>
          <w:tcPr>
            <w:tcW w:w="1040" w:type="dxa"/>
            <w:vAlign w:val="bottom"/>
          </w:tcPr>
          <w:p>
            <w:pPr>
              <w:spacing w:after="0"/>
              <w:rPr>
                <w:sz w:val="23"/>
                <w:szCs w:val="23"/>
                <w:color w:val="auto"/>
              </w:rPr>
            </w:pPr>
          </w:p>
        </w:tc>
      </w:tr>
      <w:tr>
        <w:trPr>
          <w:trHeight w:val="270"/>
        </w:trPr>
        <w:tc>
          <w:tcPr>
            <w:tcW w:w="396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28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2,652.8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2,386.6</w:t>
            </w:r>
          </w:p>
        </w:tc>
        <w:tc>
          <w:tcPr>
            <w:tcW w:w="1040" w:type="dxa"/>
            <w:vAlign w:val="bottom"/>
          </w:tcPr>
          <w:p>
            <w:pPr>
              <w:spacing w:after="0"/>
              <w:rPr>
                <w:sz w:val="23"/>
                <w:szCs w:val="23"/>
                <w:color w:val="auto"/>
              </w:rPr>
            </w:pPr>
          </w:p>
        </w:tc>
      </w:tr>
      <w:tr>
        <w:trPr>
          <w:trHeight w:val="27"/>
        </w:trPr>
        <w:tc>
          <w:tcPr>
            <w:tcW w:w="39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40" w:type="dxa"/>
            <w:vAlign w:val="bottom"/>
          </w:tcPr>
          <w:p>
            <w:pPr>
              <w:spacing w:after="0"/>
              <w:rPr>
                <w:sz w:val="2"/>
                <w:szCs w:val="2"/>
                <w:color w:val="auto"/>
              </w:rPr>
            </w:pPr>
          </w:p>
        </w:tc>
      </w:tr>
      <w:tr>
        <w:trPr>
          <w:trHeight w:val="237"/>
        </w:trPr>
        <w:tc>
          <w:tcPr>
            <w:tcW w:w="3960" w:type="dxa"/>
            <w:vAlign w:val="bottom"/>
          </w:tcPr>
          <w:p>
            <w:pPr>
              <w:ind w:left="240"/>
              <w:spacing w:after="0"/>
              <w:rPr>
                <w:sz w:val="20"/>
                <w:szCs w:val="20"/>
                <w:color w:val="auto"/>
              </w:rPr>
            </w:pPr>
            <w:r>
              <w:rPr>
                <w:rFonts w:ascii="Arial" w:cs="Arial" w:eastAsia="Arial" w:hAnsi="Arial"/>
                <w:sz w:val="18"/>
                <w:szCs w:val="18"/>
                <w:color w:val="auto"/>
              </w:rPr>
              <w:t>Total current liabilities</w:t>
            </w:r>
          </w:p>
        </w:tc>
        <w:tc>
          <w:tcPr>
            <w:tcW w:w="2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9,576.8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9,139.4</w:t>
            </w:r>
          </w:p>
        </w:tc>
        <w:tc>
          <w:tcPr>
            <w:tcW w:w="1040" w:type="dxa"/>
            <w:vAlign w:val="bottom"/>
          </w:tcPr>
          <w:p>
            <w:pPr>
              <w:spacing w:after="0"/>
              <w:rPr>
                <w:sz w:val="20"/>
                <w:szCs w:val="20"/>
                <w:color w:val="auto"/>
              </w:rPr>
            </w:pPr>
          </w:p>
        </w:tc>
      </w:tr>
      <w:tr>
        <w:trPr>
          <w:trHeight w:val="554"/>
        </w:trPr>
        <w:tc>
          <w:tcPr>
            <w:tcW w:w="396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2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3,701.1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4,124.3</w:t>
            </w:r>
          </w:p>
        </w:tc>
        <w:tc>
          <w:tcPr>
            <w:tcW w:w="1040" w:type="dxa"/>
            <w:vAlign w:val="bottom"/>
          </w:tcPr>
          <w:p>
            <w:pPr>
              <w:spacing w:after="0"/>
              <w:rPr>
                <w:sz w:val="24"/>
                <w:szCs w:val="24"/>
                <w:color w:val="auto"/>
              </w:rPr>
            </w:pPr>
          </w:p>
        </w:tc>
      </w:tr>
      <w:tr>
        <w:trPr>
          <w:trHeight w:val="270"/>
        </w:trPr>
        <w:tc>
          <w:tcPr>
            <w:tcW w:w="3960" w:type="dxa"/>
            <w:vAlign w:val="bottom"/>
          </w:tcPr>
          <w:p>
            <w:pPr>
              <w:spacing w:after="0"/>
              <w:rPr>
                <w:sz w:val="20"/>
                <w:szCs w:val="20"/>
                <w:color w:val="auto"/>
              </w:rPr>
            </w:pPr>
            <w:r>
              <w:rPr>
                <w:rFonts w:ascii="Arial" w:cs="Arial" w:eastAsia="Arial" w:hAnsi="Arial"/>
                <w:sz w:val="18"/>
                <w:szCs w:val="18"/>
                <w:color w:val="auto"/>
              </w:rPr>
              <w:t>Other liabilities</w:t>
            </w:r>
          </w:p>
        </w:tc>
        <w:tc>
          <w:tcPr>
            <w:tcW w:w="28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1,882.1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1,093.4</w:t>
            </w:r>
          </w:p>
        </w:tc>
        <w:tc>
          <w:tcPr>
            <w:tcW w:w="1040" w:type="dxa"/>
            <w:vAlign w:val="bottom"/>
          </w:tcPr>
          <w:p>
            <w:pPr>
              <w:spacing w:after="0"/>
              <w:rPr>
                <w:sz w:val="23"/>
                <w:szCs w:val="23"/>
                <w:color w:val="auto"/>
              </w:rPr>
            </w:pPr>
          </w:p>
        </w:tc>
      </w:tr>
      <w:tr>
        <w:trPr>
          <w:trHeight w:val="270"/>
        </w:trPr>
        <w:tc>
          <w:tcPr>
            <w:tcW w:w="3960" w:type="dxa"/>
            <w:vAlign w:val="bottom"/>
          </w:tcPr>
          <w:p>
            <w:pPr>
              <w:spacing w:after="0"/>
              <w:rPr>
                <w:sz w:val="20"/>
                <w:szCs w:val="20"/>
                <w:color w:val="auto"/>
              </w:rPr>
            </w:pPr>
            <w:r>
              <w:rPr>
                <w:rFonts w:ascii="Arial" w:cs="Arial" w:eastAsia="Arial" w:hAnsi="Arial"/>
                <w:sz w:val="18"/>
                <w:szCs w:val="18"/>
                <w:color w:val="auto"/>
              </w:rPr>
              <w:t>Redeemable noncontrolling interest</w:t>
            </w:r>
          </w:p>
        </w:tc>
        <w:tc>
          <w:tcPr>
            <w:tcW w:w="28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38.5</w:t>
            </w:r>
          </w:p>
        </w:tc>
        <w:tc>
          <w:tcPr>
            <w:tcW w:w="1040" w:type="dxa"/>
            <w:vAlign w:val="bottom"/>
          </w:tcPr>
          <w:p>
            <w:pPr>
              <w:spacing w:after="0"/>
              <w:rPr>
                <w:sz w:val="23"/>
                <w:szCs w:val="23"/>
                <w:color w:val="auto"/>
              </w:rPr>
            </w:pPr>
          </w:p>
        </w:tc>
      </w:tr>
      <w:tr>
        <w:trPr>
          <w:trHeight w:val="270"/>
        </w:trPr>
        <w:tc>
          <w:tcPr>
            <w:tcW w:w="3960" w:type="dxa"/>
            <w:vAlign w:val="bottom"/>
          </w:tcPr>
          <w:p>
            <w:pPr>
              <w:spacing w:after="0"/>
              <w:rPr>
                <w:sz w:val="20"/>
                <w:szCs w:val="20"/>
                <w:color w:val="auto"/>
              </w:rPr>
            </w:pPr>
            <w:r>
              <w:rPr>
                <w:rFonts w:ascii="Arial" w:cs="Arial" w:eastAsia="Arial" w:hAnsi="Arial"/>
                <w:sz w:val="18"/>
                <w:szCs w:val="18"/>
                <w:color w:val="auto"/>
              </w:rPr>
              <w:t>TechnipFMC plc stockholders’ equity</w:t>
            </w:r>
          </w:p>
        </w:tc>
        <w:tc>
          <w:tcPr>
            <w:tcW w:w="28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10,334.6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10,357.6</w:t>
            </w:r>
          </w:p>
        </w:tc>
        <w:tc>
          <w:tcPr>
            <w:tcW w:w="1040" w:type="dxa"/>
            <w:vAlign w:val="bottom"/>
          </w:tcPr>
          <w:p>
            <w:pPr>
              <w:spacing w:after="0"/>
              <w:rPr>
                <w:sz w:val="23"/>
                <w:szCs w:val="23"/>
                <w:color w:val="auto"/>
              </w:rPr>
            </w:pPr>
          </w:p>
        </w:tc>
      </w:tr>
      <w:tr>
        <w:trPr>
          <w:trHeight w:val="270"/>
        </w:trPr>
        <w:tc>
          <w:tcPr>
            <w:tcW w:w="396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28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31.3</w:t>
            </w:r>
          </w:p>
        </w:tc>
        <w:tc>
          <w:tcPr>
            <w:tcW w:w="1040" w:type="dxa"/>
            <w:vAlign w:val="bottom"/>
          </w:tcPr>
          <w:p>
            <w:pPr>
              <w:spacing w:after="0"/>
              <w:rPr>
                <w:sz w:val="23"/>
                <w:szCs w:val="23"/>
                <w:color w:val="auto"/>
              </w:rPr>
            </w:pPr>
          </w:p>
        </w:tc>
      </w:tr>
      <w:tr>
        <w:trPr>
          <w:trHeight w:val="27"/>
        </w:trPr>
        <w:tc>
          <w:tcPr>
            <w:tcW w:w="39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40" w:type="dxa"/>
            <w:vAlign w:val="bottom"/>
          </w:tcPr>
          <w:p>
            <w:pPr>
              <w:spacing w:after="0"/>
              <w:rPr>
                <w:sz w:val="2"/>
                <w:szCs w:val="2"/>
                <w:color w:val="auto"/>
              </w:rPr>
            </w:pPr>
          </w:p>
        </w:tc>
      </w:tr>
      <w:tr>
        <w:trPr>
          <w:trHeight w:val="257"/>
        </w:trPr>
        <w:tc>
          <w:tcPr>
            <w:tcW w:w="3960" w:type="dxa"/>
            <w:vAlign w:val="bottom"/>
          </w:tcPr>
          <w:p>
            <w:pPr>
              <w:spacing w:after="0"/>
              <w:rPr>
                <w:sz w:val="20"/>
                <w:szCs w:val="20"/>
                <w:color w:val="auto"/>
              </w:rPr>
            </w:pPr>
            <w:r>
              <w:rPr>
                <w:rFonts w:ascii="Arial" w:cs="Arial" w:eastAsia="Arial" w:hAnsi="Arial"/>
                <w:sz w:val="18"/>
                <w:szCs w:val="18"/>
                <w:color w:val="auto"/>
              </w:rPr>
              <w:t>Total liabilities and equity</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25,578.9</w:t>
            </w:r>
          </w:p>
        </w:tc>
        <w:tc>
          <w:tcPr>
            <w:tcW w:w="100" w:type="dxa"/>
            <w:vAlign w:val="bottom"/>
          </w:tcPr>
          <w:p>
            <w:pPr>
              <w:spacing w:after="0"/>
              <w:rPr>
                <w:sz w:val="22"/>
                <w:szCs w:val="22"/>
                <w:color w:val="auto"/>
              </w:rPr>
            </w:pP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24,784.5</w:t>
            </w:r>
          </w:p>
        </w:tc>
        <w:tc>
          <w:tcPr>
            <w:tcW w:w="1040" w:type="dxa"/>
            <w:vAlign w:val="bottom"/>
          </w:tcPr>
          <w:p>
            <w:pPr>
              <w:spacing w:after="0"/>
              <w:rPr>
                <w:sz w:val="22"/>
                <w:szCs w:val="22"/>
                <w:color w:val="auto"/>
              </w:rPr>
            </w:pPr>
          </w:p>
        </w:tc>
      </w:tr>
      <w:tr>
        <w:trPr>
          <w:trHeight w:val="20"/>
        </w:trPr>
        <w:tc>
          <w:tcPr>
            <w:tcW w:w="39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623"/>
        </w:trPr>
        <w:tc>
          <w:tcPr>
            <w:tcW w:w="3960" w:type="dxa"/>
            <w:vAlign w:val="bottom"/>
          </w:tcPr>
          <w:p>
            <w:pPr>
              <w:spacing w:after="0"/>
              <w:rPr>
                <w:sz w:val="24"/>
                <w:szCs w:val="24"/>
                <w:color w:val="auto"/>
              </w:rPr>
            </w:pPr>
          </w:p>
        </w:tc>
        <w:tc>
          <w:tcPr>
            <w:tcW w:w="2980" w:type="dxa"/>
            <w:vAlign w:val="bottom"/>
            <w:gridSpan w:val="2"/>
          </w:tcPr>
          <w:p>
            <w:pPr>
              <w:jc w:val="right"/>
              <w:ind w:right="1630"/>
              <w:spacing w:after="0"/>
              <w:rPr>
                <w:sz w:val="20"/>
                <w:szCs w:val="20"/>
                <w:color w:val="auto"/>
              </w:rPr>
            </w:pPr>
            <w:r>
              <w:rPr>
                <w:rFonts w:ascii="Arial" w:cs="Arial" w:eastAsia="Arial" w:hAnsi="Arial"/>
                <w:sz w:val="14"/>
                <w:szCs w:val="14"/>
                <w:b w:val="1"/>
                <w:bCs w:val="1"/>
                <w:color w:val="auto"/>
              </w:rPr>
              <w:t>TechnipFMC.com</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tcPr>
          <w:p>
            <w:pPr>
              <w:ind w:left="120"/>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Page 18 of </w:t>
            </w:r>
            <w:hyperlink w:anchor="page30">
              <w:r>
                <w:rPr>
                  <w:rFonts w:ascii="Arial" w:cs="Arial" w:eastAsia="Arial" w:hAnsi="Arial"/>
                  <w:sz w:val="14"/>
                  <w:szCs w:val="14"/>
                  <w:b w:val="1"/>
                  <w:bCs w:val="1"/>
                  <w:color w:val="auto"/>
                </w:rPr>
                <w:t>25</w:t>
              </w:r>
            </w:hyperlink>
          </w:p>
        </w:tc>
      </w:tr>
    </w:tbl>
    <w:p>
      <w:pPr>
        <w:sectPr>
          <w:pgSz w:w="11900" w:h="16838" w:orient="portrait"/>
          <w:cols w:equalWidth="0" w:num="1">
            <w:col w:w="10280"/>
          </w:cols>
          <w:pgMar w:left="1380" w:top="526"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3"/>
          <w:szCs w:val="13"/>
          <w:b w:val="1"/>
          <w:bCs w:val="1"/>
          <w:color w:val="auto"/>
        </w:rPr>
        <w:t>Exhibit 5</w:t>
      </w:r>
    </w:p>
    <w:p>
      <w:pPr>
        <w:spacing w:after="0" w:line="166" w:lineRule="exact"/>
        <w:rPr>
          <w:sz w:val="20"/>
          <w:szCs w:val="20"/>
          <w:color w:val="auto"/>
        </w:rPr>
      </w:pPr>
    </w:p>
    <w:p>
      <w:pPr>
        <w:jc w:val="center"/>
        <w:ind w:right="1120"/>
        <w:spacing w:after="0"/>
        <w:rPr>
          <w:sz w:val="20"/>
          <w:szCs w:val="20"/>
          <w:color w:val="auto"/>
        </w:rPr>
      </w:pPr>
      <w:r>
        <w:rPr>
          <w:rFonts w:ascii="Arial" w:cs="Arial" w:eastAsia="Arial" w:hAnsi="Arial"/>
          <w:sz w:val="16"/>
          <w:szCs w:val="16"/>
          <w:b w:val="1"/>
          <w:bCs w:val="1"/>
          <w:u w:val="single" w:color="auto"/>
          <w:color w:val="auto"/>
        </w:rPr>
        <w:t>TECHNIPFMC PLC AND CONSOLIDATED SUBSIDIARIES</w:t>
      </w:r>
    </w:p>
    <w:p>
      <w:pPr>
        <w:spacing w:after="0" w:line="23" w:lineRule="exact"/>
        <w:rPr>
          <w:sz w:val="20"/>
          <w:szCs w:val="20"/>
          <w:color w:val="auto"/>
        </w:rPr>
      </w:pPr>
    </w:p>
    <w:p>
      <w:pPr>
        <w:jc w:val="center"/>
        <w:ind w:right="1120"/>
        <w:spacing w:after="0"/>
        <w:rPr>
          <w:sz w:val="20"/>
          <w:szCs w:val="20"/>
          <w:color w:val="auto"/>
        </w:rPr>
      </w:pPr>
      <w:r>
        <w:rPr>
          <w:rFonts w:ascii="Arial" w:cs="Arial" w:eastAsia="Arial" w:hAnsi="Arial"/>
          <w:sz w:val="16"/>
          <w:szCs w:val="16"/>
          <w:b w:val="1"/>
          <w:bCs w:val="1"/>
          <w:u w:val="single" w:color="auto"/>
          <w:color w:val="auto"/>
        </w:rPr>
        <w:t>CONSOLIDATED STATEMENTS OF CASH FLOWS</w:t>
      </w:r>
    </w:p>
    <w:p>
      <w:pPr>
        <w:spacing w:after="0" w:line="5" w:lineRule="exact"/>
        <w:rPr>
          <w:sz w:val="20"/>
          <w:szCs w:val="20"/>
          <w:color w:val="auto"/>
        </w:rPr>
      </w:pPr>
    </w:p>
    <w:p>
      <w:pPr>
        <w:jc w:val="center"/>
        <w:ind w:right="1120"/>
        <w:spacing w:after="0"/>
        <w:rPr>
          <w:sz w:val="20"/>
          <w:szCs w:val="20"/>
          <w:color w:val="auto"/>
        </w:rPr>
      </w:pPr>
      <w:r>
        <w:rPr>
          <w:rFonts w:ascii="Arial" w:cs="Arial" w:eastAsia="Arial" w:hAnsi="Arial"/>
          <w:sz w:val="16"/>
          <w:szCs w:val="16"/>
          <w:b w:val="1"/>
          <w:bCs w:val="1"/>
          <w:color w:val="auto"/>
        </w:rPr>
        <w:t>(In millions)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3"/>
          </w:tcPr>
          <w:p>
            <w:pPr>
              <w:jc w:val="center"/>
              <w:ind w:left="459"/>
              <w:spacing w:after="0"/>
              <w:rPr>
                <w:sz w:val="20"/>
                <w:szCs w:val="20"/>
                <w:color w:val="auto"/>
              </w:rPr>
            </w:pPr>
            <w:r>
              <w:rPr>
                <w:rFonts w:ascii="Arial" w:cs="Arial" w:eastAsia="Arial" w:hAnsi="Arial"/>
                <w:sz w:val="16"/>
                <w:szCs w:val="16"/>
                <w:b w:val="1"/>
                <w:bCs w:val="1"/>
                <w:color w:val="auto"/>
                <w:w w:val="94"/>
              </w:rPr>
              <w:t>(Unaudited)</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4"/>
          </w:tcPr>
          <w:p>
            <w:pPr>
              <w:jc w:val="center"/>
              <w:ind w:right="159"/>
              <w:spacing w:after="0"/>
              <w:rPr>
                <w:sz w:val="20"/>
                <w:szCs w:val="20"/>
                <w:color w:val="auto"/>
              </w:rPr>
            </w:pPr>
            <w:r>
              <w:rPr>
                <w:rFonts w:ascii="Arial" w:cs="Arial" w:eastAsia="Arial" w:hAnsi="Arial"/>
                <w:sz w:val="16"/>
                <w:szCs w:val="16"/>
                <w:b w:val="1"/>
                <w:bCs w:val="1"/>
                <w:color w:val="auto"/>
                <w:w w:val="92"/>
              </w:rPr>
              <w:t>Six Months Ended</w:t>
            </w:r>
          </w:p>
        </w:tc>
        <w:tc>
          <w:tcPr>
            <w:tcW w:w="0" w:type="dxa"/>
            <w:vAlign w:val="bottom"/>
          </w:tcPr>
          <w:p>
            <w:pPr>
              <w:spacing w:after="0"/>
              <w:rPr>
                <w:sz w:val="1"/>
                <w:szCs w:val="1"/>
                <w:color w:val="auto"/>
              </w:rPr>
            </w:pPr>
          </w:p>
        </w:tc>
      </w:tr>
      <w:tr>
        <w:trPr>
          <w:trHeight w:val="257"/>
        </w:trPr>
        <w:tc>
          <w:tcPr>
            <w:tcW w:w="6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60" w:type="dxa"/>
            <w:vAlign w:val="bottom"/>
            <w:gridSpan w:val="3"/>
          </w:tcPr>
          <w:p>
            <w:pPr>
              <w:jc w:val="center"/>
              <w:ind w:left="479"/>
              <w:spacing w:after="0"/>
              <w:rPr>
                <w:sz w:val="20"/>
                <w:szCs w:val="20"/>
                <w:color w:val="auto"/>
              </w:rPr>
            </w:pPr>
            <w:r>
              <w:rPr>
                <w:rFonts w:ascii="Arial" w:cs="Arial" w:eastAsia="Arial" w:hAnsi="Arial"/>
                <w:sz w:val="16"/>
                <w:szCs w:val="16"/>
                <w:b w:val="1"/>
                <w:bCs w:val="1"/>
                <w:color w:val="auto"/>
                <w:w w:val="90"/>
              </w:rPr>
              <w:t>June 30,</w:t>
            </w: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
        </w:trPr>
        <w:tc>
          <w:tcPr>
            <w:tcW w:w="6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jc w:val="right"/>
              <w:ind w:right="359"/>
              <w:spacing w:after="0"/>
              <w:rPr>
                <w:sz w:val="20"/>
                <w:szCs w:val="20"/>
                <w:color w:val="auto"/>
              </w:rPr>
            </w:pPr>
            <w:r>
              <w:rPr>
                <w:rFonts w:ascii="Arial" w:cs="Arial" w:eastAsia="Arial" w:hAnsi="Arial"/>
                <w:sz w:val="16"/>
                <w:szCs w:val="16"/>
                <w:b w:val="1"/>
                <w:bCs w:val="1"/>
                <w:color w:val="auto"/>
                <w:w w:val="89"/>
              </w:rPr>
              <w:t>2018</w:t>
            </w:r>
          </w:p>
        </w:tc>
        <w:tc>
          <w:tcPr>
            <w:tcW w:w="0" w:type="dxa"/>
            <w:vAlign w:val="bottom"/>
          </w:tcPr>
          <w:p>
            <w:pPr>
              <w:spacing w:after="0"/>
              <w:rPr>
                <w:sz w:val="1"/>
                <w:szCs w:val="1"/>
                <w:color w:val="auto"/>
              </w:rPr>
            </w:pPr>
          </w:p>
        </w:tc>
      </w:tr>
      <w:tr>
        <w:trPr>
          <w:trHeight w:val="33"/>
        </w:trPr>
        <w:tc>
          <w:tcPr>
            <w:tcW w:w="6700" w:type="dxa"/>
            <w:vAlign w:val="bottom"/>
            <w:vMerge w:val="restart"/>
          </w:tcPr>
          <w:p>
            <w:pPr>
              <w:spacing w:after="0"/>
              <w:rPr>
                <w:sz w:val="20"/>
                <w:szCs w:val="20"/>
                <w:color w:val="auto"/>
              </w:rPr>
            </w:pPr>
            <w:r>
              <w:rPr>
                <w:rFonts w:ascii="Arial" w:cs="Arial" w:eastAsia="Arial" w:hAnsi="Arial"/>
                <w:sz w:val="16"/>
                <w:szCs w:val="16"/>
                <w:color w:val="auto"/>
              </w:rPr>
              <w:t>Cash provided (required) by operating activities</w:t>
            </w: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7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70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133.5</w:t>
            </w:r>
          </w:p>
        </w:tc>
        <w:tc>
          <w:tcPr>
            <w:tcW w:w="100" w:type="dxa"/>
            <w:vAlign w:val="bottom"/>
          </w:tcPr>
          <w:p>
            <w:pPr>
              <w:spacing w:after="0"/>
              <w:rPr>
                <w:sz w:val="23"/>
                <w:szCs w:val="23"/>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201.5</w:t>
            </w:r>
          </w:p>
        </w:tc>
        <w:tc>
          <w:tcPr>
            <w:tcW w:w="0" w:type="dxa"/>
            <w:vAlign w:val="bottom"/>
          </w:tcPr>
          <w:p>
            <w:pPr>
              <w:spacing w:after="0"/>
              <w:rPr>
                <w:sz w:val="1"/>
                <w:szCs w:val="1"/>
                <w:color w:val="auto"/>
              </w:rPr>
            </w:pPr>
          </w:p>
        </w:tc>
      </w:tr>
      <w:tr>
        <w:trPr>
          <w:trHeight w:val="270"/>
        </w:trPr>
        <w:tc>
          <w:tcPr>
            <w:tcW w:w="6700" w:type="dxa"/>
            <w:vAlign w:val="bottom"/>
          </w:tcPr>
          <w:p>
            <w:pPr>
              <w:spacing w:after="0"/>
              <w:rPr>
                <w:sz w:val="20"/>
                <w:szCs w:val="20"/>
                <w:color w:val="auto"/>
              </w:rPr>
            </w:pPr>
            <w:r>
              <w:rPr>
                <w:rFonts w:ascii="Arial" w:cs="Arial" w:eastAsia="Arial" w:hAnsi="Arial"/>
                <w:sz w:val="16"/>
                <w:szCs w:val="16"/>
                <w:color w:val="auto"/>
              </w:rPr>
              <w:t>Adjustments to reconcile net income (loss) to cash provided (required) by operating activities</w:t>
            </w: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700" w:type="dxa"/>
            <w:vAlign w:val="bottom"/>
          </w:tcPr>
          <w:p>
            <w:pPr>
              <w:ind w:left="360"/>
              <w:spacing w:after="0"/>
              <w:rPr>
                <w:sz w:val="20"/>
                <w:szCs w:val="20"/>
                <w:color w:val="auto"/>
              </w:rPr>
            </w:pPr>
            <w:r>
              <w:rPr>
                <w:rFonts w:ascii="Arial" w:cs="Arial" w:eastAsia="Arial" w:hAnsi="Arial"/>
                <w:sz w:val="16"/>
                <w:szCs w:val="16"/>
                <w:color w:val="auto"/>
              </w:rPr>
              <w:t>Depreciation</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176.2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179.6</w:t>
            </w:r>
          </w:p>
        </w:tc>
        <w:tc>
          <w:tcPr>
            <w:tcW w:w="0" w:type="dxa"/>
            <w:vAlign w:val="bottom"/>
          </w:tcPr>
          <w:p>
            <w:pPr>
              <w:spacing w:after="0"/>
              <w:rPr>
                <w:sz w:val="1"/>
                <w:szCs w:val="1"/>
                <w:color w:val="auto"/>
              </w:rPr>
            </w:pPr>
          </w:p>
        </w:tc>
      </w:tr>
      <w:tr>
        <w:trPr>
          <w:trHeight w:val="270"/>
        </w:trPr>
        <w:tc>
          <w:tcPr>
            <w:tcW w:w="6700" w:type="dxa"/>
            <w:vAlign w:val="bottom"/>
          </w:tcPr>
          <w:p>
            <w:pPr>
              <w:ind w:left="360"/>
              <w:spacing w:after="0"/>
              <w:rPr>
                <w:sz w:val="20"/>
                <w:szCs w:val="20"/>
                <w:color w:val="auto"/>
              </w:rPr>
            </w:pPr>
            <w:r>
              <w:rPr>
                <w:rFonts w:ascii="Arial" w:cs="Arial" w:eastAsia="Arial" w:hAnsi="Arial"/>
                <w:sz w:val="16"/>
                <w:szCs w:val="16"/>
                <w:color w:val="auto"/>
              </w:rPr>
              <w:t>Amortization</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60.7</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90.9</w:t>
            </w:r>
          </w:p>
        </w:tc>
        <w:tc>
          <w:tcPr>
            <w:tcW w:w="0" w:type="dxa"/>
            <w:vAlign w:val="bottom"/>
          </w:tcPr>
          <w:p>
            <w:pPr>
              <w:spacing w:after="0"/>
              <w:rPr>
                <w:sz w:val="1"/>
                <w:szCs w:val="1"/>
                <w:color w:val="auto"/>
              </w:rPr>
            </w:pPr>
          </w:p>
        </w:tc>
      </w:tr>
      <w:tr>
        <w:trPr>
          <w:trHeight w:val="270"/>
        </w:trPr>
        <w:tc>
          <w:tcPr>
            <w:tcW w:w="6700" w:type="dxa"/>
            <w:vAlign w:val="bottom"/>
          </w:tcPr>
          <w:p>
            <w:pPr>
              <w:ind w:left="360"/>
              <w:spacing w:after="0"/>
              <w:rPr>
                <w:sz w:val="20"/>
                <w:szCs w:val="20"/>
                <w:color w:val="auto"/>
              </w:rPr>
            </w:pPr>
            <w:r>
              <w:rPr>
                <w:rFonts w:ascii="Arial" w:cs="Arial" w:eastAsia="Arial" w:hAnsi="Arial"/>
                <w:sz w:val="16"/>
                <w:szCs w:val="16"/>
                <w:color w:val="auto"/>
              </w:rPr>
              <w:t>Impairments</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70"/>
        </w:trPr>
        <w:tc>
          <w:tcPr>
            <w:tcW w:w="6700" w:type="dxa"/>
            <w:vAlign w:val="bottom"/>
          </w:tcPr>
          <w:p>
            <w:pPr>
              <w:ind w:left="360"/>
              <w:spacing w:after="0"/>
              <w:rPr>
                <w:sz w:val="20"/>
                <w:szCs w:val="20"/>
                <w:color w:val="auto"/>
              </w:rPr>
            </w:pPr>
            <w:r>
              <w:rPr>
                <w:rFonts w:ascii="Arial" w:cs="Arial" w:eastAsia="Arial" w:hAnsi="Arial"/>
                <w:sz w:val="16"/>
                <w:szCs w:val="16"/>
                <w:color w:val="auto"/>
              </w:rPr>
              <w:t>Employee benefit plan and share-based compensation costs</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37.6</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270"/>
        </w:trPr>
        <w:tc>
          <w:tcPr>
            <w:tcW w:w="6700" w:type="dxa"/>
            <w:vAlign w:val="bottom"/>
          </w:tcPr>
          <w:p>
            <w:pPr>
              <w:ind w:left="360"/>
              <w:spacing w:after="0"/>
              <w:rPr>
                <w:sz w:val="20"/>
                <w:szCs w:val="20"/>
                <w:color w:val="auto"/>
              </w:rPr>
            </w:pPr>
            <w:r>
              <w:rPr>
                <w:rFonts w:ascii="Arial" w:cs="Arial" w:eastAsia="Arial" w:hAnsi="Arial"/>
                <w:sz w:val="16"/>
                <w:szCs w:val="16"/>
                <w:color w:val="auto"/>
              </w:rPr>
              <w:t>Deferred income tax provision (benefit), net</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(127.5)</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(36.2)</w:t>
            </w:r>
          </w:p>
        </w:tc>
        <w:tc>
          <w:tcPr>
            <w:tcW w:w="0" w:type="dxa"/>
            <w:vAlign w:val="bottom"/>
          </w:tcPr>
          <w:p>
            <w:pPr>
              <w:spacing w:after="0"/>
              <w:rPr>
                <w:sz w:val="1"/>
                <w:szCs w:val="1"/>
                <w:color w:val="auto"/>
              </w:rPr>
            </w:pPr>
          </w:p>
        </w:tc>
      </w:tr>
      <w:tr>
        <w:trPr>
          <w:trHeight w:val="270"/>
        </w:trPr>
        <w:tc>
          <w:tcPr>
            <w:tcW w:w="6700" w:type="dxa"/>
            <w:vAlign w:val="bottom"/>
          </w:tcPr>
          <w:p>
            <w:pPr>
              <w:ind w:left="360"/>
              <w:spacing w:after="0"/>
              <w:rPr>
                <w:sz w:val="20"/>
                <w:szCs w:val="20"/>
                <w:color w:val="auto"/>
              </w:rPr>
            </w:pPr>
            <w:r>
              <w:rPr>
                <w:rFonts w:ascii="Arial" w:cs="Arial" w:eastAsia="Arial" w:hAnsi="Arial"/>
                <w:sz w:val="16"/>
                <w:szCs w:val="16"/>
                <w:color w:val="auto"/>
              </w:rPr>
              <w:t>Unrealized loss on derivative instruments and foreign exchange</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27.5</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31.5</w:t>
            </w:r>
          </w:p>
        </w:tc>
        <w:tc>
          <w:tcPr>
            <w:tcW w:w="0" w:type="dxa"/>
            <w:vAlign w:val="bottom"/>
          </w:tcPr>
          <w:p>
            <w:pPr>
              <w:spacing w:after="0"/>
              <w:rPr>
                <w:sz w:val="1"/>
                <w:szCs w:val="1"/>
                <w:color w:val="auto"/>
              </w:rPr>
            </w:pPr>
          </w:p>
        </w:tc>
      </w:tr>
      <w:tr>
        <w:trPr>
          <w:trHeight w:val="270"/>
        </w:trPr>
        <w:tc>
          <w:tcPr>
            <w:tcW w:w="6700" w:type="dxa"/>
            <w:vAlign w:val="bottom"/>
          </w:tcPr>
          <w:p>
            <w:pPr>
              <w:ind w:left="360"/>
              <w:spacing w:after="0"/>
              <w:rPr>
                <w:sz w:val="20"/>
                <w:szCs w:val="20"/>
                <w:color w:val="auto"/>
              </w:rPr>
            </w:pPr>
            <w:r>
              <w:rPr>
                <w:rFonts w:ascii="Arial" w:cs="Arial" w:eastAsia="Arial" w:hAnsi="Arial"/>
                <w:sz w:val="16"/>
                <w:szCs w:val="16"/>
                <w:color w:val="auto"/>
              </w:rPr>
              <w:t>Income from equity affiliates, net of dividends received</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(51.8)</w:t>
            </w:r>
          </w:p>
        </w:tc>
        <w:tc>
          <w:tcPr>
            <w:tcW w:w="0" w:type="dxa"/>
            <w:vAlign w:val="bottom"/>
          </w:tcPr>
          <w:p>
            <w:pPr>
              <w:spacing w:after="0"/>
              <w:rPr>
                <w:sz w:val="1"/>
                <w:szCs w:val="1"/>
                <w:color w:val="auto"/>
              </w:rPr>
            </w:pPr>
          </w:p>
        </w:tc>
      </w:tr>
      <w:tr>
        <w:trPr>
          <w:trHeight w:val="270"/>
        </w:trPr>
        <w:tc>
          <w:tcPr>
            <w:tcW w:w="6700" w:type="dxa"/>
            <w:vAlign w:val="bottom"/>
          </w:tcPr>
          <w:p>
            <w:pPr>
              <w:ind w:left="360"/>
              <w:spacing w:after="0"/>
              <w:rPr>
                <w:sz w:val="20"/>
                <w:szCs w:val="20"/>
                <w:color w:val="auto"/>
              </w:rPr>
            </w:pPr>
            <w:r>
              <w:rPr>
                <w:rFonts w:ascii="Arial" w:cs="Arial" w:eastAsia="Arial" w:hAnsi="Arial"/>
                <w:sz w:val="16"/>
                <w:szCs w:val="16"/>
                <w:color w:val="auto"/>
              </w:rPr>
              <w:t>Other</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230.5</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51.0</w:t>
            </w:r>
          </w:p>
        </w:tc>
        <w:tc>
          <w:tcPr>
            <w:tcW w:w="0" w:type="dxa"/>
            <w:vAlign w:val="bottom"/>
          </w:tcPr>
          <w:p>
            <w:pPr>
              <w:spacing w:after="0"/>
              <w:rPr>
                <w:sz w:val="1"/>
                <w:szCs w:val="1"/>
                <w:color w:val="auto"/>
              </w:rPr>
            </w:pPr>
          </w:p>
        </w:tc>
      </w:tr>
      <w:tr>
        <w:trPr>
          <w:trHeight w:val="270"/>
        </w:trPr>
        <w:tc>
          <w:tcPr>
            <w:tcW w:w="6700" w:type="dxa"/>
            <w:vAlign w:val="bottom"/>
          </w:tcPr>
          <w:p>
            <w:pPr>
              <w:spacing w:after="0"/>
              <w:rPr>
                <w:sz w:val="20"/>
                <w:szCs w:val="20"/>
                <w:color w:val="auto"/>
              </w:rPr>
            </w:pPr>
            <w:r>
              <w:rPr>
                <w:rFonts w:ascii="Arial" w:cs="Arial" w:eastAsia="Arial" w:hAnsi="Arial"/>
                <w:sz w:val="16"/>
                <w:szCs w:val="16"/>
                <w:color w:val="auto"/>
              </w:rPr>
              <w:t>Changes in operating assets and liabilities, net of effects of acquisitions</w:t>
            </w: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700" w:type="dxa"/>
            <w:vAlign w:val="bottom"/>
          </w:tcPr>
          <w:p>
            <w:pPr>
              <w:ind w:left="360"/>
              <w:spacing w:after="0"/>
              <w:rPr>
                <w:sz w:val="20"/>
                <w:szCs w:val="20"/>
                <w:color w:val="auto"/>
              </w:rPr>
            </w:pPr>
            <w:r>
              <w:rPr>
                <w:rFonts w:ascii="Arial" w:cs="Arial" w:eastAsia="Arial" w:hAnsi="Arial"/>
                <w:sz w:val="16"/>
                <w:szCs w:val="16"/>
                <w:color w:val="auto"/>
              </w:rPr>
              <w:t>Trade receivables, net and contract assets</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(82.8)</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(173.6)</w:t>
            </w:r>
          </w:p>
        </w:tc>
        <w:tc>
          <w:tcPr>
            <w:tcW w:w="0" w:type="dxa"/>
            <w:vAlign w:val="bottom"/>
          </w:tcPr>
          <w:p>
            <w:pPr>
              <w:spacing w:after="0"/>
              <w:rPr>
                <w:sz w:val="1"/>
                <w:szCs w:val="1"/>
                <w:color w:val="auto"/>
              </w:rPr>
            </w:pPr>
          </w:p>
        </w:tc>
      </w:tr>
      <w:tr>
        <w:trPr>
          <w:trHeight w:val="270"/>
        </w:trPr>
        <w:tc>
          <w:tcPr>
            <w:tcW w:w="6700" w:type="dxa"/>
            <w:vAlign w:val="bottom"/>
          </w:tcPr>
          <w:p>
            <w:pPr>
              <w:ind w:left="360"/>
              <w:spacing w:after="0"/>
              <w:rPr>
                <w:sz w:val="20"/>
                <w:szCs w:val="20"/>
                <w:color w:val="auto"/>
              </w:rPr>
            </w:pPr>
            <w:r>
              <w:rPr>
                <w:rFonts w:ascii="Arial" w:cs="Arial" w:eastAsia="Arial" w:hAnsi="Arial"/>
                <w:sz w:val="16"/>
                <w:szCs w:val="16"/>
                <w:color w:val="auto"/>
              </w:rPr>
              <w:t>Inventories, net</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(134.9)</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(154.2)</w:t>
            </w:r>
          </w:p>
        </w:tc>
        <w:tc>
          <w:tcPr>
            <w:tcW w:w="0" w:type="dxa"/>
            <w:vAlign w:val="bottom"/>
          </w:tcPr>
          <w:p>
            <w:pPr>
              <w:spacing w:after="0"/>
              <w:rPr>
                <w:sz w:val="1"/>
                <w:szCs w:val="1"/>
                <w:color w:val="auto"/>
              </w:rPr>
            </w:pPr>
          </w:p>
        </w:tc>
      </w:tr>
      <w:tr>
        <w:trPr>
          <w:trHeight w:val="270"/>
        </w:trPr>
        <w:tc>
          <w:tcPr>
            <w:tcW w:w="6700" w:type="dxa"/>
            <w:vAlign w:val="bottom"/>
          </w:tcPr>
          <w:p>
            <w:pPr>
              <w:ind w:left="360"/>
              <w:spacing w:after="0"/>
              <w:rPr>
                <w:sz w:val="20"/>
                <w:szCs w:val="20"/>
                <w:color w:val="auto"/>
              </w:rPr>
            </w:pPr>
            <w:r>
              <w:rPr>
                <w:rFonts w:ascii="Arial" w:cs="Arial" w:eastAsia="Arial" w:hAnsi="Arial"/>
                <w:sz w:val="16"/>
                <w:szCs w:val="16"/>
                <w:color w:val="auto"/>
              </w:rPr>
              <w:t>Accounts payable, trade</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(105.0)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(912.1)</w:t>
            </w:r>
          </w:p>
        </w:tc>
        <w:tc>
          <w:tcPr>
            <w:tcW w:w="0" w:type="dxa"/>
            <w:vAlign w:val="bottom"/>
          </w:tcPr>
          <w:p>
            <w:pPr>
              <w:spacing w:after="0"/>
              <w:rPr>
                <w:sz w:val="1"/>
                <w:szCs w:val="1"/>
                <w:color w:val="auto"/>
              </w:rPr>
            </w:pPr>
          </w:p>
        </w:tc>
      </w:tr>
      <w:tr>
        <w:trPr>
          <w:trHeight w:val="270"/>
        </w:trPr>
        <w:tc>
          <w:tcPr>
            <w:tcW w:w="6700" w:type="dxa"/>
            <w:vAlign w:val="bottom"/>
          </w:tcPr>
          <w:p>
            <w:pPr>
              <w:ind w:left="360"/>
              <w:spacing w:after="0"/>
              <w:rPr>
                <w:sz w:val="20"/>
                <w:szCs w:val="20"/>
                <w:color w:val="auto"/>
              </w:rPr>
            </w:pPr>
            <w:r>
              <w:rPr>
                <w:rFonts w:ascii="Arial" w:cs="Arial" w:eastAsia="Arial" w:hAnsi="Arial"/>
                <w:sz w:val="16"/>
                <w:szCs w:val="16"/>
                <w:color w:val="auto"/>
              </w:rPr>
              <w:t>Contract liabilities</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274.2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308.1</w:t>
            </w:r>
          </w:p>
        </w:tc>
        <w:tc>
          <w:tcPr>
            <w:tcW w:w="0" w:type="dxa"/>
            <w:vAlign w:val="bottom"/>
          </w:tcPr>
          <w:p>
            <w:pPr>
              <w:spacing w:after="0"/>
              <w:rPr>
                <w:sz w:val="1"/>
                <w:szCs w:val="1"/>
                <w:color w:val="auto"/>
              </w:rPr>
            </w:pPr>
          </w:p>
        </w:tc>
      </w:tr>
      <w:tr>
        <w:trPr>
          <w:trHeight w:val="270"/>
        </w:trPr>
        <w:tc>
          <w:tcPr>
            <w:tcW w:w="6700" w:type="dxa"/>
            <w:vAlign w:val="bottom"/>
          </w:tcPr>
          <w:p>
            <w:pPr>
              <w:ind w:left="360"/>
              <w:spacing w:after="0"/>
              <w:rPr>
                <w:sz w:val="20"/>
                <w:szCs w:val="20"/>
                <w:color w:val="auto"/>
              </w:rPr>
            </w:pPr>
            <w:r>
              <w:rPr>
                <w:rFonts w:ascii="Arial" w:cs="Arial" w:eastAsia="Arial" w:hAnsi="Arial"/>
                <w:sz w:val="16"/>
                <w:szCs w:val="16"/>
                <w:color w:val="auto"/>
              </w:rPr>
              <w:t>Income taxes payable (receivable), net</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(68.4)</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(77.4)</w:t>
            </w:r>
          </w:p>
        </w:tc>
        <w:tc>
          <w:tcPr>
            <w:tcW w:w="0" w:type="dxa"/>
            <w:vAlign w:val="bottom"/>
          </w:tcPr>
          <w:p>
            <w:pPr>
              <w:spacing w:after="0"/>
              <w:rPr>
                <w:sz w:val="1"/>
                <w:szCs w:val="1"/>
                <w:color w:val="auto"/>
              </w:rPr>
            </w:pPr>
          </w:p>
        </w:tc>
      </w:tr>
      <w:tr>
        <w:trPr>
          <w:trHeight w:val="270"/>
        </w:trPr>
        <w:tc>
          <w:tcPr>
            <w:tcW w:w="6700" w:type="dxa"/>
            <w:vAlign w:val="bottom"/>
          </w:tcPr>
          <w:p>
            <w:pPr>
              <w:ind w:left="360"/>
              <w:spacing w:after="0"/>
              <w:rPr>
                <w:sz w:val="20"/>
                <w:szCs w:val="20"/>
                <w:color w:val="auto"/>
              </w:rPr>
            </w:pPr>
            <w:r>
              <w:rPr>
                <w:rFonts w:ascii="Arial" w:cs="Arial" w:eastAsia="Arial" w:hAnsi="Arial"/>
                <w:sz w:val="16"/>
                <w:szCs w:val="16"/>
                <w:color w:val="auto"/>
              </w:rPr>
              <w:t>Other current assets and liabilities, net</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(240.6)</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208.3</w:t>
            </w:r>
          </w:p>
        </w:tc>
        <w:tc>
          <w:tcPr>
            <w:tcW w:w="0" w:type="dxa"/>
            <w:vAlign w:val="bottom"/>
          </w:tcPr>
          <w:p>
            <w:pPr>
              <w:spacing w:after="0"/>
              <w:rPr>
                <w:sz w:val="1"/>
                <w:szCs w:val="1"/>
                <w:color w:val="auto"/>
              </w:rPr>
            </w:pPr>
          </w:p>
        </w:tc>
      </w:tr>
      <w:tr>
        <w:trPr>
          <w:trHeight w:val="270"/>
        </w:trPr>
        <w:tc>
          <w:tcPr>
            <w:tcW w:w="6700" w:type="dxa"/>
            <w:vAlign w:val="bottom"/>
          </w:tcPr>
          <w:p>
            <w:pPr>
              <w:ind w:left="360"/>
              <w:spacing w:after="0"/>
              <w:rPr>
                <w:sz w:val="20"/>
                <w:szCs w:val="20"/>
                <w:color w:val="auto"/>
              </w:rPr>
            </w:pPr>
            <w:r>
              <w:rPr>
                <w:rFonts w:ascii="Arial" w:cs="Arial" w:eastAsia="Arial" w:hAnsi="Arial"/>
                <w:sz w:val="16"/>
                <w:szCs w:val="16"/>
                <w:color w:val="auto"/>
              </w:rPr>
              <w:t>Other noncurrent assets and liabilities, net</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59.9</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(179.2)</w:t>
            </w:r>
          </w:p>
        </w:tc>
        <w:tc>
          <w:tcPr>
            <w:tcW w:w="0" w:type="dxa"/>
            <w:vAlign w:val="bottom"/>
          </w:tcPr>
          <w:p>
            <w:pPr>
              <w:spacing w:after="0"/>
              <w:rPr>
                <w:sz w:val="1"/>
                <w:szCs w:val="1"/>
                <w:color w:val="auto"/>
              </w:rPr>
            </w:pPr>
          </w:p>
        </w:tc>
      </w:tr>
      <w:tr>
        <w:trPr>
          <w:trHeight w:val="33"/>
        </w:trPr>
        <w:tc>
          <w:tcPr>
            <w:tcW w:w="6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700" w:type="dxa"/>
            <w:vAlign w:val="bottom"/>
          </w:tcPr>
          <w:p>
            <w:pPr>
              <w:spacing w:after="0"/>
              <w:rPr>
                <w:sz w:val="20"/>
                <w:szCs w:val="20"/>
                <w:color w:val="auto"/>
              </w:rPr>
            </w:pPr>
            <w:r>
              <w:rPr>
                <w:rFonts w:ascii="Arial" w:cs="Arial" w:eastAsia="Arial" w:hAnsi="Arial"/>
                <w:sz w:val="16"/>
                <w:szCs w:val="16"/>
                <w:color w:val="auto"/>
              </w:rPr>
              <w:t>Cash provided (required) by operating activities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218.0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(485.2)</w:t>
            </w:r>
          </w:p>
        </w:tc>
        <w:tc>
          <w:tcPr>
            <w:tcW w:w="0" w:type="dxa"/>
            <w:vAlign w:val="bottom"/>
          </w:tcPr>
          <w:p>
            <w:pPr>
              <w:spacing w:after="0"/>
              <w:rPr>
                <w:sz w:val="1"/>
                <w:szCs w:val="1"/>
                <w:color w:val="auto"/>
              </w:rPr>
            </w:pPr>
          </w:p>
        </w:tc>
      </w:tr>
      <w:tr>
        <w:trPr>
          <w:trHeight w:val="33"/>
        </w:trPr>
        <w:tc>
          <w:tcPr>
            <w:tcW w:w="6700" w:type="dxa"/>
            <w:vAlign w:val="bottom"/>
            <w:vMerge w:val="restart"/>
          </w:tcPr>
          <w:p>
            <w:pPr>
              <w:spacing w:after="0"/>
              <w:rPr>
                <w:sz w:val="20"/>
                <w:szCs w:val="20"/>
                <w:color w:val="auto"/>
              </w:rPr>
            </w:pPr>
            <w:r>
              <w:rPr>
                <w:rFonts w:ascii="Arial" w:cs="Arial" w:eastAsia="Arial" w:hAnsi="Arial"/>
                <w:sz w:val="16"/>
                <w:szCs w:val="16"/>
                <w:color w:val="auto"/>
              </w:rPr>
              <w:t>Cash provided (required) by investing activities</w:t>
            </w: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14"/>
        </w:trPr>
        <w:tc>
          <w:tcPr>
            <w:tcW w:w="67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700" w:type="dxa"/>
            <w:vAlign w:val="bottom"/>
          </w:tcPr>
          <w:p>
            <w:pPr>
              <w:ind w:left="360"/>
              <w:spacing w:after="0"/>
              <w:rPr>
                <w:sz w:val="20"/>
                <w:szCs w:val="20"/>
                <w:color w:val="auto"/>
              </w:rPr>
            </w:pPr>
            <w:r>
              <w:rPr>
                <w:rFonts w:ascii="Arial" w:cs="Arial" w:eastAsia="Arial" w:hAnsi="Arial"/>
                <w:sz w:val="16"/>
                <w:szCs w:val="16"/>
                <w:color w:val="auto"/>
              </w:rPr>
              <w:t>Capital expenditures</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(270.5)</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(134.8)</w:t>
            </w:r>
          </w:p>
        </w:tc>
        <w:tc>
          <w:tcPr>
            <w:tcW w:w="0" w:type="dxa"/>
            <w:vAlign w:val="bottom"/>
          </w:tcPr>
          <w:p>
            <w:pPr>
              <w:spacing w:after="0"/>
              <w:rPr>
                <w:sz w:val="1"/>
                <w:szCs w:val="1"/>
                <w:color w:val="auto"/>
              </w:rPr>
            </w:pPr>
          </w:p>
        </w:tc>
      </w:tr>
      <w:tr>
        <w:trPr>
          <w:trHeight w:val="270"/>
        </w:trPr>
        <w:tc>
          <w:tcPr>
            <w:tcW w:w="6700" w:type="dxa"/>
            <w:vAlign w:val="bottom"/>
          </w:tcPr>
          <w:p>
            <w:pPr>
              <w:ind w:left="360"/>
              <w:spacing w:after="0"/>
              <w:rPr>
                <w:sz w:val="20"/>
                <w:szCs w:val="20"/>
                <w:color w:val="auto"/>
              </w:rPr>
            </w:pPr>
            <w:r>
              <w:rPr>
                <w:rFonts w:ascii="Arial" w:cs="Arial" w:eastAsia="Arial" w:hAnsi="Arial"/>
                <w:sz w:val="16"/>
                <w:szCs w:val="16"/>
                <w:color w:val="auto"/>
              </w:rPr>
              <w:t>Payment to acquire debt securities</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(59.7)</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6700" w:type="dxa"/>
            <w:vAlign w:val="bottom"/>
          </w:tcPr>
          <w:p>
            <w:pPr>
              <w:ind w:left="360"/>
              <w:spacing w:after="0"/>
              <w:rPr>
                <w:sz w:val="20"/>
                <w:szCs w:val="20"/>
                <w:color w:val="auto"/>
              </w:rPr>
            </w:pPr>
            <w:r>
              <w:rPr>
                <w:rFonts w:ascii="Arial" w:cs="Arial" w:eastAsia="Arial" w:hAnsi="Arial"/>
                <w:sz w:val="16"/>
                <w:szCs w:val="16"/>
                <w:color w:val="auto"/>
              </w:rPr>
              <w:t>Proceeds from sale of debt securities</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18.9</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6700" w:type="dxa"/>
            <w:vAlign w:val="bottom"/>
          </w:tcPr>
          <w:p>
            <w:pPr>
              <w:ind w:left="360"/>
              <w:spacing w:after="0"/>
              <w:rPr>
                <w:sz w:val="20"/>
                <w:szCs w:val="20"/>
                <w:color w:val="auto"/>
              </w:rPr>
            </w:pPr>
            <w:r>
              <w:rPr>
                <w:rFonts w:ascii="Arial" w:cs="Arial" w:eastAsia="Arial" w:hAnsi="Arial"/>
                <w:sz w:val="16"/>
                <w:szCs w:val="16"/>
                <w:color w:val="auto"/>
              </w:rPr>
              <w:t>Acquisitions, net of cash acquired</w:t>
            </w:r>
          </w:p>
        </w:tc>
        <w:tc>
          <w:tcPr>
            <w:tcW w:w="260" w:type="dxa"/>
            <w:vAlign w:val="bottom"/>
          </w:tcPr>
          <w:p>
            <w:pPr>
              <w:spacing w:after="0"/>
              <w:rPr>
                <w:sz w:val="23"/>
                <w:szCs w:val="23"/>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(103.4)</w:t>
            </w:r>
          </w:p>
        </w:tc>
        <w:tc>
          <w:tcPr>
            <w:tcW w:w="0" w:type="dxa"/>
            <w:vAlign w:val="bottom"/>
          </w:tcPr>
          <w:p>
            <w:pPr>
              <w:spacing w:after="0"/>
              <w:rPr>
                <w:sz w:val="1"/>
                <w:szCs w:val="1"/>
                <w:color w:val="auto"/>
              </w:rPr>
            </w:pPr>
          </w:p>
        </w:tc>
      </w:tr>
      <w:tr>
        <w:trPr>
          <w:trHeight w:val="270"/>
        </w:trPr>
        <w:tc>
          <w:tcPr>
            <w:tcW w:w="6700" w:type="dxa"/>
            <w:vAlign w:val="bottom"/>
          </w:tcPr>
          <w:p>
            <w:pPr>
              <w:ind w:left="360"/>
              <w:spacing w:after="0"/>
              <w:rPr>
                <w:sz w:val="20"/>
                <w:szCs w:val="20"/>
                <w:color w:val="auto"/>
              </w:rPr>
            </w:pPr>
            <w:r>
              <w:rPr>
                <w:rFonts w:ascii="Arial" w:cs="Arial" w:eastAsia="Arial" w:hAnsi="Arial"/>
                <w:sz w:val="16"/>
                <w:szCs w:val="16"/>
                <w:color w:val="auto"/>
              </w:rPr>
              <w:t>Cash divested from deconsolidation</w:t>
            </w:r>
          </w:p>
        </w:tc>
        <w:tc>
          <w:tcPr>
            <w:tcW w:w="260" w:type="dxa"/>
            <w:vAlign w:val="bottom"/>
          </w:tcPr>
          <w:p>
            <w:pPr>
              <w:spacing w:after="0"/>
              <w:rPr>
                <w:sz w:val="23"/>
                <w:szCs w:val="23"/>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70"/>
        </w:trPr>
        <w:tc>
          <w:tcPr>
            <w:tcW w:w="6700" w:type="dxa"/>
            <w:vAlign w:val="bottom"/>
          </w:tcPr>
          <w:p>
            <w:pPr>
              <w:ind w:left="360"/>
              <w:spacing w:after="0"/>
              <w:rPr>
                <w:sz w:val="20"/>
                <w:szCs w:val="20"/>
                <w:color w:val="auto"/>
              </w:rPr>
            </w:pPr>
            <w:r>
              <w:rPr>
                <w:rFonts w:ascii="Arial" w:cs="Arial" w:eastAsia="Arial" w:hAnsi="Arial"/>
                <w:sz w:val="16"/>
                <w:szCs w:val="16"/>
                <w:color w:val="auto"/>
              </w:rPr>
              <w:t>Proceeds from sale of assets</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70"/>
        </w:trPr>
        <w:tc>
          <w:tcPr>
            <w:tcW w:w="6700" w:type="dxa"/>
            <w:vAlign w:val="bottom"/>
          </w:tcPr>
          <w:p>
            <w:pPr>
              <w:ind w:left="360"/>
              <w:spacing w:after="0"/>
              <w:rPr>
                <w:sz w:val="20"/>
                <w:szCs w:val="20"/>
                <w:color w:val="auto"/>
              </w:rPr>
            </w:pPr>
            <w:r>
              <w:rPr>
                <w:rFonts w:ascii="Arial" w:cs="Arial" w:eastAsia="Arial" w:hAnsi="Arial"/>
                <w:sz w:val="16"/>
                <w:szCs w:val="16"/>
                <w:color w:val="auto"/>
              </w:rPr>
              <w:t>Other</w:t>
            </w:r>
          </w:p>
        </w:tc>
        <w:tc>
          <w:tcPr>
            <w:tcW w:w="260" w:type="dxa"/>
            <w:vAlign w:val="bottom"/>
          </w:tcPr>
          <w:p>
            <w:pPr>
              <w:spacing w:after="0"/>
              <w:rPr>
                <w:sz w:val="23"/>
                <w:szCs w:val="23"/>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33"/>
        </w:trPr>
        <w:tc>
          <w:tcPr>
            <w:tcW w:w="6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700" w:type="dxa"/>
            <w:vAlign w:val="bottom"/>
          </w:tcPr>
          <w:p>
            <w:pPr>
              <w:spacing w:after="0"/>
              <w:rPr>
                <w:sz w:val="20"/>
                <w:szCs w:val="20"/>
                <w:color w:val="auto"/>
              </w:rPr>
            </w:pPr>
            <w:r>
              <w:rPr>
                <w:rFonts w:ascii="Arial" w:cs="Arial" w:eastAsia="Arial" w:hAnsi="Arial"/>
                <w:sz w:val="16"/>
                <w:szCs w:val="16"/>
                <w:color w:val="auto"/>
              </w:rPr>
              <w:t>Cash required by investing activities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(310.0)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(235.7)</w:t>
            </w:r>
          </w:p>
        </w:tc>
        <w:tc>
          <w:tcPr>
            <w:tcW w:w="0" w:type="dxa"/>
            <w:vAlign w:val="bottom"/>
          </w:tcPr>
          <w:p>
            <w:pPr>
              <w:spacing w:after="0"/>
              <w:rPr>
                <w:sz w:val="1"/>
                <w:szCs w:val="1"/>
                <w:color w:val="auto"/>
              </w:rPr>
            </w:pPr>
          </w:p>
        </w:tc>
      </w:tr>
      <w:tr>
        <w:trPr>
          <w:trHeight w:val="33"/>
        </w:trPr>
        <w:tc>
          <w:tcPr>
            <w:tcW w:w="6700" w:type="dxa"/>
            <w:vAlign w:val="bottom"/>
            <w:vMerge w:val="restart"/>
          </w:tcPr>
          <w:p>
            <w:pPr>
              <w:spacing w:after="0"/>
              <w:rPr>
                <w:sz w:val="20"/>
                <w:szCs w:val="20"/>
                <w:color w:val="auto"/>
              </w:rPr>
            </w:pPr>
            <w:r>
              <w:rPr>
                <w:rFonts w:ascii="Arial" w:cs="Arial" w:eastAsia="Arial" w:hAnsi="Arial"/>
                <w:sz w:val="16"/>
                <w:szCs w:val="16"/>
                <w:color w:val="auto"/>
              </w:rPr>
              <w:t>Cash required by financing activities</w:t>
            </w: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14"/>
        </w:trPr>
        <w:tc>
          <w:tcPr>
            <w:tcW w:w="67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700" w:type="dxa"/>
            <w:vAlign w:val="bottom"/>
          </w:tcPr>
          <w:p>
            <w:pPr>
              <w:ind w:left="360"/>
              <w:spacing w:after="0"/>
              <w:rPr>
                <w:sz w:val="20"/>
                <w:szCs w:val="20"/>
                <w:color w:val="auto"/>
              </w:rPr>
            </w:pPr>
            <w:r>
              <w:rPr>
                <w:rFonts w:ascii="Arial" w:cs="Arial" w:eastAsia="Arial" w:hAnsi="Arial"/>
                <w:sz w:val="16"/>
                <w:szCs w:val="16"/>
                <w:color w:val="auto"/>
              </w:rPr>
              <w:t>Net decrease in short-term debt</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(17.9)</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(22.4)</w:t>
            </w:r>
          </w:p>
        </w:tc>
        <w:tc>
          <w:tcPr>
            <w:tcW w:w="0" w:type="dxa"/>
            <w:vAlign w:val="bottom"/>
          </w:tcPr>
          <w:p>
            <w:pPr>
              <w:spacing w:after="0"/>
              <w:rPr>
                <w:sz w:val="1"/>
                <w:szCs w:val="1"/>
                <w:color w:val="auto"/>
              </w:rPr>
            </w:pPr>
          </w:p>
        </w:tc>
      </w:tr>
      <w:tr>
        <w:trPr>
          <w:trHeight w:val="270"/>
        </w:trPr>
        <w:tc>
          <w:tcPr>
            <w:tcW w:w="6700" w:type="dxa"/>
            <w:vAlign w:val="bottom"/>
          </w:tcPr>
          <w:p>
            <w:pPr>
              <w:ind w:left="360"/>
              <w:spacing w:after="0"/>
              <w:rPr>
                <w:sz w:val="20"/>
                <w:szCs w:val="20"/>
                <w:color w:val="auto"/>
              </w:rPr>
            </w:pPr>
            <w:r>
              <w:rPr>
                <w:rFonts w:ascii="Arial" w:cs="Arial" w:eastAsia="Arial" w:hAnsi="Arial"/>
                <w:sz w:val="16"/>
                <w:szCs w:val="16"/>
                <w:color w:val="auto"/>
              </w:rPr>
              <w:t>Net (decrease) increase in commercial paper</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(479.5)</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83.7</w:t>
            </w:r>
          </w:p>
        </w:tc>
        <w:tc>
          <w:tcPr>
            <w:tcW w:w="0" w:type="dxa"/>
            <w:vAlign w:val="bottom"/>
          </w:tcPr>
          <w:p>
            <w:pPr>
              <w:spacing w:after="0"/>
              <w:rPr>
                <w:sz w:val="1"/>
                <w:szCs w:val="1"/>
                <w:color w:val="auto"/>
              </w:rPr>
            </w:pPr>
          </w:p>
        </w:tc>
      </w:tr>
      <w:tr>
        <w:trPr>
          <w:trHeight w:val="270"/>
        </w:trPr>
        <w:tc>
          <w:tcPr>
            <w:tcW w:w="6700" w:type="dxa"/>
            <w:vAlign w:val="bottom"/>
          </w:tcPr>
          <w:p>
            <w:pPr>
              <w:ind w:left="360"/>
              <w:spacing w:after="0"/>
              <w:rPr>
                <w:sz w:val="20"/>
                <w:szCs w:val="20"/>
                <w:color w:val="auto"/>
              </w:rPr>
            </w:pPr>
            <w:r>
              <w:rPr>
                <w:rFonts w:ascii="Arial" w:cs="Arial" w:eastAsia="Arial" w:hAnsi="Arial"/>
                <w:sz w:val="16"/>
                <w:szCs w:val="16"/>
                <w:color w:val="auto"/>
              </w:rPr>
              <w:t>Proceeds from issuance of long-term debt</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96.2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70"/>
        </w:trPr>
        <w:tc>
          <w:tcPr>
            <w:tcW w:w="6700" w:type="dxa"/>
            <w:vAlign w:val="bottom"/>
          </w:tcPr>
          <w:p>
            <w:pPr>
              <w:ind w:left="360"/>
              <w:spacing w:after="0"/>
              <w:rPr>
                <w:sz w:val="20"/>
                <w:szCs w:val="20"/>
                <w:color w:val="auto"/>
              </w:rPr>
            </w:pPr>
            <w:r>
              <w:rPr>
                <w:rFonts w:ascii="Arial" w:cs="Arial" w:eastAsia="Arial" w:hAnsi="Arial"/>
                <w:sz w:val="16"/>
                <w:szCs w:val="16"/>
                <w:color w:val="auto"/>
              </w:rPr>
              <w:t>Purchase of ordinary shares</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(90.1)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(226.3)</w:t>
            </w:r>
          </w:p>
        </w:tc>
        <w:tc>
          <w:tcPr>
            <w:tcW w:w="0" w:type="dxa"/>
            <w:vAlign w:val="bottom"/>
          </w:tcPr>
          <w:p>
            <w:pPr>
              <w:spacing w:after="0"/>
              <w:rPr>
                <w:sz w:val="1"/>
                <w:szCs w:val="1"/>
                <w:color w:val="auto"/>
              </w:rPr>
            </w:pPr>
          </w:p>
        </w:tc>
      </w:tr>
      <w:tr>
        <w:trPr>
          <w:trHeight w:val="270"/>
        </w:trPr>
        <w:tc>
          <w:tcPr>
            <w:tcW w:w="6700" w:type="dxa"/>
            <w:vAlign w:val="bottom"/>
          </w:tcPr>
          <w:p>
            <w:pPr>
              <w:ind w:left="360"/>
              <w:spacing w:after="0"/>
              <w:rPr>
                <w:sz w:val="20"/>
                <w:szCs w:val="20"/>
                <w:color w:val="auto"/>
              </w:rPr>
            </w:pPr>
            <w:r>
              <w:rPr>
                <w:rFonts w:ascii="Arial" w:cs="Arial" w:eastAsia="Arial" w:hAnsi="Arial"/>
                <w:sz w:val="16"/>
                <w:szCs w:val="16"/>
                <w:color w:val="auto"/>
              </w:rPr>
              <w:t>Dividends paid</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(116.6)</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(120.2)</w:t>
            </w:r>
          </w:p>
        </w:tc>
        <w:tc>
          <w:tcPr>
            <w:tcW w:w="0" w:type="dxa"/>
            <w:vAlign w:val="bottom"/>
          </w:tcPr>
          <w:p>
            <w:pPr>
              <w:spacing w:after="0"/>
              <w:rPr>
                <w:sz w:val="1"/>
                <w:szCs w:val="1"/>
                <w:color w:val="auto"/>
              </w:rPr>
            </w:pPr>
          </w:p>
        </w:tc>
      </w:tr>
      <w:tr>
        <w:trPr>
          <w:trHeight w:val="270"/>
        </w:trPr>
        <w:tc>
          <w:tcPr>
            <w:tcW w:w="6700" w:type="dxa"/>
            <w:vAlign w:val="bottom"/>
          </w:tcPr>
          <w:p>
            <w:pPr>
              <w:ind w:left="360"/>
              <w:spacing w:after="0"/>
              <w:rPr>
                <w:sz w:val="20"/>
                <w:szCs w:val="20"/>
                <w:color w:val="auto"/>
              </w:rPr>
            </w:pPr>
            <w:r>
              <w:rPr>
                <w:rFonts w:ascii="Arial" w:cs="Arial" w:eastAsia="Arial" w:hAnsi="Arial"/>
                <w:sz w:val="16"/>
                <w:szCs w:val="16"/>
                <w:color w:val="auto"/>
              </w:rPr>
              <w:t>Settlements of mandatorily redeemable financial liability</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(220.6)</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(124.2)</w:t>
            </w:r>
          </w:p>
        </w:tc>
        <w:tc>
          <w:tcPr>
            <w:tcW w:w="0" w:type="dxa"/>
            <w:vAlign w:val="bottom"/>
          </w:tcPr>
          <w:p>
            <w:pPr>
              <w:spacing w:after="0"/>
              <w:rPr>
                <w:sz w:val="1"/>
                <w:szCs w:val="1"/>
                <w:color w:val="auto"/>
              </w:rPr>
            </w:pPr>
          </w:p>
        </w:tc>
      </w:tr>
      <w:tr>
        <w:trPr>
          <w:trHeight w:val="270"/>
        </w:trPr>
        <w:tc>
          <w:tcPr>
            <w:tcW w:w="6700" w:type="dxa"/>
            <w:vAlign w:val="bottom"/>
          </w:tcPr>
          <w:p>
            <w:pPr>
              <w:ind w:left="360"/>
              <w:spacing w:after="0"/>
              <w:rPr>
                <w:sz w:val="20"/>
                <w:szCs w:val="20"/>
                <w:color w:val="auto"/>
              </w:rPr>
            </w:pPr>
            <w:r>
              <w:rPr>
                <w:rFonts w:ascii="Arial" w:cs="Arial" w:eastAsia="Arial" w:hAnsi="Arial"/>
                <w:sz w:val="16"/>
                <w:szCs w:val="16"/>
                <w:color w:val="auto"/>
              </w:rPr>
              <w:t>Other</w:t>
            </w:r>
          </w:p>
        </w:tc>
        <w:tc>
          <w:tcPr>
            <w:tcW w:w="260" w:type="dxa"/>
            <w:vAlign w:val="bottom"/>
          </w:tcPr>
          <w:p>
            <w:pPr>
              <w:spacing w:after="0"/>
              <w:rPr>
                <w:sz w:val="23"/>
                <w:szCs w:val="23"/>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33"/>
        </w:trPr>
        <w:tc>
          <w:tcPr>
            <w:tcW w:w="6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700" w:type="dxa"/>
            <w:vAlign w:val="bottom"/>
          </w:tcPr>
          <w:p>
            <w:pPr>
              <w:spacing w:after="0"/>
              <w:rPr>
                <w:sz w:val="20"/>
                <w:szCs w:val="20"/>
                <w:color w:val="auto"/>
              </w:rPr>
            </w:pPr>
            <w:r>
              <w:rPr>
                <w:rFonts w:ascii="Arial" w:cs="Arial" w:eastAsia="Arial" w:hAnsi="Arial"/>
                <w:sz w:val="16"/>
                <w:szCs w:val="16"/>
                <w:color w:val="auto"/>
              </w:rPr>
              <w:t>Cash required by financing activities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(828.5)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(405.9)</w:t>
            </w:r>
          </w:p>
        </w:tc>
        <w:tc>
          <w:tcPr>
            <w:tcW w:w="0" w:type="dxa"/>
            <w:vAlign w:val="bottom"/>
          </w:tcPr>
          <w:p>
            <w:pPr>
              <w:spacing w:after="0"/>
              <w:rPr>
                <w:sz w:val="1"/>
                <w:szCs w:val="1"/>
                <w:color w:val="auto"/>
              </w:rPr>
            </w:pPr>
          </w:p>
        </w:tc>
      </w:tr>
      <w:tr>
        <w:trPr>
          <w:trHeight w:val="33"/>
        </w:trPr>
        <w:tc>
          <w:tcPr>
            <w:tcW w:w="6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700" w:type="dxa"/>
            <w:vAlign w:val="bottom"/>
          </w:tcPr>
          <w:p>
            <w:pPr>
              <w:ind w:left="360"/>
              <w:spacing w:after="0"/>
              <w:rPr>
                <w:sz w:val="20"/>
                <w:szCs w:val="20"/>
                <w:color w:val="auto"/>
              </w:rPr>
            </w:pPr>
            <w:r>
              <w:rPr>
                <w:rFonts w:ascii="Arial" w:cs="Arial" w:eastAsia="Arial" w:hAnsi="Arial"/>
                <w:sz w:val="16"/>
                <w:szCs w:val="16"/>
                <w:color w:val="auto"/>
              </w:rPr>
              <w:t>Effect of changes in foreign exchange rates on cash and cash equivalents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(55.2)</w:t>
            </w:r>
          </w:p>
        </w:tc>
        <w:tc>
          <w:tcPr>
            <w:tcW w:w="0" w:type="dxa"/>
            <w:vAlign w:val="bottom"/>
          </w:tcPr>
          <w:p>
            <w:pPr>
              <w:spacing w:after="0"/>
              <w:rPr>
                <w:sz w:val="1"/>
                <w:szCs w:val="1"/>
                <w:color w:val="auto"/>
              </w:rPr>
            </w:pPr>
          </w:p>
        </w:tc>
      </w:tr>
      <w:tr>
        <w:trPr>
          <w:trHeight w:val="33"/>
        </w:trPr>
        <w:tc>
          <w:tcPr>
            <w:tcW w:w="6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700" w:type="dxa"/>
            <w:vAlign w:val="bottom"/>
          </w:tcPr>
          <w:p>
            <w:pPr>
              <w:ind w:left="360"/>
              <w:spacing w:after="0"/>
              <w:rPr>
                <w:sz w:val="20"/>
                <w:szCs w:val="20"/>
                <w:color w:val="auto"/>
              </w:rPr>
            </w:pPr>
            <w:r>
              <w:rPr>
                <w:rFonts w:ascii="Arial" w:cs="Arial" w:eastAsia="Arial" w:hAnsi="Arial"/>
                <w:sz w:val="16"/>
                <w:szCs w:val="16"/>
                <w:color w:val="auto"/>
              </w:rPr>
              <w:t>Decrease in cash and cash equivalents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(918.7)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(1,182.0)</w:t>
            </w:r>
          </w:p>
        </w:tc>
        <w:tc>
          <w:tcPr>
            <w:tcW w:w="0" w:type="dxa"/>
            <w:vAlign w:val="bottom"/>
          </w:tcPr>
          <w:p>
            <w:pPr>
              <w:spacing w:after="0"/>
              <w:rPr>
                <w:sz w:val="1"/>
                <w:szCs w:val="1"/>
                <w:color w:val="auto"/>
              </w:rPr>
            </w:pPr>
          </w:p>
        </w:tc>
      </w:tr>
      <w:tr>
        <w:trPr>
          <w:trHeight w:val="270"/>
        </w:trPr>
        <w:tc>
          <w:tcPr>
            <w:tcW w:w="6700" w:type="dxa"/>
            <w:vAlign w:val="bottom"/>
          </w:tcPr>
          <w:p>
            <w:pPr>
              <w:spacing w:after="0"/>
              <w:rPr>
                <w:sz w:val="20"/>
                <w:szCs w:val="20"/>
                <w:color w:val="auto"/>
              </w:rPr>
            </w:pPr>
            <w:r>
              <w:rPr>
                <w:rFonts w:ascii="Arial" w:cs="Arial" w:eastAsia="Arial" w:hAnsi="Arial"/>
                <w:sz w:val="16"/>
                <w:szCs w:val="16"/>
                <w:color w:val="auto"/>
              </w:rPr>
              <w:t>Cash and cash equivalents, beginning of period</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5,540.0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6,737.4</w:t>
            </w:r>
          </w:p>
        </w:tc>
        <w:tc>
          <w:tcPr>
            <w:tcW w:w="0" w:type="dxa"/>
            <w:vAlign w:val="bottom"/>
          </w:tcPr>
          <w:p>
            <w:pPr>
              <w:spacing w:after="0"/>
              <w:rPr>
                <w:sz w:val="1"/>
                <w:szCs w:val="1"/>
                <w:color w:val="auto"/>
              </w:rPr>
            </w:pPr>
          </w:p>
        </w:tc>
      </w:tr>
      <w:tr>
        <w:trPr>
          <w:trHeight w:val="33"/>
        </w:trPr>
        <w:tc>
          <w:tcPr>
            <w:tcW w:w="6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00" w:type="dxa"/>
            <w:vAlign w:val="bottom"/>
          </w:tcPr>
          <w:p>
            <w:pPr>
              <w:spacing w:after="0"/>
              <w:rPr>
                <w:sz w:val="20"/>
                <w:szCs w:val="20"/>
                <w:color w:val="auto"/>
              </w:rPr>
            </w:pPr>
            <w:r>
              <w:rPr>
                <w:rFonts w:ascii="Arial" w:cs="Arial" w:eastAsia="Arial" w:hAnsi="Arial"/>
                <w:sz w:val="16"/>
                <w:szCs w:val="16"/>
                <w:color w:val="auto"/>
              </w:rPr>
              <w:t>Cash and cash equivalents, end of period</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4,621.3</w:t>
            </w:r>
          </w:p>
        </w:tc>
        <w:tc>
          <w:tcPr>
            <w:tcW w:w="100" w:type="dxa"/>
            <w:vAlign w:val="bottom"/>
          </w:tcPr>
          <w:p>
            <w:pPr>
              <w:spacing w:after="0"/>
              <w:rPr>
                <w:sz w:val="21"/>
                <w:szCs w:val="21"/>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5,555.4</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300"/>
          </w:cols>
          <w:pgMar w:left="1360" w:top="526" w:right="239" w:bottom="1036" w:gutter="0" w:footer="0" w:header="0"/>
        </w:sectPr>
      </w:pPr>
    </w:p>
    <w:p>
      <w:pPr>
        <w:spacing w:after="0" w:line="246" w:lineRule="exact"/>
        <w:rPr>
          <w:sz w:val="20"/>
          <w:szCs w:val="20"/>
          <w:color w:val="auto"/>
        </w:rPr>
      </w:pPr>
    </w:p>
    <w:p>
      <w:pPr>
        <w:ind w:left="4060"/>
        <w:spacing w:after="0"/>
        <w:tabs>
          <w:tab w:leader="none" w:pos="930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19 of </w:t>
      </w:r>
      <w:hyperlink w:anchor="page30">
        <w:r>
          <w:rPr>
            <w:rFonts w:ascii="Arial" w:cs="Arial" w:eastAsia="Arial" w:hAnsi="Arial"/>
            <w:sz w:val="14"/>
            <w:szCs w:val="14"/>
            <w:b w:val="1"/>
            <w:bCs w:val="1"/>
            <w:color w:val="auto"/>
          </w:rPr>
          <w:t>25</w:t>
        </w:r>
      </w:hyperlink>
    </w:p>
    <w:p>
      <w:pPr>
        <w:sectPr>
          <w:pgSz w:w="11900" w:h="16838" w:orient="portrait"/>
          <w:cols w:equalWidth="0" w:num="1">
            <w:col w:w="10300"/>
          </w:cols>
          <w:pgMar w:left="1360" w:top="526" w:right="239" w:bottom="1036" w:gutter="0" w:footer="0" w:header="0"/>
          <w:type w:val="continuous"/>
        </w:sectPr>
      </w:pPr>
    </w:p>
    <w:bookmarkStart w:id="23" w:name="page24"/>
    <w:bookmarkEnd w:id="23"/>
    <w:p>
      <w:pPr>
        <w:jc w:val="right"/>
        <w:spacing w:after="0"/>
        <w:rPr>
          <w:sz w:val="20"/>
          <w:szCs w:val="20"/>
          <w:color w:val="auto"/>
        </w:rPr>
      </w:pPr>
      <w:r>
        <w:rPr>
          <w:rFonts w:ascii="Arial" w:cs="Arial" w:eastAsia="Arial" w:hAnsi="Arial"/>
          <w:sz w:val="13"/>
          <w:szCs w:val="13"/>
          <w:b w:val="1"/>
          <w:bCs w:val="1"/>
          <w:color w:val="auto"/>
        </w:rPr>
        <w:t>Exhibit 6</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TECHNIPFMC PLC AND CONSOLIDATED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BUSINESS SEGMENT DATA FOR YAMAL LNG JOINT VENTURE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unaudited)</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control the voting control interests in the legal onshore/offshore contract entities which own and account for the design, engineering, and construction of the Yamal LNG plant. Our partners have a 50% joint interest in these entities. Below is summarized financial information for the consolidated Yamal LNG joint venture as reflected at 100% in our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5819775</wp:posOffset>
            </wp:positionH>
            <wp:positionV relativeFrom="paragraph">
              <wp:posOffset>278765</wp:posOffset>
            </wp:positionV>
            <wp:extent cx="7372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20" w:type="dxa"/>
            <w:vAlign w:val="bottom"/>
            <w:gridSpan w:val="2"/>
          </w:tcPr>
          <w:p>
            <w:pPr>
              <w:jc w:val="center"/>
              <w:ind w:right="1148"/>
              <w:spacing w:after="0"/>
              <w:rPr>
                <w:sz w:val="20"/>
                <w:szCs w:val="20"/>
                <w:color w:val="auto"/>
              </w:rPr>
            </w:pPr>
            <w:r>
              <w:rPr>
                <w:rFonts w:ascii="Arial" w:cs="Arial" w:eastAsia="Arial" w:hAnsi="Arial"/>
                <w:sz w:val="18"/>
                <w:szCs w:val="18"/>
                <w:b w:val="1"/>
                <w:bCs w:val="1"/>
                <w:color w:val="auto"/>
                <w:w w:val="88"/>
              </w:rPr>
              <w:t>June 30,</w:t>
            </w:r>
          </w:p>
        </w:tc>
      </w:tr>
      <w:tr>
        <w:trPr>
          <w:trHeight w:val="270"/>
        </w:trPr>
        <w:tc>
          <w:tcPr>
            <w:tcW w:w="8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2019</w:t>
            </w:r>
          </w:p>
        </w:tc>
        <w:tc>
          <w:tcPr>
            <w:tcW w:w="1040" w:type="dxa"/>
            <w:vAlign w:val="bottom"/>
          </w:tcPr>
          <w:p>
            <w:pPr>
              <w:spacing w:after="0"/>
              <w:rPr>
                <w:sz w:val="23"/>
                <w:szCs w:val="23"/>
                <w:color w:val="auto"/>
              </w:rPr>
            </w:pPr>
          </w:p>
        </w:tc>
      </w:tr>
      <w:tr>
        <w:trPr>
          <w:trHeight w:val="27"/>
        </w:trPr>
        <w:tc>
          <w:tcPr>
            <w:tcW w:w="8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40" w:type="dxa"/>
            <w:vAlign w:val="bottom"/>
          </w:tcPr>
          <w:p>
            <w:pPr>
              <w:spacing w:after="0"/>
              <w:rPr>
                <w:sz w:val="2"/>
                <w:szCs w:val="2"/>
                <w:color w:val="auto"/>
              </w:rPr>
            </w:pPr>
          </w:p>
        </w:tc>
      </w:tr>
      <w:tr>
        <w:trPr>
          <w:trHeight w:val="237"/>
        </w:trPr>
        <w:tc>
          <w:tcPr>
            <w:tcW w:w="8000" w:type="dxa"/>
            <w:vAlign w:val="bottom"/>
          </w:tcPr>
          <w:p>
            <w:pPr>
              <w:spacing w:after="0"/>
              <w:rPr>
                <w:sz w:val="20"/>
                <w:szCs w:val="20"/>
                <w:color w:val="auto"/>
              </w:rPr>
            </w:pPr>
            <w:r>
              <w:rPr>
                <w:rFonts w:ascii="Arial" w:cs="Arial" w:eastAsia="Arial" w:hAnsi="Arial"/>
                <w:sz w:val="18"/>
                <w:szCs w:val="18"/>
                <w:color w:val="auto"/>
              </w:rPr>
              <w:t>Contract liabilities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1,721.1</w:t>
            </w:r>
          </w:p>
        </w:tc>
        <w:tc>
          <w:tcPr>
            <w:tcW w:w="1040" w:type="dxa"/>
            <w:vAlign w:val="bottom"/>
          </w:tcPr>
          <w:p>
            <w:pPr>
              <w:spacing w:after="0"/>
              <w:rPr>
                <w:sz w:val="20"/>
                <w:szCs w:val="20"/>
                <w:color w:val="auto"/>
              </w:rPr>
            </w:pPr>
          </w:p>
        </w:tc>
      </w:tr>
      <w:tr>
        <w:trPr>
          <w:trHeight w:val="270"/>
        </w:trPr>
        <w:tc>
          <w:tcPr>
            <w:tcW w:w="8000" w:type="dxa"/>
            <w:vAlign w:val="bottom"/>
          </w:tcPr>
          <w:p>
            <w:pPr>
              <w:spacing w:after="0"/>
              <w:rPr>
                <w:sz w:val="20"/>
                <w:szCs w:val="20"/>
                <w:color w:val="auto"/>
              </w:rPr>
            </w:pPr>
            <w:r>
              <w:rPr>
                <w:rFonts w:ascii="Arial" w:cs="Arial" w:eastAsia="Arial" w:hAnsi="Arial"/>
                <w:sz w:val="18"/>
                <w:szCs w:val="18"/>
                <w:color w:val="auto"/>
              </w:rPr>
              <w:t>Mandatorily redeemable financial liability</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ind w:left="500"/>
              <w:spacing w:after="0"/>
              <w:rPr>
                <w:sz w:val="20"/>
                <w:szCs w:val="20"/>
                <w:color w:val="auto"/>
              </w:rPr>
            </w:pPr>
            <w:r>
              <w:rPr>
                <w:rFonts w:ascii="Arial" w:cs="Arial" w:eastAsia="Arial" w:hAnsi="Arial"/>
                <w:sz w:val="18"/>
                <w:szCs w:val="18"/>
                <w:color w:val="auto"/>
              </w:rPr>
              <w:t>412.8</w:t>
            </w:r>
          </w:p>
        </w:tc>
        <w:tc>
          <w:tcPr>
            <w:tcW w:w="1040" w:type="dxa"/>
            <w:vAlign w:val="bottom"/>
          </w:tcPr>
          <w:p>
            <w:pPr>
              <w:spacing w:after="0"/>
              <w:rPr>
                <w:sz w:val="23"/>
                <w:szCs w:val="23"/>
                <w:color w:val="auto"/>
              </w:rPr>
            </w:pPr>
          </w:p>
        </w:tc>
      </w:tr>
      <w:tr>
        <w:trPr>
          <w:trHeight w:val="594"/>
        </w:trPr>
        <w:tc>
          <w:tcPr>
            <w:tcW w:w="80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spacing w:after="0"/>
              <w:rPr>
                <w:sz w:val="24"/>
                <w:szCs w:val="24"/>
                <w:color w:val="auto"/>
              </w:rPr>
            </w:pPr>
          </w:p>
        </w:tc>
        <w:tc>
          <w:tcPr>
            <w:tcW w:w="1040" w:type="dxa"/>
            <w:vAlign w:val="bottom"/>
          </w:tcPr>
          <w:p>
            <w:pPr>
              <w:spacing w:after="0"/>
              <w:rPr>
                <w:sz w:val="24"/>
                <w:szCs w:val="24"/>
                <w:color w:val="auto"/>
              </w:rPr>
            </w:pPr>
          </w:p>
        </w:tc>
      </w:tr>
      <w:tr>
        <w:trPr>
          <w:trHeight w:val="218"/>
        </w:trPr>
        <w:tc>
          <w:tcPr>
            <w:tcW w:w="8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0" w:type="dxa"/>
            <w:vAlign w:val="bottom"/>
            <w:gridSpan w:val="3"/>
          </w:tcPr>
          <w:p>
            <w:pPr>
              <w:jc w:val="center"/>
              <w:ind w:right="988"/>
              <w:spacing w:after="0"/>
              <w:rPr>
                <w:sz w:val="20"/>
                <w:szCs w:val="20"/>
                <w:color w:val="auto"/>
              </w:rPr>
            </w:pPr>
            <w:r>
              <w:rPr>
                <w:rFonts w:ascii="Arial" w:cs="Arial" w:eastAsia="Arial" w:hAnsi="Arial"/>
                <w:sz w:val="18"/>
                <w:szCs w:val="18"/>
                <w:b w:val="1"/>
                <w:bCs w:val="1"/>
                <w:color w:val="auto"/>
                <w:w w:val="93"/>
              </w:rPr>
              <w:t>Three Months</w:t>
            </w:r>
          </w:p>
        </w:tc>
      </w:tr>
      <w:tr>
        <w:trPr>
          <w:trHeight w:val="234"/>
        </w:trPr>
        <w:tc>
          <w:tcPr>
            <w:tcW w:w="8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20" w:type="dxa"/>
            <w:vAlign w:val="bottom"/>
            <w:gridSpan w:val="2"/>
          </w:tcPr>
          <w:p>
            <w:pPr>
              <w:jc w:val="center"/>
              <w:ind w:right="1168"/>
              <w:spacing w:after="0"/>
              <w:rPr>
                <w:sz w:val="20"/>
                <w:szCs w:val="20"/>
                <w:color w:val="auto"/>
              </w:rPr>
            </w:pPr>
            <w:r>
              <w:rPr>
                <w:rFonts w:ascii="Arial" w:cs="Arial" w:eastAsia="Arial" w:hAnsi="Arial"/>
                <w:sz w:val="18"/>
                <w:szCs w:val="18"/>
                <w:b w:val="1"/>
                <w:bCs w:val="1"/>
                <w:color w:val="auto"/>
                <w:w w:val="90"/>
              </w:rPr>
              <w:t>Ended</w:t>
            </w:r>
          </w:p>
        </w:tc>
      </w:tr>
      <w:tr>
        <w:trPr>
          <w:trHeight w:val="270"/>
        </w:trPr>
        <w:tc>
          <w:tcPr>
            <w:tcW w:w="8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20" w:type="dxa"/>
            <w:vAlign w:val="bottom"/>
            <w:gridSpan w:val="2"/>
          </w:tcPr>
          <w:p>
            <w:pPr>
              <w:jc w:val="center"/>
              <w:ind w:right="1188"/>
              <w:spacing w:after="0"/>
              <w:rPr>
                <w:sz w:val="20"/>
                <w:szCs w:val="20"/>
                <w:color w:val="auto"/>
              </w:rPr>
            </w:pPr>
            <w:r>
              <w:rPr>
                <w:rFonts w:ascii="Arial" w:cs="Arial" w:eastAsia="Arial" w:hAnsi="Arial"/>
                <w:sz w:val="18"/>
                <w:szCs w:val="18"/>
                <w:b w:val="1"/>
                <w:bCs w:val="1"/>
                <w:color w:val="auto"/>
                <w:w w:val="88"/>
              </w:rPr>
              <w:t>June 30,</w:t>
            </w:r>
          </w:p>
        </w:tc>
      </w:tr>
      <w:tr>
        <w:trPr>
          <w:trHeight w:val="270"/>
        </w:trPr>
        <w:tc>
          <w:tcPr>
            <w:tcW w:w="8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2019</w:t>
            </w:r>
          </w:p>
        </w:tc>
        <w:tc>
          <w:tcPr>
            <w:tcW w:w="1040" w:type="dxa"/>
            <w:vAlign w:val="bottom"/>
          </w:tcPr>
          <w:p>
            <w:pPr>
              <w:spacing w:after="0"/>
              <w:rPr>
                <w:sz w:val="23"/>
                <w:szCs w:val="23"/>
                <w:color w:val="auto"/>
              </w:rPr>
            </w:pPr>
          </w:p>
        </w:tc>
      </w:tr>
      <w:tr>
        <w:trPr>
          <w:trHeight w:val="27"/>
        </w:trPr>
        <w:tc>
          <w:tcPr>
            <w:tcW w:w="8000" w:type="dxa"/>
            <w:vAlign w:val="bottom"/>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40" w:type="dxa"/>
            <w:vAlign w:val="bottom"/>
          </w:tcPr>
          <w:p>
            <w:pPr>
              <w:spacing w:after="0"/>
              <w:rPr>
                <w:sz w:val="2"/>
                <w:szCs w:val="2"/>
                <w:color w:val="auto"/>
              </w:rPr>
            </w:pPr>
          </w:p>
        </w:tc>
      </w:tr>
      <w:tr>
        <w:trPr>
          <w:trHeight w:val="237"/>
        </w:trPr>
        <w:tc>
          <w:tcPr>
            <w:tcW w:w="8000" w:type="dxa"/>
            <w:vAlign w:val="bottom"/>
          </w:tcPr>
          <w:p>
            <w:pPr>
              <w:spacing w:after="0"/>
              <w:rPr>
                <w:sz w:val="20"/>
                <w:szCs w:val="20"/>
                <w:color w:val="auto"/>
              </w:rPr>
            </w:pPr>
            <w:r>
              <w:rPr>
                <w:rFonts w:ascii="Arial" w:cs="Arial" w:eastAsia="Arial" w:hAnsi="Arial"/>
                <w:sz w:val="18"/>
                <w:szCs w:val="18"/>
                <w:color w:val="auto"/>
              </w:rPr>
              <w:t>Cash required by operating activities</w:t>
            </w:r>
          </w:p>
        </w:tc>
        <w:tc>
          <w:tcPr>
            <w:tcW w:w="200" w:type="dxa"/>
            <w:vAlign w:val="bottom"/>
            <w:gridSpan w:val="2"/>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Pr>
          <w:p>
            <w:pPr>
              <w:ind w:left="520"/>
              <w:spacing w:after="0"/>
              <w:rPr>
                <w:sz w:val="20"/>
                <w:szCs w:val="20"/>
                <w:color w:val="auto"/>
              </w:rPr>
            </w:pPr>
            <w:r>
              <w:rPr>
                <w:rFonts w:ascii="Arial" w:cs="Arial" w:eastAsia="Arial" w:hAnsi="Arial"/>
                <w:sz w:val="18"/>
                <w:szCs w:val="18"/>
                <w:color w:val="auto"/>
                <w:w w:val="93"/>
              </w:rPr>
              <w:t>(21.2)</w:t>
            </w:r>
          </w:p>
        </w:tc>
        <w:tc>
          <w:tcPr>
            <w:tcW w:w="1040" w:type="dxa"/>
            <w:vAlign w:val="bottom"/>
          </w:tcPr>
          <w:p>
            <w:pPr>
              <w:spacing w:after="0"/>
              <w:rPr>
                <w:sz w:val="20"/>
                <w:szCs w:val="20"/>
                <w:color w:val="auto"/>
              </w:rPr>
            </w:pPr>
          </w:p>
        </w:tc>
      </w:tr>
      <w:tr>
        <w:trPr>
          <w:trHeight w:val="270"/>
        </w:trPr>
        <w:tc>
          <w:tcPr>
            <w:tcW w:w="8000" w:type="dxa"/>
            <w:vAlign w:val="bottom"/>
          </w:tcPr>
          <w:p>
            <w:pPr>
              <w:spacing w:after="0"/>
              <w:rPr>
                <w:sz w:val="20"/>
                <w:szCs w:val="20"/>
                <w:color w:val="auto"/>
              </w:rPr>
            </w:pPr>
            <w:r>
              <w:rPr>
                <w:rFonts w:ascii="Arial" w:cs="Arial" w:eastAsia="Arial" w:hAnsi="Arial"/>
                <w:sz w:val="18"/>
                <w:szCs w:val="18"/>
                <w:color w:val="auto"/>
              </w:rPr>
              <w:t>Settlements of mandatorily redeemable financial liability</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ind w:left="520"/>
              <w:spacing w:after="0"/>
              <w:rPr>
                <w:sz w:val="20"/>
                <w:szCs w:val="20"/>
                <w:color w:val="auto"/>
              </w:rPr>
            </w:pPr>
            <w:r>
              <w:rPr>
                <w:rFonts w:ascii="Arial" w:cs="Arial" w:eastAsia="Arial" w:hAnsi="Arial"/>
                <w:sz w:val="18"/>
                <w:szCs w:val="18"/>
                <w:color w:val="auto"/>
                <w:w w:val="93"/>
              </w:rPr>
              <w:t>(45.7)</w:t>
            </w:r>
          </w:p>
        </w:tc>
        <w:tc>
          <w:tcPr>
            <w:tcW w:w="1040" w:type="dxa"/>
            <w:vAlign w:val="bottom"/>
          </w:tcPr>
          <w:p>
            <w:pPr>
              <w:spacing w:after="0"/>
              <w:rPr>
                <w:sz w:val="23"/>
                <w:szCs w:val="23"/>
                <w:color w:val="auto"/>
              </w:rPr>
            </w:pPr>
          </w:p>
        </w:tc>
      </w:tr>
      <w:tr>
        <w:trPr>
          <w:trHeight w:val="663"/>
        </w:trPr>
        <w:tc>
          <w:tcPr>
            <w:tcW w:w="8000" w:type="dxa"/>
            <w:vAlign w:val="bottom"/>
          </w:tcPr>
          <w:p>
            <w:pPr>
              <w:ind w:left="4040"/>
              <w:spacing w:after="0"/>
              <w:rPr>
                <w:sz w:val="20"/>
                <w:szCs w:val="20"/>
                <w:color w:val="auto"/>
              </w:rPr>
            </w:pPr>
            <w:r>
              <w:rPr>
                <w:rFonts w:ascii="Arial" w:cs="Arial" w:eastAsia="Arial" w:hAnsi="Arial"/>
                <w:sz w:val="14"/>
                <w:szCs w:val="14"/>
                <w:b w:val="1"/>
                <w:bCs w:val="1"/>
                <w:color w:val="auto"/>
              </w:rPr>
              <w:t>TechnipFMC.com</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ind w:left="120"/>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Page 20 of </w:t>
            </w:r>
            <w:hyperlink w:anchor="page30">
              <w:r>
                <w:rPr>
                  <w:rFonts w:ascii="Arial" w:cs="Arial" w:eastAsia="Arial" w:hAnsi="Arial"/>
                  <w:sz w:val="14"/>
                  <w:szCs w:val="14"/>
                  <w:b w:val="1"/>
                  <w:bCs w:val="1"/>
                  <w:color w:val="auto"/>
                </w:rPr>
                <w:t>25</w:t>
              </w:r>
            </w:hyperlink>
          </w:p>
        </w:tc>
      </w:tr>
    </w:tbl>
    <w:p>
      <w:pPr>
        <w:sectPr>
          <w:pgSz w:w="11900" w:h="16838" w:orient="portrait"/>
          <w:cols w:equalWidth="0" w:num="1">
            <w:col w:w="11420"/>
          </w:cols>
          <w:pgMar w:left="240" w:top="526"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3"/>
          <w:szCs w:val="13"/>
          <w:b w:val="1"/>
          <w:bCs w:val="1"/>
          <w:color w:val="auto"/>
        </w:rPr>
        <w:t>Exhibit 7</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TECHNIPFMC PLC AND CONSOLIDATED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RECONCILIATION OF GAAP TO NON-GAAP FINANCIAL MEASURES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millions, unaudited)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Charges and Credits</w:t>
      </w:r>
    </w:p>
    <w:p>
      <w:pPr>
        <w:spacing w:after="0" w:line="17"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In addition to financial results determined in accordance with U.S. generally accepted accounting principles (GAAP), the second quarter 2019 Earnings Release also includes non-GAAP financial measures (as defined in Item 10 of Regulation S-K of the Securities Exchange Act of 1934, as amended) and describes performance on a year-over-year basis against 2018 results and measures. Net income, excluding charges and credits, as well as measures derived from it (including Diluted EPS, excluding charges and credits; Income before net interest expense and taxes, excluding charges and credits ("Adjusted Operating profit"); Depreciation and amortization, excluding charges and credits; Earnings before net interest expense, income taxes, depreciation and amortization, excluding charges and credits ("Adjusted EBITDA"); and net cash) are non-GAAP financial measures. Management believes that the exclusion of charges and credits from these financial measures enables investors and management to more effectively evaluate TechnipFMC's operations and consolidated results of operations period-over-period, and to identify operating trends that could otherwise be masked or misleading to both investors and management by the excluded items. These measures are also used by management as performance measures in determining certain incentive compensation. The foregoing non-GAAP financial measures should be considered by investors in addition to, not as a substitute for or superior to, other measures of financial performance prepared in accordance with GAAP. The following is a reconciliation of the most comparable financial measures under GAAP to the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1866265</wp:posOffset>
            </wp:positionH>
            <wp:positionV relativeFrom="paragraph">
              <wp:posOffset>76200</wp:posOffset>
            </wp:positionV>
            <wp:extent cx="466534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665345" cy="8890"/>
                    </a:xfrm>
                    <a:prstGeom prst="rect">
                      <a:avLst/>
                    </a:prstGeom>
                    <a:noFill/>
                  </pic:spPr>
                </pic:pic>
              </a:graphicData>
            </a:graphic>
          </wp:anchor>
        </w:drawing>
      </w:r>
    </w:p>
    <w:p>
      <w:pPr>
        <w:spacing w:after="0" w:line="190" w:lineRule="exact"/>
        <w:rPr>
          <w:sz w:val="20"/>
          <w:szCs w:val="20"/>
          <w:color w:val="auto"/>
        </w:rPr>
      </w:pPr>
    </w:p>
    <w:p>
      <w:pPr>
        <w:jc w:val="center"/>
        <w:ind w:left="1820"/>
        <w:spacing w:after="0"/>
        <w:rPr>
          <w:sz w:val="20"/>
          <w:szCs w:val="20"/>
          <w:color w:val="auto"/>
        </w:rPr>
      </w:pPr>
      <w:r>
        <w:rPr>
          <w:rFonts w:ascii="Arial" w:cs="Arial" w:eastAsia="Arial" w:hAnsi="Arial"/>
          <w:sz w:val="13"/>
          <w:szCs w:val="13"/>
          <w:b w:val="1"/>
          <w:bCs w:val="1"/>
          <w:color w:val="auto"/>
        </w:rPr>
        <w:t>Three Months Ended</w:t>
      </w:r>
    </w:p>
    <w:p>
      <w:pPr>
        <w:spacing w:after="0" w:line="40" w:lineRule="exact"/>
        <w:rPr>
          <w:sz w:val="20"/>
          <w:szCs w:val="20"/>
          <w:color w:val="auto"/>
        </w:rPr>
      </w:pPr>
    </w:p>
    <w:p>
      <w:pPr>
        <w:jc w:val="center"/>
        <w:ind w:left="1820"/>
        <w:spacing w:after="0"/>
        <w:rPr>
          <w:sz w:val="20"/>
          <w:szCs w:val="20"/>
          <w:color w:val="auto"/>
        </w:rPr>
      </w:pPr>
      <w:r>
        <w:rPr>
          <w:rFonts w:ascii="Arial" w:cs="Arial" w:eastAsia="Arial" w:hAnsi="Arial"/>
          <w:sz w:val="13"/>
          <w:szCs w:val="13"/>
          <w:b w:val="1"/>
          <w:bCs w:val="1"/>
          <w:color w:val="auto"/>
        </w:rPr>
        <w:t>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1866265</wp:posOffset>
            </wp:positionH>
            <wp:positionV relativeFrom="paragraph">
              <wp:posOffset>71120</wp:posOffset>
            </wp:positionV>
            <wp:extent cx="466534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665345" cy="8890"/>
                    </a:xfrm>
                    <a:prstGeom prst="rect">
                      <a:avLst/>
                    </a:prstGeom>
                    <a:noFill/>
                  </pic:spPr>
                </pic:pic>
              </a:graphicData>
            </a:graphic>
          </wp:anchor>
        </w:drawing>
      </w:r>
    </w:p>
    <w:p>
      <w:pPr>
        <w:spacing w:after="0" w:line="100" w:lineRule="exact"/>
        <w:rPr>
          <w:sz w:val="20"/>
          <w:szCs w:val="20"/>
          <w:color w:val="auto"/>
        </w:rPr>
      </w:pPr>
    </w:p>
    <w:tbl>
      <w:tblPr>
        <w:tblLayout w:type="fixed"/>
        <w:tblInd w:w="1180" w:type="dxa"/>
        <w:tblCellMar>
          <w:top w:w="0" w:type="dxa"/>
          <w:left w:w="0" w:type="dxa"/>
          <w:bottom w:w="0" w:type="dxa"/>
          <w:right w:w="0" w:type="dxa"/>
        </w:tblCellMar>
      </w:tblPr>
      <w:tr>
        <w:trPr>
          <w:trHeight w:val="149"/>
        </w:trPr>
        <w:tc>
          <w:tcPr>
            <w:tcW w:w="1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Earnings before</w:t>
            </w:r>
          </w:p>
        </w:tc>
        <w:tc>
          <w:tcPr>
            <w:tcW w:w="0" w:type="dxa"/>
            <w:vAlign w:val="bottom"/>
          </w:tcPr>
          <w:p>
            <w:pPr>
              <w:spacing w:after="0"/>
              <w:rPr>
                <w:sz w:val="1"/>
                <w:szCs w:val="1"/>
                <w:color w:val="auto"/>
              </w:rPr>
            </w:pPr>
          </w:p>
        </w:tc>
      </w:tr>
      <w:tr>
        <w:trPr>
          <w:trHeight w:val="135"/>
        </w:trPr>
        <w:tc>
          <w:tcPr>
            <w:tcW w:w="1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5"/>
              </w:rPr>
              <w:t>net interest</w:t>
            </w:r>
          </w:p>
        </w:tc>
        <w:tc>
          <w:tcPr>
            <w:tcW w:w="0" w:type="dxa"/>
            <w:vAlign w:val="bottom"/>
          </w:tcPr>
          <w:p>
            <w:pPr>
              <w:spacing w:after="0"/>
              <w:rPr>
                <w:sz w:val="1"/>
                <w:szCs w:val="1"/>
                <w:color w:val="auto"/>
              </w:rPr>
            </w:pPr>
          </w:p>
        </w:tc>
      </w:tr>
      <w:tr>
        <w:trPr>
          <w:trHeight w:val="135"/>
        </w:trPr>
        <w:tc>
          <w:tcPr>
            <w:tcW w:w="1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Income before</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78"/>
              </w:rPr>
              <w:t>expense,</w:t>
            </w:r>
          </w:p>
        </w:tc>
        <w:tc>
          <w:tcPr>
            <w:tcW w:w="0" w:type="dxa"/>
            <w:vAlign w:val="bottom"/>
          </w:tcPr>
          <w:p>
            <w:pPr>
              <w:spacing w:after="0"/>
              <w:rPr>
                <w:sz w:val="1"/>
                <w:szCs w:val="1"/>
                <w:color w:val="auto"/>
              </w:rPr>
            </w:pPr>
          </w:p>
        </w:tc>
      </w:tr>
      <w:tr>
        <w:trPr>
          <w:trHeight w:val="135"/>
        </w:trPr>
        <w:tc>
          <w:tcPr>
            <w:tcW w:w="1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5"/>
              </w:rPr>
              <w:t>net interest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3"/>
              </w:rPr>
              <w:t>income taxes,</w:t>
            </w:r>
          </w:p>
        </w:tc>
        <w:tc>
          <w:tcPr>
            <w:tcW w:w="0" w:type="dxa"/>
            <w:vAlign w:val="bottom"/>
          </w:tcPr>
          <w:p>
            <w:pPr>
              <w:spacing w:after="0"/>
              <w:rPr>
                <w:sz w:val="1"/>
                <w:szCs w:val="1"/>
                <w:color w:val="auto"/>
              </w:rPr>
            </w:pPr>
          </w:p>
        </w:tc>
      </w:tr>
      <w:tr>
        <w:trPr>
          <w:trHeight w:val="135"/>
        </w:trPr>
        <w:tc>
          <w:tcPr>
            <w:tcW w:w="1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3"/>
          </w:tcPr>
          <w:p>
            <w:pPr>
              <w:jc w:val="center"/>
              <w:ind w:right="220"/>
              <w:spacing w:after="0" w:line="135" w:lineRule="exact"/>
              <w:rPr>
                <w:sz w:val="20"/>
                <w:szCs w:val="20"/>
                <w:color w:val="auto"/>
              </w:rPr>
            </w:pPr>
            <w:r>
              <w:rPr>
                <w:rFonts w:ascii="Arial" w:cs="Arial" w:eastAsia="Arial" w:hAnsi="Arial"/>
                <w:sz w:val="13"/>
                <w:szCs w:val="13"/>
                <w:b w:val="1"/>
                <w:bCs w:val="1"/>
                <w:color w:val="auto"/>
                <w:w w:val="85"/>
              </w:rPr>
              <w:t>Net income</w:t>
            </w:r>
          </w:p>
        </w:tc>
        <w:tc>
          <w:tcPr>
            <w:tcW w:w="80" w:type="dxa"/>
            <w:vAlign w:val="bottom"/>
          </w:tcPr>
          <w:p>
            <w:pPr>
              <w:spacing w:after="0"/>
              <w:rPr>
                <w:sz w:val="11"/>
                <w:szCs w:val="11"/>
                <w:color w:val="auto"/>
              </w:rPr>
            </w:pPr>
          </w:p>
        </w:tc>
        <w:tc>
          <w:tcPr>
            <w:tcW w:w="9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5"/>
              </w:rPr>
              <w:t>Net income</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3"/>
              </w:rPr>
              <w:t>expense and</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7"/>
              </w:rPr>
              <w:t>depreciation</w:t>
            </w:r>
          </w:p>
        </w:tc>
        <w:tc>
          <w:tcPr>
            <w:tcW w:w="0" w:type="dxa"/>
            <w:vAlign w:val="bottom"/>
          </w:tcPr>
          <w:p>
            <w:pPr>
              <w:spacing w:after="0"/>
              <w:rPr>
                <w:sz w:val="1"/>
                <w:szCs w:val="1"/>
                <w:color w:val="auto"/>
              </w:rPr>
            </w:pPr>
          </w:p>
        </w:tc>
      </w:tr>
      <w:tr>
        <w:trPr>
          <w:trHeight w:val="135"/>
        </w:trPr>
        <w:tc>
          <w:tcPr>
            <w:tcW w:w="1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gridSpan w:val="4"/>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attributable to</w:t>
            </w:r>
          </w:p>
        </w:tc>
        <w:tc>
          <w:tcPr>
            <w:tcW w:w="80" w:type="dxa"/>
            <w:vAlign w:val="bottom"/>
          </w:tcPr>
          <w:p>
            <w:pPr>
              <w:spacing w:after="0"/>
              <w:rPr>
                <w:sz w:val="11"/>
                <w:szCs w:val="11"/>
                <w:color w:val="auto"/>
              </w:rPr>
            </w:pPr>
          </w:p>
        </w:tc>
        <w:tc>
          <w:tcPr>
            <w:tcW w:w="9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9"/>
              </w:rPr>
              <w:t>attributable to</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4"/>
              </w:rPr>
              <w:t>income taxes</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Depreciation</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6"/>
              </w:rPr>
              <w:t>and</w:t>
            </w:r>
          </w:p>
        </w:tc>
        <w:tc>
          <w:tcPr>
            <w:tcW w:w="0" w:type="dxa"/>
            <w:vAlign w:val="bottom"/>
          </w:tcPr>
          <w:p>
            <w:pPr>
              <w:spacing w:after="0"/>
              <w:rPr>
                <w:sz w:val="1"/>
                <w:szCs w:val="1"/>
                <w:color w:val="auto"/>
              </w:rPr>
            </w:pPr>
          </w:p>
        </w:tc>
      </w:tr>
      <w:tr>
        <w:trPr>
          <w:trHeight w:val="135"/>
        </w:trPr>
        <w:tc>
          <w:tcPr>
            <w:tcW w:w="1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3"/>
          </w:tcPr>
          <w:p>
            <w:pPr>
              <w:jc w:val="center"/>
              <w:ind w:right="220"/>
              <w:spacing w:after="0" w:line="135" w:lineRule="exact"/>
              <w:rPr>
                <w:sz w:val="20"/>
                <w:szCs w:val="20"/>
                <w:color w:val="auto"/>
              </w:rPr>
            </w:pPr>
            <w:r>
              <w:rPr>
                <w:rFonts w:ascii="Arial" w:cs="Arial" w:eastAsia="Arial" w:hAnsi="Arial"/>
                <w:sz w:val="13"/>
                <w:szCs w:val="13"/>
                <w:b w:val="1"/>
                <w:bCs w:val="1"/>
                <w:color w:val="auto"/>
                <w:w w:val="92"/>
              </w:rPr>
              <w:t>TechnipFMC</w:t>
            </w:r>
          </w:p>
        </w:tc>
        <w:tc>
          <w:tcPr>
            <w:tcW w:w="80" w:type="dxa"/>
            <w:vAlign w:val="bottom"/>
          </w:tcPr>
          <w:p>
            <w:pPr>
              <w:spacing w:after="0"/>
              <w:rPr>
                <w:sz w:val="11"/>
                <w:szCs w:val="11"/>
                <w:color w:val="auto"/>
              </w:rPr>
            </w:pPr>
          </w:p>
        </w:tc>
        <w:tc>
          <w:tcPr>
            <w:tcW w:w="9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5"/>
              </w:rPr>
              <w:t>noncontrolling</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ind w:right="17"/>
              <w:spacing w:after="0" w:line="135" w:lineRule="exact"/>
              <w:rPr>
                <w:sz w:val="20"/>
                <w:szCs w:val="20"/>
                <w:color w:val="auto"/>
              </w:rPr>
            </w:pPr>
            <w:r>
              <w:rPr>
                <w:rFonts w:ascii="Arial" w:cs="Arial" w:eastAsia="Arial" w:hAnsi="Arial"/>
                <w:sz w:val="13"/>
                <w:szCs w:val="13"/>
                <w:b w:val="1"/>
                <w:bCs w:val="1"/>
                <w:color w:val="auto"/>
                <w:w w:val="84"/>
              </w:rPr>
              <w:t>Provision for</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3"/>
          </w:tcPr>
          <w:p>
            <w:pPr>
              <w:jc w:val="center"/>
              <w:ind w:right="180"/>
              <w:spacing w:after="0" w:line="135" w:lineRule="exact"/>
              <w:rPr>
                <w:sz w:val="20"/>
                <w:szCs w:val="20"/>
                <w:color w:val="auto"/>
              </w:rPr>
            </w:pPr>
            <w:r>
              <w:rPr>
                <w:rFonts w:ascii="Arial" w:cs="Arial" w:eastAsia="Arial" w:hAnsi="Arial"/>
                <w:sz w:val="13"/>
                <w:szCs w:val="13"/>
                <w:b w:val="1"/>
                <w:bCs w:val="1"/>
                <w:color w:val="auto"/>
                <w:w w:val="89"/>
              </w:rPr>
              <w:t>Net interest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1"/>
              </w:rPr>
              <w:t>(Operating</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6"/>
              </w:rPr>
              <w:t>and</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7"/>
              </w:rPr>
              <w:t>amortization</w:t>
            </w:r>
          </w:p>
        </w:tc>
        <w:tc>
          <w:tcPr>
            <w:tcW w:w="0" w:type="dxa"/>
            <w:vAlign w:val="bottom"/>
          </w:tcPr>
          <w:p>
            <w:pPr>
              <w:spacing w:after="0"/>
              <w:rPr>
                <w:sz w:val="1"/>
                <w:szCs w:val="1"/>
                <w:color w:val="auto"/>
              </w:rPr>
            </w:pPr>
          </w:p>
        </w:tc>
      </w:tr>
      <w:tr>
        <w:trPr>
          <w:trHeight w:val="174"/>
        </w:trPr>
        <w:tc>
          <w:tcPr>
            <w:tcW w:w="1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4"/>
              </w:rPr>
              <w:t>plc</w:t>
            </w:r>
          </w:p>
        </w:tc>
        <w:tc>
          <w:tcPr>
            <w:tcW w:w="120" w:type="dxa"/>
            <w:vAlign w:val="bottom"/>
            <w:gridSpan w:val="2"/>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3"/>
                <w:szCs w:val="13"/>
                <w:b w:val="1"/>
                <w:bCs w:val="1"/>
                <w:color w:val="auto"/>
                <w:w w:val="84"/>
              </w:rPr>
              <w:t>interests</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82"/>
              </w:rPr>
              <w:t>income taxes</w:t>
            </w:r>
          </w:p>
        </w:tc>
        <w:tc>
          <w:tcPr>
            <w:tcW w:w="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3"/>
                <w:szCs w:val="13"/>
                <w:b w:val="1"/>
                <w:bCs w:val="1"/>
                <w:color w:val="auto"/>
                <w:w w:val="80"/>
              </w:rPr>
              <w:t>expense</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3"/>
                <w:szCs w:val="13"/>
                <w:b w:val="1"/>
                <w:bCs w:val="1"/>
                <w:color w:val="auto"/>
                <w:w w:val="90"/>
              </w:rPr>
              <w:t>profit)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3"/>
                <w:szCs w:val="13"/>
                <w:b w:val="1"/>
                <w:bCs w:val="1"/>
                <w:color w:val="auto"/>
                <w:w w:val="90"/>
              </w:rPr>
              <w:t>amortization</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8"/>
              </w:rPr>
              <w:t>(EBITDA)</w:t>
            </w:r>
          </w:p>
        </w:tc>
        <w:tc>
          <w:tcPr>
            <w:tcW w:w="0" w:type="dxa"/>
            <w:vAlign w:val="bottom"/>
          </w:tcPr>
          <w:p>
            <w:pPr>
              <w:spacing w:after="0"/>
              <w:rPr>
                <w:sz w:val="1"/>
                <w:szCs w:val="1"/>
                <w:color w:val="auto"/>
              </w:rPr>
            </w:pPr>
          </w:p>
        </w:tc>
      </w:tr>
      <w:tr>
        <w:trPr>
          <w:trHeight w:val="241"/>
        </w:trPr>
        <w:tc>
          <w:tcPr>
            <w:tcW w:w="1760" w:type="dxa"/>
            <w:vAlign w:val="bottom"/>
            <w:gridSpan w:val="2"/>
          </w:tcPr>
          <w:p>
            <w:pPr>
              <w:spacing w:after="0"/>
              <w:rPr>
                <w:sz w:val="20"/>
                <w:szCs w:val="20"/>
                <w:color w:val="auto"/>
              </w:rPr>
            </w:pPr>
            <w:r>
              <w:rPr>
                <w:rFonts w:ascii="Arial" w:cs="Arial" w:eastAsia="Arial" w:hAnsi="Arial"/>
                <w:sz w:val="13"/>
                <w:szCs w:val="13"/>
                <w:color w:val="auto"/>
              </w:rPr>
              <w:t>TechnipFMC plc, as reported</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97.0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(16.7)</w:t>
            </w:r>
          </w:p>
        </w:tc>
        <w:tc>
          <w:tcPr>
            <w:tcW w:w="40" w:type="dxa"/>
            <w:vAlign w:val="bottom"/>
          </w:tcPr>
          <w:p>
            <w:pPr>
              <w:spacing w:after="0"/>
              <w:rPr>
                <w:sz w:val="20"/>
                <w:szCs w:val="20"/>
                <w:color w:val="auto"/>
              </w:rPr>
            </w:pPr>
          </w:p>
        </w:tc>
        <w:tc>
          <w:tcPr>
            <w:tcW w:w="2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0.9</w:t>
            </w:r>
          </w:p>
        </w:tc>
        <w:tc>
          <w:tcPr>
            <w:tcW w:w="24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(140.6)</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255.2</w:t>
            </w:r>
          </w:p>
        </w:tc>
        <w:tc>
          <w:tcPr>
            <w:tcW w:w="40" w:type="dxa"/>
            <w:vAlign w:val="bottom"/>
          </w:tcPr>
          <w:p>
            <w:pPr>
              <w:spacing w:after="0"/>
              <w:rPr>
                <w:sz w:val="20"/>
                <w:szCs w:val="20"/>
                <w:color w:val="auto"/>
              </w:rPr>
            </w:pPr>
          </w:p>
        </w:tc>
        <w:tc>
          <w:tcPr>
            <w:tcW w:w="1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117.5</w:t>
            </w:r>
          </w:p>
        </w:tc>
        <w:tc>
          <w:tcPr>
            <w:tcW w:w="40" w:type="dxa"/>
            <w:vAlign w:val="bottom"/>
          </w:tcPr>
          <w:p>
            <w:pPr>
              <w:spacing w:after="0"/>
              <w:rPr>
                <w:sz w:val="20"/>
                <w:szCs w:val="20"/>
                <w:color w:val="auto"/>
              </w:rPr>
            </w:pPr>
          </w:p>
        </w:tc>
        <w:tc>
          <w:tcPr>
            <w:tcW w:w="2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372.7</w:t>
            </w:r>
          </w:p>
        </w:tc>
        <w:tc>
          <w:tcPr>
            <w:tcW w:w="0" w:type="dxa"/>
            <w:vAlign w:val="bottom"/>
          </w:tcPr>
          <w:p>
            <w:pPr>
              <w:spacing w:after="0"/>
              <w:rPr>
                <w:sz w:val="1"/>
                <w:szCs w:val="1"/>
                <w:color w:val="auto"/>
              </w:rPr>
            </w:pPr>
          </w:p>
        </w:tc>
      </w:tr>
      <w:tr>
        <w:trPr>
          <w:trHeight w:val="486"/>
        </w:trPr>
        <w:tc>
          <w:tcPr>
            <w:tcW w:w="1760" w:type="dxa"/>
            <w:vAlign w:val="bottom"/>
            <w:gridSpan w:val="2"/>
          </w:tcPr>
          <w:p>
            <w:pPr>
              <w:spacing w:after="0"/>
              <w:rPr>
                <w:sz w:val="20"/>
                <w:szCs w:val="20"/>
                <w:color w:val="auto"/>
              </w:rPr>
            </w:pPr>
            <w:r>
              <w:rPr>
                <w:rFonts w:ascii="Arial" w:cs="Arial" w:eastAsia="Arial" w:hAnsi="Arial"/>
                <w:sz w:val="13"/>
                <w:szCs w:val="13"/>
                <w:color w:val="auto"/>
              </w:rPr>
              <w:t>Charges and (credits):</w:t>
            </w: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1760" w:type="dxa"/>
            <w:vAlign w:val="bottom"/>
            <w:gridSpan w:val="2"/>
          </w:tcPr>
          <w:p>
            <w:pPr>
              <w:ind w:left="240"/>
              <w:spacing w:after="0"/>
              <w:rPr>
                <w:sz w:val="20"/>
                <w:szCs w:val="20"/>
                <w:color w:val="auto"/>
              </w:rPr>
            </w:pPr>
            <w:r>
              <w:rPr>
                <w:rFonts w:ascii="Arial" w:cs="Arial" w:eastAsia="Arial" w:hAnsi="Arial"/>
                <w:sz w:val="13"/>
                <w:szCs w:val="13"/>
                <w:color w:val="auto"/>
              </w:rPr>
              <w:t>Impairment and other</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760" w:type="dxa"/>
            <w:vAlign w:val="bottom"/>
            <w:gridSpan w:val="2"/>
          </w:tcPr>
          <w:p>
            <w:pPr>
              <w:ind w:left="240"/>
              <w:spacing w:after="0"/>
              <w:rPr>
                <w:sz w:val="20"/>
                <w:szCs w:val="20"/>
                <w:color w:val="auto"/>
              </w:rPr>
            </w:pPr>
            <w:r>
              <w:rPr>
                <w:rFonts w:ascii="Arial" w:cs="Arial" w:eastAsia="Arial" w:hAnsi="Arial"/>
                <w:sz w:val="13"/>
                <w:szCs w:val="13"/>
                <w:color w:val="auto"/>
              </w:rPr>
              <w:t>charges</w:t>
            </w:r>
          </w:p>
        </w:tc>
        <w:tc>
          <w:tcPr>
            <w:tcW w:w="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0.4</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0.1</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0.5</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0.5</w:t>
            </w:r>
          </w:p>
        </w:tc>
        <w:tc>
          <w:tcPr>
            <w:tcW w:w="0" w:type="dxa"/>
            <w:vAlign w:val="bottom"/>
          </w:tcPr>
          <w:p>
            <w:pPr>
              <w:spacing w:after="0"/>
              <w:rPr>
                <w:sz w:val="1"/>
                <w:szCs w:val="1"/>
                <w:color w:val="auto"/>
              </w:rPr>
            </w:pPr>
          </w:p>
        </w:tc>
      </w:tr>
      <w:tr>
        <w:trPr>
          <w:trHeight w:val="164"/>
        </w:trPr>
        <w:tc>
          <w:tcPr>
            <w:tcW w:w="1760" w:type="dxa"/>
            <w:vAlign w:val="bottom"/>
            <w:gridSpan w:val="2"/>
          </w:tcPr>
          <w:p>
            <w:pPr>
              <w:ind w:left="240"/>
              <w:spacing w:after="0"/>
              <w:rPr>
                <w:sz w:val="20"/>
                <w:szCs w:val="20"/>
                <w:color w:val="auto"/>
              </w:rPr>
            </w:pPr>
            <w:r>
              <w:rPr>
                <w:rFonts w:ascii="Arial" w:cs="Arial" w:eastAsia="Arial" w:hAnsi="Arial"/>
                <w:sz w:val="13"/>
                <w:szCs w:val="13"/>
                <w:color w:val="auto"/>
              </w:rPr>
              <w:t>Restructuring and other</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760" w:type="dxa"/>
            <w:vAlign w:val="bottom"/>
            <w:gridSpan w:val="2"/>
          </w:tcPr>
          <w:p>
            <w:pPr>
              <w:ind w:left="240"/>
              <w:spacing w:after="0"/>
              <w:rPr>
                <w:sz w:val="20"/>
                <w:szCs w:val="20"/>
                <w:color w:val="auto"/>
              </w:rPr>
            </w:pPr>
            <w:r>
              <w:rPr>
                <w:rFonts w:ascii="Arial" w:cs="Arial" w:eastAsia="Arial" w:hAnsi="Arial"/>
                <w:sz w:val="13"/>
                <w:szCs w:val="13"/>
                <w:color w:val="auto"/>
              </w:rPr>
              <w:t>severance charges</w:t>
            </w:r>
          </w:p>
        </w:tc>
        <w:tc>
          <w:tcPr>
            <w:tcW w:w="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6.7</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8.7</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8.7</w:t>
            </w:r>
          </w:p>
        </w:tc>
        <w:tc>
          <w:tcPr>
            <w:tcW w:w="0" w:type="dxa"/>
            <w:vAlign w:val="bottom"/>
          </w:tcPr>
          <w:p>
            <w:pPr>
              <w:spacing w:after="0"/>
              <w:rPr>
                <w:sz w:val="1"/>
                <w:szCs w:val="1"/>
                <w:color w:val="auto"/>
              </w:rPr>
            </w:pPr>
          </w:p>
        </w:tc>
      </w:tr>
      <w:tr>
        <w:trPr>
          <w:trHeight w:val="164"/>
        </w:trPr>
        <w:tc>
          <w:tcPr>
            <w:tcW w:w="1760" w:type="dxa"/>
            <w:vAlign w:val="bottom"/>
            <w:gridSpan w:val="2"/>
          </w:tcPr>
          <w:p>
            <w:pPr>
              <w:ind w:left="240"/>
              <w:spacing w:after="0"/>
              <w:rPr>
                <w:sz w:val="20"/>
                <w:szCs w:val="20"/>
                <w:color w:val="auto"/>
              </w:rPr>
            </w:pPr>
            <w:r>
              <w:rPr>
                <w:rFonts w:ascii="Arial" w:cs="Arial" w:eastAsia="Arial" w:hAnsi="Arial"/>
                <w:sz w:val="13"/>
                <w:szCs w:val="13"/>
                <w:color w:val="auto"/>
              </w:rPr>
              <w:t>Business combination</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760" w:type="dxa"/>
            <w:vAlign w:val="bottom"/>
            <w:gridSpan w:val="2"/>
          </w:tcPr>
          <w:p>
            <w:pPr>
              <w:ind w:left="240"/>
              <w:spacing w:after="0" w:line="135" w:lineRule="exact"/>
              <w:rPr>
                <w:sz w:val="20"/>
                <w:szCs w:val="20"/>
                <w:color w:val="auto"/>
              </w:rPr>
            </w:pPr>
            <w:r>
              <w:rPr>
                <w:rFonts w:ascii="Arial" w:cs="Arial" w:eastAsia="Arial" w:hAnsi="Arial"/>
                <w:sz w:val="13"/>
                <w:szCs w:val="13"/>
                <w:color w:val="auto"/>
                <w:w w:val="97"/>
              </w:rPr>
              <w:t>transaction and integration</w:t>
            </w: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760" w:type="dxa"/>
            <w:vAlign w:val="bottom"/>
            <w:gridSpan w:val="2"/>
          </w:tcPr>
          <w:p>
            <w:pPr>
              <w:ind w:left="240"/>
              <w:spacing w:after="0"/>
              <w:rPr>
                <w:sz w:val="20"/>
                <w:szCs w:val="20"/>
                <w:color w:val="auto"/>
              </w:rPr>
            </w:pPr>
            <w:r>
              <w:rPr>
                <w:rFonts w:ascii="Arial" w:cs="Arial" w:eastAsia="Arial" w:hAnsi="Arial"/>
                <w:sz w:val="13"/>
                <w:szCs w:val="13"/>
                <w:color w:val="auto"/>
              </w:rPr>
              <w:t>costs</w:t>
            </w:r>
          </w:p>
        </w:tc>
        <w:tc>
          <w:tcPr>
            <w:tcW w:w="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9.8</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3.1</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12.9</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12.9</w:t>
            </w:r>
          </w:p>
        </w:tc>
        <w:tc>
          <w:tcPr>
            <w:tcW w:w="0" w:type="dxa"/>
            <w:vAlign w:val="bottom"/>
          </w:tcPr>
          <w:p>
            <w:pPr>
              <w:spacing w:after="0"/>
              <w:rPr>
                <w:sz w:val="1"/>
                <w:szCs w:val="1"/>
                <w:color w:val="auto"/>
              </w:rPr>
            </w:pPr>
          </w:p>
        </w:tc>
      </w:tr>
      <w:tr>
        <w:trPr>
          <w:trHeight w:val="270"/>
        </w:trPr>
        <w:tc>
          <w:tcPr>
            <w:tcW w:w="1760" w:type="dxa"/>
            <w:vAlign w:val="bottom"/>
            <w:gridSpan w:val="2"/>
          </w:tcPr>
          <w:p>
            <w:pPr>
              <w:ind w:left="240"/>
              <w:spacing w:after="0"/>
              <w:rPr>
                <w:sz w:val="20"/>
                <w:szCs w:val="20"/>
                <w:color w:val="auto"/>
              </w:rPr>
            </w:pPr>
            <w:r>
              <w:rPr>
                <w:rFonts w:ascii="Arial" w:cs="Arial" w:eastAsia="Arial" w:hAnsi="Arial"/>
                <w:sz w:val="13"/>
                <w:szCs w:val="13"/>
                <w:color w:val="auto"/>
              </w:rPr>
              <w:t>Legal provision, net</w:t>
            </w:r>
          </w:p>
        </w:tc>
        <w:tc>
          <w:tcPr>
            <w:tcW w:w="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55.2</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55.2</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55.2</w:t>
            </w:r>
          </w:p>
        </w:tc>
        <w:tc>
          <w:tcPr>
            <w:tcW w:w="0" w:type="dxa"/>
            <w:vAlign w:val="bottom"/>
          </w:tcPr>
          <w:p>
            <w:pPr>
              <w:spacing w:after="0"/>
              <w:rPr>
                <w:sz w:val="1"/>
                <w:szCs w:val="1"/>
                <w:color w:val="auto"/>
              </w:rPr>
            </w:pPr>
          </w:p>
        </w:tc>
      </w:tr>
      <w:tr>
        <w:trPr>
          <w:trHeight w:val="164"/>
        </w:trPr>
        <w:tc>
          <w:tcPr>
            <w:tcW w:w="1760" w:type="dxa"/>
            <w:vAlign w:val="bottom"/>
            <w:gridSpan w:val="2"/>
          </w:tcPr>
          <w:p>
            <w:pPr>
              <w:ind w:left="240"/>
              <w:spacing w:after="0"/>
              <w:rPr>
                <w:sz w:val="20"/>
                <w:szCs w:val="20"/>
                <w:color w:val="auto"/>
              </w:rPr>
            </w:pPr>
            <w:r>
              <w:rPr>
                <w:rFonts w:ascii="Arial" w:cs="Arial" w:eastAsia="Arial" w:hAnsi="Arial"/>
                <w:sz w:val="13"/>
                <w:szCs w:val="13"/>
                <w:color w:val="auto"/>
                <w:w w:val="97"/>
              </w:rPr>
              <w:t>Purchase price accounting</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760" w:type="dxa"/>
            <w:vAlign w:val="bottom"/>
            <w:gridSpan w:val="2"/>
          </w:tcPr>
          <w:p>
            <w:pPr>
              <w:ind w:left="240"/>
              <w:spacing w:after="0"/>
              <w:rPr>
                <w:sz w:val="20"/>
                <w:szCs w:val="20"/>
                <w:color w:val="auto"/>
              </w:rPr>
            </w:pPr>
            <w:r>
              <w:rPr>
                <w:rFonts w:ascii="Arial" w:cs="Arial" w:eastAsia="Arial" w:hAnsi="Arial"/>
                <w:sz w:val="13"/>
                <w:szCs w:val="13"/>
                <w:color w:val="auto"/>
              </w:rPr>
              <w:t>adjustment</w:t>
            </w: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w:t>
            </w:r>
          </w:p>
        </w:tc>
        <w:tc>
          <w:tcPr>
            <w:tcW w:w="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w:t>
            </w:r>
          </w:p>
        </w:tc>
        <w:tc>
          <w:tcPr>
            <w:tcW w:w="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w:t>
            </w:r>
          </w:p>
        </w:tc>
        <w:tc>
          <w:tcPr>
            <w:tcW w:w="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1"/>
        </w:trPr>
        <w:tc>
          <w:tcPr>
            <w:tcW w:w="1760" w:type="dxa"/>
            <w:vAlign w:val="bottom"/>
            <w:gridSpan w:val="2"/>
          </w:tcPr>
          <w:p>
            <w:pPr>
              <w:spacing w:after="0"/>
              <w:rPr>
                <w:sz w:val="20"/>
                <w:szCs w:val="20"/>
                <w:color w:val="auto"/>
              </w:rPr>
            </w:pPr>
            <w:r>
              <w:rPr>
                <w:rFonts w:ascii="Arial" w:cs="Arial" w:eastAsia="Arial" w:hAnsi="Arial"/>
                <w:sz w:val="13"/>
                <w:szCs w:val="13"/>
                <w:color w:val="auto"/>
              </w:rPr>
              <w:t>Adjusted financial measures</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175.6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(16.7)</w:t>
            </w:r>
          </w:p>
        </w:tc>
        <w:tc>
          <w:tcPr>
            <w:tcW w:w="40" w:type="dxa"/>
            <w:vAlign w:val="bottom"/>
          </w:tcPr>
          <w:p>
            <w:pPr>
              <w:spacing w:after="0"/>
              <w:rPr>
                <w:sz w:val="20"/>
                <w:szCs w:val="20"/>
                <w:color w:val="auto"/>
              </w:rPr>
            </w:pPr>
          </w:p>
        </w:tc>
        <w:tc>
          <w:tcPr>
            <w:tcW w:w="2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8.1</w:t>
            </w:r>
          </w:p>
        </w:tc>
        <w:tc>
          <w:tcPr>
            <w:tcW w:w="24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(140.6)</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341.0</w:t>
            </w:r>
          </w:p>
        </w:tc>
        <w:tc>
          <w:tcPr>
            <w:tcW w:w="40" w:type="dxa"/>
            <w:vAlign w:val="bottom"/>
          </w:tcPr>
          <w:p>
            <w:pPr>
              <w:spacing w:after="0"/>
              <w:rPr>
                <w:sz w:val="20"/>
                <w:szCs w:val="20"/>
                <w:color w:val="auto"/>
              </w:rPr>
            </w:pPr>
          </w:p>
        </w:tc>
        <w:tc>
          <w:tcPr>
            <w:tcW w:w="1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109.0</w:t>
            </w:r>
          </w:p>
        </w:tc>
        <w:tc>
          <w:tcPr>
            <w:tcW w:w="40" w:type="dxa"/>
            <w:vAlign w:val="bottom"/>
          </w:tcPr>
          <w:p>
            <w:pPr>
              <w:spacing w:after="0"/>
              <w:rPr>
                <w:sz w:val="20"/>
                <w:szCs w:val="20"/>
                <w:color w:val="auto"/>
              </w:rPr>
            </w:pPr>
          </w:p>
        </w:tc>
        <w:tc>
          <w:tcPr>
            <w:tcW w:w="2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450.0</w:t>
            </w:r>
          </w:p>
        </w:tc>
        <w:tc>
          <w:tcPr>
            <w:tcW w:w="0" w:type="dxa"/>
            <w:vAlign w:val="bottom"/>
          </w:tcPr>
          <w:p>
            <w:pPr>
              <w:spacing w:after="0"/>
              <w:rPr>
                <w:sz w:val="1"/>
                <w:szCs w:val="1"/>
                <w:color w:val="auto"/>
              </w:rPr>
            </w:pPr>
          </w:p>
        </w:tc>
      </w:tr>
      <w:tr>
        <w:trPr>
          <w:trHeight w:val="20"/>
        </w:trPr>
        <w:tc>
          <w:tcPr>
            <w:tcW w:w="1760" w:type="dxa"/>
            <w:vAlign w:val="bottom"/>
            <w:gridSpan w:val="2"/>
            <w:vMerge w:val="restart"/>
          </w:tcPr>
          <w:p>
            <w:pPr>
              <w:spacing w:after="0"/>
              <w:rPr>
                <w:sz w:val="20"/>
                <w:szCs w:val="20"/>
                <w:color w:val="auto"/>
              </w:rPr>
            </w:pPr>
            <w:r>
              <w:rPr>
                <w:rFonts w:ascii="Arial" w:cs="Arial" w:eastAsia="Arial" w:hAnsi="Arial"/>
                <w:sz w:val="13"/>
                <w:szCs w:val="13"/>
                <w:color w:val="auto"/>
              </w:rPr>
              <w:t>Diluted earnings per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176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760" w:type="dxa"/>
            <w:vAlign w:val="bottom"/>
            <w:gridSpan w:val="2"/>
          </w:tcPr>
          <w:p>
            <w:pPr>
              <w:spacing w:after="0" w:line="135" w:lineRule="exact"/>
              <w:rPr>
                <w:sz w:val="20"/>
                <w:szCs w:val="20"/>
                <w:color w:val="auto"/>
              </w:rPr>
            </w:pPr>
            <w:r>
              <w:rPr>
                <w:rFonts w:ascii="Arial" w:cs="Arial" w:eastAsia="Arial" w:hAnsi="Arial"/>
                <w:sz w:val="13"/>
                <w:szCs w:val="13"/>
                <w:color w:val="auto"/>
                <w:w w:val="96"/>
              </w:rPr>
              <w:t>attributable to TechnipFMC plc,</w:t>
            </w: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760" w:type="dxa"/>
            <w:vAlign w:val="bottom"/>
            <w:gridSpan w:val="2"/>
          </w:tcPr>
          <w:p>
            <w:pPr>
              <w:spacing w:after="0"/>
              <w:rPr>
                <w:sz w:val="20"/>
                <w:szCs w:val="20"/>
                <w:color w:val="auto"/>
              </w:rPr>
            </w:pPr>
            <w:r>
              <w:rPr>
                <w:rFonts w:ascii="Arial" w:cs="Arial" w:eastAsia="Arial" w:hAnsi="Arial"/>
                <w:sz w:val="13"/>
                <w:szCs w:val="13"/>
                <w:color w:val="auto"/>
              </w:rPr>
              <w:t>as reported</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0.21</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760" w:type="dxa"/>
            <w:vAlign w:val="bottom"/>
            <w:gridSpan w:val="2"/>
          </w:tcPr>
          <w:p>
            <w:pPr>
              <w:spacing w:after="0"/>
              <w:rPr>
                <w:sz w:val="20"/>
                <w:szCs w:val="20"/>
                <w:color w:val="auto"/>
              </w:rPr>
            </w:pPr>
            <w:r>
              <w:rPr>
                <w:rFonts w:ascii="Arial" w:cs="Arial" w:eastAsia="Arial" w:hAnsi="Arial"/>
                <w:sz w:val="13"/>
                <w:szCs w:val="13"/>
                <w:color w:val="auto"/>
              </w:rPr>
              <w:t>Adjusted diluted earnings per</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760" w:type="dxa"/>
            <w:vAlign w:val="bottom"/>
            <w:gridSpan w:val="2"/>
          </w:tcPr>
          <w:p>
            <w:pPr>
              <w:spacing w:after="0" w:line="135" w:lineRule="exact"/>
              <w:rPr>
                <w:sz w:val="20"/>
                <w:szCs w:val="20"/>
                <w:color w:val="auto"/>
              </w:rPr>
            </w:pPr>
            <w:r>
              <w:rPr>
                <w:rFonts w:ascii="Arial" w:cs="Arial" w:eastAsia="Arial" w:hAnsi="Arial"/>
                <w:sz w:val="13"/>
                <w:szCs w:val="13"/>
                <w:color w:val="auto"/>
                <w:w w:val="90"/>
              </w:rPr>
              <w:t>share attributable to TechnipFMC</w:t>
            </w: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760" w:type="dxa"/>
            <w:vAlign w:val="bottom"/>
            <w:gridSpan w:val="2"/>
          </w:tcPr>
          <w:p>
            <w:pPr>
              <w:spacing w:after="0"/>
              <w:rPr>
                <w:sz w:val="20"/>
                <w:szCs w:val="20"/>
                <w:color w:val="auto"/>
              </w:rPr>
            </w:pPr>
            <w:r>
              <w:rPr>
                <w:rFonts w:ascii="Arial" w:cs="Arial" w:eastAsia="Arial" w:hAnsi="Arial"/>
                <w:sz w:val="13"/>
                <w:szCs w:val="13"/>
                <w:color w:val="auto"/>
              </w:rPr>
              <w:t>plc</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0.39</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7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7"/>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1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80" w:type="dxa"/>
            <w:vAlign w:val="bottom"/>
            <w:gridSpan w:val="7"/>
          </w:tcPr>
          <w:p>
            <w:pPr>
              <w:jc w:val="center"/>
              <w:spacing w:after="0"/>
              <w:rPr>
                <w:sz w:val="20"/>
                <w:szCs w:val="20"/>
                <w:color w:val="auto"/>
              </w:rPr>
            </w:pPr>
            <w:r>
              <w:rPr>
                <w:rFonts w:ascii="Arial" w:cs="Arial" w:eastAsia="Arial" w:hAnsi="Arial"/>
                <w:sz w:val="13"/>
                <w:szCs w:val="13"/>
                <w:b w:val="1"/>
                <w:bCs w:val="1"/>
                <w:color w:val="auto"/>
                <w:w w:val="88"/>
              </w:rPr>
              <w:t>Three Months Ended</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87"/>
              </w:rPr>
              <w:t>June 30, 2018</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7"/>
        </w:trPr>
        <w:tc>
          <w:tcPr>
            <w:tcW w:w="174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1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88"/>
              </w:rPr>
              <w:t>Earnings before</w:t>
            </w:r>
          </w:p>
        </w:tc>
        <w:tc>
          <w:tcPr>
            <w:tcW w:w="0" w:type="dxa"/>
            <w:vAlign w:val="bottom"/>
          </w:tcPr>
          <w:p>
            <w:pPr>
              <w:spacing w:after="0"/>
              <w:rPr>
                <w:sz w:val="1"/>
                <w:szCs w:val="1"/>
                <w:color w:val="auto"/>
              </w:rPr>
            </w:pPr>
          </w:p>
        </w:tc>
      </w:tr>
      <w:tr>
        <w:trPr>
          <w:trHeight w:val="135"/>
        </w:trPr>
        <w:tc>
          <w:tcPr>
            <w:tcW w:w="1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Income before</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85"/>
              </w:rPr>
              <w:t>net interest</w:t>
            </w:r>
          </w:p>
        </w:tc>
        <w:tc>
          <w:tcPr>
            <w:tcW w:w="0" w:type="dxa"/>
            <w:vAlign w:val="bottom"/>
          </w:tcPr>
          <w:p>
            <w:pPr>
              <w:spacing w:after="0"/>
              <w:rPr>
                <w:sz w:val="1"/>
                <w:szCs w:val="1"/>
                <w:color w:val="auto"/>
              </w:rPr>
            </w:pPr>
          </w:p>
        </w:tc>
      </w:tr>
      <w:tr>
        <w:trPr>
          <w:trHeight w:val="135"/>
        </w:trPr>
        <w:tc>
          <w:tcPr>
            <w:tcW w:w="1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5"/>
              </w:rPr>
              <w:t>net interest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3"/>
              </w:rPr>
              <w:t>expense, income</w:t>
            </w:r>
          </w:p>
        </w:tc>
        <w:tc>
          <w:tcPr>
            <w:tcW w:w="0" w:type="dxa"/>
            <w:vAlign w:val="bottom"/>
          </w:tcPr>
          <w:p>
            <w:pPr>
              <w:spacing w:after="0"/>
              <w:rPr>
                <w:sz w:val="1"/>
                <w:szCs w:val="1"/>
                <w:color w:val="auto"/>
              </w:rPr>
            </w:pPr>
          </w:p>
        </w:tc>
      </w:tr>
      <w:tr>
        <w:trPr>
          <w:trHeight w:val="135"/>
        </w:trPr>
        <w:tc>
          <w:tcPr>
            <w:tcW w:w="1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3"/>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Net income</w:t>
            </w:r>
          </w:p>
        </w:tc>
        <w:tc>
          <w:tcPr>
            <w:tcW w:w="80" w:type="dxa"/>
            <w:vAlign w:val="bottom"/>
          </w:tcPr>
          <w:p>
            <w:pPr>
              <w:spacing w:after="0"/>
              <w:rPr>
                <w:sz w:val="11"/>
                <w:szCs w:val="11"/>
                <w:color w:val="auto"/>
              </w:rPr>
            </w:pPr>
          </w:p>
        </w:tc>
        <w:tc>
          <w:tcPr>
            <w:tcW w:w="96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5"/>
              </w:rPr>
              <w:t>Net income</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3"/>
              </w:rPr>
              <w:t>expense and</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86"/>
              </w:rPr>
              <w:t>taxes,</w:t>
            </w:r>
          </w:p>
        </w:tc>
        <w:tc>
          <w:tcPr>
            <w:tcW w:w="0" w:type="dxa"/>
            <w:vAlign w:val="bottom"/>
          </w:tcPr>
          <w:p>
            <w:pPr>
              <w:spacing w:after="0"/>
              <w:rPr>
                <w:sz w:val="1"/>
                <w:szCs w:val="1"/>
                <w:color w:val="auto"/>
              </w:rPr>
            </w:pPr>
          </w:p>
        </w:tc>
      </w:tr>
      <w:tr>
        <w:trPr>
          <w:trHeight w:val="135"/>
        </w:trPr>
        <w:tc>
          <w:tcPr>
            <w:tcW w:w="1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gridSpan w:val="4"/>
          </w:tcPr>
          <w:p>
            <w:pPr>
              <w:jc w:val="center"/>
              <w:ind w:right="160"/>
              <w:spacing w:after="0" w:line="135" w:lineRule="exact"/>
              <w:rPr>
                <w:sz w:val="20"/>
                <w:szCs w:val="20"/>
                <w:color w:val="auto"/>
              </w:rPr>
            </w:pPr>
            <w:r>
              <w:rPr>
                <w:rFonts w:ascii="Arial" w:cs="Arial" w:eastAsia="Arial" w:hAnsi="Arial"/>
                <w:sz w:val="13"/>
                <w:szCs w:val="13"/>
                <w:b w:val="1"/>
                <w:bCs w:val="1"/>
                <w:color w:val="auto"/>
                <w:w w:val="89"/>
              </w:rPr>
              <w:t>attributable to</w:t>
            </w:r>
          </w:p>
        </w:tc>
        <w:tc>
          <w:tcPr>
            <w:tcW w:w="80" w:type="dxa"/>
            <w:vAlign w:val="bottom"/>
          </w:tcPr>
          <w:p>
            <w:pPr>
              <w:spacing w:after="0"/>
              <w:rPr>
                <w:sz w:val="11"/>
                <w:szCs w:val="11"/>
                <w:color w:val="auto"/>
              </w:rPr>
            </w:pPr>
          </w:p>
        </w:tc>
        <w:tc>
          <w:tcPr>
            <w:tcW w:w="96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9"/>
              </w:rPr>
              <w:t>attributable to</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4"/>
              </w:rPr>
              <w:t>income taxes</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8"/>
              </w:rPr>
              <w:t>Depreciation</w:t>
            </w:r>
          </w:p>
        </w:tc>
        <w:tc>
          <w:tcPr>
            <w:tcW w:w="60" w:type="dxa"/>
            <w:vAlign w:val="bottom"/>
          </w:tcPr>
          <w:p>
            <w:pPr>
              <w:spacing w:after="0"/>
              <w:rPr>
                <w:sz w:val="11"/>
                <w:szCs w:val="11"/>
                <w:color w:val="auto"/>
              </w:rPr>
            </w:pPr>
          </w:p>
        </w:tc>
        <w:tc>
          <w:tcPr>
            <w:tcW w:w="96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8"/>
              </w:rPr>
              <w:t>depreciation and</w:t>
            </w:r>
          </w:p>
        </w:tc>
        <w:tc>
          <w:tcPr>
            <w:tcW w:w="0" w:type="dxa"/>
            <w:vAlign w:val="bottom"/>
          </w:tcPr>
          <w:p>
            <w:pPr>
              <w:spacing w:after="0"/>
              <w:rPr>
                <w:sz w:val="1"/>
                <w:szCs w:val="1"/>
                <w:color w:val="auto"/>
              </w:rPr>
            </w:pPr>
          </w:p>
        </w:tc>
      </w:tr>
      <w:tr>
        <w:trPr>
          <w:trHeight w:val="135"/>
        </w:trPr>
        <w:tc>
          <w:tcPr>
            <w:tcW w:w="1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3"/>
          </w:tcPr>
          <w:p>
            <w:pPr>
              <w:jc w:val="center"/>
              <w:ind w:right="240"/>
              <w:spacing w:after="0" w:line="135" w:lineRule="exact"/>
              <w:rPr>
                <w:sz w:val="20"/>
                <w:szCs w:val="20"/>
                <w:color w:val="auto"/>
              </w:rPr>
            </w:pPr>
            <w:r>
              <w:rPr>
                <w:rFonts w:ascii="Arial" w:cs="Arial" w:eastAsia="Arial" w:hAnsi="Arial"/>
                <w:sz w:val="13"/>
                <w:szCs w:val="13"/>
                <w:b w:val="1"/>
                <w:bCs w:val="1"/>
                <w:color w:val="auto"/>
                <w:w w:val="89"/>
              </w:rPr>
              <w:t>TechnipFMC</w:t>
            </w:r>
          </w:p>
        </w:tc>
        <w:tc>
          <w:tcPr>
            <w:tcW w:w="80" w:type="dxa"/>
            <w:vAlign w:val="bottom"/>
          </w:tcPr>
          <w:p>
            <w:pPr>
              <w:spacing w:after="0"/>
              <w:rPr>
                <w:sz w:val="11"/>
                <w:szCs w:val="11"/>
                <w:color w:val="auto"/>
              </w:rPr>
            </w:pPr>
          </w:p>
        </w:tc>
        <w:tc>
          <w:tcPr>
            <w:tcW w:w="96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7"/>
              </w:rPr>
              <w:t>noncontrolling</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gridSpan w:val="2"/>
          </w:tcPr>
          <w:p>
            <w:pPr>
              <w:jc w:val="right"/>
              <w:ind w:right="57"/>
              <w:spacing w:after="0" w:line="135" w:lineRule="exact"/>
              <w:rPr>
                <w:sz w:val="20"/>
                <w:szCs w:val="20"/>
                <w:color w:val="auto"/>
              </w:rPr>
            </w:pPr>
            <w:r>
              <w:rPr>
                <w:rFonts w:ascii="Arial" w:cs="Arial" w:eastAsia="Arial" w:hAnsi="Arial"/>
                <w:sz w:val="13"/>
                <w:szCs w:val="13"/>
                <w:b w:val="1"/>
                <w:bCs w:val="1"/>
                <w:color w:val="auto"/>
                <w:w w:val="92"/>
              </w:rPr>
              <w:t>Provision for</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3"/>
          </w:tcPr>
          <w:p>
            <w:pPr>
              <w:jc w:val="center"/>
              <w:ind w:right="260"/>
              <w:spacing w:after="0" w:line="135" w:lineRule="exact"/>
              <w:rPr>
                <w:sz w:val="20"/>
                <w:szCs w:val="20"/>
                <w:color w:val="auto"/>
              </w:rPr>
            </w:pPr>
            <w:r>
              <w:rPr>
                <w:rFonts w:ascii="Arial" w:cs="Arial" w:eastAsia="Arial" w:hAnsi="Arial"/>
                <w:sz w:val="13"/>
                <w:szCs w:val="13"/>
                <w:b w:val="1"/>
                <w:bCs w:val="1"/>
                <w:color w:val="auto"/>
                <w:w w:val="89"/>
              </w:rPr>
              <w:t>Net interest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1"/>
              </w:rPr>
              <w:t>(Operating</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6"/>
              </w:rPr>
              <w:t>and</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87"/>
              </w:rPr>
              <w:t>amortization</w:t>
            </w:r>
          </w:p>
        </w:tc>
        <w:tc>
          <w:tcPr>
            <w:tcW w:w="0" w:type="dxa"/>
            <w:vAlign w:val="bottom"/>
          </w:tcPr>
          <w:p>
            <w:pPr>
              <w:spacing w:after="0"/>
              <w:rPr>
                <w:sz w:val="1"/>
                <w:szCs w:val="1"/>
                <w:color w:val="auto"/>
              </w:rPr>
            </w:pPr>
          </w:p>
        </w:tc>
      </w:tr>
      <w:tr>
        <w:trPr>
          <w:trHeight w:val="174"/>
        </w:trPr>
        <w:tc>
          <w:tcPr>
            <w:tcW w:w="17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4"/>
              </w:rPr>
              <w:t>plc</w:t>
            </w: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1"/>
              </w:rPr>
              <w:t>interests</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right"/>
              <w:ind w:right="57"/>
              <w:spacing w:after="0"/>
              <w:rPr>
                <w:sz w:val="20"/>
                <w:szCs w:val="20"/>
                <w:color w:val="auto"/>
              </w:rPr>
            </w:pPr>
            <w:r>
              <w:rPr>
                <w:rFonts w:ascii="Arial" w:cs="Arial" w:eastAsia="Arial" w:hAnsi="Arial"/>
                <w:sz w:val="13"/>
                <w:szCs w:val="13"/>
                <w:b w:val="1"/>
                <w:bCs w:val="1"/>
                <w:color w:val="auto"/>
                <w:w w:val="89"/>
              </w:rPr>
              <w:t>income taxes</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80"/>
              </w:rPr>
              <w:t>expense</w:t>
            </w:r>
          </w:p>
        </w:tc>
        <w:tc>
          <w:tcPr>
            <w:tcW w:w="120" w:type="dxa"/>
            <w:vAlign w:val="bottom"/>
            <w:gridSpan w:val="2"/>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0"/>
              </w:rPr>
              <w:t>profit)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0"/>
              </w:rPr>
              <w:t>amortization</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8"/>
              </w:rPr>
              <w:t>(EBITDA)</w:t>
            </w:r>
          </w:p>
        </w:tc>
        <w:tc>
          <w:tcPr>
            <w:tcW w:w="0" w:type="dxa"/>
            <w:vAlign w:val="bottom"/>
          </w:tcPr>
          <w:p>
            <w:pPr>
              <w:spacing w:after="0"/>
              <w:rPr>
                <w:sz w:val="1"/>
                <w:szCs w:val="1"/>
                <w:color w:val="auto"/>
              </w:rPr>
            </w:pPr>
          </w:p>
        </w:tc>
      </w:tr>
      <w:tr>
        <w:trPr>
          <w:trHeight w:val="241"/>
        </w:trPr>
        <w:tc>
          <w:tcPr>
            <w:tcW w:w="1760" w:type="dxa"/>
            <w:vAlign w:val="bottom"/>
            <w:gridSpan w:val="2"/>
          </w:tcPr>
          <w:p>
            <w:pPr>
              <w:spacing w:after="0"/>
              <w:rPr>
                <w:sz w:val="20"/>
                <w:szCs w:val="20"/>
                <w:color w:val="auto"/>
              </w:rPr>
            </w:pPr>
            <w:r>
              <w:rPr>
                <w:rFonts w:ascii="Arial" w:cs="Arial" w:eastAsia="Arial" w:hAnsi="Arial"/>
                <w:sz w:val="13"/>
                <w:szCs w:val="13"/>
                <w:color w:val="auto"/>
              </w:rPr>
              <w:t>TechnipFMC plc, as reported</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105.7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(4.4)</w:t>
            </w:r>
          </w:p>
        </w:tc>
        <w:tc>
          <w:tcPr>
            <w:tcW w:w="40" w:type="dxa"/>
            <w:vAlign w:val="bottom"/>
          </w:tcPr>
          <w:p>
            <w:pPr>
              <w:spacing w:after="0"/>
              <w:rPr>
                <w:sz w:val="20"/>
                <w:szCs w:val="20"/>
                <w:color w:val="auto"/>
              </w:rPr>
            </w:pPr>
          </w:p>
        </w:tc>
        <w:tc>
          <w:tcPr>
            <w:tcW w:w="2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64.7</w:t>
            </w:r>
          </w:p>
        </w:tc>
        <w:tc>
          <w:tcPr>
            <w:tcW w:w="24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(50.9)</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225.7</w:t>
            </w:r>
          </w:p>
        </w:tc>
        <w:tc>
          <w:tcPr>
            <w:tcW w:w="40" w:type="dxa"/>
            <w:vAlign w:val="bottom"/>
          </w:tcPr>
          <w:p>
            <w:pPr>
              <w:spacing w:after="0"/>
              <w:rPr>
                <w:sz w:val="20"/>
                <w:szCs w:val="20"/>
                <w:color w:val="auto"/>
              </w:rPr>
            </w:pPr>
          </w:p>
        </w:tc>
        <w:tc>
          <w:tcPr>
            <w:tcW w:w="18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138.7</w:t>
            </w:r>
          </w:p>
        </w:tc>
        <w:tc>
          <w:tcPr>
            <w:tcW w:w="40" w:type="dxa"/>
            <w:vAlign w:val="bottom"/>
          </w:tcPr>
          <w:p>
            <w:pPr>
              <w:spacing w:after="0"/>
              <w:rPr>
                <w:sz w:val="20"/>
                <w:szCs w:val="20"/>
                <w:color w:val="auto"/>
              </w:rPr>
            </w:pPr>
          </w:p>
        </w:tc>
        <w:tc>
          <w:tcPr>
            <w:tcW w:w="2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364.4</w:t>
            </w:r>
          </w:p>
        </w:tc>
        <w:tc>
          <w:tcPr>
            <w:tcW w:w="0" w:type="dxa"/>
            <w:vAlign w:val="bottom"/>
          </w:tcPr>
          <w:p>
            <w:pPr>
              <w:spacing w:after="0"/>
              <w:rPr>
                <w:sz w:val="1"/>
                <w:szCs w:val="1"/>
                <w:color w:val="auto"/>
              </w:rPr>
            </w:pPr>
          </w:p>
        </w:tc>
      </w:tr>
      <w:tr>
        <w:trPr>
          <w:trHeight w:val="486"/>
        </w:trPr>
        <w:tc>
          <w:tcPr>
            <w:tcW w:w="1760" w:type="dxa"/>
            <w:vAlign w:val="bottom"/>
            <w:gridSpan w:val="2"/>
          </w:tcPr>
          <w:p>
            <w:pPr>
              <w:spacing w:after="0"/>
              <w:rPr>
                <w:sz w:val="20"/>
                <w:szCs w:val="20"/>
                <w:color w:val="auto"/>
              </w:rPr>
            </w:pPr>
            <w:r>
              <w:rPr>
                <w:rFonts w:ascii="Arial" w:cs="Arial" w:eastAsia="Arial" w:hAnsi="Arial"/>
                <w:sz w:val="13"/>
                <w:szCs w:val="13"/>
                <w:color w:val="auto"/>
              </w:rPr>
              <w:t>Charges and (credits):</w:t>
            </w: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1760" w:type="dxa"/>
            <w:vAlign w:val="bottom"/>
            <w:gridSpan w:val="2"/>
          </w:tcPr>
          <w:p>
            <w:pPr>
              <w:ind w:left="240"/>
              <w:spacing w:after="0"/>
              <w:rPr>
                <w:sz w:val="20"/>
                <w:szCs w:val="20"/>
                <w:color w:val="auto"/>
              </w:rPr>
            </w:pPr>
            <w:r>
              <w:rPr>
                <w:rFonts w:ascii="Arial" w:cs="Arial" w:eastAsia="Arial" w:hAnsi="Arial"/>
                <w:sz w:val="13"/>
                <w:szCs w:val="13"/>
                <w:color w:val="auto"/>
              </w:rPr>
              <w:t>Impairment and other</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760" w:type="dxa"/>
            <w:vAlign w:val="bottom"/>
            <w:gridSpan w:val="2"/>
          </w:tcPr>
          <w:p>
            <w:pPr>
              <w:ind w:left="240"/>
              <w:spacing w:after="0"/>
              <w:rPr>
                <w:sz w:val="20"/>
                <w:szCs w:val="20"/>
                <w:color w:val="auto"/>
              </w:rPr>
            </w:pPr>
            <w:r>
              <w:rPr>
                <w:rFonts w:ascii="Arial" w:cs="Arial" w:eastAsia="Arial" w:hAnsi="Arial"/>
                <w:sz w:val="13"/>
                <w:szCs w:val="13"/>
                <w:color w:val="auto"/>
              </w:rPr>
              <w:t>charges</w:t>
            </w:r>
          </w:p>
        </w:tc>
        <w:tc>
          <w:tcPr>
            <w:tcW w:w="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6.9</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2.6</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9.5</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9.5</w:t>
            </w:r>
          </w:p>
        </w:tc>
        <w:tc>
          <w:tcPr>
            <w:tcW w:w="0" w:type="dxa"/>
            <w:vAlign w:val="bottom"/>
          </w:tcPr>
          <w:p>
            <w:pPr>
              <w:spacing w:after="0"/>
              <w:rPr>
                <w:sz w:val="1"/>
                <w:szCs w:val="1"/>
                <w:color w:val="auto"/>
              </w:rPr>
            </w:pPr>
          </w:p>
        </w:tc>
      </w:tr>
      <w:tr>
        <w:trPr>
          <w:trHeight w:val="164"/>
        </w:trPr>
        <w:tc>
          <w:tcPr>
            <w:tcW w:w="1760" w:type="dxa"/>
            <w:vAlign w:val="bottom"/>
            <w:gridSpan w:val="2"/>
          </w:tcPr>
          <w:p>
            <w:pPr>
              <w:ind w:left="240"/>
              <w:spacing w:after="0"/>
              <w:rPr>
                <w:sz w:val="20"/>
                <w:szCs w:val="20"/>
                <w:color w:val="auto"/>
              </w:rPr>
            </w:pPr>
            <w:r>
              <w:rPr>
                <w:rFonts w:ascii="Arial" w:cs="Arial" w:eastAsia="Arial" w:hAnsi="Arial"/>
                <w:sz w:val="13"/>
                <w:szCs w:val="13"/>
                <w:color w:val="auto"/>
              </w:rPr>
              <w:t>Restructuring and other</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760" w:type="dxa"/>
            <w:vAlign w:val="bottom"/>
            <w:gridSpan w:val="2"/>
          </w:tcPr>
          <w:p>
            <w:pPr>
              <w:ind w:left="240"/>
              <w:spacing w:after="0"/>
              <w:rPr>
                <w:sz w:val="20"/>
                <w:szCs w:val="20"/>
                <w:color w:val="auto"/>
              </w:rPr>
            </w:pPr>
            <w:r>
              <w:rPr>
                <w:rFonts w:ascii="Arial" w:cs="Arial" w:eastAsia="Arial" w:hAnsi="Arial"/>
                <w:sz w:val="13"/>
                <w:szCs w:val="13"/>
                <w:color w:val="auto"/>
              </w:rPr>
              <w:t>severance charges</w:t>
            </w:r>
          </w:p>
        </w:tc>
        <w:tc>
          <w:tcPr>
            <w:tcW w:w="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0.5</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1.9</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64"/>
        </w:trPr>
        <w:tc>
          <w:tcPr>
            <w:tcW w:w="1760" w:type="dxa"/>
            <w:vAlign w:val="bottom"/>
            <w:gridSpan w:val="2"/>
          </w:tcPr>
          <w:p>
            <w:pPr>
              <w:ind w:left="240"/>
              <w:spacing w:after="0"/>
              <w:rPr>
                <w:sz w:val="20"/>
                <w:szCs w:val="20"/>
                <w:color w:val="auto"/>
              </w:rPr>
            </w:pPr>
            <w:r>
              <w:rPr>
                <w:rFonts w:ascii="Arial" w:cs="Arial" w:eastAsia="Arial" w:hAnsi="Arial"/>
                <w:sz w:val="13"/>
                <w:szCs w:val="13"/>
                <w:color w:val="auto"/>
              </w:rPr>
              <w:t>Business combination</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760" w:type="dxa"/>
            <w:vAlign w:val="bottom"/>
            <w:gridSpan w:val="2"/>
          </w:tcPr>
          <w:p>
            <w:pPr>
              <w:ind w:left="240"/>
              <w:spacing w:after="0" w:line="135" w:lineRule="exact"/>
              <w:rPr>
                <w:sz w:val="20"/>
                <w:szCs w:val="20"/>
                <w:color w:val="auto"/>
              </w:rPr>
            </w:pPr>
            <w:r>
              <w:rPr>
                <w:rFonts w:ascii="Arial" w:cs="Arial" w:eastAsia="Arial" w:hAnsi="Arial"/>
                <w:sz w:val="13"/>
                <w:szCs w:val="13"/>
                <w:color w:val="auto"/>
                <w:w w:val="97"/>
              </w:rPr>
              <w:t>transaction and integration</w:t>
            </w: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760" w:type="dxa"/>
            <w:vAlign w:val="bottom"/>
            <w:gridSpan w:val="2"/>
          </w:tcPr>
          <w:p>
            <w:pPr>
              <w:ind w:left="240"/>
              <w:spacing w:after="0"/>
              <w:rPr>
                <w:sz w:val="20"/>
                <w:szCs w:val="20"/>
                <w:color w:val="auto"/>
              </w:rPr>
            </w:pPr>
            <w:r>
              <w:rPr>
                <w:rFonts w:ascii="Arial" w:cs="Arial" w:eastAsia="Arial" w:hAnsi="Arial"/>
                <w:sz w:val="13"/>
                <w:szCs w:val="13"/>
                <w:color w:val="auto"/>
              </w:rPr>
              <w:t>costs</w:t>
            </w:r>
          </w:p>
        </w:tc>
        <w:tc>
          <w:tcPr>
            <w:tcW w:w="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6.5</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2.5</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9.0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9.0</w:t>
            </w:r>
          </w:p>
        </w:tc>
        <w:tc>
          <w:tcPr>
            <w:tcW w:w="0" w:type="dxa"/>
            <w:vAlign w:val="bottom"/>
          </w:tcPr>
          <w:p>
            <w:pPr>
              <w:spacing w:after="0"/>
              <w:rPr>
                <w:sz w:val="1"/>
                <w:szCs w:val="1"/>
                <w:color w:val="auto"/>
              </w:rPr>
            </w:pPr>
          </w:p>
        </w:tc>
      </w:tr>
      <w:tr>
        <w:trPr>
          <w:trHeight w:val="164"/>
        </w:trPr>
        <w:tc>
          <w:tcPr>
            <w:tcW w:w="1760" w:type="dxa"/>
            <w:vAlign w:val="bottom"/>
            <w:gridSpan w:val="2"/>
          </w:tcPr>
          <w:p>
            <w:pPr>
              <w:ind w:left="240"/>
              <w:spacing w:after="0"/>
              <w:rPr>
                <w:sz w:val="20"/>
                <w:szCs w:val="20"/>
                <w:color w:val="auto"/>
              </w:rPr>
            </w:pPr>
            <w:r>
              <w:rPr>
                <w:rFonts w:ascii="Arial" w:cs="Arial" w:eastAsia="Arial" w:hAnsi="Arial"/>
                <w:sz w:val="13"/>
                <w:szCs w:val="13"/>
                <w:color w:val="auto"/>
                <w:w w:val="97"/>
              </w:rPr>
              <w:t>Purchase price accounting</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740" w:type="dxa"/>
            <w:vAlign w:val="bottom"/>
          </w:tcPr>
          <w:p>
            <w:pPr>
              <w:ind w:left="240"/>
              <w:spacing w:after="0"/>
              <w:rPr>
                <w:sz w:val="20"/>
                <w:szCs w:val="20"/>
                <w:color w:val="auto"/>
              </w:rPr>
            </w:pPr>
            <w:r>
              <w:rPr>
                <w:rFonts w:ascii="Arial" w:cs="Arial" w:eastAsia="Arial" w:hAnsi="Arial"/>
                <w:sz w:val="13"/>
                <w:szCs w:val="13"/>
                <w:color w:val="auto"/>
              </w:rPr>
              <w:t>adjustment</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11.3</w:t>
            </w: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gridSpan w:val="2"/>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14.7</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(22.3)</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(7.6)</w:t>
            </w:r>
          </w:p>
        </w:tc>
        <w:tc>
          <w:tcPr>
            <w:tcW w:w="0" w:type="dxa"/>
            <w:vAlign w:val="bottom"/>
          </w:tcPr>
          <w:p>
            <w:pPr>
              <w:spacing w:after="0"/>
              <w:rPr>
                <w:sz w:val="1"/>
                <w:szCs w:val="1"/>
                <w:color w:val="auto"/>
              </w:rPr>
            </w:pPr>
          </w:p>
        </w:tc>
      </w:tr>
      <w:tr>
        <w:trPr>
          <w:trHeight w:val="242"/>
        </w:trPr>
        <w:tc>
          <w:tcPr>
            <w:tcW w:w="1760" w:type="dxa"/>
            <w:vAlign w:val="bottom"/>
            <w:gridSpan w:val="2"/>
          </w:tcPr>
          <w:p>
            <w:pPr>
              <w:spacing w:after="0"/>
              <w:rPr>
                <w:sz w:val="20"/>
                <w:szCs w:val="20"/>
                <w:color w:val="auto"/>
              </w:rPr>
            </w:pPr>
            <w:r>
              <w:rPr>
                <w:rFonts w:ascii="Arial" w:cs="Arial" w:eastAsia="Arial" w:hAnsi="Arial"/>
                <w:sz w:val="13"/>
                <w:szCs w:val="13"/>
                <w:color w:val="auto"/>
              </w:rPr>
              <w:t>Adjusted financial measures</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131.8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(4.4)</w:t>
            </w:r>
          </w:p>
        </w:tc>
        <w:tc>
          <w:tcPr>
            <w:tcW w:w="40" w:type="dxa"/>
            <w:vAlign w:val="bottom"/>
          </w:tcPr>
          <w:p>
            <w:pPr>
              <w:spacing w:after="0"/>
              <w:rPr>
                <w:sz w:val="21"/>
                <w:szCs w:val="21"/>
                <w:color w:val="auto"/>
              </w:rPr>
            </w:pPr>
          </w:p>
        </w:tc>
        <w:tc>
          <w:tcPr>
            <w:tcW w:w="2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73.7</w:t>
            </w:r>
          </w:p>
        </w:tc>
        <w:tc>
          <w:tcPr>
            <w:tcW w:w="24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(50.9)</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260.8</w:t>
            </w:r>
          </w:p>
        </w:tc>
        <w:tc>
          <w:tcPr>
            <w:tcW w:w="40" w:type="dxa"/>
            <w:vAlign w:val="bottom"/>
          </w:tcPr>
          <w:p>
            <w:pPr>
              <w:spacing w:after="0"/>
              <w:rPr>
                <w:sz w:val="21"/>
                <w:szCs w:val="21"/>
                <w:color w:val="auto"/>
              </w:rPr>
            </w:pPr>
          </w:p>
        </w:tc>
        <w:tc>
          <w:tcPr>
            <w:tcW w:w="18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116.4</w:t>
            </w:r>
          </w:p>
        </w:tc>
        <w:tc>
          <w:tcPr>
            <w:tcW w:w="40" w:type="dxa"/>
            <w:vAlign w:val="bottom"/>
          </w:tcPr>
          <w:p>
            <w:pPr>
              <w:spacing w:after="0"/>
              <w:rPr>
                <w:sz w:val="21"/>
                <w:szCs w:val="21"/>
                <w:color w:val="auto"/>
              </w:rPr>
            </w:pPr>
          </w:p>
        </w:tc>
        <w:tc>
          <w:tcPr>
            <w:tcW w:w="2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377.2</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1760" w:type="dxa"/>
            <w:vAlign w:val="bottom"/>
            <w:gridSpan w:val="2"/>
          </w:tcPr>
          <w:p>
            <w:pPr>
              <w:spacing w:after="0"/>
              <w:rPr>
                <w:sz w:val="20"/>
                <w:szCs w:val="20"/>
                <w:color w:val="auto"/>
              </w:rPr>
            </w:pPr>
            <w:r>
              <w:rPr>
                <w:rFonts w:ascii="Arial" w:cs="Arial" w:eastAsia="Arial" w:hAnsi="Arial"/>
                <w:sz w:val="13"/>
                <w:szCs w:val="13"/>
                <w:color w:val="auto"/>
              </w:rPr>
              <w:t>Diluted earnings per share</w:t>
            </w: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760" w:type="dxa"/>
            <w:vAlign w:val="bottom"/>
            <w:gridSpan w:val="2"/>
          </w:tcPr>
          <w:p>
            <w:pPr>
              <w:spacing w:after="0" w:line="135" w:lineRule="exact"/>
              <w:rPr>
                <w:sz w:val="20"/>
                <w:szCs w:val="20"/>
                <w:color w:val="auto"/>
              </w:rPr>
            </w:pPr>
            <w:r>
              <w:rPr>
                <w:rFonts w:ascii="Arial" w:cs="Arial" w:eastAsia="Arial" w:hAnsi="Arial"/>
                <w:sz w:val="13"/>
                <w:szCs w:val="13"/>
                <w:color w:val="auto"/>
                <w:w w:val="96"/>
              </w:rPr>
              <w:t>attributable to TechnipFMC plc,</w:t>
            </w: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760" w:type="dxa"/>
            <w:vAlign w:val="bottom"/>
            <w:gridSpan w:val="2"/>
          </w:tcPr>
          <w:p>
            <w:pPr>
              <w:spacing w:after="0"/>
              <w:rPr>
                <w:sz w:val="20"/>
                <w:szCs w:val="20"/>
                <w:color w:val="auto"/>
              </w:rPr>
            </w:pPr>
            <w:r>
              <w:rPr>
                <w:rFonts w:ascii="Arial" w:cs="Arial" w:eastAsia="Arial" w:hAnsi="Arial"/>
                <w:sz w:val="13"/>
                <w:szCs w:val="13"/>
                <w:color w:val="auto"/>
              </w:rPr>
              <w:t>as reported</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0.23</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760" w:type="dxa"/>
            <w:vAlign w:val="bottom"/>
            <w:gridSpan w:val="2"/>
          </w:tcPr>
          <w:p>
            <w:pPr>
              <w:spacing w:after="0"/>
              <w:rPr>
                <w:sz w:val="20"/>
                <w:szCs w:val="20"/>
                <w:color w:val="auto"/>
              </w:rPr>
            </w:pPr>
            <w:r>
              <w:rPr>
                <w:rFonts w:ascii="Arial" w:cs="Arial" w:eastAsia="Arial" w:hAnsi="Arial"/>
                <w:sz w:val="13"/>
                <w:szCs w:val="13"/>
                <w:color w:val="auto"/>
              </w:rPr>
              <w:t>Adjusted diluted earnings per</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760" w:type="dxa"/>
            <w:vAlign w:val="bottom"/>
            <w:gridSpan w:val="2"/>
          </w:tcPr>
          <w:p>
            <w:pPr>
              <w:spacing w:after="0" w:line="135" w:lineRule="exact"/>
              <w:rPr>
                <w:sz w:val="20"/>
                <w:szCs w:val="20"/>
                <w:color w:val="auto"/>
              </w:rPr>
            </w:pPr>
            <w:r>
              <w:rPr>
                <w:rFonts w:ascii="Arial" w:cs="Arial" w:eastAsia="Arial" w:hAnsi="Arial"/>
                <w:sz w:val="13"/>
                <w:szCs w:val="13"/>
                <w:color w:val="auto"/>
                <w:w w:val="90"/>
              </w:rPr>
              <w:t>share attributable to TechnipFMC</w:t>
            </w: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760" w:type="dxa"/>
            <w:vAlign w:val="bottom"/>
            <w:gridSpan w:val="2"/>
          </w:tcPr>
          <w:p>
            <w:pPr>
              <w:spacing w:after="0"/>
              <w:rPr>
                <w:sz w:val="20"/>
                <w:szCs w:val="20"/>
                <w:color w:val="auto"/>
              </w:rPr>
            </w:pPr>
            <w:r>
              <w:rPr>
                <w:rFonts w:ascii="Arial" w:cs="Arial" w:eastAsia="Arial" w:hAnsi="Arial"/>
                <w:sz w:val="13"/>
                <w:szCs w:val="13"/>
                <w:color w:val="auto"/>
              </w:rPr>
              <w:t>plc</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0.28</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26" w:right="239" w:bottom="1440" w:gutter="0" w:footer="0" w:header="0"/>
        </w:sectPr>
      </w:pPr>
    </w:p>
    <w:p>
      <w:pPr>
        <w:spacing w:after="0" w:line="262" w:lineRule="exact"/>
        <w:rPr>
          <w:sz w:val="20"/>
          <w:szCs w:val="20"/>
          <w:color w:val="auto"/>
        </w:rPr>
      </w:pPr>
    </w:p>
    <w:p>
      <w:pPr>
        <w:ind w:left="5180"/>
        <w:spacing w:after="0"/>
        <w:tabs>
          <w:tab w:leader="none" w:pos="1042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21 of </w:t>
      </w:r>
      <w:hyperlink w:anchor="page30">
        <w:r>
          <w:rPr>
            <w:rFonts w:ascii="Arial" w:cs="Arial" w:eastAsia="Arial" w:hAnsi="Arial"/>
            <w:sz w:val="14"/>
            <w:szCs w:val="14"/>
            <w:b w:val="1"/>
            <w:bCs w:val="1"/>
            <w:color w:val="auto"/>
          </w:rPr>
          <w:t>25</w:t>
        </w:r>
      </w:hyperlink>
    </w:p>
    <w:p>
      <w:pPr>
        <w:sectPr>
          <w:pgSz w:w="11900" w:h="16838" w:orient="portrait"/>
          <w:cols w:equalWidth="0" w:num="1">
            <w:col w:w="11420"/>
          </w:cols>
          <w:pgMar w:left="240" w:top="526" w:right="239" w:bottom="1440" w:gutter="0" w:footer="0" w:header="0"/>
          <w:type w:val="continuous"/>
        </w:sectPr>
      </w:pPr>
    </w:p>
    <w:bookmarkStart w:id="25" w:name="page26"/>
    <w:bookmarkEnd w:id="25"/>
    <w:p>
      <w:pPr>
        <w:ind w:left="10920"/>
        <w:spacing w:after="0"/>
        <w:rPr>
          <w:sz w:val="20"/>
          <w:szCs w:val="20"/>
          <w:color w:val="auto"/>
        </w:rPr>
      </w:pPr>
      <w:r>
        <w:rPr>
          <w:rFonts w:ascii="Arial" w:cs="Arial" w:eastAsia="Arial" w:hAnsi="Arial"/>
          <w:sz w:val="11"/>
          <w:szCs w:val="11"/>
          <w:b w:val="1"/>
          <w:bCs w:val="1"/>
          <w:color w:val="auto"/>
        </w:rPr>
        <w:t>Exhibit 8</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TECHNIPFMC PLC AND CONSOLIDATED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RECONCILIATION OF GAAP TO NON-GAAP FINANCIAL MEASURES</w:t>
      </w:r>
    </w:p>
    <w:p>
      <w:pPr>
        <w:jc w:val="center"/>
        <w:spacing w:after="0"/>
        <w:rPr>
          <w:sz w:val="20"/>
          <w:szCs w:val="20"/>
          <w:color w:val="auto"/>
        </w:rPr>
      </w:pPr>
      <w:r>
        <w:rPr>
          <w:rFonts w:ascii="Arial" w:cs="Arial" w:eastAsia="Arial" w:hAnsi="Arial"/>
          <w:sz w:val="13"/>
          <w:szCs w:val="13"/>
          <w:b w:val="1"/>
          <w:bCs w:val="1"/>
          <w:color w:val="auto"/>
        </w:rPr>
        <w:t>(In millions, unaudited)</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Charges and Credits</w:t>
      </w:r>
    </w:p>
    <w:p>
      <w:pPr>
        <w:spacing w:after="0" w:line="13" w:lineRule="exact"/>
        <w:rPr>
          <w:sz w:val="20"/>
          <w:szCs w:val="20"/>
          <w:color w:val="auto"/>
        </w:rPr>
      </w:pPr>
    </w:p>
    <w:p>
      <w:pPr>
        <w:jc w:val="both"/>
        <w:spacing w:after="0" w:line="288" w:lineRule="auto"/>
        <w:rPr>
          <w:sz w:val="20"/>
          <w:szCs w:val="20"/>
          <w:color w:val="auto"/>
        </w:rPr>
      </w:pPr>
      <w:r>
        <w:rPr>
          <w:rFonts w:ascii="Arial" w:cs="Arial" w:eastAsia="Arial" w:hAnsi="Arial"/>
          <w:sz w:val="11"/>
          <w:szCs w:val="11"/>
          <w:color w:val="auto"/>
        </w:rPr>
        <w:t>In addition to financial results determined in accordance with U.S. generally accepted accounting principles (GAAP), the second quarter 2019 Earnings Release also includes non-GAAP financial measures (as defined in Item 10 of Regulation S-K of the Securities Exchange Act of 1934, as amended) and describes performance on a year-over-year basis against 2018 results and measures. Net income, excluding charges and credits, as well as measures derived from it (including Diluted EPS, excluding charges and credits; Income before net interest expense and taxes, excluding charges and credits ("Adjusted Operating profit"); Depreciation and amortization, excluding charges and credits; Earnings before net interest expense, income taxes, depreciation and amortization, excluding charges and credits ("Adjusted EBITDA"); and net cash) are non-GAAP financial measures. Management believes that the exclusion of charges and credits from these financial measures enables investors and management to more effectively evaluate TechnipFMC's operations and consolidated results of operations period-over-period, and to identify operating trends that could otherwise be masked or misleading to both investors and management by the excluded items. These measures are also used by management as performance measures in determining certain incentive compensation. The foregoing non-GAAP financial measures should be considered by investors in addition to, not as a substitute for or superior to, other measures of financial performance prepared in accordance with GAAP. The following is a reconciliation of the most comparable financial measures under GAAP to the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1900555</wp:posOffset>
            </wp:positionH>
            <wp:positionV relativeFrom="paragraph">
              <wp:posOffset>71755</wp:posOffset>
            </wp:positionV>
            <wp:extent cx="46310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183" w:lineRule="exact"/>
        <w:rPr>
          <w:sz w:val="20"/>
          <w:szCs w:val="20"/>
          <w:color w:val="auto"/>
        </w:rPr>
      </w:pPr>
    </w:p>
    <w:tbl>
      <w:tblPr>
        <w:tblLayout w:type="fixed"/>
        <w:tblInd w:w="1180" w:type="dxa"/>
        <w:tblCellMar>
          <w:top w:w="0" w:type="dxa"/>
          <w:left w:w="0" w:type="dxa"/>
          <w:bottom w:w="0" w:type="dxa"/>
          <w:right w:w="0" w:type="dxa"/>
        </w:tblCellMar>
      </w:tblPr>
      <w:tr>
        <w:trPr>
          <w:trHeight w:val="164"/>
        </w:trPr>
        <w:tc>
          <w:tcPr>
            <w:tcW w:w="1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5"/>
          </w:tcPr>
          <w:p>
            <w:pPr>
              <w:jc w:val="center"/>
              <w:ind w:right="60"/>
              <w:spacing w:after="0"/>
              <w:rPr>
                <w:sz w:val="20"/>
                <w:szCs w:val="20"/>
                <w:color w:val="auto"/>
              </w:rPr>
            </w:pPr>
            <w:r>
              <w:rPr>
                <w:rFonts w:ascii="Arial" w:cs="Arial" w:eastAsia="Arial" w:hAnsi="Arial"/>
                <w:sz w:val="13"/>
                <w:szCs w:val="13"/>
                <w:b w:val="1"/>
                <w:bCs w:val="1"/>
                <w:color w:val="auto"/>
                <w:w w:val="88"/>
              </w:rPr>
              <w:t>Six Months Ended</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0"/>
        </w:trPr>
        <w:tc>
          <w:tcPr>
            <w:tcW w:w="18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3"/>
                <w:szCs w:val="13"/>
                <w:b w:val="1"/>
                <w:bCs w:val="1"/>
                <w:color w:val="auto"/>
                <w:w w:val="87"/>
              </w:rPr>
              <w:t>June 30, 2019</w:t>
            </w: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1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ind w:left="20"/>
              <w:spacing w:after="0" w:line="144" w:lineRule="exact"/>
              <w:rPr>
                <w:sz w:val="20"/>
                <w:szCs w:val="20"/>
                <w:color w:val="auto"/>
              </w:rPr>
            </w:pPr>
            <w:r>
              <w:rPr>
                <w:rFonts w:ascii="Arial" w:cs="Arial" w:eastAsia="Arial" w:hAnsi="Arial"/>
                <w:sz w:val="13"/>
                <w:szCs w:val="13"/>
                <w:b w:val="1"/>
                <w:bCs w:val="1"/>
                <w:color w:val="auto"/>
                <w:w w:val="88"/>
              </w:rPr>
              <w:t>Earnings before</w:t>
            </w:r>
          </w:p>
        </w:tc>
        <w:tc>
          <w:tcPr>
            <w:tcW w:w="0" w:type="dxa"/>
            <w:vAlign w:val="bottom"/>
          </w:tcPr>
          <w:p>
            <w:pPr>
              <w:spacing w:after="0"/>
              <w:rPr>
                <w:sz w:val="1"/>
                <w:szCs w:val="1"/>
                <w:color w:val="auto"/>
              </w:rPr>
            </w:pPr>
          </w:p>
        </w:tc>
      </w:tr>
      <w:tr>
        <w:trPr>
          <w:trHeight w:val="135"/>
        </w:trPr>
        <w:tc>
          <w:tcPr>
            <w:tcW w:w="1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5"/>
              </w:rPr>
              <w:t>net interest</w:t>
            </w:r>
          </w:p>
        </w:tc>
        <w:tc>
          <w:tcPr>
            <w:tcW w:w="0" w:type="dxa"/>
            <w:vAlign w:val="bottom"/>
          </w:tcPr>
          <w:p>
            <w:pPr>
              <w:spacing w:after="0"/>
              <w:rPr>
                <w:sz w:val="1"/>
                <w:szCs w:val="1"/>
                <w:color w:val="auto"/>
              </w:rPr>
            </w:pPr>
          </w:p>
        </w:tc>
      </w:tr>
      <w:tr>
        <w:trPr>
          <w:trHeight w:val="135"/>
        </w:trPr>
        <w:tc>
          <w:tcPr>
            <w:tcW w:w="1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7"/>
              </w:rPr>
              <w:t>Income before</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78"/>
              </w:rPr>
              <w:t>expense,</w:t>
            </w:r>
          </w:p>
        </w:tc>
        <w:tc>
          <w:tcPr>
            <w:tcW w:w="0" w:type="dxa"/>
            <w:vAlign w:val="bottom"/>
          </w:tcPr>
          <w:p>
            <w:pPr>
              <w:spacing w:after="0"/>
              <w:rPr>
                <w:sz w:val="1"/>
                <w:szCs w:val="1"/>
                <w:color w:val="auto"/>
              </w:rPr>
            </w:pPr>
          </w:p>
        </w:tc>
      </w:tr>
      <w:tr>
        <w:trPr>
          <w:trHeight w:val="135"/>
        </w:trPr>
        <w:tc>
          <w:tcPr>
            <w:tcW w:w="1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5"/>
              </w:rPr>
              <w:t>net interest</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3"/>
              </w:rPr>
              <w:t>income taxes,</w:t>
            </w:r>
          </w:p>
        </w:tc>
        <w:tc>
          <w:tcPr>
            <w:tcW w:w="0" w:type="dxa"/>
            <w:vAlign w:val="bottom"/>
          </w:tcPr>
          <w:p>
            <w:pPr>
              <w:spacing w:after="0"/>
              <w:rPr>
                <w:sz w:val="1"/>
                <w:szCs w:val="1"/>
                <w:color w:val="auto"/>
              </w:rPr>
            </w:pPr>
          </w:p>
        </w:tc>
      </w:tr>
      <w:tr>
        <w:trPr>
          <w:trHeight w:val="135"/>
        </w:trPr>
        <w:tc>
          <w:tcPr>
            <w:tcW w:w="1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4"/>
          </w:tcPr>
          <w:p>
            <w:pPr>
              <w:jc w:val="center"/>
              <w:ind w:right="220"/>
              <w:spacing w:after="0" w:line="135" w:lineRule="exact"/>
              <w:rPr>
                <w:sz w:val="20"/>
                <w:szCs w:val="20"/>
                <w:color w:val="auto"/>
              </w:rPr>
            </w:pPr>
            <w:r>
              <w:rPr>
                <w:rFonts w:ascii="Arial" w:cs="Arial" w:eastAsia="Arial" w:hAnsi="Arial"/>
                <w:sz w:val="13"/>
                <w:szCs w:val="13"/>
                <w:b w:val="1"/>
                <w:bCs w:val="1"/>
                <w:color w:val="auto"/>
                <w:w w:val="85"/>
              </w:rPr>
              <w:t>Net income</w:t>
            </w: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3"/>
              </w:rPr>
              <w:t>expense and</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7"/>
              </w:rPr>
              <w:t>depreciation</w:t>
            </w:r>
          </w:p>
        </w:tc>
        <w:tc>
          <w:tcPr>
            <w:tcW w:w="0" w:type="dxa"/>
            <w:vAlign w:val="bottom"/>
          </w:tcPr>
          <w:p>
            <w:pPr>
              <w:spacing w:after="0"/>
              <w:rPr>
                <w:sz w:val="1"/>
                <w:szCs w:val="1"/>
                <w:color w:val="auto"/>
              </w:rPr>
            </w:pPr>
          </w:p>
        </w:tc>
      </w:tr>
      <w:tr>
        <w:trPr>
          <w:trHeight w:val="135"/>
        </w:trPr>
        <w:tc>
          <w:tcPr>
            <w:tcW w:w="1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8"/>
              </w:rPr>
              <w:t>Net income</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4"/>
          </w:tcPr>
          <w:p>
            <w:pPr>
              <w:jc w:val="center"/>
              <w:ind w:right="200"/>
              <w:spacing w:after="0" w:line="135" w:lineRule="exact"/>
              <w:rPr>
                <w:sz w:val="20"/>
                <w:szCs w:val="20"/>
                <w:color w:val="auto"/>
              </w:rPr>
            </w:pPr>
            <w:r>
              <w:rPr>
                <w:rFonts w:ascii="Arial" w:cs="Arial" w:eastAsia="Arial" w:hAnsi="Arial"/>
                <w:sz w:val="13"/>
                <w:szCs w:val="13"/>
                <w:b w:val="1"/>
                <w:bCs w:val="1"/>
                <w:color w:val="auto"/>
                <w:w w:val="89"/>
              </w:rPr>
              <w:t>attributable to</w:t>
            </w: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4"/>
              </w:rPr>
              <w:t>income taxes</w:t>
            </w:r>
          </w:p>
        </w:tc>
        <w:tc>
          <w:tcPr>
            <w:tcW w:w="10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Depreciation</w:t>
            </w:r>
          </w:p>
        </w:tc>
        <w:tc>
          <w:tcPr>
            <w:tcW w:w="100" w:type="dxa"/>
            <w:vAlign w:val="bottom"/>
          </w:tcPr>
          <w:p>
            <w:pPr>
              <w:spacing w:after="0"/>
              <w:rPr>
                <w:sz w:val="11"/>
                <w:szCs w:val="11"/>
                <w:color w:val="auto"/>
              </w:rPr>
            </w:pPr>
          </w:p>
        </w:tc>
        <w:tc>
          <w:tcPr>
            <w:tcW w:w="82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6"/>
              </w:rPr>
              <w:t>and</w:t>
            </w:r>
          </w:p>
        </w:tc>
        <w:tc>
          <w:tcPr>
            <w:tcW w:w="0" w:type="dxa"/>
            <w:vAlign w:val="bottom"/>
          </w:tcPr>
          <w:p>
            <w:pPr>
              <w:spacing w:after="0"/>
              <w:rPr>
                <w:sz w:val="1"/>
                <w:szCs w:val="1"/>
                <w:color w:val="auto"/>
              </w:rPr>
            </w:pPr>
          </w:p>
        </w:tc>
      </w:tr>
      <w:tr>
        <w:trPr>
          <w:trHeight w:val="135"/>
        </w:trPr>
        <w:tc>
          <w:tcPr>
            <w:tcW w:w="1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gridSpan w:val="3"/>
          </w:tcPr>
          <w:p>
            <w:pPr>
              <w:jc w:val="center"/>
              <w:ind w:right="60"/>
              <w:spacing w:after="0" w:line="135" w:lineRule="exact"/>
              <w:rPr>
                <w:sz w:val="20"/>
                <w:szCs w:val="20"/>
                <w:color w:val="auto"/>
              </w:rPr>
            </w:pPr>
            <w:r>
              <w:rPr>
                <w:rFonts w:ascii="Arial" w:cs="Arial" w:eastAsia="Arial" w:hAnsi="Arial"/>
                <w:sz w:val="13"/>
                <w:szCs w:val="13"/>
                <w:b w:val="1"/>
                <w:bCs w:val="1"/>
                <w:color w:val="auto"/>
                <w:w w:val="89"/>
              </w:rPr>
              <w:t>attributable to</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gridSpan w:val="5"/>
          </w:tcPr>
          <w:p>
            <w:pPr>
              <w:jc w:val="center"/>
              <w:ind w:right="120"/>
              <w:spacing w:after="0" w:line="135" w:lineRule="exact"/>
              <w:rPr>
                <w:sz w:val="20"/>
                <w:szCs w:val="20"/>
                <w:color w:val="auto"/>
              </w:rPr>
            </w:pPr>
            <w:r>
              <w:rPr>
                <w:rFonts w:ascii="Arial" w:cs="Arial" w:eastAsia="Arial" w:hAnsi="Arial"/>
                <w:sz w:val="13"/>
                <w:szCs w:val="13"/>
                <w:b w:val="1"/>
                <w:bCs w:val="1"/>
                <w:color w:val="auto"/>
                <w:w w:val="85"/>
              </w:rPr>
              <w:t>noncontrolling</w:t>
            </w:r>
          </w:p>
        </w:tc>
        <w:tc>
          <w:tcPr>
            <w:tcW w:w="8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w w:val="99"/>
              </w:rPr>
              <w:t>Provision for</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3"/>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Net interest</w:t>
            </w:r>
          </w:p>
        </w:tc>
        <w:tc>
          <w:tcPr>
            <w:tcW w:w="80" w:type="dxa"/>
            <w:vAlign w:val="bottom"/>
          </w:tcPr>
          <w:p>
            <w:pPr>
              <w:spacing w:after="0"/>
              <w:rPr>
                <w:sz w:val="11"/>
                <w:szCs w:val="11"/>
                <w:color w:val="auto"/>
              </w:rPr>
            </w:pPr>
          </w:p>
        </w:tc>
        <w:tc>
          <w:tcPr>
            <w:tcW w:w="9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1"/>
              </w:rPr>
              <w:t>(Operating</w:t>
            </w:r>
          </w:p>
        </w:tc>
        <w:tc>
          <w:tcPr>
            <w:tcW w:w="100" w:type="dxa"/>
            <w:vAlign w:val="bottom"/>
          </w:tcPr>
          <w:p>
            <w:pPr>
              <w:spacing w:after="0"/>
              <w:rPr>
                <w:sz w:val="11"/>
                <w:szCs w:val="11"/>
                <w:color w:val="auto"/>
              </w:rPr>
            </w:pPr>
          </w:p>
        </w:tc>
        <w:tc>
          <w:tcPr>
            <w:tcW w:w="96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6"/>
              </w:rPr>
              <w:t>and</w:t>
            </w:r>
          </w:p>
        </w:tc>
        <w:tc>
          <w:tcPr>
            <w:tcW w:w="100" w:type="dxa"/>
            <w:vAlign w:val="bottom"/>
          </w:tcPr>
          <w:p>
            <w:pPr>
              <w:spacing w:after="0"/>
              <w:rPr>
                <w:sz w:val="11"/>
                <w:szCs w:val="11"/>
                <w:color w:val="auto"/>
              </w:rPr>
            </w:pPr>
          </w:p>
        </w:tc>
        <w:tc>
          <w:tcPr>
            <w:tcW w:w="82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7"/>
              </w:rPr>
              <w:t>amortization</w:t>
            </w:r>
          </w:p>
        </w:tc>
        <w:tc>
          <w:tcPr>
            <w:tcW w:w="0" w:type="dxa"/>
            <w:vAlign w:val="bottom"/>
          </w:tcPr>
          <w:p>
            <w:pPr>
              <w:spacing w:after="0"/>
              <w:rPr>
                <w:sz w:val="1"/>
                <w:szCs w:val="1"/>
                <w:color w:val="auto"/>
              </w:rPr>
            </w:pPr>
          </w:p>
        </w:tc>
      </w:tr>
      <w:tr>
        <w:trPr>
          <w:trHeight w:val="174"/>
        </w:trPr>
        <w:tc>
          <w:tcPr>
            <w:tcW w:w="18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3"/>
                <w:szCs w:val="13"/>
                <w:b w:val="1"/>
                <w:bCs w:val="1"/>
                <w:color w:val="auto"/>
                <w:w w:val="89"/>
              </w:rPr>
              <w:t>TechnipFMC plc</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3"/>
                <w:szCs w:val="13"/>
                <w:b w:val="1"/>
                <w:bCs w:val="1"/>
                <w:color w:val="auto"/>
                <w:w w:val="84"/>
              </w:rPr>
              <w:t>interests</w:t>
            </w:r>
          </w:p>
        </w:tc>
        <w:tc>
          <w:tcPr>
            <w:tcW w:w="100" w:type="dxa"/>
            <w:vAlign w:val="bottom"/>
            <w:gridSpan w:val="2"/>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97"/>
              </w:rPr>
              <w:t>income taxes</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0"/>
              </w:rPr>
              <w:t>expense</w:t>
            </w:r>
          </w:p>
        </w:tc>
        <w:tc>
          <w:tcPr>
            <w:tcW w:w="120" w:type="dxa"/>
            <w:vAlign w:val="bottom"/>
            <w:gridSpan w:val="2"/>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0"/>
              </w:rPr>
              <w:t>profit)</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0"/>
              </w:rPr>
              <w:t>amortization</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8"/>
              </w:rPr>
              <w:t>(EBITDA)</w:t>
            </w:r>
          </w:p>
        </w:tc>
        <w:tc>
          <w:tcPr>
            <w:tcW w:w="0" w:type="dxa"/>
            <w:vAlign w:val="bottom"/>
          </w:tcPr>
          <w:p>
            <w:pPr>
              <w:spacing w:after="0"/>
              <w:rPr>
                <w:sz w:val="1"/>
                <w:szCs w:val="1"/>
                <w:color w:val="auto"/>
              </w:rPr>
            </w:pPr>
          </w:p>
        </w:tc>
      </w:tr>
      <w:tr>
        <w:trPr>
          <w:trHeight w:val="241"/>
        </w:trPr>
        <w:tc>
          <w:tcPr>
            <w:tcW w:w="1820" w:type="dxa"/>
            <w:vAlign w:val="bottom"/>
          </w:tcPr>
          <w:p>
            <w:pPr>
              <w:spacing w:after="0"/>
              <w:rPr>
                <w:sz w:val="20"/>
                <w:szCs w:val="20"/>
                <w:color w:val="auto"/>
              </w:rPr>
            </w:pPr>
            <w:r>
              <w:rPr>
                <w:rFonts w:ascii="Arial" w:cs="Arial" w:eastAsia="Arial" w:hAnsi="Arial"/>
                <w:sz w:val="13"/>
                <w:szCs w:val="13"/>
                <w:color w:val="auto"/>
              </w:rPr>
              <w:t>TechnipFMC plc, as reported</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117.9</w:t>
            </w:r>
          </w:p>
        </w:tc>
        <w:tc>
          <w:tcPr>
            <w:tcW w:w="20" w:type="dxa"/>
            <w:vAlign w:val="bottom"/>
          </w:tcPr>
          <w:p>
            <w:pPr>
              <w:spacing w:after="0"/>
              <w:rPr>
                <w:sz w:val="20"/>
                <w:szCs w:val="20"/>
                <w:color w:val="auto"/>
              </w:rPr>
            </w:pPr>
          </w:p>
        </w:tc>
        <w:tc>
          <w:tcPr>
            <w:tcW w:w="2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15.6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15.4</w:t>
            </w:r>
          </w:p>
        </w:tc>
        <w:tc>
          <w:tcPr>
            <w:tcW w:w="2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228.8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377.7</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236.9</w:t>
            </w:r>
          </w:p>
        </w:tc>
        <w:tc>
          <w:tcPr>
            <w:tcW w:w="10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614.6</w:t>
            </w:r>
          </w:p>
        </w:tc>
        <w:tc>
          <w:tcPr>
            <w:tcW w:w="0" w:type="dxa"/>
            <w:vAlign w:val="bottom"/>
          </w:tcPr>
          <w:p>
            <w:pPr>
              <w:spacing w:after="0"/>
              <w:rPr>
                <w:sz w:val="1"/>
                <w:szCs w:val="1"/>
                <w:color w:val="auto"/>
              </w:rPr>
            </w:pPr>
          </w:p>
        </w:tc>
      </w:tr>
      <w:tr>
        <w:trPr>
          <w:trHeight w:val="486"/>
        </w:trPr>
        <w:tc>
          <w:tcPr>
            <w:tcW w:w="1820" w:type="dxa"/>
            <w:vAlign w:val="bottom"/>
          </w:tcPr>
          <w:p>
            <w:pPr>
              <w:spacing w:after="0"/>
              <w:rPr>
                <w:sz w:val="20"/>
                <w:szCs w:val="20"/>
                <w:color w:val="auto"/>
              </w:rPr>
            </w:pPr>
            <w:r>
              <w:rPr>
                <w:rFonts w:ascii="Arial" w:cs="Arial" w:eastAsia="Arial" w:hAnsi="Arial"/>
                <w:sz w:val="13"/>
                <w:szCs w:val="13"/>
                <w:color w:val="auto"/>
              </w:rPr>
              <w:t>Charges and (credits):</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820" w:type="dxa"/>
            <w:vAlign w:val="bottom"/>
          </w:tcPr>
          <w:p>
            <w:pPr>
              <w:ind w:left="240"/>
              <w:spacing w:after="0"/>
              <w:rPr>
                <w:sz w:val="20"/>
                <w:szCs w:val="20"/>
                <w:color w:val="auto"/>
              </w:rPr>
            </w:pPr>
            <w:r>
              <w:rPr>
                <w:rFonts w:ascii="Arial" w:cs="Arial" w:eastAsia="Arial" w:hAnsi="Arial"/>
                <w:sz w:val="13"/>
                <w:szCs w:val="13"/>
                <w:color w:val="auto"/>
                <w:w w:val="89"/>
              </w:rPr>
              <w:t>Impairment and other charges</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0.9</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80" w:type="dxa"/>
            <w:vAlign w:val="bottom"/>
            <w:gridSpan w:val="4"/>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0.3</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64"/>
        </w:trPr>
        <w:tc>
          <w:tcPr>
            <w:tcW w:w="1820" w:type="dxa"/>
            <w:vAlign w:val="bottom"/>
          </w:tcPr>
          <w:p>
            <w:pPr>
              <w:ind w:left="240"/>
              <w:spacing w:after="0"/>
              <w:rPr>
                <w:sz w:val="20"/>
                <w:szCs w:val="20"/>
                <w:color w:val="auto"/>
              </w:rPr>
            </w:pPr>
            <w:r>
              <w:rPr>
                <w:rFonts w:ascii="Arial" w:cs="Arial" w:eastAsia="Arial" w:hAnsi="Arial"/>
                <w:sz w:val="13"/>
                <w:szCs w:val="13"/>
                <w:color w:val="auto"/>
              </w:rPr>
              <w:t>Restructuring and other</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820" w:type="dxa"/>
            <w:vAlign w:val="bottom"/>
          </w:tcPr>
          <w:p>
            <w:pPr>
              <w:ind w:left="240"/>
              <w:spacing w:after="0"/>
              <w:rPr>
                <w:sz w:val="20"/>
                <w:szCs w:val="20"/>
                <w:color w:val="auto"/>
              </w:rPr>
            </w:pPr>
            <w:r>
              <w:rPr>
                <w:rFonts w:ascii="Arial" w:cs="Arial" w:eastAsia="Arial" w:hAnsi="Arial"/>
                <w:sz w:val="13"/>
                <w:szCs w:val="13"/>
                <w:color w:val="auto"/>
              </w:rPr>
              <w:t>severance charges</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18.3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4"/>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6.2</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24.5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24.5</w:t>
            </w:r>
          </w:p>
        </w:tc>
        <w:tc>
          <w:tcPr>
            <w:tcW w:w="0" w:type="dxa"/>
            <w:vAlign w:val="bottom"/>
          </w:tcPr>
          <w:p>
            <w:pPr>
              <w:spacing w:after="0"/>
              <w:rPr>
                <w:sz w:val="1"/>
                <w:szCs w:val="1"/>
                <w:color w:val="auto"/>
              </w:rPr>
            </w:pPr>
          </w:p>
        </w:tc>
      </w:tr>
      <w:tr>
        <w:trPr>
          <w:trHeight w:val="164"/>
        </w:trPr>
        <w:tc>
          <w:tcPr>
            <w:tcW w:w="1820" w:type="dxa"/>
            <w:vAlign w:val="bottom"/>
          </w:tcPr>
          <w:p>
            <w:pPr>
              <w:ind w:left="240"/>
              <w:spacing w:after="0"/>
              <w:rPr>
                <w:sz w:val="20"/>
                <w:szCs w:val="20"/>
                <w:color w:val="auto"/>
              </w:rPr>
            </w:pPr>
            <w:r>
              <w:rPr>
                <w:rFonts w:ascii="Arial" w:cs="Arial" w:eastAsia="Arial" w:hAnsi="Arial"/>
                <w:sz w:val="13"/>
                <w:szCs w:val="13"/>
                <w:color w:val="auto"/>
              </w:rPr>
              <w:t>Business combination</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820" w:type="dxa"/>
            <w:vAlign w:val="bottom"/>
          </w:tcPr>
          <w:p>
            <w:pPr>
              <w:ind w:left="240"/>
              <w:spacing w:after="0" w:line="135" w:lineRule="exact"/>
              <w:rPr>
                <w:sz w:val="20"/>
                <w:szCs w:val="20"/>
                <w:color w:val="auto"/>
              </w:rPr>
            </w:pPr>
            <w:r>
              <w:rPr>
                <w:rFonts w:ascii="Arial" w:cs="Arial" w:eastAsia="Arial" w:hAnsi="Arial"/>
                <w:sz w:val="13"/>
                <w:szCs w:val="13"/>
                <w:color w:val="auto"/>
              </w:rPr>
              <w:t>transaction and integration</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820" w:type="dxa"/>
            <w:vAlign w:val="bottom"/>
          </w:tcPr>
          <w:p>
            <w:pPr>
              <w:ind w:left="240"/>
              <w:spacing w:after="0"/>
              <w:rPr>
                <w:sz w:val="20"/>
                <w:szCs w:val="20"/>
                <w:color w:val="auto"/>
              </w:rPr>
            </w:pPr>
            <w:r>
              <w:rPr>
                <w:rFonts w:ascii="Arial" w:cs="Arial" w:eastAsia="Arial" w:hAnsi="Arial"/>
                <w:sz w:val="13"/>
                <w:szCs w:val="13"/>
                <w:color w:val="auto"/>
              </w:rPr>
              <w:t>costs</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18.7</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4"/>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6.3</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25.0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25.0</w:t>
            </w:r>
          </w:p>
        </w:tc>
        <w:tc>
          <w:tcPr>
            <w:tcW w:w="0" w:type="dxa"/>
            <w:vAlign w:val="bottom"/>
          </w:tcPr>
          <w:p>
            <w:pPr>
              <w:spacing w:after="0"/>
              <w:rPr>
                <w:sz w:val="1"/>
                <w:szCs w:val="1"/>
                <w:color w:val="auto"/>
              </w:rPr>
            </w:pPr>
          </w:p>
        </w:tc>
      </w:tr>
      <w:tr>
        <w:trPr>
          <w:trHeight w:val="270"/>
        </w:trPr>
        <w:tc>
          <w:tcPr>
            <w:tcW w:w="1820" w:type="dxa"/>
            <w:vAlign w:val="bottom"/>
          </w:tcPr>
          <w:p>
            <w:pPr>
              <w:ind w:left="240"/>
              <w:spacing w:after="0"/>
              <w:rPr>
                <w:sz w:val="20"/>
                <w:szCs w:val="20"/>
                <w:color w:val="auto"/>
              </w:rPr>
            </w:pPr>
            <w:r>
              <w:rPr>
                <w:rFonts w:ascii="Arial" w:cs="Arial" w:eastAsia="Arial" w:hAnsi="Arial"/>
                <w:sz w:val="13"/>
                <w:szCs w:val="13"/>
                <w:color w:val="auto"/>
              </w:rPr>
              <w:t>Reorganization</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19.2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80" w:type="dxa"/>
            <w:vAlign w:val="bottom"/>
            <w:gridSpan w:val="4"/>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6.1</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25.3</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25.3</w:t>
            </w:r>
          </w:p>
        </w:tc>
        <w:tc>
          <w:tcPr>
            <w:tcW w:w="0" w:type="dxa"/>
            <w:vAlign w:val="bottom"/>
          </w:tcPr>
          <w:p>
            <w:pPr>
              <w:spacing w:after="0"/>
              <w:rPr>
                <w:sz w:val="1"/>
                <w:szCs w:val="1"/>
                <w:color w:val="auto"/>
              </w:rPr>
            </w:pPr>
          </w:p>
        </w:tc>
      </w:tr>
      <w:tr>
        <w:trPr>
          <w:trHeight w:val="270"/>
        </w:trPr>
        <w:tc>
          <w:tcPr>
            <w:tcW w:w="1820" w:type="dxa"/>
            <w:vAlign w:val="bottom"/>
          </w:tcPr>
          <w:p>
            <w:pPr>
              <w:ind w:left="240"/>
              <w:spacing w:after="0"/>
              <w:rPr>
                <w:sz w:val="20"/>
                <w:szCs w:val="20"/>
                <w:color w:val="auto"/>
              </w:rPr>
            </w:pPr>
            <w:r>
              <w:rPr>
                <w:rFonts w:ascii="Arial" w:cs="Arial" w:eastAsia="Arial" w:hAnsi="Arial"/>
                <w:sz w:val="13"/>
                <w:szCs w:val="13"/>
                <w:color w:val="auto"/>
              </w:rPr>
              <w:t>Legal provision, net</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55.2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80" w:type="dxa"/>
            <w:vAlign w:val="bottom"/>
            <w:gridSpan w:val="4"/>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55.2</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55.2</w:t>
            </w:r>
          </w:p>
        </w:tc>
        <w:tc>
          <w:tcPr>
            <w:tcW w:w="0" w:type="dxa"/>
            <w:vAlign w:val="bottom"/>
          </w:tcPr>
          <w:p>
            <w:pPr>
              <w:spacing w:after="0"/>
              <w:rPr>
                <w:sz w:val="1"/>
                <w:szCs w:val="1"/>
                <w:color w:val="auto"/>
              </w:rPr>
            </w:pPr>
          </w:p>
        </w:tc>
      </w:tr>
      <w:tr>
        <w:trPr>
          <w:trHeight w:val="164"/>
        </w:trPr>
        <w:tc>
          <w:tcPr>
            <w:tcW w:w="1820" w:type="dxa"/>
            <w:vAlign w:val="bottom"/>
          </w:tcPr>
          <w:p>
            <w:pPr>
              <w:ind w:left="240"/>
              <w:spacing w:after="0"/>
              <w:rPr>
                <w:sz w:val="20"/>
                <w:szCs w:val="20"/>
                <w:color w:val="auto"/>
              </w:rPr>
            </w:pPr>
            <w:r>
              <w:rPr>
                <w:rFonts w:ascii="Arial" w:cs="Arial" w:eastAsia="Arial" w:hAnsi="Arial"/>
                <w:sz w:val="13"/>
                <w:szCs w:val="13"/>
                <w:color w:val="auto"/>
              </w:rPr>
              <w:t>Purchase price accounting</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820" w:type="dxa"/>
            <w:vAlign w:val="bottom"/>
          </w:tcPr>
          <w:p>
            <w:pPr>
              <w:ind w:left="240"/>
              <w:spacing w:after="0"/>
              <w:rPr>
                <w:sz w:val="20"/>
                <w:szCs w:val="20"/>
                <w:color w:val="auto"/>
              </w:rPr>
            </w:pPr>
            <w:r>
              <w:rPr>
                <w:rFonts w:ascii="Arial" w:cs="Arial" w:eastAsia="Arial" w:hAnsi="Arial"/>
                <w:sz w:val="13"/>
                <w:szCs w:val="13"/>
                <w:color w:val="auto"/>
              </w:rPr>
              <w:t>adjustment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13.0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4"/>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17.0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(17.0)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80"/>
        </w:trPr>
        <w:tc>
          <w:tcPr>
            <w:tcW w:w="1820" w:type="dxa"/>
            <w:vAlign w:val="bottom"/>
          </w:tcPr>
          <w:p>
            <w:pPr>
              <w:ind w:left="240"/>
              <w:spacing w:after="0"/>
              <w:rPr>
                <w:sz w:val="20"/>
                <w:szCs w:val="20"/>
                <w:color w:val="auto"/>
              </w:rPr>
            </w:pPr>
            <w:r>
              <w:rPr>
                <w:rFonts w:ascii="Arial" w:cs="Arial" w:eastAsia="Arial" w:hAnsi="Arial"/>
                <w:sz w:val="13"/>
                <w:szCs w:val="13"/>
                <w:color w:val="auto"/>
              </w:rPr>
              <w:t>Valuation allowance</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(40.3)</w:t>
            </w: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w:t>
            </w:r>
          </w:p>
        </w:tc>
        <w:tc>
          <w:tcPr>
            <w:tcW w:w="100" w:type="dxa"/>
            <w:vAlign w:val="bottom"/>
            <w:gridSpan w:val="2"/>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40.3</w:t>
            </w: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gridSpan w:val="2"/>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1"/>
        </w:trPr>
        <w:tc>
          <w:tcPr>
            <w:tcW w:w="1820" w:type="dxa"/>
            <w:vAlign w:val="bottom"/>
          </w:tcPr>
          <w:p>
            <w:pPr>
              <w:spacing w:after="0"/>
              <w:rPr>
                <w:sz w:val="20"/>
                <w:szCs w:val="20"/>
                <w:color w:val="auto"/>
              </w:rPr>
            </w:pPr>
            <w:r>
              <w:rPr>
                <w:rFonts w:ascii="Arial" w:cs="Arial" w:eastAsia="Arial" w:hAnsi="Arial"/>
                <w:sz w:val="13"/>
                <w:szCs w:val="13"/>
                <w:color w:val="auto"/>
              </w:rPr>
              <w:t>Adjusted financial measures</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202.9</w:t>
            </w:r>
          </w:p>
        </w:tc>
        <w:tc>
          <w:tcPr>
            <w:tcW w:w="20" w:type="dxa"/>
            <w:vAlign w:val="bottom"/>
          </w:tcPr>
          <w:p>
            <w:pPr>
              <w:spacing w:after="0"/>
              <w:rPr>
                <w:sz w:val="20"/>
                <w:szCs w:val="20"/>
                <w:color w:val="auto"/>
              </w:rPr>
            </w:pPr>
          </w:p>
        </w:tc>
        <w:tc>
          <w:tcPr>
            <w:tcW w:w="2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15.6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78.6</w:t>
            </w:r>
          </w:p>
        </w:tc>
        <w:tc>
          <w:tcPr>
            <w:tcW w:w="2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228.8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525.9</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219.9</w:t>
            </w:r>
          </w:p>
        </w:tc>
        <w:tc>
          <w:tcPr>
            <w:tcW w:w="10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745.8</w:t>
            </w:r>
          </w:p>
        </w:tc>
        <w:tc>
          <w:tcPr>
            <w:tcW w:w="0" w:type="dxa"/>
            <w:vAlign w:val="bottom"/>
          </w:tcPr>
          <w:p>
            <w:pPr>
              <w:spacing w:after="0"/>
              <w:rPr>
                <w:sz w:val="1"/>
                <w:szCs w:val="1"/>
                <w:color w:val="auto"/>
              </w:rPr>
            </w:pPr>
          </w:p>
        </w:tc>
      </w:tr>
      <w:tr>
        <w:trPr>
          <w:trHeight w:val="20"/>
        </w:trPr>
        <w:tc>
          <w:tcPr>
            <w:tcW w:w="1820" w:type="dxa"/>
            <w:vAlign w:val="bottom"/>
            <w:vMerge w:val="restart"/>
          </w:tcPr>
          <w:p>
            <w:pPr>
              <w:spacing w:after="0"/>
              <w:rPr>
                <w:sz w:val="20"/>
                <w:szCs w:val="20"/>
                <w:color w:val="auto"/>
              </w:rPr>
            </w:pPr>
            <w:r>
              <w:rPr>
                <w:rFonts w:ascii="Arial" w:cs="Arial" w:eastAsia="Arial" w:hAnsi="Arial"/>
                <w:sz w:val="13"/>
                <w:szCs w:val="13"/>
                <w:color w:val="auto"/>
              </w:rPr>
              <w:t>Diluted earnings per share</w:t>
            </w: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182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820" w:type="dxa"/>
            <w:vAlign w:val="bottom"/>
          </w:tcPr>
          <w:p>
            <w:pPr>
              <w:spacing w:after="0" w:line="135" w:lineRule="exact"/>
              <w:rPr>
                <w:sz w:val="20"/>
                <w:szCs w:val="20"/>
                <w:color w:val="auto"/>
              </w:rPr>
            </w:pPr>
            <w:r>
              <w:rPr>
                <w:rFonts w:ascii="Arial" w:cs="Arial" w:eastAsia="Arial" w:hAnsi="Arial"/>
                <w:sz w:val="13"/>
                <w:szCs w:val="13"/>
                <w:color w:val="auto"/>
                <w:w w:val="90"/>
              </w:rPr>
              <w:t>attributable to TechnipFMC plc, as</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820" w:type="dxa"/>
            <w:vAlign w:val="bottom"/>
          </w:tcPr>
          <w:p>
            <w:pPr>
              <w:spacing w:after="0"/>
              <w:rPr>
                <w:sz w:val="20"/>
                <w:szCs w:val="20"/>
                <w:color w:val="auto"/>
              </w:rPr>
            </w:pPr>
            <w:r>
              <w:rPr>
                <w:rFonts w:ascii="Arial" w:cs="Arial" w:eastAsia="Arial" w:hAnsi="Arial"/>
                <w:sz w:val="13"/>
                <w:szCs w:val="13"/>
                <w:color w:val="auto"/>
              </w:rPr>
              <w:t>reported</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0.26</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820" w:type="dxa"/>
            <w:vAlign w:val="bottom"/>
          </w:tcPr>
          <w:p>
            <w:pPr>
              <w:spacing w:after="0"/>
              <w:rPr>
                <w:sz w:val="20"/>
                <w:szCs w:val="20"/>
                <w:color w:val="auto"/>
              </w:rPr>
            </w:pPr>
            <w:r>
              <w:rPr>
                <w:rFonts w:ascii="Arial" w:cs="Arial" w:eastAsia="Arial" w:hAnsi="Arial"/>
                <w:sz w:val="13"/>
                <w:szCs w:val="13"/>
                <w:color w:val="auto"/>
              </w:rPr>
              <w:t>Adjusted diluted earnings per</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820" w:type="dxa"/>
            <w:vAlign w:val="bottom"/>
          </w:tcPr>
          <w:p>
            <w:pPr>
              <w:spacing w:after="0" w:line="135" w:lineRule="exact"/>
              <w:rPr>
                <w:sz w:val="20"/>
                <w:szCs w:val="20"/>
                <w:color w:val="auto"/>
              </w:rPr>
            </w:pPr>
            <w:r>
              <w:rPr>
                <w:rFonts w:ascii="Arial" w:cs="Arial" w:eastAsia="Arial" w:hAnsi="Arial"/>
                <w:sz w:val="13"/>
                <w:szCs w:val="13"/>
                <w:color w:val="auto"/>
                <w:w w:val="93"/>
              </w:rPr>
              <w:t>share attributable to TechnipFMC</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820" w:type="dxa"/>
            <w:vAlign w:val="bottom"/>
          </w:tcPr>
          <w:p>
            <w:pPr>
              <w:spacing w:after="0"/>
              <w:rPr>
                <w:sz w:val="20"/>
                <w:szCs w:val="20"/>
                <w:color w:val="auto"/>
              </w:rPr>
            </w:pPr>
            <w:r>
              <w:rPr>
                <w:rFonts w:ascii="Arial" w:cs="Arial" w:eastAsia="Arial" w:hAnsi="Arial"/>
                <w:sz w:val="13"/>
                <w:szCs w:val="13"/>
                <w:color w:val="auto"/>
              </w:rPr>
              <w:t>plc</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0.45</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5"/>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1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gridSpan w:val="5"/>
          </w:tcPr>
          <w:p>
            <w:pPr>
              <w:jc w:val="center"/>
              <w:ind w:right="20"/>
              <w:spacing w:after="0"/>
              <w:rPr>
                <w:sz w:val="20"/>
                <w:szCs w:val="20"/>
                <w:color w:val="auto"/>
              </w:rPr>
            </w:pPr>
            <w:r>
              <w:rPr>
                <w:rFonts w:ascii="Arial" w:cs="Arial" w:eastAsia="Arial" w:hAnsi="Arial"/>
                <w:sz w:val="13"/>
                <w:szCs w:val="13"/>
                <w:b w:val="1"/>
                <w:bCs w:val="1"/>
                <w:color w:val="auto"/>
                <w:w w:val="88"/>
              </w:rPr>
              <w:t>Six Months Ended</w:t>
            </w: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1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3"/>
                <w:szCs w:val="13"/>
                <w:b w:val="1"/>
                <w:bCs w:val="1"/>
                <w:color w:val="auto"/>
                <w:w w:val="87"/>
              </w:rPr>
              <w:t>June 30, 2018</w:t>
            </w: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1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ind w:left="20"/>
              <w:spacing w:after="0" w:line="144" w:lineRule="exact"/>
              <w:rPr>
                <w:sz w:val="20"/>
                <w:szCs w:val="20"/>
                <w:color w:val="auto"/>
              </w:rPr>
            </w:pPr>
            <w:r>
              <w:rPr>
                <w:rFonts w:ascii="Arial" w:cs="Arial" w:eastAsia="Arial" w:hAnsi="Arial"/>
                <w:sz w:val="13"/>
                <w:szCs w:val="13"/>
                <w:b w:val="1"/>
                <w:bCs w:val="1"/>
                <w:color w:val="auto"/>
                <w:w w:val="88"/>
              </w:rPr>
              <w:t>Earnings before</w:t>
            </w:r>
          </w:p>
        </w:tc>
        <w:tc>
          <w:tcPr>
            <w:tcW w:w="0" w:type="dxa"/>
            <w:vAlign w:val="bottom"/>
          </w:tcPr>
          <w:p>
            <w:pPr>
              <w:spacing w:after="0"/>
              <w:rPr>
                <w:sz w:val="1"/>
                <w:szCs w:val="1"/>
                <w:color w:val="auto"/>
              </w:rPr>
            </w:pPr>
          </w:p>
        </w:tc>
      </w:tr>
      <w:tr>
        <w:trPr>
          <w:trHeight w:val="135"/>
        </w:trPr>
        <w:tc>
          <w:tcPr>
            <w:tcW w:w="1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5"/>
              </w:rPr>
              <w:t>net interest</w:t>
            </w:r>
          </w:p>
        </w:tc>
        <w:tc>
          <w:tcPr>
            <w:tcW w:w="0" w:type="dxa"/>
            <w:vAlign w:val="bottom"/>
          </w:tcPr>
          <w:p>
            <w:pPr>
              <w:spacing w:after="0"/>
              <w:rPr>
                <w:sz w:val="1"/>
                <w:szCs w:val="1"/>
                <w:color w:val="auto"/>
              </w:rPr>
            </w:pPr>
          </w:p>
        </w:tc>
      </w:tr>
      <w:tr>
        <w:trPr>
          <w:trHeight w:val="135"/>
        </w:trPr>
        <w:tc>
          <w:tcPr>
            <w:tcW w:w="1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gridSpan w:val="3"/>
          </w:tcPr>
          <w:p>
            <w:pPr>
              <w:jc w:val="center"/>
              <w:ind w:right="140"/>
              <w:spacing w:after="0" w:line="135" w:lineRule="exact"/>
              <w:rPr>
                <w:sz w:val="20"/>
                <w:szCs w:val="20"/>
                <w:color w:val="auto"/>
              </w:rPr>
            </w:pPr>
            <w:r>
              <w:rPr>
                <w:rFonts w:ascii="Arial" w:cs="Arial" w:eastAsia="Arial" w:hAnsi="Arial"/>
                <w:sz w:val="13"/>
                <w:szCs w:val="13"/>
                <w:b w:val="1"/>
                <w:bCs w:val="1"/>
                <w:color w:val="auto"/>
                <w:w w:val="85"/>
              </w:rPr>
              <w:t>Income before</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78"/>
              </w:rPr>
              <w:t>expense,</w:t>
            </w:r>
          </w:p>
        </w:tc>
        <w:tc>
          <w:tcPr>
            <w:tcW w:w="0" w:type="dxa"/>
            <w:vAlign w:val="bottom"/>
          </w:tcPr>
          <w:p>
            <w:pPr>
              <w:spacing w:after="0"/>
              <w:rPr>
                <w:sz w:val="1"/>
                <w:szCs w:val="1"/>
                <w:color w:val="auto"/>
              </w:rPr>
            </w:pPr>
          </w:p>
        </w:tc>
      </w:tr>
      <w:tr>
        <w:trPr>
          <w:trHeight w:val="135"/>
        </w:trPr>
        <w:tc>
          <w:tcPr>
            <w:tcW w:w="1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5"/>
              </w:rPr>
              <w:t>net interest</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3"/>
              </w:rPr>
              <w:t>income taxes,</w:t>
            </w:r>
          </w:p>
        </w:tc>
        <w:tc>
          <w:tcPr>
            <w:tcW w:w="0" w:type="dxa"/>
            <w:vAlign w:val="bottom"/>
          </w:tcPr>
          <w:p>
            <w:pPr>
              <w:spacing w:after="0"/>
              <w:rPr>
                <w:sz w:val="1"/>
                <w:szCs w:val="1"/>
                <w:color w:val="auto"/>
              </w:rPr>
            </w:pPr>
          </w:p>
        </w:tc>
      </w:tr>
      <w:tr>
        <w:trPr>
          <w:trHeight w:val="135"/>
        </w:trPr>
        <w:tc>
          <w:tcPr>
            <w:tcW w:w="1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5"/>
              </w:rPr>
              <w:t>Net income</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4"/>
          </w:tcPr>
          <w:p>
            <w:pPr>
              <w:jc w:val="center"/>
              <w:ind w:right="260"/>
              <w:spacing w:after="0" w:line="135" w:lineRule="exact"/>
              <w:rPr>
                <w:sz w:val="20"/>
                <w:szCs w:val="20"/>
                <w:color w:val="auto"/>
              </w:rPr>
            </w:pPr>
            <w:r>
              <w:rPr>
                <w:rFonts w:ascii="Arial" w:cs="Arial" w:eastAsia="Arial" w:hAnsi="Arial"/>
                <w:sz w:val="13"/>
                <w:szCs w:val="13"/>
                <w:b w:val="1"/>
                <w:bCs w:val="1"/>
                <w:color w:val="auto"/>
                <w:w w:val="85"/>
              </w:rPr>
              <w:t>Net income</w:t>
            </w: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1"/>
              </w:rPr>
              <w:t>expense and</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7"/>
              </w:rPr>
              <w:t>depreciation</w:t>
            </w:r>
          </w:p>
        </w:tc>
        <w:tc>
          <w:tcPr>
            <w:tcW w:w="0" w:type="dxa"/>
            <w:vAlign w:val="bottom"/>
          </w:tcPr>
          <w:p>
            <w:pPr>
              <w:spacing w:after="0"/>
              <w:rPr>
                <w:sz w:val="1"/>
                <w:szCs w:val="1"/>
                <w:color w:val="auto"/>
              </w:rPr>
            </w:pPr>
          </w:p>
        </w:tc>
      </w:tr>
      <w:tr>
        <w:trPr>
          <w:trHeight w:val="135"/>
        </w:trPr>
        <w:tc>
          <w:tcPr>
            <w:tcW w:w="1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gridSpan w:val="3"/>
          </w:tcPr>
          <w:p>
            <w:pPr>
              <w:jc w:val="center"/>
              <w:ind w:right="60"/>
              <w:spacing w:after="0" w:line="135" w:lineRule="exact"/>
              <w:rPr>
                <w:sz w:val="20"/>
                <w:szCs w:val="20"/>
                <w:color w:val="auto"/>
              </w:rPr>
            </w:pPr>
            <w:r>
              <w:rPr>
                <w:rFonts w:ascii="Arial" w:cs="Arial" w:eastAsia="Arial" w:hAnsi="Arial"/>
                <w:sz w:val="13"/>
                <w:szCs w:val="13"/>
                <w:b w:val="1"/>
                <w:bCs w:val="1"/>
                <w:color w:val="auto"/>
                <w:w w:val="89"/>
              </w:rPr>
              <w:t>attributable to</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gridSpan w:val="5"/>
          </w:tcPr>
          <w:p>
            <w:pPr>
              <w:jc w:val="center"/>
              <w:ind w:right="160"/>
              <w:spacing w:after="0" w:line="135" w:lineRule="exact"/>
              <w:rPr>
                <w:sz w:val="20"/>
                <w:szCs w:val="20"/>
                <w:color w:val="auto"/>
              </w:rPr>
            </w:pPr>
            <w:r>
              <w:rPr>
                <w:rFonts w:ascii="Arial" w:cs="Arial" w:eastAsia="Arial" w:hAnsi="Arial"/>
                <w:sz w:val="13"/>
                <w:szCs w:val="13"/>
                <w:b w:val="1"/>
                <w:bCs w:val="1"/>
                <w:color w:val="auto"/>
                <w:w w:val="89"/>
              </w:rPr>
              <w:t>attributable to</w:t>
            </w: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2"/>
              </w:rPr>
              <w:t>income taxes</w:t>
            </w:r>
          </w:p>
        </w:tc>
        <w:tc>
          <w:tcPr>
            <w:tcW w:w="10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Depreciation</w:t>
            </w:r>
          </w:p>
        </w:tc>
        <w:tc>
          <w:tcPr>
            <w:tcW w:w="100" w:type="dxa"/>
            <w:vAlign w:val="bottom"/>
          </w:tcPr>
          <w:p>
            <w:pPr>
              <w:spacing w:after="0"/>
              <w:rPr>
                <w:sz w:val="11"/>
                <w:szCs w:val="11"/>
                <w:color w:val="auto"/>
              </w:rPr>
            </w:pPr>
          </w:p>
        </w:tc>
        <w:tc>
          <w:tcPr>
            <w:tcW w:w="82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6"/>
              </w:rPr>
              <w:t>and</w:t>
            </w:r>
          </w:p>
        </w:tc>
        <w:tc>
          <w:tcPr>
            <w:tcW w:w="0" w:type="dxa"/>
            <w:vAlign w:val="bottom"/>
          </w:tcPr>
          <w:p>
            <w:pPr>
              <w:spacing w:after="0"/>
              <w:rPr>
                <w:sz w:val="1"/>
                <w:szCs w:val="1"/>
                <w:color w:val="auto"/>
              </w:rPr>
            </w:pPr>
          </w:p>
        </w:tc>
      </w:tr>
      <w:tr>
        <w:trPr>
          <w:trHeight w:val="135"/>
        </w:trPr>
        <w:tc>
          <w:tcPr>
            <w:tcW w:w="1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2"/>
              </w:rPr>
              <w:t>TechnipFMC</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gridSpan w:val="5"/>
          </w:tcPr>
          <w:p>
            <w:pPr>
              <w:jc w:val="center"/>
              <w:ind w:right="160"/>
              <w:spacing w:after="0" w:line="135" w:lineRule="exact"/>
              <w:rPr>
                <w:sz w:val="20"/>
                <w:szCs w:val="20"/>
                <w:color w:val="auto"/>
              </w:rPr>
            </w:pPr>
            <w:r>
              <w:rPr>
                <w:rFonts w:ascii="Arial" w:cs="Arial" w:eastAsia="Arial" w:hAnsi="Arial"/>
                <w:sz w:val="13"/>
                <w:szCs w:val="13"/>
                <w:b w:val="1"/>
                <w:bCs w:val="1"/>
                <w:color w:val="auto"/>
                <w:w w:val="85"/>
              </w:rPr>
              <w:t>noncontrolling</w:t>
            </w:r>
          </w:p>
        </w:tc>
        <w:tc>
          <w:tcPr>
            <w:tcW w:w="80" w:type="dxa"/>
            <w:vAlign w:val="bottom"/>
          </w:tcPr>
          <w:p>
            <w:pPr>
              <w:spacing w:after="0"/>
              <w:rPr>
                <w:sz w:val="11"/>
                <w:szCs w:val="11"/>
                <w:color w:val="auto"/>
              </w:rPr>
            </w:pPr>
          </w:p>
        </w:tc>
        <w:tc>
          <w:tcPr>
            <w:tcW w:w="84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Provision for</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3"/>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Net interest</w:t>
            </w:r>
          </w:p>
        </w:tc>
        <w:tc>
          <w:tcPr>
            <w:tcW w:w="80" w:type="dxa"/>
            <w:vAlign w:val="bottom"/>
          </w:tcPr>
          <w:p>
            <w:pPr>
              <w:spacing w:after="0"/>
              <w:rPr>
                <w:sz w:val="11"/>
                <w:szCs w:val="11"/>
                <w:color w:val="auto"/>
              </w:rPr>
            </w:pPr>
          </w:p>
        </w:tc>
        <w:tc>
          <w:tcPr>
            <w:tcW w:w="9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1"/>
              </w:rPr>
              <w:t>(Operating</w:t>
            </w:r>
          </w:p>
        </w:tc>
        <w:tc>
          <w:tcPr>
            <w:tcW w:w="100" w:type="dxa"/>
            <w:vAlign w:val="bottom"/>
          </w:tcPr>
          <w:p>
            <w:pPr>
              <w:spacing w:after="0"/>
              <w:rPr>
                <w:sz w:val="11"/>
                <w:szCs w:val="11"/>
                <w:color w:val="auto"/>
              </w:rPr>
            </w:pPr>
          </w:p>
        </w:tc>
        <w:tc>
          <w:tcPr>
            <w:tcW w:w="96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6"/>
              </w:rPr>
              <w:t>and</w:t>
            </w:r>
          </w:p>
        </w:tc>
        <w:tc>
          <w:tcPr>
            <w:tcW w:w="100" w:type="dxa"/>
            <w:vAlign w:val="bottom"/>
          </w:tcPr>
          <w:p>
            <w:pPr>
              <w:spacing w:after="0"/>
              <w:rPr>
                <w:sz w:val="11"/>
                <w:szCs w:val="11"/>
                <w:color w:val="auto"/>
              </w:rPr>
            </w:pPr>
          </w:p>
        </w:tc>
        <w:tc>
          <w:tcPr>
            <w:tcW w:w="82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7"/>
              </w:rPr>
              <w:t>amortization</w:t>
            </w:r>
          </w:p>
        </w:tc>
        <w:tc>
          <w:tcPr>
            <w:tcW w:w="0" w:type="dxa"/>
            <w:vAlign w:val="bottom"/>
          </w:tcPr>
          <w:p>
            <w:pPr>
              <w:spacing w:after="0"/>
              <w:rPr>
                <w:sz w:val="1"/>
                <w:szCs w:val="1"/>
                <w:color w:val="auto"/>
              </w:rPr>
            </w:pPr>
          </w:p>
        </w:tc>
      </w:tr>
      <w:tr>
        <w:trPr>
          <w:trHeight w:val="174"/>
        </w:trPr>
        <w:tc>
          <w:tcPr>
            <w:tcW w:w="1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4"/>
              </w:rPr>
              <w:t>plc</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4"/>
              </w:rPr>
              <w:t>interests</w:t>
            </w:r>
          </w:p>
        </w:tc>
        <w:tc>
          <w:tcPr>
            <w:tcW w:w="100" w:type="dxa"/>
            <w:vAlign w:val="bottom"/>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4"/>
              </w:rPr>
              <w:t>income taxes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0"/>
              </w:rPr>
              <w:t>expense</w:t>
            </w: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5"/>
              </w:rPr>
              <w:t>profit)</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0"/>
              </w:rPr>
              <w:t>amortization</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8"/>
              </w:rPr>
              <w:t>(EBITDA)</w:t>
            </w:r>
          </w:p>
        </w:tc>
        <w:tc>
          <w:tcPr>
            <w:tcW w:w="0" w:type="dxa"/>
            <w:vAlign w:val="bottom"/>
          </w:tcPr>
          <w:p>
            <w:pPr>
              <w:spacing w:after="0"/>
              <w:rPr>
                <w:sz w:val="1"/>
                <w:szCs w:val="1"/>
                <w:color w:val="auto"/>
              </w:rPr>
            </w:pPr>
          </w:p>
        </w:tc>
      </w:tr>
      <w:tr>
        <w:trPr>
          <w:trHeight w:val="241"/>
        </w:trPr>
        <w:tc>
          <w:tcPr>
            <w:tcW w:w="1820" w:type="dxa"/>
            <w:vAlign w:val="bottom"/>
          </w:tcPr>
          <w:p>
            <w:pPr>
              <w:spacing w:after="0"/>
              <w:rPr>
                <w:sz w:val="20"/>
                <w:szCs w:val="20"/>
                <w:color w:val="auto"/>
              </w:rPr>
            </w:pPr>
            <w:r>
              <w:rPr>
                <w:rFonts w:ascii="Arial" w:cs="Arial" w:eastAsia="Arial" w:hAnsi="Arial"/>
                <w:sz w:val="13"/>
                <w:szCs w:val="13"/>
                <w:color w:val="auto"/>
              </w:rPr>
              <w:t>TechnipFMC plc, as reported</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200.8</w:t>
            </w:r>
          </w:p>
        </w:tc>
        <w:tc>
          <w:tcPr>
            <w:tcW w:w="20" w:type="dxa"/>
            <w:vAlign w:val="bottom"/>
          </w:tcPr>
          <w:p>
            <w:pPr>
              <w:spacing w:after="0"/>
              <w:rPr>
                <w:sz w:val="20"/>
                <w:szCs w:val="20"/>
                <w:color w:val="auto"/>
              </w:rPr>
            </w:pPr>
          </w:p>
        </w:tc>
        <w:tc>
          <w:tcPr>
            <w:tcW w:w="2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0.7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114.0</w:t>
            </w:r>
          </w:p>
        </w:tc>
        <w:tc>
          <w:tcPr>
            <w:tcW w:w="2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138.3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453.8</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270.5</w:t>
            </w:r>
          </w:p>
        </w:tc>
        <w:tc>
          <w:tcPr>
            <w:tcW w:w="10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724.3</w:t>
            </w:r>
          </w:p>
        </w:tc>
        <w:tc>
          <w:tcPr>
            <w:tcW w:w="0" w:type="dxa"/>
            <w:vAlign w:val="bottom"/>
          </w:tcPr>
          <w:p>
            <w:pPr>
              <w:spacing w:after="0"/>
              <w:rPr>
                <w:sz w:val="1"/>
                <w:szCs w:val="1"/>
                <w:color w:val="auto"/>
              </w:rPr>
            </w:pPr>
          </w:p>
        </w:tc>
      </w:tr>
      <w:tr>
        <w:trPr>
          <w:trHeight w:val="486"/>
        </w:trPr>
        <w:tc>
          <w:tcPr>
            <w:tcW w:w="1820" w:type="dxa"/>
            <w:vAlign w:val="bottom"/>
          </w:tcPr>
          <w:p>
            <w:pPr>
              <w:spacing w:after="0"/>
              <w:rPr>
                <w:sz w:val="20"/>
                <w:szCs w:val="20"/>
                <w:color w:val="auto"/>
              </w:rPr>
            </w:pPr>
            <w:r>
              <w:rPr>
                <w:rFonts w:ascii="Arial" w:cs="Arial" w:eastAsia="Arial" w:hAnsi="Arial"/>
                <w:sz w:val="13"/>
                <w:szCs w:val="13"/>
                <w:color w:val="auto"/>
              </w:rPr>
              <w:t>Charges and (credits):</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820" w:type="dxa"/>
            <w:vAlign w:val="bottom"/>
          </w:tcPr>
          <w:p>
            <w:pPr>
              <w:ind w:left="240"/>
              <w:spacing w:after="0"/>
              <w:rPr>
                <w:sz w:val="20"/>
                <w:szCs w:val="20"/>
                <w:color w:val="auto"/>
              </w:rPr>
            </w:pPr>
            <w:r>
              <w:rPr>
                <w:rFonts w:ascii="Arial" w:cs="Arial" w:eastAsia="Arial" w:hAnsi="Arial"/>
                <w:sz w:val="13"/>
                <w:szCs w:val="13"/>
                <w:color w:val="auto"/>
                <w:w w:val="89"/>
              </w:rPr>
              <w:t>Impairment and other charges</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9.1</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80" w:type="dxa"/>
            <w:vAlign w:val="bottom"/>
            <w:gridSpan w:val="4"/>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3.4</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12.5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12.5</w:t>
            </w:r>
          </w:p>
        </w:tc>
        <w:tc>
          <w:tcPr>
            <w:tcW w:w="0" w:type="dxa"/>
            <w:vAlign w:val="bottom"/>
          </w:tcPr>
          <w:p>
            <w:pPr>
              <w:spacing w:after="0"/>
              <w:rPr>
                <w:sz w:val="1"/>
                <w:szCs w:val="1"/>
                <w:color w:val="auto"/>
              </w:rPr>
            </w:pPr>
          </w:p>
        </w:tc>
      </w:tr>
      <w:tr>
        <w:trPr>
          <w:trHeight w:val="164"/>
        </w:trPr>
        <w:tc>
          <w:tcPr>
            <w:tcW w:w="1820" w:type="dxa"/>
            <w:vAlign w:val="bottom"/>
          </w:tcPr>
          <w:p>
            <w:pPr>
              <w:ind w:left="240"/>
              <w:spacing w:after="0"/>
              <w:rPr>
                <w:sz w:val="20"/>
                <w:szCs w:val="20"/>
                <w:color w:val="auto"/>
              </w:rPr>
            </w:pPr>
            <w:r>
              <w:rPr>
                <w:rFonts w:ascii="Arial" w:cs="Arial" w:eastAsia="Arial" w:hAnsi="Arial"/>
                <w:sz w:val="13"/>
                <w:szCs w:val="13"/>
                <w:color w:val="auto"/>
              </w:rPr>
              <w:t>Restructuring and other</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820" w:type="dxa"/>
            <w:vAlign w:val="bottom"/>
          </w:tcPr>
          <w:p>
            <w:pPr>
              <w:ind w:left="240"/>
              <w:spacing w:after="0"/>
              <w:rPr>
                <w:sz w:val="20"/>
                <w:szCs w:val="20"/>
                <w:color w:val="auto"/>
              </w:rPr>
            </w:pPr>
            <w:r>
              <w:rPr>
                <w:rFonts w:ascii="Arial" w:cs="Arial" w:eastAsia="Arial" w:hAnsi="Arial"/>
                <w:sz w:val="13"/>
                <w:szCs w:val="13"/>
                <w:color w:val="auto"/>
              </w:rPr>
              <w:t>severance charges</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7.6</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4"/>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2.8</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10.4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10.4</w:t>
            </w:r>
          </w:p>
        </w:tc>
        <w:tc>
          <w:tcPr>
            <w:tcW w:w="0" w:type="dxa"/>
            <w:vAlign w:val="bottom"/>
          </w:tcPr>
          <w:p>
            <w:pPr>
              <w:spacing w:after="0"/>
              <w:rPr>
                <w:sz w:val="1"/>
                <w:szCs w:val="1"/>
                <w:color w:val="auto"/>
              </w:rPr>
            </w:pPr>
          </w:p>
        </w:tc>
      </w:tr>
      <w:tr>
        <w:trPr>
          <w:trHeight w:val="164"/>
        </w:trPr>
        <w:tc>
          <w:tcPr>
            <w:tcW w:w="1820" w:type="dxa"/>
            <w:vAlign w:val="bottom"/>
          </w:tcPr>
          <w:p>
            <w:pPr>
              <w:ind w:left="240"/>
              <w:spacing w:after="0"/>
              <w:rPr>
                <w:sz w:val="20"/>
                <w:szCs w:val="20"/>
                <w:color w:val="auto"/>
              </w:rPr>
            </w:pPr>
            <w:r>
              <w:rPr>
                <w:rFonts w:ascii="Arial" w:cs="Arial" w:eastAsia="Arial" w:hAnsi="Arial"/>
                <w:sz w:val="13"/>
                <w:szCs w:val="13"/>
                <w:color w:val="auto"/>
              </w:rPr>
              <w:t>Business combination</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820" w:type="dxa"/>
            <w:vAlign w:val="bottom"/>
          </w:tcPr>
          <w:p>
            <w:pPr>
              <w:ind w:left="240"/>
              <w:spacing w:after="0" w:line="135" w:lineRule="exact"/>
              <w:rPr>
                <w:sz w:val="20"/>
                <w:szCs w:val="20"/>
                <w:color w:val="auto"/>
              </w:rPr>
            </w:pPr>
            <w:r>
              <w:rPr>
                <w:rFonts w:ascii="Arial" w:cs="Arial" w:eastAsia="Arial" w:hAnsi="Arial"/>
                <w:sz w:val="13"/>
                <w:szCs w:val="13"/>
                <w:color w:val="auto"/>
              </w:rPr>
              <w:t>transaction and integration</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820" w:type="dxa"/>
            <w:vAlign w:val="bottom"/>
          </w:tcPr>
          <w:p>
            <w:pPr>
              <w:ind w:left="240"/>
              <w:spacing w:after="0"/>
              <w:rPr>
                <w:sz w:val="20"/>
                <w:szCs w:val="20"/>
                <w:color w:val="auto"/>
              </w:rPr>
            </w:pPr>
            <w:r>
              <w:rPr>
                <w:rFonts w:ascii="Arial" w:cs="Arial" w:eastAsia="Arial" w:hAnsi="Arial"/>
                <w:sz w:val="13"/>
                <w:szCs w:val="13"/>
                <w:color w:val="auto"/>
              </w:rPr>
              <w:t>costs</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10.6</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4"/>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14.6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14.6</w:t>
            </w:r>
          </w:p>
        </w:tc>
        <w:tc>
          <w:tcPr>
            <w:tcW w:w="0" w:type="dxa"/>
            <w:vAlign w:val="bottom"/>
          </w:tcPr>
          <w:p>
            <w:pPr>
              <w:spacing w:after="0"/>
              <w:rPr>
                <w:sz w:val="1"/>
                <w:szCs w:val="1"/>
                <w:color w:val="auto"/>
              </w:rPr>
            </w:pPr>
          </w:p>
        </w:tc>
      </w:tr>
      <w:tr>
        <w:trPr>
          <w:trHeight w:val="164"/>
        </w:trPr>
        <w:tc>
          <w:tcPr>
            <w:tcW w:w="1820" w:type="dxa"/>
            <w:vAlign w:val="bottom"/>
          </w:tcPr>
          <w:p>
            <w:pPr>
              <w:ind w:left="240"/>
              <w:spacing w:after="0"/>
              <w:rPr>
                <w:sz w:val="20"/>
                <w:szCs w:val="20"/>
                <w:color w:val="auto"/>
              </w:rPr>
            </w:pPr>
            <w:r>
              <w:rPr>
                <w:rFonts w:ascii="Arial" w:cs="Arial" w:eastAsia="Arial" w:hAnsi="Arial"/>
                <w:sz w:val="13"/>
                <w:szCs w:val="13"/>
                <w:color w:val="auto"/>
              </w:rPr>
              <w:t>Purchase price accounting</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820" w:type="dxa"/>
            <w:vAlign w:val="bottom"/>
          </w:tcPr>
          <w:p>
            <w:pPr>
              <w:ind w:left="240"/>
              <w:spacing w:after="0"/>
              <w:rPr>
                <w:sz w:val="20"/>
                <w:szCs w:val="20"/>
                <w:color w:val="auto"/>
              </w:rPr>
            </w:pPr>
            <w:r>
              <w:rPr>
                <w:rFonts w:ascii="Arial" w:cs="Arial" w:eastAsia="Arial" w:hAnsi="Arial"/>
                <w:sz w:val="13"/>
                <w:szCs w:val="13"/>
                <w:color w:val="auto"/>
              </w:rPr>
              <w:t>adjustment</w:t>
            </w: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gridSpan w:val="2"/>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10.8</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46.0</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(44.0)</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241"/>
        </w:trPr>
        <w:tc>
          <w:tcPr>
            <w:tcW w:w="1820" w:type="dxa"/>
            <w:vAlign w:val="bottom"/>
          </w:tcPr>
          <w:p>
            <w:pPr>
              <w:spacing w:after="0"/>
              <w:rPr>
                <w:sz w:val="20"/>
                <w:szCs w:val="20"/>
                <w:color w:val="auto"/>
              </w:rPr>
            </w:pPr>
            <w:r>
              <w:rPr>
                <w:rFonts w:ascii="Arial" w:cs="Arial" w:eastAsia="Arial" w:hAnsi="Arial"/>
                <w:sz w:val="13"/>
                <w:szCs w:val="13"/>
                <w:color w:val="auto"/>
              </w:rPr>
              <w:t>Adjusted financial measures</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263.3</w:t>
            </w:r>
          </w:p>
        </w:tc>
        <w:tc>
          <w:tcPr>
            <w:tcW w:w="20" w:type="dxa"/>
            <w:vAlign w:val="bottom"/>
          </w:tcPr>
          <w:p>
            <w:pPr>
              <w:spacing w:after="0"/>
              <w:rPr>
                <w:sz w:val="20"/>
                <w:szCs w:val="20"/>
                <w:color w:val="auto"/>
              </w:rPr>
            </w:pPr>
          </w:p>
        </w:tc>
        <w:tc>
          <w:tcPr>
            <w:tcW w:w="2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0.7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135.0</w:t>
            </w:r>
          </w:p>
        </w:tc>
        <w:tc>
          <w:tcPr>
            <w:tcW w:w="2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138.3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537.3</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226.5</w:t>
            </w:r>
          </w:p>
        </w:tc>
        <w:tc>
          <w:tcPr>
            <w:tcW w:w="10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763.8</w:t>
            </w:r>
          </w:p>
        </w:tc>
        <w:tc>
          <w:tcPr>
            <w:tcW w:w="0" w:type="dxa"/>
            <w:vAlign w:val="bottom"/>
          </w:tcPr>
          <w:p>
            <w:pPr>
              <w:spacing w:after="0"/>
              <w:rPr>
                <w:sz w:val="1"/>
                <w:szCs w:val="1"/>
                <w:color w:val="auto"/>
              </w:rPr>
            </w:pPr>
          </w:p>
        </w:tc>
      </w:tr>
      <w:tr>
        <w:trPr>
          <w:trHeight w:val="20"/>
        </w:trPr>
        <w:tc>
          <w:tcPr>
            <w:tcW w:w="1820" w:type="dxa"/>
            <w:vAlign w:val="bottom"/>
            <w:vMerge w:val="restart"/>
          </w:tcPr>
          <w:p>
            <w:pPr>
              <w:spacing w:after="0"/>
              <w:rPr>
                <w:sz w:val="20"/>
                <w:szCs w:val="20"/>
                <w:color w:val="auto"/>
              </w:rPr>
            </w:pPr>
            <w:r>
              <w:rPr>
                <w:rFonts w:ascii="Arial" w:cs="Arial" w:eastAsia="Arial" w:hAnsi="Arial"/>
                <w:sz w:val="13"/>
                <w:szCs w:val="13"/>
                <w:color w:val="auto"/>
              </w:rPr>
              <w:t>Diluted earnings per share</w:t>
            </w: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182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820" w:type="dxa"/>
            <w:vAlign w:val="bottom"/>
          </w:tcPr>
          <w:p>
            <w:pPr>
              <w:spacing w:after="0" w:line="135" w:lineRule="exact"/>
              <w:rPr>
                <w:sz w:val="20"/>
                <w:szCs w:val="20"/>
                <w:color w:val="auto"/>
              </w:rPr>
            </w:pPr>
            <w:r>
              <w:rPr>
                <w:rFonts w:ascii="Arial" w:cs="Arial" w:eastAsia="Arial" w:hAnsi="Arial"/>
                <w:sz w:val="13"/>
                <w:szCs w:val="13"/>
                <w:color w:val="auto"/>
                <w:w w:val="90"/>
              </w:rPr>
              <w:t>attributable to TechnipFMC plc, as</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820" w:type="dxa"/>
            <w:vAlign w:val="bottom"/>
          </w:tcPr>
          <w:p>
            <w:pPr>
              <w:spacing w:after="0"/>
              <w:rPr>
                <w:sz w:val="20"/>
                <w:szCs w:val="20"/>
                <w:color w:val="auto"/>
              </w:rPr>
            </w:pPr>
            <w:r>
              <w:rPr>
                <w:rFonts w:ascii="Arial" w:cs="Arial" w:eastAsia="Arial" w:hAnsi="Arial"/>
                <w:sz w:val="13"/>
                <w:szCs w:val="13"/>
                <w:color w:val="auto"/>
              </w:rPr>
              <w:t>reported</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0.43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820" w:type="dxa"/>
            <w:vAlign w:val="bottom"/>
          </w:tcPr>
          <w:p>
            <w:pPr>
              <w:spacing w:after="0"/>
              <w:rPr>
                <w:sz w:val="20"/>
                <w:szCs w:val="20"/>
                <w:color w:val="auto"/>
              </w:rPr>
            </w:pPr>
            <w:r>
              <w:rPr>
                <w:rFonts w:ascii="Arial" w:cs="Arial" w:eastAsia="Arial" w:hAnsi="Arial"/>
                <w:sz w:val="13"/>
                <w:szCs w:val="13"/>
                <w:color w:val="auto"/>
                <w:w w:val="88"/>
              </w:rPr>
              <w:t>Adjusted diluted earnings per share</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820" w:type="dxa"/>
            <w:vAlign w:val="bottom"/>
          </w:tcPr>
          <w:p>
            <w:pPr>
              <w:spacing w:after="0"/>
              <w:rPr>
                <w:sz w:val="20"/>
                <w:szCs w:val="20"/>
                <w:color w:val="auto"/>
              </w:rPr>
            </w:pPr>
            <w:r>
              <w:rPr>
                <w:rFonts w:ascii="Arial" w:cs="Arial" w:eastAsia="Arial" w:hAnsi="Arial"/>
                <w:sz w:val="13"/>
                <w:szCs w:val="13"/>
                <w:color w:val="auto"/>
              </w:rPr>
              <w:t>attributable to TechnipFMC plc</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0.57</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26" w:right="239" w:bottom="1440" w:gutter="0" w:footer="0" w:header="0"/>
        </w:sectPr>
      </w:pPr>
    </w:p>
    <w:p>
      <w:pPr>
        <w:spacing w:after="0" w:line="262" w:lineRule="exact"/>
        <w:rPr>
          <w:sz w:val="20"/>
          <w:szCs w:val="20"/>
          <w:color w:val="auto"/>
        </w:rPr>
      </w:pPr>
    </w:p>
    <w:p>
      <w:pPr>
        <w:ind w:left="5180"/>
        <w:spacing w:after="0"/>
        <w:tabs>
          <w:tab w:leader="none" w:pos="1042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22 of </w:t>
      </w:r>
      <w:hyperlink w:anchor="page30">
        <w:r>
          <w:rPr>
            <w:rFonts w:ascii="Arial" w:cs="Arial" w:eastAsia="Arial" w:hAnsi="Arial"/>
            <w:sz w:val="14"/>
            <w:szCs w:val="14"/>
            <w:b w:val="1"/>
            <w:bCs w:val="1"/>
            <w:color w:val="auto"/>
          </w:rPr>
          <w:t>25</w:t>
        </w:r>
      </w:hyperlink>
    </w:p>
    <w:p>
      <w:pPr>
        <w:sectPr>
          <w:pgSz w:w="11900" w:h="16838" w:orient="portrait"/>
          <w:cols w:equalWidth="0" w:num="1">
            <w:col w:w="11420"/>
          </w:cols>
          <w:pgMar w:left="240" w:top="526" w:right="239" w:bottom="1440" w:gutter="0" w:footer="0" w:header="0"/>
          <w:type w:val="continuous"/>
        </w:sectPr>
      </w:pPr>
    </w:p>
    <w:bookmarkStart w:id="26" w:name="page27"/>
    <w:bookmarkEnd w:id="26"/>
    <w:p>
      <w:pPr>
        <w:jc w:val="right"/>
        <w:spacing w:after="0"/>
        <w:rPr>
          <w:sz w:val="20"/>
          <w:szCs w:val="20"/>
          <w:color w:val="auto"/>
        </w:rPr>
      </w:pPr>
      <w:r>
        <w:rPr>
          <w:rFonts w:ascii="Arial" w:cs="Arial" w:eastAsia="Arial" w:hAnsi="Arial"/>
          <w:sz w:val="13"/>
          <w:szCs w:val="13"/>
          <w:b w:val="1"/>
          <w:bCs w:val="1"/>
          <w:color w:val="auto"/>
        </w:rPr>
        <w:t>Exhibit 9</w:t>
      </w:r>
    </w:p>
    <w:p>
      <w:pPr>
        <w:spacing w:after="0" w:line="161" w:lineRule="exact"/>
        <w:rPr>
          <w:sz w:val="20"/>
          <w:szCs w:val="20"/>
          <w:color w:val="auto"/>
        </w:rPr>
      </w:pPr>
    </w:p>
    <w:p>
      <w:pPr>
        <w:jc w:val="center"/>
        <w:ind w:right="1160"/>
        <w:spacing w:after="0" w:line="266" w:lineRule="auto"/>
        <w:rPr>
          <w:sz w:val="20"/>
          <w:szCs w:val="20"/>
          <w:color w:val="auto"/>
        </w:rPr>
      </w:pPr>
      <w:r>
        <w:rPr>
          <w:rFonts w:ascii="Arial" w:cs="Arial" w:eastAsia="Arial" w:hAnsi="Arial"/>
          <w:sz w:val="18"/>
          <w:szCs w:val="18"/>
          <w:b w:val="1"/>
          <w:bCs w:val="1"/>
          <w:u w:val="single" w:color="auto"/>
          <w:color w:val="auto"/>
        </w:rPr>
        <w:t xml:space="preserve">TECHNIPFMC PLC AND CONSOLIDATED SUBSIDIARIES RECONCILIATION OF GAAP TO NON-GAAP FINANCIAL MEASURES </w:t>
      </w:r>
      <w:r>
        <w:rPr>
          <w:rFonts w:ascii="Arial" w:cs="Arial" w:eastAsia="Arial" w:hAnsi="Arial"/>
          <w:sz w:val="18"/>
          <w:szCs w:val="18"/>
          <w:b w:val="1"/>
          <w:bCs w:val="1"/>
          <w:color w:val="auto"/>
        </w:rPr>
        <w:t>(In millions,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2570480</wp:posOffset>
            </wp:positionH>
            <wp:positionV relativeFrom="paragraph">
              <wp:posOffset>209550</wp:posOffset>
            </wp:positionV>
            <wp:extent cx="323278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80" w:type="dxa"/>
            <w:vAlign w:val="bottom"/>
            <w:gridSpan w:val="6"/>
          </w:tcPr>
          <w:p>
            <w:pPr>
              <w:jc w:val="center"/>
              <w:ind w:left="608"/>
              <w:spacing w:after="0"/>
              <w:rPr>
                <w:sz w:val="20"/>
                <w:szCs w:val="20"/>
                <w:color w:val="auto"/>
              </w:rPr>
            </w:pPr>
            <w:r>
              <w:rPr>
                <w:rFonts w:ascii="Arial" w:cs="Arial" w:eastAsia="Arial" w:hAnsi="Arial"/>
                <w:sz w:val="14"/>
                <w:szCs w:val="14"/>
                <w:b w:val="1"/>
                <w:bCs w:val="1"/>
                <w:color w:val="auto"/>
                <w:w w:val="95"/>
              </w:rPr>
              <w:t>Three Months Ended</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40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2"/>
              </w:rPr>
              <w:t>June 30, 2019</w:t>
            </w: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w w:val="96"/>
              </w:rPr>
              <w:t>Subsea</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Onshore/</w:t>
            </w:r>
          </w:p>
        </w:tc>
        <w:tc>
          <w:tcPr>
            <w:tcW w:w="180" w:type="dxa"/>
            <w:vAlign w:val="bottom"/>
          </w:tcPr>
          <w:p>
            <w:pPr>
              <w:spacing w:after="0"/>
              <w:rPr>
                <w:sz w:val="13"/>
                <w:szCs w:val="13"/>
                <w:color w:val="auto"/>
              </w:rPr>
            </w:pPr>
          </w:p>
        </w:tc>
        <w:tc>
          <w:tcPr>
            <w:tcW w:w="9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3"/>
              </w:rPr>
              <w:t>Surface</w:t>
            </w:r>
          </w:p>
        </w:tc>
        <w:tc>
          <w:tcPr>
            <w:tcW w:w="100" w:type="dxa"/>
            <w:vAlign w:val="bottom"/>
          </w:tcPr>
          <w:p>
            <w:pPr>
              <w:spacing w:after="0"/>
              <w:rPr>
                <w:sz w:val="13"/>
                <w:szCs w:val="13"/>
                <w:color w:val="auto"/>
              </w:rPr>
            </w:pPr>
          </w:p>
        </w:tc>
        <w:tc>
          <w:tcPr>
            <w:tcW w:w="9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Corporate</w:t>
            </w:r>
          </w:p>
        </w:tc>
        <w:tc>
          <w:tcPr>
            <w:tcW w:w="200" w:type="dxa"/>
            <w:vAlign w:val="bottom"/>
          </w:tcPr>
          <w:p>
            <w:pPr>
              <w:spacing w:after="0"/>
              <w:rPr>
                <w:sz w:val="13"/>
                <w:szCs w:val="13"/>
                <w:color w:val="auto"/>
              </w:rPr>
            </w:pPr>
          </w:p>
        </w:tc>
        <w:tc>
          <w:tcPr>
            <w:tcW w:w="74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9"/>
              </w:rPr>
              <w:t>Offshore</w:t>
            </w:r>
          </w:p>
        </w:tc>
        <w:tc>
          <w:tcPr>
            <w:tcW w:w="100" w:type="dxa"/>
            <w:vAlign w:val="bottom"/>
          </w:tcPr>
          <w:p>
            <w:pPr>
              <w:spacing w:after="0"/>
              <w:rPr>
                <w:sz w:val="16"/>
                <w:szCs w:val="16"/>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Technologies</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and Other</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4040" w:type="dxa"/>
            <w:vAlign w:val="bottom"/>
          </w:tcPr>
          <w:p>
            <w:pPr>
              <w:spacing w:after="0"/>
              <w:rPr>
                <w:sz w:val="20"/>
                <w:szCs w:val="20"/>
                <w:color w:val="auto"/>
              </w:rPr>
            </w:pPr>
            <w:r>
              <w:rPr>
                <w:rFonts w:ascii="Arial" w:cs="Arial" w:eastAsia="Arial" w:hAnsi="Arial"/>
                <w:sz w:val="14"/>
                <w:szCs w:val="14"/>
                <w:color w:val="auto"/>
              </w:rPr>
              <w:t>Revenue</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1,508.7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1,505.0</w:t>
            </w:r>
          </w:p>
        </w:tc>
        <w:tc>
          <w:tcPr>
            <w:tcW w:w="10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420.5</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3,434.2</w:t>
            </w:r>
          </w:p>
        </w:tc>
        <w:tc>
          <w:tcPr>
            <w:tcW w:w="0" w:type="dxa"/>
            <w:vAlign w:val="bottom"/>
          </w:tcPr>
          <w:p>
            <w:pPr>
              <w:spacing w:after="0"/>
              <w:rPr>
                <w:sz w:val="1"/>
                <w:szCs w:val="1"/>
                <w:color w:val="auto"/>
              </w:rPr>
            </w:pPr>
          </w:p>
        </w:tc>
      </w:tr>
      <w:tr>
        <w:trPr>
          <w:trHeight w:val="486"/>
        </w:trPr>
        <w:tc>
          <w:tcPr>
            <w:tcW w:w="4040" w:type="dxa"/>
            <w:vAlign w:val="bottom"/>
          </w:tcPr>
          <w:p>
            <w:pPr>
              <w:spacing w:after="0"/>
              <w:rPr>
                <w:sz w:val="20"/>
                <w:szCs w:val="20"/>
                <w:color w:val="auto"/>
              </w:rPr>
            </w:pPr>
            <w:r>
              <w:rPr>
                <w:rFonts w:ascii="Arial" w:cs="Arial" w:eastAsia="Arial" w:hAnsi="Arial"/>
                <w:sz w:val="14"/>
                <w:szCs w:val="14"/>
                <w:color w:val="auto"/>
              </w:rPr>
              <w:t>Operating profit (loss), as reported (pre-tax)</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94.6</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274.0</w:t>
            </w:r>
          </w:p>
        </w:tc>
        <w:tc>
          <w:tcPr>
            <w:tcW w:w="10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25.5</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(138.9)</w:t>
            </w:r>
          </w:p>
        </w:tc>
        <w:tc>
          <w:tcPr>
            <w:tcW w:w="10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255.2</w:t>
            </w:r>
          </w:p>
        </w:tc>
        <w:tc>
          <w:tcPr>
            <w:tcW w:w="0" w:type="dxa"/>
            <w:vAlign w:val="bottom"/>
          </w:tcPr>
          <w:p>
            <w:pPr>
              <w:spacing w:after="0"/>
              <w:rPr>
                <w:sz w:val="1"/>
                <w:szCs w:val="1"/>
                <w:color w:val="auto"/>
              </w:rPr>
            </w:pPr>
          </w:p>
        </w:tc>
      </w:tr>
      <w:tr>
        <w:trPr>
          <w:trHeight w:val="486"/>
        </w:trPr>
        <w:tc>
          <w:tcPr>
            <w:tcW w:w="4040" w:type="dxa"/>
            <w:vAlign w:val="bottom"/>
          </w:tcPr>
          <w:p>
            <w:pPr>
              <w:spacing w:after="0"/>
              <w:rPr>
                <w:sz w:val="20"/>
                <w:szCs w:val="20"/>
                <w:color w:val="auto"/>
              </w:rPr>
            </w:pPr>
            <w:r>
              <w:rPr>
                <w:rFonts w:ascii="Arial" w:cs="Arial" w:eastAsia="Arial" w:hAnsi="Arial"/>
                <w:sz w:val="14"/>
                <w:szCs w:val="14"/>
                <w:color w:val="auto"/>
              </w:rPr>
              <w:t>Charges and (credits):</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40" w:type="dxa"/>
            <w:vAlign w:val="bottom"/>
          </w:tcPr>
          <w:p>
            <w:pPr>
              <w:ind w:left="240"/>
              <w:spacing w:after="0"/>
              <w:rPr>
                <w:sz w:val="20"/>
                <w:szCs w:val="20"/>
                <w:color w:val="auto"/>
              </w:rPr>
            </w:pPr>
            <w:r>
              <w:rPr>
                <w:rFonts w:ascii="Arial" w:cs="Arial" w:eastAsia="Arial" w:hAnsi="Arial"/>
                <w:sz w:val="14"/>
                <w:szCs w:val="14"/>
                <w:color w:val="auto"/>
              </w:rPr>
              <w:t>Impairment and other charges</w:t>
            </w:r>
          </w:p>
        </w:tc>
        <w:tc>
          <w:tcPr>
            <w:tcW w:w="18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270"/>
        </w:trPr>
        <w:tc>
          <w:tcPr>
            <w:tcW w:w="4040" w:type="dxa"/>
            <w:vAlign w:val="bottom"/>
          </w:tcPr>
          <w:p>
            <w:pPr>
              <w:ind w:left="240"/>
              <w:spacing w:after="0"/>
              <w:rPr>
                <w:sz w:val="20"/>
                <w:szCs w:val="20"/>
                <w:color w:val="auto"/>
              </w:rPr>
            </w:pPr>
            <w:r>
              <w:rPr>
                <w:rFonts w:ascii="Arial" w:cs="Arial" w:eastAsia="Arial" w:hAnsi="Arial"/>
                <w:sz w:val="14"/>
                <w:szCs w:val="14"/>
                <w:color w:val="auto"/>
              </w:rPr>
              <w:t>Restructuring and other severance charges</w:t>
            </w:r>
          </w:p>
        </w:tc>
        <w:tc>
          <w:tcPr>
            <w:tcW w:w="180" w:type="dxa"/>
            <w:vAlign w:val="bottom"/>
          </w:tcPr>
          <w:p>
            <w:pPr>
              <w:spacing w:after="0"/>
              <w:rPr>
                <w:sz w:val="23"/>
                <w:szCs w:val="23"/>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270"/>
        </w:trPr>
        <w:tc>
          <w:tcPr>
            <w:tcW w:w="4040" w:type="dxa"/>
            <w:vAlign w:val="bottom"/>
          </w:tcPr>
          <w:p>
            <w:pPr>
              <w:ind w:left="240"/>
              <w:spacing w:after="0"/>
              <w:rPr>
                <w:sz w:val="20"/>
                <w:szCs w:val="20"/>
                <w:color w:val="auto"/>
              </w:rPr>
            </w:pPr>
            <w:r>
              <w:rPr>
                <w:rFonts w:ascii="Arial" w:cs="Arial" w:eastAsia="Arial" w:hAnsi="Arial"/>
                <w:sz w:val="14"/>
                <w:szCs w:val="14"/>
                <w:color w:val="auto"/>
              </w:rPr>
              <w:t>Business combination transaction and integration costs</w:t>
            </w:r>
          </w:p>
        </w:tc>
        <w:tc>
          <w:tcPr>
            <w:tcW w:w="180" w:type="dxa"/>
            <w:vAlign w:val="bottom"/>
          </w:tcPr>
          <w:p>
            <w:pPr>
              <w:spacing w:after="0"/>
              <w:rPr>
                <w:sz w:val="23"/>
                <w:szCs w:val="23"/>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270"/>
        </w:trPr>
        <w:tc>
          <w:tcPr>
            <w:tcW w:w="4040" w:type="dxa"/>
            <w:vAlign w:val="bottom"/>
          </w:tcPr>
          <w:p>
            <w:pPr>
              <w:ind w:left="240"/>
              <w:spacing w:after="0"/>
              <w:rPr>
                <w:sz w:val="20"/>
                <w:szCs w:val="20"/>
                <w:color w:val="auto"/>
              </w:rPr>
            </w:pPr>
            <w:r>
              <w:rPr>
                <w:rFonts w:ascii="Arial" w:cs="Arial" w:eastAsia="Arial" w:hAnsi="Arial"/>
                <w:sz w:val="14"/>
                <w:szCs w:val="14"/>
                <w:color w:val="auto"/>
              </w:rPr>
              <w:t>Legal provision, net</w:t>
            </w:r>
          </w:p>
        </w:tc>
        <w:tc>
          <w:tcPr>
            <w:tcW w:w="180" w:type="dxa"/>
            <w:vAlign w:val="bottom"/>
          </w:tcPr>
          <w:p>
            <w:pPr>
              <w:spacing w:after="0"/>
              <w:rPr>
                <w:sz w:val="23"/>
                <w:szCs w:val="23"/>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55.2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55.2</w:t>
            </w:r>
          </w:p>
        </w:tc>
        <w:tc>
          <w:tcPr>
            <w:tcW w:w="0" w:type="dxa"/>
            <w:vAlign w:val="bottom"/>
          </w:tcPr>
          <w:p>
            <w:pPr>
              <w:spacing w:after="0"/>
              <w:rPr>
                <w:sz w:val="1"/>
                <w:szCs w:val="1"/>
                <w:color w:val="auto"/>
              </w:rPr>
            </w:pPr>
          </w:p>
        </w:tc>
      </w:tr>
      <w:tr>
        <w:trPr>
          <w:trHeight w:val="276"/>
        </w:trPr>
        <w:tc>
          <w:tcPr>
            <w:tcW w:w="4040" w:type="dxa"/>
            <w:vAlign w:val="bottom"/>
          </w:tcPr>
          <w:p>
            <w:pPr>
              <w:ind w:left="240"/>
              <w:spacing w:after="0"/>
              <w:rPr>
                <w:sz w:val="20"/>
                <w:szCs w:val="20"/>
                <w:color w:val="auto"/>
              </w:rPr>
            </w:pPr>
            <w:r>
              <w:rPr>
                <w:rFonts w:ascii="Arial" w:cs="Arial" w:eastAsia="Arial" w:hAnsi="Arial"/>
                <w:sz w:val="14"/>
                <w:szCs w:val="14"/>
                <w:color w:val="auto"/>
                <w:w w:val="99"/>
              </w:rPr>
              <w:t>Purchase price accounting adjustments - amortization related</w:t>
            </w:r>
          </w:p>
        </w:tc>
        <w:tc>
          <w:tcPr>
            <w:tcW w:w="180" w:type="dxa"/>
            <w:vAlign w:val="bottom"/>
          </w:tcPr>
          <w:p>
            <w:pPr>
              <w:spacing w:after="0"/>
              <w:rPr>
                <w:sz w:val="24"/>
                <w:szCs w:val="24"/>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244"/>
        </w:trPr>
        <w:tc>
          <w:tcPr>
            <w:tcW w:w="4040" w:type="dxa"/>
            <w:vAlign w:val="bottom"/>
          </w:tcPr>
          <w:p>
            <w:pPr>
              <w:ind w:left="460"/>
              <w:spacing w:after="0"/>
              <w:rPr>
                <w:sz w:val="20"/>
                <w:szCs w:val="20"/>
                <w:color w:val="auto"/>
              </w:rPr>
            </w:pPr>
            <w:r>
              <w:rPr>
                <w:rFonts w:ascii="Arial" w:cs="Arial" w:eastAsia="Arial" w:hAnsi="Arial"/>
                <w:sz w:val="14"/>
                <w:szCs w:val="14"/>
                <w:color w:val="auto"/>
              </w:rPr>
              <w:t>Subtotal</w:t>
            </w:r>
          </w:p>
        </w:tc>
        <w:tc>
          <w:tcPr>
            <w:tcW w:w="18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69.5</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85.8</w:t>
            </w:r>
          </w:p>
        </w:tc>
        <w:tc>
          <w:tcPr>
            <w:tcW w:w="0" w:type="dxa"/>
            <w:vAlign w:val="bottom"/>
          </w:tcPr>
          <w:p>
            <w:pPr>
              <w:spacing w:after="0"/>
              <w:rPr>
                <w:sz w:val="1"/>
                <w:szCs w:val="1"/>
                <w:color w:val="auto"/>
              </w:rPr>
            </w:pPr>
          </w:p>
        </w:tc>
      </w:tr>
      <w:tr>
        <w:trPr>
          <w:trHeight w:val="228"/>
        </w:trPr>
        <w:tc>
          <w:tcPr>
            <w:tcW w:w="40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040" w:type="dxa"/>
            <w:vAlign w:val="bottom"/>
          </w:tcPr>
          <w:p>
            <w:pPr>
              <w:spacing w:after="0"/>
              <w:rPr>
                <w:sz w:val="20"/>
                <w:szCs w:val="20"/>
                <w:color w:val="auto"/>
              </w:rPr>
            </w:pPr>
            <w:r>
              <w:rPr>
                <w:rFonts w:ascii="Arial" w:cs="Arial" w:eastAsia="Arial" w:hAnsi="Arial"/>
                <w:sz w:val="14"/>
                <w:szCs w:val="14"/>
                <w:color w:val="auto"/>
              </w:rPr>
              <w:t>Adjusted Operating profit (loss)</w:t>
            </w:r>
          </w:p>
        </w:tc>
        <w:tc>
          <w:tcPr>
            <w:tcW w:w="1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107.6</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276.1</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26.7</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(69.4)</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341.0</w:t>
            </w:r>
          </w:p>
        </w:tc>
        <w:tc>
          <w:tcPr>
            <w:tcW w:w="0" w:type="dxa"/>
            <w:vAlign w:val="bottom"/>
          </w:tcPr>
          <w:p>
            <w:pPr>
              <w:spacing w:after="0"/>
              <w:rPr>
                <w:sz w:val="1"/>
                <w:szCs w:val="1"/>
                <w:color w:val="auto"/>
              </w:rPr>
            </w:pPr>
          </w:p>
        </w:tc>
      </w:tr>
      <w:tr>
        <w:trPr>
          <w:trHeight w:val="474"/>
        </w:trPr>
        <w:tc>
          <w:tcPr>
            <w:tcW w:w="4040" w:type="dxa"/>
            <w:vAlign w:val="bottom"/>
          </w:tcPr>
          <w:p>
            <w:pPr>
              <w:spacing w:after="0"/>
              <w:rPr>
                <w:sz w:val="20"/>
                <w:szCs w:val="20"/>
                <w:color w:val="auto"/>
              </w:rPr>
            </w:pPr>
            <w:r>
              <w:rPr>
                <w:rFonts w:ascii="Arial" w:cs="Arial" w:eastAsia="Arial" w:hAnsi="Arial"/>
                <w:sz w:val="14"/>
                <w:szCs w:val="14"/>
                <w:color w:val="auto"/>
              </w:rPr>
              <w:t>Adjusted Depreciation and amortization</w:t>
            </w:r>
          </w:p>
        </w:tc>
        <w:tc>
          <w:tcPr>
            <w:tcW w:w="180" w:type="dxa"/>
            <w:vAlign w:val="bottom"/>
          </w:tcPr>
          <w:p>
            <w:pPr>
              <w:spacing w:after="0"/>
              <w:rPr>
                <w:sz w:val="24"/>
                <w:szCs w:val="24"/>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78.6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20.0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109.0</w:t>
            </w:r>
          </w:p>
        </w:tc>
        <w:tc>
          <w:tcPr>
            <w:tcW w:w="0" w:type="dxa"/>
            <w:vAlign w:val="bottom"/>
          </w:tcPr>
          <w:p>
            <w:pPr>
              <w:spacing w:after="0"/>
              <w:rPr>
                <w:sz w:val="1"/>
                <w:szCs w:val="1"/>
                <w:color w:val="auto"/>
              </w:rPr>
            </w:pPr>
          </w:p>
        </w:tc>
      </w:tr>
      <w:tr>
        <w:trPr>
          <w:trHeight w:val="228"/>
        </w:trPr>
        <w:tc>
          <w:tcPr>
            <w:tcW w:w="40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40" w:type="dxa"/>
            <w:vAlign w:val="bottom"/>
          </w:tcPr>
          <w:p>
            <w:pPr>
              <w:spacing w:after="0"/>
              <w:rPr>
                <w:sz w:val="20"/>
                <w:szCs w:val="20"/>
                <w:color w:val="auto"/>
              </w:rPr>
            </w:pPr>
            <w:r>
              <w:rPr>
                <w:rFonts w:ascii="Arial" w:cs="Arial" w:eastAsia="Arial" w:hAnsi="Arial"/>
                <w:sz w:val="14"/>
                <w:szCs w:val="14"/>
                <w:color w:val="auto"/>
              </w:rPr>
              <w:t>Adjusted EBITDA</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186.2</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281.9</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46.7</w:t>
            </w:r>
          </w:p>
        </w:tc>
        <w:tc>
          <w:tcPr>
            <w:tcW w:w="1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(64.8)</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450.0</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5"/>
        </w:trPr>
        <w:tc>
          <w:tcPr>
            <w:tcW w:w="4040" w:type="dxa"/>
            <w:vAlign w:val="bottom"/>
          </w:tcPr>
          <w:p>
            <w:pPr>
              <w:spacing w:after="0"/>
              <w:rPr>
                <w:sz w:val="20"/>
                <w:szCs w:val="20"/>
                <w:color w:val="auto"/>
              </w:rPr>
            </w:pPr>
            <w:r>
              <w:rPr>
                <w:rFonts w:ascii="Arial" w:cs="Arial" w:eastAsia="Arial" w:hAnsi="Arial"/>
                <w:sz w:val="14"/>
                <w:szCs w:val="14"/>
                <w:color w:val="auto"/>
              </w:rPr>
              <w:t>Operating profit margin, as reported</w:t>
            </w: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486"/>
        </w:trPr>
        <w:tc>
          <w:tcPr>
            <w:tcW w:w="4040" w:type="dxa"/>
            <w:vAlign w:val="bottom"/>
          </w:tcPr>
          <w:p>
            <w:pPr>
              <w:spacing w:after="0"/>
              <w:rPr>
                <w:sz w:val="20"/>
                <w:szCs w:val="20"/>
                <w:color w:val="auto"/>
              </w:rPr>
            </w:pPr>
            <w:r>
              <w:rPr>
                <w:rFonts w:ascii="Arial" w:cs="Arial" w:eastAsia="Arial" w:hAnsi="Arial"/>
                <w:sz w:val="14"/>
                <w:szCs w:val="14"/>
                <w:color w:val="auto"/>
              </w:rPr>
              <w:t>Adjusted Operating profit margin</w:t>
            </w: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486"/>
        </w:trPr>
        <w:tc>
          <w:tcPr>
            <w:tcW w:w="4040" w:type="dxa"/>
            <w:vAlign w:val="bottom"/>
          </w:tcPr>
          <w:p>
            <w:pPr>
              <w:spacing w:after="0"/>
              <w:rPr>
                <w:sz w:val="20"/>
                <w:szCs w:val="20"/>
                <w:color w:val="auto"/>
              </w:rPr>
            </w:pPr>
            <w:r>
              <w:rPr>
                <w:rFonts w:ascii="Arial" w:cs="Arial" w:eastAsia="Arial" w:hAnsi="Arial"/>
                <w:sz w:val="14"/>
                <w:szCs w:val="14"/>
                <w:color w:val="auto"/>
              </w:rPr>
              <w:t>Adjusted EBITDA margin</w:t>
            </w: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2570480</wp:posOffset>
            </wp:positionH>
            <wp:positionV relativeFrom="paragraph">
              <wp:posOffset>504825</wp:posOffset>
            </wp:positionV>
            <wp:extent cx="323278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80" w:type="dxa"/>
            <w:vAlign w:val="bottom"/>
            <w:gridSpan w:val="6"/>
          </w:tcPr>
          <w:p>
            <w:pPr>
              <w:jc w:val="center"/>
              <w:ind w:left="608"/>
              <w:spacing w:after="0"/>
              <w:rPr>
                <w:sz w:val="20"/>
                <w:szCs w:val="20"/>
                <w:color w:val="auto"/>
              </w:rPr>
            </w:pPr>
            <w:r>
              <w:rPr>
                <w:rFonts w:ascii="Arial" w:cs="Arial" w:eastAsia="Arial" w:hAnsi="Arial"/>
                <w:sz w:val="14"/>
                <w:szCs w:val="14"/>
                <w:b w:val="1"/>
                <w:bCs w:val="1"/>
                <w:color w:val="auto"/>
                <w:w w:val="95"/>
              </w:rPr>
              <w:t>Three Months Ended</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40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2"/>
              </w:rPr>
              <w:t>June 30, 2018</w:t>
            </w: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w w:val="96"/>
              </w:rPr>
              <w:t>Subsea</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Onshore/</w:t>
            </w:r>
          </w:p>
        </w:tc>
        <w:tc>
          <w:tcPr>
            <w:tcW w:w="180" w:type="dxa"/>
            <w:vAlign w:val="bottom"/>
          </w:tcPr>
          <w:p>
            <w:pPr>
              <w:spacing w:after="0"/>
              <w:rPr>
                <w:sz w:val="13"/>
                <w:szCs w:val="13"/>
                <w:color w:val="auto"/>
              </w:rPr>
            </w:pPr>
          </w:p>
        </w:tc>
        <w:tc>
          <w:tcPr>
            <w:tcW w:w="9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3"/>
              </w:rPr>
              <w:t>Surface</w:t>
            </w:r>
          </w:p>
        </w:tc>
        <w:tc>
          <w:tcPr>
            <w:tcW w:w="100" w:type="dxa"/>
            <w:vAlign w:val="bottom"/>
          </w:tcPr>
          <w:p>
            <w:pPr>
              <w:spacing w:after="0"/>
              <w:rPr>
                <w:sz w:val="13"/>
                <w:szCs w:val="13"/>
                <w:color w:val="auto"/>
              </w:rPr>
            </w:pPr>
          </w:p>
        </w:tc>
        <w:tc>
          <w:tcPr>
            <w:tcW w:w="9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Corporate</w:t>
            </w:r>
          </w:p>
        </w:tc>
        <w:tc>
          <w:tcPr>
            <w:tcW w:w="200" w:type="dxa"/>
            <w:vAlign w:val="bottom"/>
          </w:tcPr>
          <w:p>
            <w:pPr>
              <w:spacing w:after="0"/>
              <w:rPr>
                <w:sz w:val="13"/>
                <w:szCs w:val="13"/>
                <w:color w:val="auto"/>
              </w:rPr>
            </w:pPr>
          </w:p>
        </w:tc>
        <w:tc>
          <w:tcPr>
            <w:tcW w:w="74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9"/>
              </w:rPr>
              <w:t>Offshore</w:t>
            </w:r>
          </w:p>
        </w:tc>
        <w:tc>
          <w:tcPr>
            <w:tcW w:w="100" w:type="dxa"/>
            <w:vAlign w:val="bottom"/>
          </w:tcPr>
          <w:p>
            <w:pPr>
              <w:spacing w:after="0"/>
              <w:rPr>
                <w:sz w:val="16"/>
                <w:szCs w:val="16"/>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Technologies</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and Other</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4040" w:type="dxa"/>
            <w:vAlign w:val="bottom"/>
          </w:tcPr>
          <w:p>
            <w:pPr>
              <w:spacing w:after="0"/>
              <w:rPr>
                <w:sz w:val="20"/>
                <w:szCs w:val="20"/>
                <w:color w:val="auto"/>
              </w:rPr>
            </w:pPr>
            <w:r>
              <w:rPr>
                <w:rFonts w:ascii="Arial" w:cs="Arial" w:eastAsia="Arial" w:hAnsi="Arial"/>
                <w:sz w:val="14"/>
                <w:szCs w:val="14"/>
                <w:color w:val="auto"/>
              </w:rPr>
              <w:t>Revenue</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1,217.4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1,342.4</w:t>
            </w:r>
          </w:p>
        </w:tc>
        <w:tc>
          <w:tcPr>
            <w:tcW w:w="10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401.1</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2,960.9</w:t>
            </w:r>
          </w:p>
        </w:tc>
        <w:tc>
          <w:tcPr>
            <w:tcW w:w="0" w:type="dxa"/>
            <w:vAlign w:val="bottom"/>
          </w:tcPr>
          <w:p>
            <w:pPr>
              <w:spacing w:after="0"/>
              <w:rPr>
                <w:sz w:val="1"/>
                <w:szCs w:val="1"/>
                <w:color w:val="auto"/>
              </w:rPr>
            </w:pPr>
          </w:p>
        </w:tc>
      </w:tr>
      <w:tr>
        <w:trPr>
          <w:trHeight w:val="486"/>
        </w:trPr>
        <w:tc>
          <w:tcPr>
            <w:tcW w:w="4040" w:type="dxa"/>
            <w:vAlign w:val="bottom"/>
          </w:tcPr>
          <w:p>
            <w:pPr>
              <w:spacing w:after="0"/>
              <w:rPr>
                <w:sz w:val="20"/>
                <w:szCs w:val="20"/>
                <w:color w:val="auto"/>
              </w:rPr>
            </w:pPr>
            <w:r>
              <w:rPr>
                <w:rFonts w:ascii="Arial" w:cs="Arial" w:eastAsia="Arial" w:hAnsi="Arial"/>
                <w:sz w:val="14"/>
                <w:szCs w:val="14"/>
                <w:color w:val="auto"/>
              </w:rPr>
              <w:t>Operating profit (loss), as reported (pre-tax)</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75.9</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171.3</w:t>
            </w:r>
          </w:p>
        </w:tc>
        <w:tc>
          <w:tcPr>
            <w:tcW w:w="10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51.5</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(73.0)</w:t>
            </w:r>
          </w:p>
        </w:tc>
        <w:tc>
          <w:tcPr>
            <w:tcW w:w="10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225.7</w:t>
            </w:r>
          </w:p>
        </w:tc>
        <w:tc>
          <w:tcPr>
            <w:tcW w:w="0" w:type="dxa"/>
            <w:vAlign w:val="bottom"/>
          </w:tcPr>
          <w:p>
            <w:pPr>
              <w:spacing w:after="0"/>
              <w:rPr>
                <w:sz w:val="1"/>
                <w:szCs w:val="1"/>
                <w:color w:val="auto"/>
              </w:rPr>
            </w:pPr>
          </w:p>
        </w:tc>
      </w:tr>
      <w:tr>
        <w:trPr>
          <w:trHeight w:val="486"/>
        </w:trPr>
        <w:tc>
          <w:tcPr>
            <w:tcW w:w="4040" w:type="dxa"/>
            <w:vAlign w:val="bottom"/>
          </w:tcPr>
          <w:p>
            <w:pPr>
              <w:spacing w:after="0"/>
              <w:rPr>
                <w:sz w:val="20"/>
                <w:szCs w:val="20"/>
                <w:color w:val="auto"/>
              </w:rPr>
            </w:pPr>
            <w:r>
              <w:rPr>
                <w:rFonts w:ascii="Arial" w:cs="Arial" w:eastAsia="Arial" w:hAnsi="Arial"/>
                <w:sz w:val="14"/>
                <w:szCs w:val="14"/>
                <w:color w:val="auto"/>
              </w:rPr>
              <w:t>Charges and (credits):</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40" w:type="dxa"/>
            <w:vAlign w:val="bottom"/>
          </w:tcPr>
          <w:p>
            <w:pPr>
              <w:ind w:left="240"/>
              <w:spacing w:after="0"/>
              <w:rPr>
                <w:sz w:val="20"/>
                <w:szCs w:val="20"/>
                <w:color w:val="auto"/>
              </w:rPr>
            </w:pPr>
            <w:r>
              <w:rPr>
                <w:rFonts w:ascii="Arial" w:cs="Arial" w:eastAsia="Arial" w:hAnsi="Arial"/>
                <w:sz w:val="14"/>
                <w:szCs w:val="14"/>
                <w:color w:val="auto"/>
              </w:rPr>
              <w:t>Impairment and other charges</w:t>
            </w:r>
          </w:p>
        </w:tc>
        <w:tc>
          <w:tcPr>
            <w:tcW w:w="180" w:type="dxa"/>
            <w:vAlign w:val="bottom"/>
          </w:tcPr>
          <w:p>
            <w:pPr>
              <w:spacing w:after="0"/>
              <w:rPr>
                <w:sz w:val="23"/>
                <w:szCs w:val="23"/>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270"/>
        </w:trPr>
        <w:tc>
          <w:tcPr>
            <w:tcW w:w="4040" w:type="dxa"/>
            <w:vAlign w:val="bottom"/>
          </w:tcPr>
          <w:p>
            <w:pPr>
              <w:ind w:left="240"/>
              <w:spacing w:after="0"/>
              <w:rPr>
                <w:sz w:val="20"/>
                <w:szCs w:val="20"/>
                <w:color w:val="auto"/>
              </w:rPr>
            </w:pPr>
            <w:r>
              <w:rPr>
                <w:rFonts w:ascii="Arial" w:cs="Arial" w:eastAsia="Arial" w:hAnsi="Arial"/>
                <w:sz w:val="14"/>
                <w:szCs w:val="14"/>
                <w:color w:val="auto"/>
              </w:rPr>
              <w:t>Restructuring and other severance charges</w:t>
            </w:r>
          </w:p>
        </w:tc>
        <w:tc>
          <w:tcPr>
            <w:tcW w:w="180" w:type="dxa"/>
            <w:vAlign w:val="bottom"/>
          </w:tcPr>
          <w:p>
            <w:pPr>
              <w:spacing w:after="0"/>
              <w:rPr>
                <w:sz w:val="23"/>
                <w:szCs w:val="23"/>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70"/>
        </w:trPr>
        <w:tc>
          <w:tcPr>
            <w:tcW w:w="4040" w:type="dxa"/>
            <w:vAlign w:val="bottom"/>
          </w:tcPr>
          <w:p>
            <w:pPr>
              <w:ind w:left="240"/>
              <w:spacing w:after="0"/>
              <w:rPr>
                <w:sz w:val="20"/>
                <w:szCs w:val="20"/>
                <w:color w:val="auto"/>
              </w:rPr>
            </w:pPr>
            <w:r>
              <w:rPr>
                <w:rFonts w:ascii="Arial" w:cs="Arial" w:eastAsia="Arial" w:hAnsi="Arial"/>
                <w:sz w:val="14"/>
                <w:szCs w:val="14"/>
                <w:color w:val="auto"/>
              </w:rPr>
              <w:t>Business combination transaction and integration costs</w:t>
            </w:r>
          </w:p>
        </w:tc>
        <w:tc>
          <w:tcPr>
            <w:tcW w:w="180" w:type="dxa"/>
            <w:vAlign w:val="bottom"/>
          </w:tcPr>
          <w:p>
            <w:pPr>
              <w:spacing w:after="0"/>
              <w:rPr>
                <w:sz w:val="23"/>
                <w:szCs w:val="23"/>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69"/>
        </w:trPr>
        <w:tc>
          <w:tcPr>
            <w:tcW w:w="4040" w:type="dxa"/>
            <w:vAlign w:val="bottom"/>
          </w:tcPr>
          <w:p>
            <w:pPr>
              <w:ind w:left="240"/>
              <w:spacing w:after="0"/>
              <w:rPr>
                <w:sz w:val="20"/>
                <w:szCs w:val="20"/>
                <w:color w:val="auto"/>
              </w:rPr>
            </w:pPr>
            <w:r>
              <w:rPr>
                <w:rFonts w:ascii="Arial" w:cs="Arial" w:eastAsia="Arial" w:hAnsi="Arial"/>
                <w:sz w:val="14"/>
                <w:szCs w:val="14"/>
                <w:color w:val="auto"/>
              </w:rPr>
              <w:t>Purchase price accounting adjustments - non-amortization</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040" w:type="dxa"/>
            <w:vAlign w:val="bottom"/>
          </w:tcPr>
          <w:p>
            <w:pPr>
              <w:ind w:left="240"/>
              <w:spacing w:after="0"/>
              <w:rPr>
                <w:sz w:val="20"/>
                <w:szCs w:val="20"/>
                <w:color w:val="auto"/>
              </w:rPr>
            </w:pPr>
            <w:r>
              <w:rPr>
                <w:rFonts w:ascii="Arial" w:cs="Arial" w:eastAsia="Arial" w:hAnsi="Arial"/>
                <w:sz w:val="14"/>
                <w:szCs w:val="14"/>
                <w:color w:val="auto"/>
              </w:rPr>
              <w:t>related</w:t>
            </w:r>
          </w:p>
        </w:tc>
        <w:tc>
          <w:tcPr>
            <w:tcW w:w="180" w:type="dxa"/>
            <w:vAlign w:val="bottom"/>
          </w:tcPr>
          <w:p>
            <w:pPr>
              <w:spacing w:after="0"/>
              <w:rPr>
                <w:sz w:val="15"/>
                <w:szCs w:val="15"/>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(8.6)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276"/>
        </w:trPr>
        <w:tc>
          <w:tcPr>
            <w:tcW w:w="4040" w:type="dxa"/>
            <w:vAlign w:val="bottom"/>
          </w:tcPr>
          <w:p>
            <w:pPr>
              <w:ind w:left="240"/>
              <w:spacing w:after="0"/>
              <w:rPr>
                <w:sz w:val="20"/>
                <w:szCs w:val="20"/>
                <w:color w:val="auto"/>
              </w:rPr>
            </w:pPr>
            <w:r>
              <w:rPr>
                <w:rFonts w:ascii="Arial" w:cs="Arial" w:eastAsia="Arial" w:hAnsi="Arial"/>
                <w:sz w:val="14"/>
                <w:szCs w:val="14"/>
                <w:color w:val="auto"/>
                <w:w w:val="99"/>
              </w:rPr>
              <w:t>Purchase price accounting adjustments - amortization related</w:t>
            </w:r>
          </w:p>
        </w:tc>
        <w:tc>
          <w:tcPr>
            <w:tcW w:w="180" w:type="dxa"/>
            <w:vAlign w:val="bottom"/>
          </w:tcPr>
          <w:p>
            <w:pPr>
              <w:spacing w:after="0"/>
              <w:rPr>
                <w:sz w:val="24"/>
                <w:szCs w:val="24"/>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22.4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22.3</w:t>
            </w:r>
          </w:p>
        </w:tc>
        <w:tc>
          <w:tcPr>
            <w:tcW w:w="0" w:type="dxa"/>
            <w:vAlign w:val="bottom"/>
          </w:tcPr>
          <w:p>
            <w:pPr>
              <w:spacing w:after="0"/>
              <w:rPr>
                <w:sz w:val="1"/>
                <w:szCs w:val="1"/>
                <w:color w:val="auto"/>
              </w:rPr>
            </w:pPr>
          </w:p>
        </w:tc>
      </w:tr>
      <w:tr>
        <w:trPr>
          <w:trHeight w:val="244"/>
        </w:trPr>
        <w:tc>
          <w:tcPr>
            <w:tcW w:w="4040" w:type="dxa"/>
            <w:vAlign w:val="bottom"/>
          </w:tcPr>
          <w:p>
            <w:pPr>
              <w:ind w:left="460"/>
              <w:spacing w:after="0"/>
              <w:rPr>
                <w:sz w:val="20"/>
                <w:szCs w:val="20"/>
                <w:color w:val="auto"/>
              </w:rPr>
            </w:pPr>
            <w:r>
              <w:rPr>
                <w:rFonts w:ascii="Arial" w:cs="Arial" w:eastAsia="Arial" w:hAnsi="Arial"/>
                <w:sz w:val="14"/>
                <w:szCs w:val="14"/>
                <w:color w:val="auto"/>
              </w:rPr>
              <w:t>Subtotal</w:t>
            </w:r>
          </w:p>
        </w:tc>
        <w:tc>
          <w:tcPr>
            <w:tcW w:w="18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24.8</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14.1</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35.1</w:t>
            </w:r>
          </w:p>
        </w:tc>
        <w:tc>
          <w:tcPr>
            <w:tcW w:w="0" w:type="dxa"/>
            <w:vAlign w:val="bottom"/>
          </w:tcPr>
          <w:p>
            <w:pPr>
              <w:spacing w:after="0"/>
              <w:rPr>
                <w:sz w:val="1"/>
                <w:szCs w:val="1"/>
                <w:color w:val="auto"/>
              </w:rPr>
            </w:pPr>
          </w:p>
        </w:tc>
      </w:tr>
      <w:tr>
        <w:trPr>
          <w:trHeight w:val="228"/>
        </w:trPr>
        <w:tc>
          <w:tcPr>
            <w:tcW w:w="40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040" w:type="dxa"/>
            <w:vAlign w:val="bottom"/>
          </w:tcPr>
          <w:p>
            <w:pPr>
              <w:spacing w:after="0"/>
              <w:rPr>
                <w:sz w:val="20"/>
                <w:szCs w:val="20"/>
                <w:color w:val="auto"/>
              </w:rPr>
            </w:pPr>
            <w:r>
              <w:rPr>
                <w:rFonts w:ascii="Arial" w:cs="Arial" w:eastAsia="Arial" w:hAnsi="Arial"/>
                <w:sz w:val="14"/>
                <w:szCs w:val="14"/>
                <w:color w:val="auto"/>
              </w:rPr>
              <w:t>Adjusted Operating profit (loss)</w:t>
            </w:r>
          </w:p>
        </w:tc>
        <w:tc>
          <w:tcPr>
            <w:tcW w:w="1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100.7</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162.2</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56.8</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(58.9)</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260.8</w:t>
            </w:r>
          </w:p>
        </w:tc>
        <w:tc>
          <w:tcPr>
            <w:tcW w:w="0" w:type="dxa"/>
            <w:vAlign w:val="bottom"/>
          </w:tcPr>
          <w:p>
            <w:pPr>
              <w:spacing w:after="0"/>
              <w:rPr>
                <w:sz w:val="1"/>
                <w:szCs w:val="1"/>
                <w:color w:val="auto"/>
              </w:rPr>
            </w:pPr>
          </w:p>
        </w:tc>
      </w:tr>
      <w:tr>
        <w:trPr>
          <w:trHeight w:val="474"/>
        </w:trPr>
        <w:tc>
          <w:tcPr>
            <w:tcW w:w="4040" w:type="dxa"/>
            <w:vAlign w:val="bottom"/>
          </w:tcPr>
          <w:p>
            <w:pPr>
              <w:spacing w:after="0"/>
              <w:rPr>
                <w:sz w:val="20"/>
                <w:szCs w:val="20"/>
                <w:color w:val="auto"/>
              </w:rPr>
            </w:pPr>
            <w:r>
              <w:rPr>
                <w:rFonts w:ascii="Arial" w:cs="Arial" w:eastAsia="Arial" w:hAnsi="Arial"/>
                <w:sz w:val="14"/>
                <w:szCs w:val="14"/>
                <w:color w:val="auto"/>
              </w:rPr>
              <w:t>Adjusted Depreciation and amortization</w:t>
            </w:r>
          </w:p>
        </w:tc>
        <w:tc>
          <w:tcPr>
            <w:tcW w:w="180" w:type="dxa"/>
            <w:vAlign w:val="bottom"/>
          </w:tcPr>
          <w:p>
            <w:pPr>
              <w:spacing w:after="0"/>
              <w:rPr>
                <w:sz w:val="24"/>
                <w:szCs w:val="24"/>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90.5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15.8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116.4</w:t>
            </w:r>
          </w:p>
        </w:tc>
        <w:tc>
          <w:tcPr>
            <w:tcW w:w="0" w:type="dxa"/>
            <w:vAlign w:val="bottom"/>
          </w:tcPr>
          <w:p>
            <w:pPr>
              <w:spacing w:after="0"/>
              <w:rPr>
                <w:sz w:val="1"/>
                <w:szCs w:val="1"/>
                <w:color w:val="auto"/>
              </w:rPr>
            </w:pPr>
          </w:p>
        </w:tc>
      </w:tr>
      <w:tr>
        <w:trPr>
          <w:trHeight w:val="228"/>
        </w:trPr>
        <w:tc>
          <w:tcPr>
            <w:tcW w:w="40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40" w:type="dxa"/>
            <w:vAlign w:val="bottom"/>
          </w:tcPr>
          <w:p>
            <w:pPr>
              <w:spacing w:after="0"/>
              <w:rPr>
                <w:sz w:val="20"/>
                <w:szCs w:val="20"/>
                <w:color w:val="auto"/>
              </w:rPr>
            </w:pPr>
            <w:r>
              <w:rPr>
                <w:rFonts w:ascii="Arial" w:cs="Arial" w:eastAsia="Arial" w:hAnsi="Arial"/>
                <w:sz w:val="14"/>
                <w:szCs w:val="14"/>
                <w:color w:val="auto"/>
              </w:rPr>
              <w:t>Adjusted EBITDA</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191.2</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170.9</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72.6</w:t>
            </w:r>
          </w:p>
        </w:tc>
        <w:tc>
          <w:tcPr>
            <w:tcW w:w="1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(57.5)</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377.2</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5"/>
        </w:trPr>
        <w:tc>
          <w:tcPr>
            <w:tcW w:w="4040" w:type="dxa"/>
            <w:vAlign w:val="bottom"/>
          </w:tcPr>
          <w:p>
            <w:pPr>
              <w:spacing w:after="0"/>
              <w:rPr>
                <w:sz w:val="20"/>
                <w:szCs w:val="20"/>
                <w:color w:val="auto"/>
              </w:rPr>
            </w:pPr>
            <w:r>
              <w:rPr>
                <w:rFonts w:ascii="Arial" w:cs="Arial" w:eastAsia="Arial" w:hAnsi="Arial"/>
                <w:sz w:val="14"/>
                <w:szCs w:val="14"/>
                <w:color w:val="auto"/>
              </w:rPr>
              <w:t>Operating profit margin, as reported</w:t>
            </w: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486"/>
        </w:trPr>
        <w:tc>
          <w:tcPr>
            <w:tcW w:w="4040" w:type="dxa"/>
            <w:vAlign w:val="bottom"/>
          </w:tcPr>
          <w:p>
            <w:pPr>
              <w:spacing w:after="0"/>
              <w:rPr>
                <w:sz w:val="20"/>
                <w:szCs w:val="20"/>
                <w:color w:val="auto"/>
              </w:rPr>
            </w:pPr>
            <w:r>
              <w:rPr>
                <w:rFonts w:ascii="Arial" w:cs="Arial" w:eastAsia="Arial" w:hAnsi="Arial"/>
                <w:sz w:val="14"/>
                <w:szCs w:val="14"/>
                <w:color w:val="auto"/>
              </w:rPr>
              <w:t>Adjusted Operating profit margin</w:t>
            </w: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60"/>
          </w:cols>
          <w:pgMar w:left="1400" w:top="526" w:right="239" w:bottom="137" w:gutter="0" w:footer="0" w:header="0"/>
        </w:sectPr>
      </w:pPr>
    </w:p>
    <w:p>
      <w:pPr>
        <w:spacing w:after="0" w:line="104" w:lineRule="exact"/>
        <w:rPr>
          <w:sz w:val="20"/>
          <w:szCs w:val="20"/>
          <w:color w:val="auto"/>
        </w:rPr>
      </w:pPr>
    </w:p>
    <w:p>
      <w:pPr>
        <w:spacing w:after="0"/>
        <w:tabs>
          <w:tab w:leader="none" w:pos="4560" w:val="left"/>
          <w:tab w:leader="none" w:pos="5600" w:val="left"/>
          <w:tab w:leader="none" w:pos="6660" w:val="left"/>
          <w:tab w:leader="none" w:pos="8720" w:val="left"/>
        </w:tabs>
        <w:rPr>
          <w:sz w:val="20"/>
          <w:szCs w:val="20"/>
          <w:color w:val="auto"/>
        </w:rPr>
      </w:pPr>
      <w:r>
        <w:rPr>
          <w:rFonts w:ascii="Arial" w:cs="Arial" w:eastAsia="Arial" w:hAnsi="Arial"/>
          <w:sz w:val="14"/>
          <w:szCs w:val="14"/>
          <w:color w:val="auto"/>
        </w:rPr>
        <w:t>Adjusted EBITDA margin</w:t>
      </w:r>
      <w:r>
        <w:rPr>
          <w:sz w:val="20"/>
          <w:szCs w:val="20"/>
          <w:color w:val="auto"/>
        </w:rPr>
        <w:tab/>
      </w:r>
      <w:r>
        <w:rPr>
          <w:rFonts w:ascii="Arial" w:cs="Arial" w:eastAsia="Arial" w:hAnsi="Arial"/>
          <w:sz w:val="14"/>
          <w:szCs w:val="14"/>
          <w:color w:val="auto"/>
        </w:rPr>
        <w:t>15.7%</w:t>
      </w:r>
      <w:r>
        <w:rPr>
          <w:sz w:val="20"/>
          <w:szCs w:val="20"/>
          <w:color w:val="auto"/>
        </w:rPr>
        <w:tab/>
      </w:r>
      <w:r>
        <w:rPr>
          <w:rFonts w:ascii="Arial" w:cs="Arial" w:eastAsia="Arial" w:hAnsi="Arial"/>
          <w:sz w:val="14"/>
          <w:szCs w:val="14"/>
          <w:color w:val="auto"/>
        </w:rPr>
        <w:t>12.7%</w:t>
      </w:r>
      <w:r>
        <w:rPr>
          <w:sz w:val="20"/>
          <w:szCs w:val="20"/>
          <w:color w:val="auto"/>
        </w:rPr>
        <w:tab/>
      </w:r>
      <w:r>
        <w:rPr>
          <w:rFonts w:ascii="Arial" w:cs="Arial" w:eastAsia="Arial" w:hAnsi="Arial"/>
          <w:sz w:val="14"/>
          <w:szCs w:val="14"/>
          <w:color w:val="auto"/>
        </w:rPr>
        <w:t>18.1%</w:t>
      </w:r>
      <w:r>
        <w:rPr>
          <w:sz w:val="20"/>
          <w:szCs w:val="20"/>
          <w:color w:val="auto"/>
        </w:rPr>
        <w:tab/>
      </w:r>
      <w:r>
        <w:rPr>
          <w:rFonts w:ascii="Arial" w:cs="Arial" w:eastAsia="Arial" w:hAnsi="Arial"/>
          <w:sz w:val="12"/>
          <w:szCs w:val="12"/>
          <w:color w:val="auto"/>
        </w:rPr>
        <w:t>12.7%</w:t>
      </w:r>
    </w:p>
    <w:p>
      <w:pPr>
        <w:sectPr>
          <w:pgSz w:w="11900" w:h="16838" w:orient="portrait"/>
          <w:cols w:equalWidth="0" w:num="1">
            <w:col w:w="10260"/>
          </w:cols>
          <w:pgMar w:left="1400" w:top="526" w:right="239" w:bottom="137" w:gutter="0" w:footer="0" w:header="0"/>
          <w:type w:val="continuous"/>
        </w:sectPr>
      </w:pPr>
    </w:p>
    <w:bookmarkStart w:id="27" w:name="page28"/>
    <w:bookmarkEnd w:id="27"/>
    <w:p>
      <w:pPr>
        <w:ind w:left="3980"/>
        <w:spacing w:after="0"/>
        <w:tabs>
          <w:tab w:leader="none" w:pos="922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23 of </w:t>
      </w:r>
      <w:hyperlink w:anchor="page30">
        <w:r>
          <w:rPr>
            <w:rFonts w:ascii="Arial" w:cs="Arial" w:eastAsia="Arial" w:hAnsi="Arial"/>
            <w:sz w:val="14"/>
            <w:szCs w:val="14"/>
            <w:b w:val="1"/>
            <w:bCs w:val="1"/>
            <w:color w:val="auto"/>
          </w:rPr>
          <w:t>25</w:t>
        </w:r>
      </w:hyperlink>
    </w:p>
    <w:p>
      <w:pPr>
        <w:sectPr>
          <w:pgSz w:w="11900" w:h="16838" w:orient="portrait"/>
          <w:cols w:equalWidth="0" w:num="1">
            <w:col w:w="10160"/>
          </w:cols>
          <w:pgMar w:left="1440" w:top="126" w:right="299" w:bottom="1440" w:gutter="0" w:footer="0" w:header="0"/>
        </w:sectPr>
      </w:pPr>
    </w:p>
    <w:bookmarkStart w:id="28" w:name="page29"/>
    <w:bookmarkEnd w:id="28"/>
    <w:p>
      <w:pPr>
        <w:jc w:val="right"/>
        <w:spacing w:after="0"/>
        <w:rPr>
          <w:sz w:val="20"/>
          <w:szCs w:val="20"/>
          <w:color w:val="auto"/>
        </w:rPr>
      </w:pPr>
      <w:r>
        <w:rPr>
          <w:rFonts w:ascii="Arial" w:cs="Arial" w:eastAsia="Arial" w:hAnsi="Arial"/>
          <w:sz w:val="13"/>
          <w:szCs w:val="13"/>
          <w:b w:val="1"/>
          <w:bCs w:val="1"/>
          <w:color w:val="auto"/>
        </w:rPr>
        <w:t>Exhibit 10</w:t>
      </w:r>
    </w:p>
    <w:p>
      <w:pPr>
        <w:spacing w:after="0" w:line="161" w:lineRule="exact"/>
        <w:rPr>
          <w:sz w:val="20"/>
          <w:szCs w:val="20"/>
          <w:color w:val="auto"/>
        </w:rPr>
      </w:pPr>
    </w:p>
    <w:p>
      <w:pPr>
        <w:jc w:val="center"/>
        <w:ind w:right="1160"/>
        <w:spacing w:after="0" w:line="266" w:lineRule="auto"/>
        <w:rPr>
          <w:sz w:val="20"/>
          <w:szCs w:val="20"/>
          <w:color w:val="auto"/>
        </w:rPr>
      </w:pPr>
      <w:r>
        <w:rPr>
          <w:rFonts w:ascii="Arial" w:cs="Arial" w:eastAsia="Arial" w:hAnsi="Arial"/>
          <w:sz w:val="18"/>
          <w:szCs w:val="18"/>
          <w:b w:val="1"/>
          <w:bCs w:val="1"/>
          <w:u w:val="single" w:color="auto"/>
          <w:color w:val="auto"/>
        </w:rPr>
        <w:t xml:space="preserve">TECHNIPFMC PLC AND CONSOLIDATED SUBSIDIARIES RECONCILIATION OF GAAP TO NON-GAAP FINANCIAL MEASURES </w:t>
      </w:r>
      <w:r>
        <w:rPr>
          <w:rFonts w:ascii="Arial" w:cs="Arial" w:eastAsia="Arial" w:hAnsi="Arial"/>
          <w:sz w:val="18"/>
          <w:szCs w:val="18"/>
          <w:b w:val="1"/>
          <w:bCs w:val="1"/>
          <w:color w:val="auto"/>
        </w:rPr>
        <w:t>(In millions,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2570480</wp:posOffset>
            </wp:positionH>
            <wp:positionV relativeFrom="paragraph">
              <wp:posOffset>71755</wp:posOffset>
            </wp:positionV>
            <wp:extent cx="323278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2"/>
              </w:rPr>
              <w:t>Six Months Ended</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4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June 30, 2019</w:t>
            </w: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3"/>
        </w:trPr>
        <w:tc>
          <w:tcPr>
            <w:tcW w:w="404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gridSpan w:val="2"/>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6"/>
        </w:trPr>
        <w:tc>
          <w:tcPr>
            <w:tcW w:w="4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w w:val="96"/>
              </w:rPr>
              <w:t>Subsea</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ind w:right="128"/>
              <w:spacing w:after="0" w:line="147" w:lineRule="exact"/>
              <w:rPr>
                <w:sz w:val="20"/>
                <w:szCs w:val="20"/>
                <w:color w:val="auto"/>
              </w:rPr>
            </w:pPr>
            <w:r>
              <w:rPr>
                <w:rFonts w:ascii="Arial" w:cs="Arial" w:eastAsia="Arial" w:hAnsi="Arial"/>
                <w:sz w:val="14"/>
                <w:szCs w:val="14"/>
                <w:b w:val="1"/>
                <w:bCs w:val="1"/>
                <w:color w:val="auto"/>
                <w:w w:val="94"/>
              </w:rPr>
              <w:t>Onshore/</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93"/>
              </w:rPr>
              <w:t>Surface</w:t>
            </w:r>
          </w:p>
        </w:tc>
        <w:tc>
          <w:tcPr>
            <w:tcW w:w="100" w:type="dxa"/>
            <w:vAlign w:val="bottom"/>
          </w:tcPr>
          <w:p>
            <w:pPr>
              <w:spacing w:after="0"/>
              <w:rPr>
                <w:sz w:val="12"/>
                <w:szCs w:val="12"/>
                <w:color w:val="auto"/>
              </w:rPr>
            </w:pPr>
          </w:p>
        </w:tc>
        <w:tc>
          <w:tcPr>
            <w:tcW w:w="90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Corporate</w:t>
            </w:r>
          </w:p>
        </w:tc>
        <w:tc>
          <w:tcPr>
            <w:tcW w:w="200" w:type="dxa"/>
            <w:vAlign w:val="bottom"/>
          </w:tcPr>
          <w:p>
            <w:pPr>
              <w:spacing w:after="0"/>
              <w:rPr>
                <w:sz w:val="12"/>
                <w:szCs w:val="12"/>
                <w:color w:val="auto"/>
              </w:rPr>
            </w:pPr>
          </w:p>
        </w:tc>
        <w:tc>
          <w:tcPr>
            <w:tcW w:w="74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9"/>
              </w:rPr>
              <w:t>Offshore</w:t>
            </w:r>
          </w:p>
        </w:tc>
        <w:tc>
          <w:tcPr>
            <w:tcW w:w="100" w:type="dxa"/>
            <w:vAlign w:val="bottom"/>
          </w:tcPr>
          <w:p>
            <w:pPr>
              <w:spacing w:after="0"/>
              <w:rPr>
                <w:sz w:val="16"/>
                <w:szCs w:val="16"/>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Technologies</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and Other</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4040" w:type="dxa"/>
            <w:vAlign w:val="bottom"/>
          </w:tcPr>
          <w:p>
            <w:pPr>
              <w:spacing w:after="0"/>
              <w:rPr>
                <w:sz w:val="20"/>
                <w:szCs w:val="20"/>
                <w:color w:val="auto"/>
              </w:rPr>
            </w:pPr>
            <w:r>
              <w:rPr>
                <w:rFonts w:ascii="Arial" w:cs="Arial" w:eastAsia="Arial" w:hAnsi="Arial"/>
                <w:sz w:val="14"/>
                <w:szCs w:val="14"/>
                <w:color w:val="auto"/>
              </w:rPr>
              <w:t>Revenue</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2,694.0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2,840.1</w:t>
            </w:r>
          </w:p>
        </w:tc>
        <w:tc>
          <w:tcPr>
            <w:tcW w:w="28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813.1</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6,347.2</w:t>
            </w:r>
          </w:p>
        </w:tc>
        <w:tc>
          <w:tcPr>
            <w:tcW w:w="0" w:type="dxa"/>
            <w:vAlign w:val="bottom"/>
          </w:tcPr>
          <w:p>
            <w:pPr>
              <w:spacing w:after="0"/>
              <w:rPr>
                <w:sz w:val="1"/>
                <w:szCs w:val="1"/>
                <w:color w:val="auto"/>
              </w:rPr>
            </w:pPr>
          </w:p>
        </w:tc>
      </w:tr>
      <w:tr>
        <w:trPr>
          <w:trHeight w:val="459"/>
        </w:trPr>
        <w:tc>
          <w:tcPr>
            <w:tcW w:w="4040" w:type="dxa"/>
            <w:vAlign w:val="bottom"/>
          </w:tcPr>
          <w:p>
            <w:pPr>
              <w:spacing w:after="0"/>
              <w:rPr>
                <w:sz w:val="20"/>
                <w:szCs w:val="20"/>
                <w:color w:val="auto"/>
              </w:rPr>
            </w:pPr>
            <w:r>
              <w:rPr>
                <w:rFonts w:ascii="Arial" w:cs="Arial" w:eastAsia="Arial" w:hAnsi="Arial"/>
                <w:sz w:val="14"/>
                <w:szCs w:val="14"/>
                <w:color w:val="auto"/>
              </w:rPr>
              <w:t>Operating profit (loss), as reported (pre-tax)</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144.5</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429.7</w:t>
            </w:r>
          </w:p>
        </w:tc>
        <w:tc>
          <w:tcPr>
            <w:tcW w:w="28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36.0</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(232.5)</w:t>
            </w:r>
          </w:p>
        </w:tc>
        <w:tc>
          <w:tcPr>
            <w:tcW w:w="10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377.7</w:t>
            </w:r>
          </w:p>
        </w:tc>
        <w:tc>
          <w:tcPr>
            <w:tcW w:w="0" w:type="dxa"/>
            <w:vAlign w:val="bottom"/>
          </w:tcPr>
          <w:p>
            <w:pPr>
              <w:spacing w:after="0"/>
              <w:rPr>
                <w:sz w:val="1"/>
                <w:szCs w:val="1"/>
                <w:color w:val="auto"/>
              </w:rPr>
            </w:pPr>
          </w:p>
        </w:tc>
      </w:tr>
      <w:tr>
        <w:trPr>
          <w:trHeight w:val="459"/>
        </w:trPr>
        <w:tc>
          <w:tcPr>
            <w:tcW w:w="4040" w:type="dxa"/>
            <w:vAlign w:val="bottom"/>
          </w:tcPr>
          <w:p>
            <w:pPr>
              <w:spacing w:after="0"/>
              <w:rPr>
                <w:sz w:val="20"/>
                <w:szCs w:val="20"/>
                <w:color w:val="auto"/>
              </w:rPr>
            </w:pPr>
            <w:r>
              <w:rPr>
                <w:rFonts w:ascii="Arial" w:cs="Arial" w:eastAsia="Arial" w:hAnsi="Arial"/>
                <w:sz w:val="14"/>
                <w:szCs w:val="14"/>
                <w:color w:val="auto"/>
              </w:rPr>
              <w:t>Charges and (credits):</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40" w:type="dxa"/>
            <w:vAlign w:val="bottom"/>
          </w:tcPr>
          <w:p>
            <w:pPr>
              <w:ind w:left="240"/>
              <w:spacing w:after="0"/>
              <w:rPr>
                <w:sz w:val="20"/>
                <w:szCs w:val="20"/>
                <w:color w:val="auto"/>
              </w:rPr>
            </w:pPr>
            <w:r>
              <w:rPr>
                <w:rFonts w:ascii="Arial" w:cs="Arial" w:eastAsia="Arial" w:hAnsi="Arial"/>
                <w:sz w:val="14"/>
                <w:szCs w:val="14"/>
                <w:color w:val="auto"/>
              </w:rPr>
              <w:t>Impairment and other charges</w:t>
            </w:r>
          </w:p>
        </w:tc>
        <w:tc>
          <w:tcPr>
            <w:tcW w:w="180" w:type="dxa"/>
            <w:vAlign w:val="bottom"/>
          </w:tcPr>
          <w:p>
            <w:pPr>
              <w:spacing w:after="0"/>
              <w:rPr>
                <w:sz w:val="23"/>
                <w:szCs w:val="23"/>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70"/>
        </w:trPr>
        <w:tc>
          <w:tcPr>
            <w:tcW w:w="4040" w:type="dxa"/>
            <w:vAlign w:val="bottom"/>
          </w:tcPr>
          <w:p>
            <w:pPr>
              <w:ind w:left="240"/>
              <w:spacing w:after="0"/>
              <w:rPr>
                <w:sz w:val="20"/>
                <w:szCs w:val="20"/>
                <w:color w:val="auto"/>
              </w:rPr>
            </w:pPr>
            <w:r>
              <w:rPr>
                <w:rFonts w:ascii="Arial" w:cs="Arial" w:eastAsia="Arial" w:hAnsi="Arial"/>
                <w:sz w:val="14"/>
                <w:szCs w:val="14"/>
                <w:color w:val="auto"/>
              </w:rPr>
              <w:t>Restructuring and other severance charges</w:t>
            </w:r>
          </w:p>
        </w:tc>
        <w:tc>
          <w:tcPr>
            <w:tcW w:w="180" w:type="dxa"/>
            <w:vAlign w:val="bottom"/>
          </w:tcPr>
          <w:p>
            <w:pPr>
              <w:spacing w:after="0"/>
              <w:rPr>
                <w:sz w:val="23"/>
                <w:szCs w:val="23"/>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24.5</w:t>
            </w:r>
          </w:p>
        </w:tc>
        <w:tc>
          <w:tcPr>
            <w:tcW w:w="0" w:type="dxa"/>
            <w:vAlign w:val="bottom"/>
          </w:tcPr>
          <w:p>
            <w:pPr>
              <w:spacing w:after="0"/>
              <w:rPr>
                <w:sz w:val="1"/>
                <w:szCs w:val="1"/>
                <w:color w:val="auto"/>
              </w:rPr>
            </w:pPr>
          </w:p>
        </w:tc>
      </w:tr>
      <w:tr>
        <w:trPr>
          <w:trHeight w:val="270"/>
        </w:trPr>
        <w:tc>
          <w:tcPr>
            <w:tcW w:w="4040" w:type="dxa"/>
            <w:vAlign w:val="bottom"/>
          </w:tcPr>
          <w:p>
            <w:pPr>
              <w:ind w:left="240"/>
              <w:spacing w:after="0"/>
              <w:rPr>
                <w:sz w:val="20"/>
                <w:szCs w:val="20"/>
                <w:color w:val="auto"/>
              </w:rPr>
            </w:pPr>
            <w:r>
              <w:rPr>
                <w:rFonts w:ascii="Arial" w:cs="Arial" w:eastAsia="Arial" w:hAnsi="Arial"/>
                <w:sz w:val="14"/>
                <w:szCs w:val="14"/>
                <w:color w:val="auto"/>
              </w:rPr>
              <w:t>Business combination transaction and integration costs</w:t>
            </w:r>
          </w:p>
        </w:tc>
        <w:tc>
          <w:tcPr>
            <w:tcW w:w="180" w:type="dxa"/>
            <w:vAlign w:val="bottom"/>
          </w:tcPr>
          <w:p>
            <w:pPr>
              <w:spacing w:after="0"/>
              <w:rPr>
                <w:sz w:val="23"/>
                <w:szCs w:val="23"/>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25.0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270"/>
        </w:trPr>
        <w:tc>
          <w:tcPr>
            <w:tcW w:w="4040" w:type="dxa"/>
            <w:vAlign w:val="bottom"/>
          </w:tcPr>
          <w:p>
            <w:pPr>
              <w:ind w:left="240"/>
              <w:spacing w:after="0"/>
              <w:rPr>
                <w:sz w:val="20"/>
                <w:szCs w:val="20"/>
                <w:color w:val="auto"/>
              </w:rPr>
            </w:pPr>
            <w:r>
              <w:rPr>
                <w:rFonts w:ascii="Arial" w:cs="Arial" w:eastAsia="Arial" w:hAnsi="Arial"/>
                <w:sz w:val="14"/>
                <w:szCs w:val="14"/>
                <w:color w:val="auto"/>
              </w:rPr>
              <w:t>Reorganization</w:t>
            </w:r>
          </w:p>
        </w:tc>
        <w:tc>
          <w:tcPr>
            <w:tcW w:w="180" w:type="dxa"/>
            <w:vAlign w:val="bottom"/>
          </w:tcPr>
          <w:p>
            <w:pPr>
              <w:spacing w:after="0"/>
              <w:rPr>
                <w:sz w:val="23"/>
                <w:szCs w:val="23"/>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25.3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25.3</w:t>
            </w:r>
          </w:p>
        </w:tc>
        <w:tc>
          <w:tcPr>
            <w:tcW w:w="0" w:type="dxa"/>
            <w:vAlign w:val="bottom"/>
          </w:tcPr>
          <w:p>
            <w:pPr>
              <w:spacing w:after="0"/>
              <w:rPr>
                <w:sz w:val="1"/>
                <w:szCs w:val="1"/>
                <w:color w:val="auto"/>
              </w:rPr>
            </w:pPr>
          </w:p>
        </w:tc>
      </w:tr>
      <w:tr>
        <w:trPr>
          <w:trHeight w:val="270"/>
        </w:trPr>
        <w:tc>
          <w:tcPr>
            <w:tcW w:w="4040" w:type="dxa"/>
            <w:vAlign w:val="bottom"/>
          </w:tcPr>
          <w:p>
            <w:pPr>
              <w:ind w:left="240"/>
              <w:spacing w:after="0"/>
              <w:rPr>
                <w:sz w:val="20"/>
                <w:szCs w:val="20"/>
                <w:color w:val="auto"/>
              </w:rPr>
            </w:pPr>
            <w:r>
              <w:rPr>
                <w:rFonts w:ascii="Arial" w:cs="Arial" w:eastAsia="Arial" w:hAnsi="Arial"/>
                <w:sz w:val="14"/>
                <w:szCs w:val="14"/>
                <w:color w:val="auto"/>
              </w:rPr>
              <w:t>Legal provision, net</w:t>
            </w:r>
          </w:p>
        </w:tc>
        <w:tc>
          <w:tcPr>
            <w:tcW w:w="180" w:type="dxa"/>
            <w:vAlign w:val="bottom"/>
          </w:tcPr>
          <w:p>
            <w:pPr>
              <w:spacing w:after="0"/>
              <w:rPr>
                <w:sz w:val="23"/>
                <w:szCs w:val="23"/>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55.2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55.2</w:t>
            </w:r>
          </w:p>
        </w:tc>
        <w:tc>
          <w:tcPr>
            <w:tcW w:w="0" w:type="dxa"/>
            <w:vAlign w:val="bottom"/>
          </w:tcPr>
          <w:p>
            <w:pPr>
              <w:spacing w:after="0"/>
              <w:rPr>
                <w:sz w:val="1"/>
                <w:szCs w:val="1"/>
                <w:color w:val="auto"/>
              </w:rPr>
            </w:pPr>
          </w:p>
        </w:tc>
      </w:tr>
      <w:tr>
        <w:trPr>
          <w:trHeight w:val="276"/>
        </w:trPr>
        <w:tc>
          <w:tcPr>
            <w:tcW w:w="4040" w:type="dxa"/>
            <w:vAlign w:val="bottom"/>
          </w:tcPr>
          <w:p>
            <w:pPr>
              <w:ind w:left="240"/>
              <w:spacing w:after="0"/>
              <w:rPr>
                <w:sz w:val="20"/>
                <w:szCs w:val="20"/>
                <w:color w:val="auto"/>
              </w:rPr>
            </w:pPr>
            <w:r>
              <w:rPr>
                <w:rFonts w:ascii="Arial" w:cs="Arial" w:eastAsia="Arial" w:hAnsi="Arial"/>
                <w:sz w:val="14"/>
                <w:szCs w:val="14"/>
                <w:color w:val="auto"/>
                <w:w w:val="99"/>
              </w:rPr>
              <w:t>Purchase price accounting adjustments - amortization related</w:t>
            </w:r>
          </w:p>
        </w:tc>
        <w:tc>
          <w:tcPr>
            <w:tcW w:w="180" w:type="dxa"/>
            <w:vAlign w:val="bottom"/>
          </w:tcPr>
          <w:p>
            <w:pPr>
              <w:spacing w:after="0"/>
              <w:rPr>
                <w:sz w:val="24"/>
                <w:szCs w:val="24"/>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17.0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244"/>
        </w:trPr>
        <w:tc>
          <w:tcPr>
            <w:tcW w:w="4040" w:type="dxa"/>
            <w:vAlign w:val="bottom"/>
          </w:tcPr>
          <w:p>
            <w:pPr>
              <w:ind w:left="460"/>
              <w:spacing w:after="0"/>
              <w:rPr>
                <w:sz w:val="20"/>
                <w:szCs w:val="20"/>
                <w:color w:val="auto"/>
              </w:rPr>
            </w:pPr>
            <w:r>
              <w:rPr>
                <w:rFonts w:ascii="Arial" w:cs="Arial" w:eastAsia="Arial" w:hAnsi="Arial"/>
                <w:sz w:val="14"/>
                <w:szCs w:val="14"/>
                <w:color w:val="auto"/>
              </w:rPr>
              <w:t>Subtotal</w:t>
            </w:r>
          </w:p>
        </w:tc>
        <w:tc>
          <w:tcPr>
            <w:tcW w:w="18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23.8</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31.2</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90.5</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148.2</w:t>
            </w:r>
          </w:p>
        </w:tc>
        <w:tc>
          <w:tcPr>
            <w:tcW w:w="0" w:type="dxa"/>
            <w:vAlign w:val="bottom"/>
          </w:tcPr>
          <w:p>
            <w:pPr>
              <w:spacing w:after="0"/>
              <w:rPr>
                <w:sz w:val="1"/>
                <w:szCs w:val="1"/>
                <w:color w:val="auto"/>
              </w:rPr>
            </w:pPr>
          </w:p>
        </w:tc>
      </w:tr>
      <w:tr>
        <w:trPr>
          <w:trHeight w:val="201"/>
        </w:trPr>
        <w:tc>
          <w:tcPr>
            <w:tcW w:w="40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4040" w:type="dxa"/>
            <w:vAlign w:val="bottom"/>
          </w:tcPr>
          <w:p>
            <w:pPr>
              <w:spacing w:after="0"/>
              <w:rPr>
                <w:sz w:val="20"/>
                <w:szCs w:val="20"/>
                <w:color w:val="auto"/>
              </w:rPr>
            </w:pPr>
            <w:r>
              <w:rPr>
                <w:rFonts w:ascii="Arial" w:cs="Arial" w:eastAsia="Arial" w:hAnsi="Arial"/>
                <w:sz w:val="14"/>
                <w:szCs w:val="14"/>
                <w:color w:val="auto"/>
              </w:rPr>
              <w:t>Adjusted Operating profit (loss)</w:t>
            </w:r>
          </w:p>
        </w:tc>
        <w:tc>
          <w:tcPr>
            <w:tcW w:w="1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168.3</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460.9</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38.7</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(142.0)</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525.9</w:t>
            </w:r>
          </w:p>
        </w:tc>
        <w:tc>
          <w:tcPr>
            <w:tcW w:w="0" w:type="dxa"/>
            <w:vAlign w:val="bottom"/>
          </w:tcPr>
          <w:p>
            <w:pPr>
              <w:spacing w:after="0"/>
              <w:rPr>
                <w:sz w:val="1"/>
                <w:szCs w:val="1"/>
                <w:color w:val="auto"/>
              </w:rPr>
            </w:pPr>
          </w:p>
        </w:tc>
      </w:tr>
      <w:tr>
        <w:trPr>
          <w:trHeight w:val="447"/>
        </w:trPr>
        <w:tc>
          <w:tcPr>
            <w:tcW w:w="4040" w:type="dxa"/>
            <w:vAlign w:val="bottom"/>
          </w:tcPr>
          <w:p>
            <w:pPr>
              <w:spacing w:after="0"/>
              <w:rPr>
                <w:sz w:val="20"/>
                <w:szCs w:val="20"/>
                <w:color w:val="auto"/>
              </w:rPr>
            </w:pPr>
            <w:r>
              <w:rPr>
                <w:rFonts w:ascii="Arial" w:cs="Arial" w:eastAsia="Arial" w:hAnsi="Arial"/>
                <w:sz w:val="14"/>
                <w:szCs w:val="14"/>
                <w:color w:val="auto"/>
              </w:rPr>
              <w:t>Adjusted Depreciation and amortization</w:t>
            </w:r>
          </w:p>
        </w:tc>
        <w:tc>
          <w:tcPr>
            <w:tcW w:w="180" w:type="dxa"/>
            <w:vAlign w:val="bottom"/>
          </w:tcPr>
          <w:p>
            <w:pPr>
              <w:spacing w:after="0"/>
              <w:rPr>
                <w:sz w:val="24"/>
                <w:szCs w:val="24"/>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157.6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15.8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38.1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219.9</w:t>
            </w:r>
          </w:p>
        </w:tc>
        <w:tc>
          <w:tcPr>
            <w:tcW w:w="0" w:type="dxa"/>
            <w:vAlign w:val="bottom"/>
          </w:tcPr>
          <w:p>
            <w:pPr>
              <w:spacing w:after="0"/>
              <w:rPr>
                <w:sz w:val="1"/>
                <w:szCs w:val="1"/>
                <w:color w:val="auto"/>
              </w:rPr>
            </w:pPr>
          </w:p>
        </w:tc>
      </w:tr>
      <w:tr>
        <w:trPr>
          <w:trHeight w:val="201"/>
        </w:trPr>
        <w:tc>
          <w:tcPr>
            <w:tcW w:w="40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040" w:type="dxa"/>
            <w:vAlign w:val="bottom"/>
          </w:tcPr>
          <w:p>
            <w:pPr>
              <w:spacing w:after="0"/>
              <w:rPr>
                <w:sz w:val="20"/>
                <w:szCs w:val="20"/>
                <w:color w:val="auto"/>
              </w:rPr>
            </w:pPr>
            <w:r>
              <w:rPr>
                <w:rFonts w:ascii="Arial" w:cs="Arial" w:eastAsia="Arial" w:hAnsi="Arial"/>
                <w:sz w:val="14"/>
                <w:szCs w:val="14"/>
                <w:color w:val="auto"/>
              </w:rPr>
              <w:t>Adjusted EBITDA</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325.9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476.7</w:t>
            </w:r>
          </w:p>
        </w:tc>
        <w:tc>
          <w:tcPr>
            <w:tcW w:w="28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76.8</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(133.6)</w:t>
            </w:r>
          </w:p>
        </w:tc>
        <w:tc>
          <w:tcPr>
            <w:tcW w:w="100" w:type="dxa"/>
            <w:vAlign w:val="bottom"/>
          </w:tcPr>
          <w:p>
            <w:pPr>
              <w:spacing w:after="0"/>
              <w:rPr>
                <w:sz w:val="20"/>
                <w:szCs w:val="20"/>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745.8</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8"/>
        </w:trPr>
        <w:tc>
          <w:tcPr>
            <w:tcW w:w="4040" w:type="dxa"/>
            <w:vAlign w:val="bottom"/>
          </w:tcPr>
          <w:p>
            <w:pPr>
              <w:spacing w:after="0"/>
              <w:rPr>
                <w:sz w:val="20"/>
                <w:szCs w:val="20"/>
                <w:color w:val="auto"/>
              </w:rPr>
            </w:pPr>
            <w:r>
              <w:rPr>
                <w:rFonts w:ascii="Arial" w:cs="Arial" w:eastAsia="Arial" w:hAnsi="Arial"/>
                <w:sz w:val="14"/>
                <w:szCs w:val="14"/>
                <w:color w:val="auto"/>
              </w:rPr>
              <w:t>Operating profit margin, as reported</w:t>
            </w: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459"/>
        </w:trPr>
        <w:tc>
          <w:tcPr>
            <w:tcW w:w="4040" w:type="dxa"/>
            <w:vAlign w:val="bottom"/>
          </w:tcPr>
          <w:p>
            <w:pPr>
              <w:spacing w:after="0"/>
              <w:rPr>
                <w:sz w:val="20"/>
                <w:szCs w:val="20"/>
                <w:color w:val="auto"/>
              </w:rPr>
            </w:pPr>
            <w:r>
              <w:rPr>
                <w:rFonts w:ascii="Arial" w:cs="Arial" w:eastAsia="Arial" w:hAnsi="Arial"/>
                <w:sz w:val="14"/>
                <w:szCs w:val="14"/>
                <w:color w:val="auto"/>
              </w:rPr>
              <w:t>Adjusted Operating profit margin</w:t>
            </w: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459"/>
        </w:trPr>
        <w:tc>
          <w:tcPr>
            <w:tcW w:w="4040" w:type="dxa"/>
            <w:vAlign w:val="bottom"/>
          </w:tcPr>
          <w:p>
            <w:pPr>
              <w:spacing w:after="0"/>
              <w:rPr>
                <w:sz w:val="20"/>
                <w:szCs w:val="20"/>
                <w:color w:val="auto"/>
              </w:rPr>
            </w:pPr>
            <w:r>
              <w:rPr>
                <w:rFonts w:ascii="Arial" w:cs="Arial" w:eastAsia="Arial" w:hAnsi="Arial"/>
                <w:sz w:val="14"/>
                <w:szCs w:val="14"/>
                <w:color w:val="auto"/>
              </w:rPr>
              <w:t>Adjusted EBITDA margin</w:t>
            </w: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2570480</wp:posOffset>
            </wp:positionH>
            <wp:positionV relativeFrom="paragraph">
              <wp:posOffset>504825</wp:posOffset>
            </wp:positionV>
            <wp:extent cx="323278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2"/>
              </w:rPr>
              <w:t>Six Months Ended</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4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June 30, 2018</w:t>
            </w: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3"/>
        </w:trPr>
        <w:tc>
          <w:tcPr>
            <w:tcW w:w="404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gridSpan w:val="2"/>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6"/>
        </w:trPr>
        <w:tc>
          <w:tcPr>
            <w:tcW w:w="4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w w:val="96"/>
              </w:rPr>
              <w:t>Subsea</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ind w:right="128"/>
              <w:spacing w:after="0" w:line="147" w:lineRule="exact"/>
              <w:rPr>
                <w:sz w:val="20"/>
                <w:szCs w:val="20"/>
                <w:color w:val="auto"/>
              </w:rPr>
            </w:pPr>
            <w:r>
              <w:rPr>
                <w:rFonts w:ascii="Arial" w:cs="Arial" w:eastAsia="Arial" w:hAnsi="Arial"/>
                <w:sz w:val="14"/>
                <w:szCs w:val="14"/>
                <w:b w:val="1"/>
                <w:bCs w:val="1"/>
                <w:color w:val="auto"/>
                <w:w w:val="94"/>
              </w:rPr>
              <w:t>Onshore/</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93"/>
              </w:rPr>
              <w:t>Surface</w:t>
            </w:r>
          </w:p>
        </w:tc>
        <w:tc>
          <w:tcPr>
            <w:tcW w:w="100" w:type="dxa"/>
            <w:vAlign w:val="bottom"/>
          </w:tcPr>
          <w:p>
            <w:pPr>
              <w:spacing w:after="0"/>
              <w:rPr>
                <w:sz w:val="12"/>
                <w:szCs w:val="12"/>
                <w:color w:val="auto"/>
              </w:rPr>
            </w:pPr>
          </w:p>
        </w:tc>
        <w:tc>
          <w:tcPr>
            <w:tcW w:w="90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Corporate</w:t>
            </w:r>
          </w:p>
        </w:tc>
        <w:tc>
          <w:tcPr>
            <w:tcW w:w="200" w:type="dxa"/>
            <w:vAlign w:val="bottom"/>
          </w:tcPr>
          <w:p>
            <w:pPr>
              <w:spacing w:after="0"/>
              <w:rPr>
                <w:sz w:val="12"/>
                <w:szCs w:val="12"/>
                <w:color w:val="auto"/>
              </w:rPr>
            </w:pPr>
          </w:p>
        </w:tc>
        <w:tc>
          <w:tcPr>
            <w:tcW w:w="74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9"/>
              </w:rPr>
              <w:t>Offshore</w:t>
            </w:r>
          </w:p>
        </w:tc>
        <w:tc>
          <w:tcPr>
            <w:tcW w:w="100" w:type="dxa"/>
            <w:vAlign w:val="bottom"/>
          </w:tcPr>
          <w:p>
            <w:pPr>
              <w:spacing w:after="0"/>
              <w:rPr>
                <w:sz w:val="16"/>
                <w:szCs w:val="16"/>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Technologies</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and Other</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4040" w:type="dxa"/>
            <w:vAlign w:val="bottom"/>
          </w:tcPr>
          <w:p>
            <w:pPr>
              <w:spacing w:after="0"/>
              <w:rPr>
                <w:sz w:val="20"/>
                <w:szCs w:val="20"/>
                <w:color w:val="auto"/>
              </w:rPr>
            </w:pPr>
            <w:r>
              <w:rPr>
                <w:rFonts w:ascii="Arial" w:cs="Arial" w:eastAsia="Arial" w:hAnsi="Arial"/>
                <w:sz w:val="14"/>
                <w:szCs w:val="14"/>
                <w:color w:val="auto"/>
              </w:rPr>
              <w:t>Revenue</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2,397.6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2,915.8</w:t>
            </w:r>
          </w:p>
        </w:tc>
        <w:tc>
          <w:tcPr>
            <w:tcW w:w="28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772.7</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6,086.1</w:t>
            </w:r>
          </w:p>
        </w:tc>
        <w:tc>
          <w:tcPr>
            <w:tcW w:w="0" w:type="dxa"/>
            <w:vAlign w:val="bottom"/>
          </w:tcPr>
          <w:p>
            <w:pPr>
              <w:spacing w:after="0"/>
              <w:rPr>
                <w:sz w:val="1"/>
                <w:szCs w:val="1"/>
                <w:color w:val="auto"/>
              </w:rPr>
            </w:pPr>
          </w:p>
        </w:tc>
      </w:tr>
      <w:tr>
        <w:trPr>
          <w:trHeight w:val="459"/>
        </w:trPr>
        <w:tc>
          <w:tcPr>
            <w:tcW w:w="4040" w:type="dxa"/>
            <w:vAlign w:val="bottom"/>
          </w:tcPr>
          <w:p>
            <w:pPr>
              <w:spacing w:after="0"/>
              <w:rPr>
                <w:sz w:val="20"/>
                <w:szCs w:val="20"/>
                <w:color w:val="auto"/>
              </w:rPr>
            </w:pPr>
            <w:r>
              <w:rPr>
                <w:rFonts w:ascii="Arial" w:cs="Arial" w:eastAsia="Arial" w:hAnsi="Arial"/>
                <w:sz w:val="14"/>
                <w:szCs w:val="14"/>
                <w:color w:val="auto"/>
              </w:rPr>
              <w:t>Operating profit (loss), as reported (pre-tax)</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130.3</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374.2</w:t>
            </w:r>
          </w:p>
        </w:tc>
        <w:tc>
          <w:tcPr>
            <w:tcW w:w="28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82.1</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(132.8)</w:t>
            </w:r>
          </w:p>
        </w:tc>
        <w:tc>
          <w:tcPr>
            <w:tcW w:w="10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453.8</w:t>
            </w:r>
          </w:p>
        </w:tc>
        <w:tc>
          <w:tcPr>
            <w:tcW w:w="0" w:type="dxa"/>
            <w:vAlign w:val="bottom"/>
          </w:tcPr>
          <w:p>
            <w:pPr>
              <w:spacing w:after="0"/>
              <w:rPr>
                <w:sz w:val="1"/>
                <w:szCs w:val="1"/>
                <w:color w:val="auto"/>
              </w:rPr>
            </w:pPr>
          </w:p>
        </w:tc>
      </w:tr>
      <w:tr>
        <w:trPr>
          <w:trHeight w:val="459"/>
        </w:trPr>
        <w:tc>
          <w:tcPr>
            <w:tcW w:w="4040" w:type="dxa"/>
            <w:vAlign w:val="bottom"/>
          </w:tcPr>
          <w:p>
            <w:pPr>
              <w:spacing w:after="0"/>
              <w:rPr>
                <w:sz w:val="20"/>
                <w:szCs w:val="20"/>
                <w:color w:val="auto"/>
              </w:rPr>
            </w:pPr>
            <w:r>
              <w:rPr>
                <w:rFonts w:ascii="Arial" w:cs="Arial" w:eastAsia="Arial" w:hAnsi="Arial"/>
                <w:sz w:val="14"/>
                <w:szCs w:val="14"/>
                <w:color w:val="auto"/>
              </w:rPr>
              <w:t>Charges and (credits):</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40" w:type="dxa"/>
            <w:vAlign w:val="bottom"/>
          </w:tcPr>
          <w:p>
            <w:pPr>
              <w:ind w:left="240"/>
              <w:spacing w:after="0"/>
              <w:rPr>
                <w:sz w:val="20"/>
                <w:szCs w:val="20"/>
                <w:color w:val="auto"/>
              </w:rPr>
            </w:pPr>
            <w:r>
              <w:rPr>
                <w:rFonts w:ascii="Arial" w:cs="Arial" w:eastAsia="Arial" w:hAnsi="Arial"/>
                <w:sz w:val="14"/>
                <w:szCs w:val="14"/>
                <w:color w:val="auto"/>
              </w:rPr>
              <w:t>Impairment and other charges</w:t>
            </w:r>
          </w:p>
        </w:tc>
        <w:tc>
          <w:tcPr>
            <w:tcW w:w="180" w:type="dxa"/>
            <w:vAlign w:val="bottom"/>
          </w:tcPr>
          <w:p>
            <w:pPr>
              <w:spacing w:after="0"/>
              <w:rPr>
                <w:sz w:val="23"/>
                <w:szCs w:val="23"/>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270"/>
        </w:trPr>
        <w:tc>
          <w:tcPr>
            <w:tcW w:w="4040" w:type="dxa"/>
            <w:vAlign w:val="bottom"/>
          </w:tcPr>
          <w:p>
            <w:pPr>
              <w:ind w:left="240"/>
              <w:spacing w:after="0"/>
              <w:rPr>
                <w:sz w:val="20"/>
                <w:szCs w:val="20"/>
                <w:color w:val="auto"/>
              </w:rPr>
            </w:pPr>
            <w:r>
              <w:rPr>
                <w:rFonts w:ascii="Arial" w:cs="Arial" w:eastAsia="Arial" w:hAnsi="Arial"/>
                <w:sz w:val="14"/>
                <w:szCs w:val="14"/>
                <w:color w:val="auto"/>
              </w:rPr>
              <w:t>Restructuring and other severance charges</w:t>
            </w:r>
          </w:p>
        </w:tc>
        <w:tc>
          <w:tcPr>
            <w:tcW w:w="180" w:type="dxa"/>
            <w:vAlign w:val="bottom"/>
          </w:tcPr>
          <w:p>
            <w:pPr>
              <w:spacing w:after="0"/>
              <w:rPr>
                <w:sz w:val="23"/>
                <w:szCs w:val="23"/>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270"/>
        </w:trPr>
        <w:tc>
          <w:tcPr>
            <w:tcW w:w="4040" w:type="dxa"/>
            <w:vAlign w:val="bottom"/>
          </w:tcPr>
          <w:p>
            <w:pPr>
              <w:ind w:left="240"/>
              <w:spacing w:after="0"/>
              <w:rPr>
                <w:sz w:val="20"/>
                <w:szCs w:val="20"/>
                <w:color w:val="auto"/>
              </w:rPr>
            </w:pPr>
            <w:r>
              <w:rPr>
                <w:rFonts w:ascii="Arial" w:cs="Arial" w:eastAsia="Arial" w:hAnsi="Arial"/>
                <w:sz w:val="14"/>
                <w:szCs w:val="14"/>
                <w:color w:val="auto"/>
              </w:rPr>
              <w:t>Business combination transaction and integration costs</w:t>
            </w:r>
          </w:p>
        </w:tc>
        <w:tc>
          <w:tcPr>
            <w:tcW w:w="180" w:type="dxa"/>
            <w:vAlign w:val="bottom"/>
          </w:tcPr>
          <w:p>
            <w:pPr>
              <w:spacing w:after="0"/>
              <w:rPr>
                <w:sz w:val="23"/>
                <w:szCs w:val="23"/>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14.6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169"/>
        </w:trPr>
        <w:tc>
          <w:tcPr>
            <w:tcW w:w="4040" w:type="dxa"/>
            <w:vAlign w:val="bottom"/>
          </w:tcPr>
          <w:p>
            <w:pPr>
              <w:ind w:left="240"/>
              <w:spacing w:after="0"/>
              <w:rPr>
                <w:sz w:val="20"/>
                <w:szCs w:val="20"/>
                <w:color w:val="auto"/>
              </w:rPr>
            </w:pPr>
            <w:r>
              <w:rPr>
                <w:rFonts w:ascii="Arial" w:cs="Arial" w:eastAsia="Arial" w:hAnsi="Arial"/>
                <w:sz w:val="14"/>
                <w:szCs w:val="14"/>
                <w:color w:val="auto"/>
              </w:rPr>
              <w:t>Purchase price accounting adjustments - non-amortization</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040" w:type="dxa"/>
            <w:vAlign w:val="bottom"/>
          </w:tcPr>
          <w:p>
            <w:pPr>
              <w:ind w:left="240"/>
              <w:spacing w:after="0"/>
              <w:rPr>
                <w:sz w:val="20"/>
                <w:szCs w:val="20"/>
                <w:color w:val="auto"/>
              </w:rPr>
            </w:pPr>
            <w:r>
              <w:rPr>
                <w:rFonts w:ascii="Arial" w:cs="Arial" w:eastAsia="Arial" w:hAnsi="Arial"/>
                <w:sz w:val="14"/>
                <w:szCs w:val="14"/>
                <w:color w:val="auto"/>
              </w:rPr>
              <w:t>related</w:t>
            </w:r>
          </w:p>
        </w:tc>
        <w:tc>
          <w:tcPr>
            <w:tcW w:w="180" w:type="dxa"/>
            <w:vAlign w:val="bottom"/>
          </w:tcPr>
          <w:p>
            <w:pPr>
              <w:spacing w:after="0"/>
              <w:rPr>
                <w:sz w:val="15"/>
                <w:szCs w:val="15"/>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76"/>
        </w:trPr>
        <w:tc>
          <w:tcPr>
            <w:tcW w:w="4040" w:type="dxa"/>
            <w:vAlign w:val="bottom"/>
          </w:tcPr>
          <w:p>
            <w:pPr>
              <w:ind w:left="240"/>
              <w:spacing w:after="0"/>
              <w:rPr>
                <w:sz w:val="20"/>
                <w:szCs w:val="20"/>
                <w:color w:val="auto"/>
              </w:rPr>
            </w:pPr>
            <w:r>
              <w:rPr>
                <w:rFonts w:ascii="Arial" w:cs="Arial" w:eastAsia="Arial" w:hAnsi="Arial"/>
                <w:sz w:val="14"/>
                <w:szCs w:val="14"/>
                <w:color w:val="auto"/>
                <w:w w:val="99"/>
              </w:rPr>
              <w:t>Purchase price accounting adjustments - amortization related</w:t>
            </w:r>
          </w:p>
        </w:tc>
        <w:tc>
          <w:tcPr>
            <w:tcW w:w="180" w:type="dxa"/>
            <w:vAlign w:val="bottom"/>
          </w:tcPr>
          <w:p>
            <w:pPr>
              <w:spacing w:after="0"/>
              <w:rPr>
                <w:sz w:val="24"/>
                <w:szCs w:val="24"/>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44.3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44.0</w:t>
            </w:r>
          </w:p>
        </w:tc>
        <w:tc>
          <w:tcPr>
            <w:tcW w:w="0" w:type="dxa"/>
            <w:vAlign w:val="bottom"/>
          </w:tcPr>
          <w:p>
            <w:pPr>
              <w:spacing w:after="0"/>
              <w:rPr>
                <w:sz w:val="1"/>
                <w:szCs w:val="1"/>
                <w:color w:val="auto"/>
              </w:rPr>
            </w:pPr>
          </w:p>
        </w:tc>
      </w:tr>
      <w:tr>
        <w:trPr>
          <w:trHeight w:val="244"/>
        </w:trPr>
        <w:tc>
          <w:tcPr>
            <w:tcW w:w="4040" w:type="dxa"/>
            <w:vAlign w:val="bottom"/>
          </w:tcPr>
          <w:p>
            <w:pPr>
              <w:ind w:left="460"/>
              <w:spacing w:after="0"/>
              <w:rPr>
                <w:sz w:val="20"/>
                <w:szCs w:val="20"/>
                <w:color w:val="auto"/>
              </w:rPr>
            </w:pPr>
            <w:r>
              <w:rPr>
                <w:rFonts w:ascii="Arial" w:cs="Arial" w:eastAsia="Arial" w:hAnsi="Arial"/>
                <w:sz w:val="14"/>
                <w:szCs w:val="14"/>
                <w:color w:val="auto"/>
              </w:rPr>
              <w:t>Subtotal</w:t>
            </w:r>
          </w:p>
        </w:tc>
        <w:tc>
          <w:tcPr>
            <w:tcW w:w="18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55.8</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11.2</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22.1</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83.5</w:t>
            </w:r>
          </w:p>
        </w:tc>
        <w:tc>
          <w:tcPr>
            <w:tcW w:w="0" w:type="dxa"/>
            <w:vAlign w:val="bottom"/>
          </w:tcPr>
          <w:p>
            <w:pPr>
              <w:spacing w:after="0"/>
              <w:rPr>
                <w:sz w:val="1"/>
                <w:szCs w:val="1"/>
                <w:color w:val="auto"/>
              </w:rPr>
            </w:pPr>
          </w:p>
        </w:tc>
      </w:tr>
      <w:tr>
        <w:trPr>
          <w:trHeight w:val="201"/>
        </w:trPr>
        <w:tc>
          <w:tcPr>
            <w:tcW w:w="40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4040" w:type="dxa"/>
            <w:vAlign w:val="bottom"/>
          </w:tcPr>
          <w:p>
            <w:pPr>
              <w:spacing w:after="0"/>
              <w:rPr>
                <w:sz w:val="20"/>
                <w:szCs w:val="20"/>
                <w:color w:val="auto"/>
              </w:rPr>
            </w:pPr>
            <w:r>
              <w:rPr>
                <w:rFonts w:ascii="Arial" w:cs="Arial" w:eastAsia="Arial" w:hAnsi="Arial"/>
                <w:sz w:val="14"/>
                <w:szCs w:val="14"/>
                <w:color w:val="auto"/>
              </w:rPr>
              <w:t>Adjusted Operating profit (loss)</w:t>
            </w:r>
          </w:p>
        </w:tc>
        <w:tc>
          <w:tcPr>
            <w:tcW w:w="1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186.1</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368.6</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93.3</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(110.7)</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537.3</w:t>
            </w:r>
          </w:p>
        </w:tc>
        <w:tc>
          <w:tcPr>
            <w:tcW w:w="0" w:type="dxa"/>
            <w:vAlign w:val="bottom"/>
          </w:tcPr>
          <w:p>
            <w:pPr>
              <w:spacing w:after="0"/>
              <w:rPr>
                <w:sz w:val="1"/>
                <w:szCs w:val="1"/>
                <w:color w:val="auto"/>
              </w:rPr>
            </w:pPr>
          </w:p>
        </w:tc>
      </w:tr>
      <w:tr>
        <w:trPr>
          <w:trHeight w:val="447"/>
        </w:trPr>
        <w:tc>
          <w:tcPr>
            <w:tcW w:w="4040" w:type="dxa"/>
            <w:vAlign w:val="bottom"/>
          </w:tcPr>
          <w:p>
            <w:pPr>
              <w:spacing w:after="0"/>
              <w:rPr>
                <w:sz w:val="20"/>
                <w:szCs w:val="20"/>
                <w:color w:val="auto"/>
              </w:rPr>
            </w:pPr>
            <w:r>
              <w:rPr>
                <w:rFonts w:ascii="Arial" w:cs="Arial" w:eastAsia="Arial" w:hAnsi="Arial"/>
                <w:sz w:val="14"/>
                <w:szCs w:val="14"/>
                <w:color w:val="auto"/>
              </w:rPr>
              <w:t>Adjusted Depreciation and amortization</w:t>
            </w:r>
          </w:p>
        </w:tc>
        <w:tc>
          <w:tcPr>
            <w:tcW w:w="180" w:type="dxa"/>
            <w:vAlign w:val="bottom"/>
          </w:tcPr>
          <w:p>
            <w:pPr>
              <w:spacing w:after="0"/>
              <w:rPr>
                <w:sz w:val="24"/>
                <w:szCs w:val="24"/>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177.1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17.3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29.6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226.5</w:t>
            </w:r>
          </w:p>
        </w:tc>
        <w:tc>
          <w:tcPr>
            <w:tcW w:w="0" w:type="dxa"/>
            <w:vAlign w:val="bottom"/>
          </w:tcPr>
          <w:p>
            <w:pPr>
              <w:spacing w:after="0"/>
              <w:rPr>
                <w:sz w:val="1"/>
                <w:szCs w:val="1"/>
                <w:color w:val="auto"/>
              </w:rPr>
            </w:pPr>
          </w:p>
        </w:tc>
      </w:tr>
      <w:tr>
        <w:trPr>
          <w:trHeight w:val="201"/>
        </w:trPr>
        <w:tc>
          <w:tcPr>
            <w:tcW w:w="40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040" w:type="dxa"/>
            <w:vAlign w:val="bottom"/>
          </w:tcPr>
          <w:p>
            <w:pPr>
              <w:spacing w:after="0"/>
              <w:rPr>
                <w:sz w:val="20"/>
                <w:szCs w:val="20"/>
                <w:color w:val="auto"/>
              </w:rPr>
            </w:pPr>
            <w:r>
              <w:rPr>
                <w:rFonts w:ascii="Arial" w:cs="Arial" w:eastAsia="Arial" w:hAnsi="Arial"/>
                <w:sz w:val="14"/>
                <w:szCs w:val="14"/>
                <w:color w:val="auto"/>
              </w:rPr>
              <w:t>Adjusted EBITDA</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363.2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385.9</w:t>
            </w:r>
          </w:p>
        </w:tc>
        <w:tc>
          <w:tcPr>
            <w:tcW w:w="28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122.9</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(108.2)</w:t>
            </w:r>
          </w:p>
        </w:tc>
        <w:tc>
          <w:tcPr>
            <w:tcW w:w="100" w:type="dxa"/>
            <w:vAlign w:val="bottom"/>
          </w:tcPr>
          <w:p>
            <w:pPr>
              <w:spacing w:after="0"/>
              <w:rPr>
                <w:sz w:val="20"/>
                <w:szCs w:val="20"/>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763.8</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8"/>
        </w:trPr>
        <w:tc>
          <w:tcPr>
            <w:tcW w:w="4040" w:type="dxa"/>
            <w:vAlign w:val="bottom"/>
          </w:tcPr>
          <w:p>
            <w:pPr>
              <w:spacing w:after="0"/>
              <w:rPr>
                <w:sz w:val="20"/>
                <w:szCs w:val="20"/>
                <w:color w:val="auto"/>
              </w:rPr>
            </w:pPr>
            <w:r>
              <w:rPr>
                <w:rFonts w:ascii="Arial" w:cs="Arial" w:eastAsia="Arial" w:hAnsi="Arial"/>
                <w:sz w:val="14"/>
                <w:szCs w:val="14"/>
                <w:color w:val="auto"/>
              </w:rPr>
              <w:t>Operating profit margin, as reported</w:t>
            </w: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459"/>
        </w:trPr>
        <w:tc>
          <w:tcPr>
            <w:tcW w:w="4040" w:type="dxa"/>
            <w:vAlign w:val="bottom"/>
          </w:tcPr>
          <w:p>
            <w:pPr>
              <w:spacing w:after="0"/>
              <w:rPr>
                <w:sz w:val="20"/>
                <w:szCs w:val="20"/>
                <w:color w:val="auto"/>
              </w:rPr>
            </w:pPr>
            <w:r>
              <w:rPr>
                <w:rFonts w:ascii="Arial" w:cs="Arial" w:eastAsia="Arial" w:hAnsi="Arial"/>
                <w:sz w:val="14"/>
                <w:szCs w:val="14"/>
                <w:color w:val="auto"/>
              </w:rPr>
              <w:t>Adjusted Operating profit margin</w:t>
            </w: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459"/>
        </w:trPr>
        <w:tc>
          <w:tcPr>
            <w:tcW w:w="4040" w:type="dxa"/>
            <w:vAlign w:val="bottom"/>
          </w:tcPr>
          <w:p>
            <w:pPr>
              <w:spacing w:after="0"/>
              <w:rPr>
                <w:sz w:val="20"/>
                <w:szCs w:val="20"/>
                <w:color w:val="auto"/>
              </w:rPr>
            </w:pPr>
            <w:r>
              <w:rPr>
                <w:rFonts w:ascii="Arial" w:cs="Arial" w:eastAsia="Arial" w:hAnsi="Arial"/>
                <w:sz w:val="14"/>
                <w:szCs w:val="14"/>
                <w:color w:val="auto"/>
              </w:rPr>
              <w:t>Adjusted EBITDA margin</w:t>
            </w: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60"/>
          </w:cols>
          <w:pgMar w:left="1400" w:top="526" w:right="239" w:bottom="0" w:gutter="0" w:footer="0" w:header="0"/>
        </w:sectPr>
      </w:pPr>
    </w:p>
    <w:p>
      <w:pPr>
        <w:spacing w:after="0" w:line="258" w:lineRule="exact"/>
        <w:rPr>
          <w:sz w:val="20"/>
          <w:szCs w:val="20"/>
          <w:color w:val="auto"/>
        </w:rPr>
      </w:pPr>
    </w:p>
    <w:p>
      <w:pPr>
        <w:ind w:left="4020"/>
        <w:spacing w:after="0"/>
        <w:tabs>
          <w:tab w:leader="none" w:pos="926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24 of </w:t>
      </w:r>
      <w:hyperlink w:anchor="page30">
        <w:r>
          <w:rPr>
            <w:rFonts w:ascii="Arial" w:cs="Arial" w:eastAsia="Arial" w:hAnsi="Arial"/>
            <w:sz w:val="14"/>
            <w:szCs w:val="14"/>
            <w:b w:val="1"/>
            <w:bCs w:val="1"/>
            <w:color w:val="auto"/>
          </w:rPr>
          <w:t>25</w:t>
        </w:r>
      </w:hyperlink>
    </w:p>
    <w:p>
      <w:pPr>
        <w:sectPr>
          <w:pgSz w:w="11900" w:h="16838" w:orient="portrait"/>
          <w:cols w:equalWidth="0" w:num="1">
            <w:col w:w="10260"/>
          </w:cols>
          <w:pgMar w:left="1400" w:top="526" w:right="239" w:bottom="0" w:gutter="0" w:footer="0" w:header="0"/>
          <w:type w:val="continuous"/>
        </w:sectPr>
      </w:pPr>
    </w:p>
    <w:bookmarkStart w:id="29" w:name="page30"/>
    <w:bookmarkEnd w:id="29"/>
    <w:p>
      <w:pPr>
        <w:jc w:val="right"/>
        <w:spacing w:after="0"/>
        <w:rPr>
          <w:sz w:val="20"/>
          <w:szCs w:val="20"/>
          <w:color w:val="auto"/>
        </w:rPr>
      </w:pPr>
      <w:r>
        <w:rPr>
          <w:rFonts w:ascii="Arial" w:cs="Arial" w:eastAsia="Arial" w:hAnsi="Arial"/>
          <w:sz w:val="13"/>
          <w:szCs w:val="13"/>
          <w:b w:val="1"/>
          <w:bCs w:val="1"/>
          <w:color w:val="auto"/>
        </w:rPr>
        <w:t>Exhibit 11</w:t>
      </w:r>
    </w:p>
    <w:p>
      <w:pPr>
        <w:spacing w:after="0" w:line="16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u w:val="single" w:color="auto"/>
          <w:color w:val="auto"/>
        </w:rPr>
        <w:t xml:space="preserve">TECHNIPFMC PLC AND CONSOLIDATED SUBSIDIARIES RECONCILIATION OF GAAP TO NON-GAAP FINANCIAL MEASURES </w:t>
      </w:r>
      <w:r>
        <w:rPr>
          <w:rFonts w:ascii="Arial" w:cs="Arial" w:eastAsia="Arial" w:hAnsi="Arial"/>
          <w:sz w:val="18"/>
          <w:szCs w:val="18"/>
          <w:b w:val="1"/>
          <w:bCs w:val="1"/>
          <w:color w:val="auto"/>
        </w:rPr>
        <w:t>(In millions, unaudited)</w:t>
      </w:r>
    </w:p>
    <w:p>
      <w:pPr>
        <w:spacing w:after="0" w:line="33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6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b w:val="1"/>
                <w:bCs w:val="1"/>
                <w:color w:val="auto"/>
              </w:rPr>
              <w:t>June 30,</w:t>
            </w: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w w:val="95"/>
              </w:rPr>
              <w:t>December 31,</w:t>
            </w:r>
          </w:p>
        </w:tc>
      </w:tr>
      <w:tr>
        <w:trPr>
          <w:trHeight w:val="234"/>
        </w:trPr>
        <w:tc>
          <w:tcPr>
            <w:tcW w:w="6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r>
      <w:tr>
        <w:trPr>
          <w:trHeight w:val="27"/>
        </w:trPr>
        <w:tc>
          <w:tcPr>
            <w:tcW w:w="66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66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4,621.3</w:t>
            </w:r>
          </w:p>
        </w:tc>
        <w:tc>
          <w:tcPr>
            <w:tcW w:w="100" w:type="dxa"/>
            <w:vAlign w:val="bottom"/>
          </w:tcPr>
          <w:p>
            <w:pPr>
              <w:spacing w:after="0"/>
              <w:rPr>
                <w:sz w:val="20"/>
                <w:szCs w:val="20"/>
                <w:color w:val="auto"/>
              </w:rPr>
            </w:pP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5,540.0</w:t>
            </w:r>
          </w:p>
        </w:tc>
      </w:tr>
      <w:tr>
        <w:trPr>
          <w:trHeight w:val="270"/>
        </w:trPr>
        <w:tc>
          <w:tcPr>
            <w:tcW w:w="6680" w:type="dxa"/>
            <w:vAlign w:val="bottom"/>
          </w:tcPr>
          <w:p>
            <w:pPr>
              <w:spacing w:after="0"/>
              <w:rPr>
                <w:sz w:val="20"/>
                <w:szCs w:val="20"/>
                <w:color w:val="auto"/>
              </w:rPr>
            </w:pPr>
            <w:r>
              <w:rPr>
                <w:rFonts w:ascii="Arial" w:cs="Arial" w:eastAsia="Arial" w:hAnsi="Arial"/>
                <w:sz w:val="18"/>
                <w:szCs w:val="18"/>
                <w:color w:val="auto"/>
              </w:rPr>
              <w:t>Short-term debt and current portion of long-term debt</w:t>
            </w: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(67.4)</w:t>
            </w:r>
          </w:p>
        </w:tc>
      </w:tr>
      <w:tr>
        <w:trPr>
          <w:trHeight w:val="270"/>
        </w:trPr>
        <w:tc>
          <w:tcPr>
            <w:tcW w:w="668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(3,701.1)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(4,124.3)</w:t>
            </w:r>
          </w:p>
        </w:tc>
      </w:tr>
      <w:tr>
        <w:trPr>
          <w:trHeight w:val="27"/>
        </w:trPr>
        <w:tc>
          <w:tcPr>
            <w:tcW w:w="66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6680" w:type="dxa"/>
            <w:vAlign w:val="bottom"/>
          </w:tcPr>
          <w:p>
            <w:pPr>
              <w:spacing w:after="0"/>
              <w:rPr>
                <w:sz w:val="20"/>
                <w:szCs w:val="20"/>
                <w:color w:val="auto"/>
              </w:rPr>
            </w:pPr>
            <w:r>
              <w:rPr>
                <w:rFonts w:ascii="Arial" w:cs="Arial" w:eastAsia="Arial" w:hAnsi="Arial"/>
                <w:sz w:val="18"/>
                <w:szCs w:val="18"/>
                <w:color w:val="auto"/>
              </w:rPr>
              <w:t>Net cash</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839.5</w:t>
            </w:r>
          </w:p>
        </w:tc>
        <w:tc>
          <w:tcPr>
            <w:tcW w:w="100" w:type="dxa"/>
            <w:vAlign w:val="bottom"/>
          </w:tcPr>
          <w:p>
            <w:pPr>
              <w:spacing w:after="0"/>
              <w:rPr>
                <w:sz w:val="22"/>
                <w:szCs w:val="22"/>
                <w:color w:val="auto"/>
              </w:rPr>
            </w:pP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1,348.3</w:t>
            </w:r>
          </w:p>
        </w:tc>
      </w:tr>
      <w:tr>
        <w:trPr>
          <w:trHeight w:val="20"/>
        </w:trPr>
        <w:tc>
          <w:tcPr>
            <w:tcW w:w="6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Net (debt) cash, is a non-GAAP financial measure reflecting cash and cash equivalents, net of debt. Management uses this non-GAAP financial measure to evaluate our capital structure and financial leverage. We believe net debt, or net cash, is a meaningful financial measure that may assist investors in understanding our financial condition and recognizing underlying trends in our capital structure. Net (debt) cash should not be considered an alternative to, or more meaningful than, cash and cash equivalents as determined in accordance with U.S. GAAP or as an indicator of our operating performance or liquidity.</w:t>
      </w:r>
    </w:p>
    <w:p>
      <w:pPr>
        <w:spacing w:after="0" w:line="399" w:lineRule="exact"/>
        <w:rPr>
          <w:sz w:val="20"/>
          <w:szCs w:val="20"/>
          <w:color w:val="auto"/>
        </w:rPr>
      </w:pPr>
    </w:p>
    <w:p>
      <w:pPr>
        <w:ind w:left="5180"/>
        <w:spacing w:after="0"/>
        <w:tabs>
          <w:tab w:leader="none" w:pos="1042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25 of </w:t>
      </w:r>
      <w:hyperlink w:anchor="page30">
        <w:r>
          <w:rPr>
            <w:rFonts w:ascii="Arial" w:cs="Arial" w:eastAsia="Arial" w:hAnsi="Arial"/>
            <w:sz w:val="14"/>
            <w:szCs w:val="14"/>
            <w:b w:val="1"/>
            <w:bCs w:val="1"/>
            <w:color w:val="auto"/>
          </w:rPr>
          <w:t>25</w:t>
        </w:r>
      </w:hyperlink>
    </w:p>
    <w:sectPr>
      <w:pgSz w:w="11900" w:h="16838" w:orient="portrait"/>
      <w:cols w:equalWidth="0" w:num="1">
        <w:col w:w="11420"/>
      </w:cols>
      <w:pgMar w:left="240" w:top="52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lvl w:ilvl="1">
      <w:lvlJc w:val="left"/>
      <w:lvlText w:val="*"/>
      <w:numFmt w:val="bullet"/>
      <w:start w:val="1"/>
    </w:lvl>
  </w:abstractNum>
  <w:abstractNum w:abstractNumId="4">
    <w:nsid w:val="1F16E9E8"/>
    <w:multiLevelType w:val="hybridMultilevel"/>
    <w:lvl w:ilvl="0">
      <w:lvlJc w:val="left"/>
      <w:lvlText w:val="•"/>
      <w:numFmt w:val="bullet"/>
      <w:start w:val="1"/>
    </w:lvl>
    <w:lvl w:ilvl="1">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lvl w:ilvl="1">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lvl w:ilvl="1">
      <w:lvlJc w:val="left"/>
      <w:lvlText w:val="◦"/>
      <w:numFmt w:val="bullet"/>
      <w:start w:val="1"/>
    </w:lvl>
  </w:abstractNum>
  <w:abstractNum w:abstractNumId="11">
    <w:nsid w:val="7FDCC233"/>
    <w:multiLevelType w:val="hybridMultilevel"/>
    <w:lvl w:ilvl="0">
      <w:lvlJc w:val="left"/>
      <w:lvlText w:val="1"/>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
      <w:numFmt w:val="bullet"/>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2019-12-28T10:10:48Z</dcterms:created>
  <dcterms:modified xsi:type="dcterms:W3CDTF">2019-12-28T10:10:48Z</dcterms:modified>
</cp:coreProperties>
</file>