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Doroghazi Krisztina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 Controller &amp; CAO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02/16/2021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12,841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27,544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60" w:firstLine="7"/>
        <w:spacing w:after="0" w:line="25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automatic conversion of certain performance stock units previously awarded to the Reporting Person into restricted stock units in connection with the completion of the Issuer's pro-rata distribution of a portion of the outstanding shares of Technip Energies N.V. to the Issuer's shareholders (the "Spin-Off"). Each restricted stock unit represents a contingent right to receive one Ordinary Share and will vest in accordance with the applicable award(s).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automatic adjustment of all outstanding restricted stock units held by the Reporting Person pursuant to anti-dilution provisions contained in the applicable awards, which provisions were triggered as a result of the Spin-Off.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Lisa P. Wang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02/18/2021</w:t>
            </w: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48248" TargetMode="External"/><Relationship Id="rId14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2021-02-18T15:46:35Z</dcterms:created>
  <dcterms:modified xsi:type="dcterms:W3CDTF">2021-02-18T15:46:35Z</dcterms:modified>
</cp:coreProperties>
</file>