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118110</wp:posOffset>
            </wp:positionV>
            <wp:extent cx="380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9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192405</wp:posOffset>
            </wp:positionV>
            <wp:extent cx="3807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9"/>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6"/>
          <w:szCs w:val="16"/>
          <w:b w:val="1"/>
          <w:bCs w:val="1"/>
          <w:color w:val="auto"/>
        </w:rPr>
        <w:t>ANNUALLY REPORT PURSUANT TO SECTION 13 OR 15(d) OF THE SECURITIES EXCHANGE ACT OF 1934</w:t>
      </w:r>
    </w:p>
    <w:p>
      <w:pPr>
        <w:spacing w:after="0" w:line="1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fiscal year ended December 31, 2019</w:t>
      </w:r>
    </w:p>
    <w:p>
      <w:pPr>
        <w:spacing w:after="0" w:line="10" w:lineRule="exact"/>
        <w:rPr>
          <w:sz w:val="24"/>
          <w:szCs w:val="24"/>
          <w:color w:val="auto"/>
        </w:rPr>
      </w:pPr>
    </w:p>
    <w:p>
      <w:pPr>
        <w:jc w:val="center"/>
        <w:ind w:right="-79"/>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6"/>
          <w:szCs w:val="16"/>
          <w:b w:val="1"/>
          <w:bCs w:val="1"/>
          <w:color w:val="auto"/>
        </w:rPr>
        <w:t>TRANSITION REPORT PURSUANT TO SECTION 13 OR 15(d) OF THE SECURITIES EXCHANGE ACT OF 1934</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ectPr>
          <w:pgSz w:w="11900" w:h="16838" w:orient="portrait"/>
          <w:cols w:equalWidth="0" w:num="1">
            <w:col w:w="11340"/>
          </w:cols>
          <w:pgMar w:left="240" w:top="987" w:right="319" w:bottom="532" w:gutter="0" w:footer="0" w:header="0"/>
        </w:sectPr>
      </w:pPr>
    </w:p>
    <w:p>
      <w:pPr>
        <w:spacing w:after="0" w:line="5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For the transition period from</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61" w:lineRule="exact"/>
        <w:rPr>
          <w:sz w:val="24"/>
          <w:szCs w:val="24"/>
          <w:color w:val="auto"/>
        </w:rPr>
      </w:pPr>
    </w:p>
    <w:p>
      <w:pPr>
        <w:sectPr>
          <w:pgSz w:w="11900" w:h="16838" w:orient="portrait"/>
          <w:cols w:equalWidth="0" w:num="2">
            <w:col w:w="6200" w:space="600"/>
            <w:col w:w="4540"/>
          </w:cols>
          <w:pgMar w:left="240" w:top="987" w:right="319" w:bottom="532"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6"/>
          <w:szCs w:val="16"/>
          <w:color w:val="auto"/>
        </w:rPr>
        <w:t>001-37983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104775</wp:posOffset>
            </wp:positionV>
            <wp:extent cx="3807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TechnipFMC plc</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177800</wp:posOffset>
            </wp:positionV>
            <wp:extent cx="3807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1260" w:type="dxa"/>
        <w:tblCellMar>
          <w:top w:w="0" w:type="dxa"/>
          <w:left w:w="0" w:type="dxa"/>
          <w:bottom w:w="0" w:type="dxa"/>
          <w:right w:w="0" w:type="dxa"/>
        </w:tblCellMar>
      </w:tblPr>
      <w:tr>
        <w:trPr>
          <w:trHeight w:val="215"/>
        </w:trPr>
        <w:tc>
          <w:tcPr>
            <w:tcW w:w="6120" w:type="dxa"/>
            <w:vAlign w:val="bottom"/>
          </w:tcPr>
          <w:p>
            <w:pPr>
              <w:jc w:val="center"/>
              <w:ind w:right="2806"/>
              <w:spacing w:after="0"/>
              <w:rPr>
                <w:sz w:val="20"/>
                <w:szCs w:val="20"/>
                <w:color w:val="auto"/>
              </w:rPr>
            </w:pPr>
            <w:r>
              <w:rPr>
                <w:rFonts w:ascii="Arial" w:cs="Arial" w:eastAsia="Arial" w:hAnsi="Arial"/>
                <w:sz w:val="16"/>
                <w:szCs w:val="16"/>
                <w:b w:val="1"/>
                <w:bCs w:val="1"/>
                <w:color w:val="auto"/>
              </w:rPr>
              <w:t>United Kingdom</w:t>
            </w:r>
          </w:p>
        </w:tc>
        <w:tc>
          <w:tcPr>
            <w:tcW w:w="2140" w:type="dxa"/>
            <w:vAlign w:val="bottom"/>
          </w:tcPr>
          <w:p>
            <w:pPr>
              <w:jc w:val="right"/>
              <w:ind w:right="468"/>
              <w:spacing w:after="0"/>
              <w:rPr>
                <w:sz w:val="20"/>
                <w:szCs w:val="20"/>
                <w:color w:val="auto"/>
              </w:rPr>
            </w:pPr>
            <w:r>
              <w:rPr>
                <w:rFonts w:ascii="Arial" w:cs="Arial" w:eastAsia="Arial" w:hAnsi="Arial"/>
                <w:sz w:val="16"/>
                <w:szCs w:val="16"/>
                <w:b w:val="1"/>
                <w:bCs w:val="1"/>
                <w:color w:val="auto"/>
              </w:rPr>
              <w:t>98-1283037</w:t>
            </w:r>
          </w:p>
        </w:tc>
      </w:tr>
      <w:tr>
        <w:trPr>
          <w:trHeight w:val="193"/>
        </w:trPr>
        <w:tc>
          <w:tcPr>
            <w:tcW w:w="6120" w:type="dxa"/>
            <w:vAlign w:val="bottom"/>
          </w:tcPr>
          <w:p>
            <w:pPr>
              <w:jc w:val="center"/>
              <w:ind w:right="2806"/>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2140" w:type="dxa"/>
            <w:vAlign w:val="bottom"/>
          </w:tcPr>
          <w:p>
            <w:pPr>
              <w:jc w:val="center"/>
              <w:ind w:left="128"/>
              <w:spacing w:after="0"/>
              <w:rPr>
                <w:sz w:val="20"/>
                <w:szCs w:val="20"/>
                <w:color w:val="auto"/>
              </w:rPr>
            </w:pPr>
            <w:r>
              <w:rPr>
                <w:rFonts w:ascii="Arial" w:cs="Arial" w:eastAsia="Arial" w:hAnsi="Arial"/>
                <w:sz w:val="13"/>
                <w:szCs w:val="13"/>
                <w:color w:val="auto"/>
                <w:w w:val="96"/>
              </w:rPr>
              <w:t>(I.R.S. Employer Identification No.)</w:t>
            </w:r>
          </w:p>
        </w:tc>
      </w:tr>
      <w:tr>
        <w:trPr>
          <w:trHeight w:val="469"/>
        </w:trPr>
        <w:tc>
          <w:tcPr>
            <w:tcW w:w="6120" w:type="dxa"/>
            <w:vAlign w:val="bottom"/>
          </w:tcPr>
          <w:p>
            <w:pPr>
              <w:jc w:val="center"/>
              <w:ind w:right="2806"/>
              <w:spacing w:after="0"/>
              <w:rPr>
                <w:sz w:val="20"/>
                <w:szCs w:val="20"/>
                <w:color w:val="auto"/>
              </w:rPr>
            </w:pPr>
            <w:r>
              <w:rPr>
                <w:rFonts w:ascii="Arial" w:cs="Arial" w:eastAsia="Arial" w:hAnsi="Arial"/>
                <w:sz w:val="16"/>
                <w:szCs w:val="16"/>
                <w:b w:val="1"/>
                <w:bCs w:val="1"/>
                <w:color w:val="auto"/>
              </w:rPr>
              <w:t>One St. Paul’s Churchyard</w:t>
            </w:r>
          </w:p>
        </w:tc>
        <w:tc>
          <w:tcPr>
            <w:tcW w:w="2140" w:type="dxa"/>
            <w:vAlign w:val="bottom"/>
          </w:tcPr>
          <w:p>
            <w:pPr>
              <w:spacing w:after="0"/>
              <w:rPr>
                <w:sz w:val="24"/>
                <w:szCs w:val="24"/>
                <w:color w:val="auto"/>
              </w:rPr>
            </w:pPr>
          </w:p>
        </w:tc>
      </w:tr>
      <w:tr>
        <w:trPr>
          <w:trHeight w:val="270"/>
        </w:trPr>
        <w:tc>
          <w:tcPr>
            <w:tcW w:w="6120" w:type="dxa"/>
            <w:vAlign w:val="bottom"/>
          </w:tcPr>
          <w:p>
            <w:pPr>
              <w:jc w:val="center"/>
              <w:ind w:right="2806"/>
              <w:spacing w:after="0"/>
              <w:rPr>
                <w:sz w:val="20"/>
                <w:szCs w:val="20"/>
                <w:color w:val="auto"/>
              </w:rPr>
            </w:pPr>
            <w:r>
              <w:rPr>
                <w:rFonts w:ascii="Arial" w:cs="Arial" w:eastAsia="Arial" w:hAnsi="Arial"/>
                <w:sz w:val="16"/>
                <w:szCs w:val="16"/>
                <w:b w:val="1"/>
                <w:bCs w:val="1"/>
                <w:color w:val="auto"/>
              </w:rPr>
              <w:t>London</w:t>
            </w:r>
          </w:p>
        </w:tc>
        <w:tc>
          <w:tcPr>
            <w:tcW w:w="2140" w:type="dxa"/>
            <w:vAlign w:val="bottom"/>
          </w:tcPr>
          <w:p>
            <w:pPr>
              <w:spacing w:after="0"/>
              <w:rPr>
                <w:sz w:val="23"/>
                <w:szCs w:val="23"/>
                <w:color w:val="auto"/>
              </w:rPr>
            </w:pPr>
          </w:p>
        </w:tc>
      </w:tr>
      <w:tr>
        <w:trPr>
          <w:trHeight w:val="270"/>
        </w:trPr>
        <w:tc>
          <w:tcPr>
            <w:tcW w:w="6120" w:type="dxa"/>
            <w:vAlign w:val="bottom"/>
          </w:tcPr>
          <w:p>
            <w:pPr>
              <w:jc w:val="center"/>
              <w:ind w:right="2806"/>
              <w:spacing w:after="0"/>
              <w:rPr>
                <w:sz w:val="20"/>
                <w:szCs w:val="20"/>
                <w:color w:val="auto"/>
              </w:rPr>
            </w:pPr>
            <w:r>
              <w:rPr>
                <w:rFonts w:ascii="Arial" w:cs="Arial" w:eastAsia="Arial" w:hAnsi="Arial"/>
                <w:sz w:val="16"/>
                <w:szCs w:val="16"/>
                <w:b w:val="1"/>
                <w:bCs w:val="1"/>
                <w:color w:val="auto"/>
              </w:rPr>
              <w:t>United Kingdom</w:t>
            </w:r>
          </w:p>
        </w:tc>
        <w:tc>
          <w:tcPr>
            <w:tcW w:w="2140" w:type="dxa"/>
            <w:vAlign w:val="bottom"/>
          </w:tcPr>
          <w:p>
            <w:pPr>
              <w:jc w:val="center"/>
              <w:ind w:left="148"/>
              <w:spacing w:after="0"/>
              <w:rPr>
                <w:sz w:val="20"/>
                <w:szCs w:val="20"/>
                <w:color w:val="auto"/>
              </w:rPr>
            </w:pPr>
            <w:r>
              <w:rPr>
                <w:rFonts w:ascii="Arial" w:cs="Arial" w:eastAsia="Arial" w:hAnsi="Arial"/>
                <w:sz w:val="16"/>
                <w:szCs w:val="16"/>
                <w:b w:val="1"/>
                <w:bCs w:val="1"/>
                <w:color w:val="auto"/>
                <w:w w:val="99"/>
              </w:rPr>
              <w:t>EC4M 8AP</w:t>
            </w:r>
          </w:p>
        </w:tc>
      </w:tr>
      <w:tr>
        <w:trPr>
          <w:trHeight w:val="193"/>
        </w:trPr>
        <w:tc>
          <w:tcPr>
            <w:tcW w:w="6120" w:type="dxa"/>
            <w:vAlign w:val="bottom"/>
          </w:tcPr>
          <w:p>
            <w:pPr>
              <w:jc w:val="center"/>
              <w:ind w:right="2806"/>
              <w:spacing w:after="0"/>
              <w:rPr>
                <w:sz w:val="20"/>
                <w:szCs w:val="20"/>
                <w:color w:val="auto"/>
              </w:rPr>
            </w:pPr>
            <w:r>
              <w:rPr>
                <w:rFonts w:ascii="Arial" w:cs="Arial" w:eastAsia="Arial" w:hAnsi="Arial"/>
                <w:sz w:val="13"/>
                <w:szCs w:val="13"/>
                <w:color w:val="auto"/>
                <w:w w:val="97"/>
              </w:rPr>
              <w:t>(Address of principal executive offices)</w:t>
            </w:r>
          </w:p>
        </w:tc>
        <w:tc>
          <w:tcPr>
            <w:tcW w:w="2140" w:type="dxa"/>
            <w:vAlign w:val="bottom"/>
          </w:tcPr>
          <w:p>
            <w:pPr>
              <w:jc w:val="center"/>
              <w:ind w:left="148"/>
              <w:spacing w:after="0"/>
              <w:rPr>
                <w:sz w:val="20"/>
                <w:szCs w:val="20"/>
                <w:color w:val="auto"/>
              </w:rPr>
            </w:pPr>
            <w:r>
              <w:rPr>
                <w:rFonts w:ascii="Arial" w:cs="Arial" w:eastAsia="Arial" w:hAnsi="Arial"/>
                <w:sz w:val="13"/>
                <w:szCs w:val="13"/>
                <w:color w:val="auto"/>
                <w:w w:val="97"/>
              </w:rPr>
              <w:t>(Zip Code)</w:t>
            </w:r>
          </w:p>
        </w:tc>
      </w:tr>
      <w:tr>
        <w:trPr>
          <w:trHeight w:val="186"/>
        </w:trPr>
        <w:tc>
          <w:tcPr>
            <w:tcW w:w="6120" w:type="dxa"/>
            <w:vAlign w:val="bottom"/>
          </w:tcPr>
          <w:p>
            <w:pPr>
              <w:jc w:val="right"/>
              <w:ind w:right="926"/>
              <w:spacing w:after="0"/>
              <w:rPr>
                <w:sz w:val="20"/>
                <w:szCs w:val="20"/>
                <w:color w:val="auto"/>
              </w:rPr>
            </w:pPr>
            <w:r>
              <w:rPr>
                <w:rFonts w:ascii="Arial" w:cs="Arial" w:eastAsia="Arial" w:hAnsi="Arial"/>
                <w:sz w:val="16"/>
                <w:szCs w:val="16"/>
                <w:b w:val="1"/>
                <w:bCs w:val="1"/>
                <w:color w:val="auto"/>
              </w:rPr>
              <w:t>+44 203-429-3950</w:t>
            </w:r>
          </w:p>
        </w:tc>
        <w:tc>
          <w:tcPr>
            <w:tcW w:w="2140" w:type="dxa"/>
            <w:vAlign w:val="bottom"/>
          </w:tcPr>
          <w:p>
            <w:pPr>
              <w:spacing w:after="0"/>
              <w:rPr>
                <w:sz w:val="16"/>
                <w:szCs w:val="16"/>
                <w:color w:val="auto"/>
              </w:rPr>
            </w:pPr>
          </w:p>
        </w:tc>
      </w:tr>
      <w:tr>
        <w:trPr>
          <w:trHeight w:val="132"/>
        </w:trPr>
        <w:tc>
          <w:tcPr>
            <w:tcW w:w="6120" w:type="dxa"/>
            <w:vAlign w:val="bottom"/>
          </w:tcPr>
          <w:p>
            <w:pPr>
              <w:jc w:val="center"/>
              <w:ind w:left="2726"/>
              <w:spacing w:after="0" w:line="133" w:lineRule="exact"/>
              <w:rPr>
                <w:sz w:val="20"/>
                <w:szCs w:val="20"/>
                <w:color w:val="auto"/>
              </w:rPr>
            </w:pPr>
            <w:r>
              <w:rPr>
                <w:rFonts w:ascii="Arial" w:cs="Arial" w:eastAsia="Arial" w:hAnsi="Arial"/>
                <w:sz w:val="13"/>
                <w:szCs w:val="13"/>
                <w:color w:val="auto"/>
                <w:w w:val="96"/>
              </w:rPr>
              <w:t>(Registrant’s telephone number, including area code)</w:t>
            </w:r>
          </w:p>
        </w:tc>
        <w:tc>
          <w:tcPr>
            <w:tcW w:w="2140" w:type="dxa"/>
            <w:vAlign w:val="bottom"/>
          </w:tcPr>
          <w:p>
            <w:pPr>
              <w:spacing w:after="0"/>
              <w:rPr>
                <w:sz w:val="11"/>
                <w:szCs w:val="11"/>
                <w:color w:val="auto"/>
              </w:rPr>
            </w:pPr>
          </w:p>
        </w:tc>
      </w:tr>
    </w:tbl>
    <w:p>
      <w:pPr>
        <w:ind w:left="3560"/>
        <w:spacing w:after="0"/>
        <w:rPr>
          <w:sz w:val="20"/>
          <w:szCs w:val="20"/>
          <w:color w:val="auto"/>
        </w:rPr>
      </w:pPr>
      <w:r>
        <w:rPr>
          <w:rFonts w:ascii="Arial" w:cs="Arial" w:eastAsia="Arial" w:hAnsi="Arial"/>
          <w:sz w:val="14"/>
          <w:szCs w:val="14"/>
          <w:color w:val="auto"/>
        </w:rPr>
        <w:t>______________________________________________________</w:t>
      </w:r>
    </w:p>
    <w:p>
      <w:pPr>
        <w:spacing w:after="0" w:line="15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340"/>
          </w:cols>
          <w:pgMar w:left="240" w:top="987" w:right="319" w:bottom="532" w:gutter="0" w:footer="0" w:header="0"/>
          <w:type w:val="continuous"/>
        </w:sectPr>
      </w:pPr>
    </w:p>
    <w:p>
      <w:pPr>
        <w:spacing w:after="0" w:line="55" w:lineRule="exact"/>
        <w:rPr>
          <w:sz w:val="24"/>
          <w:szCs w:val="24"/>
          <w:color w:val="auto"/>
        </w:rPr>
      </w:pPr>
    </w:p>
    <w:p>
      <w:pPr>
        <w:ind w:left="17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520" w:space="720"/>
            <w:col w:w="1600" w:space="720"/>
            <w:col w:w="3780"/>
          </w:cols>
          <w:pgMar w:left="240" w:top="987" w:right="319" w:bottom="532" w:gutter="0" w:footer="0" w:header="0"/>
          <w:type w:val="continuous"/>
        </w:sectPr>
      </w:pPr>
    </w:p>
    <w:p>
      <w:pPr>
        <w:ind w:left="100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37" w:lineRule="exact"/>
        <w:rPr>
          <w:sz w:val="24"/>
          <w:szCs w:val="24"/>
          <w:color w:val="auto"/>
        </w:rPr>
      </w:pPr>
    </w:p>
    <w:p>
      <w:pPr>
        <w:sectPr>
          <w:pgSz w:w="11900" w:h="16838" w:orient="portrait"/>
          <w:cols w:equalWidth="0" w:num="3">
            <w:col w:w="4960" w:space="720"/>
            <w:col w:w="1880" w:space="720"/>
            <w:col w:w="3060"/>
          </w:cols>
          <w:pgMar w:left="240" w:top="987" w:right="319" w:bottom="532" w:gutter="0" w:footer="0" w:header="0"/>
          <w:type w:val="continuous"/>
        </w:sectPr>
      </w:pPr>
    </w:p>
    <w:p>
      <w:pPr>
        <w:jc w:val="center"/>
        <w:ind w:right="-7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206375</wp:posOffset>
            </wp:positionV>
            <wp:extent cx="3807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319" w:lineRule="exact"/>
        <w:rPr>
          <w:sz w:val="24"/>
          <w:szCs w:val="24"/>
          <w:color w:val="auto"/>
        </w:rPr>
      </w:pPr>
    </w:p>
    <w:p>
      <w:pPr>
        <w:ind w:left="440" w:right="1280" w:hanging="26"/>
        <w:spacing w:after="0" w:line="24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Arial" w:cs="Arial" w:eastAsia="Arial" w:hAnsi="Arial"/>
          <w:sz w:val="18"/>
          <w:szCs w:val="18"/>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sz w:val="20"/>
          <w:szCs w:val="20"/>
          <w:color w:val="auto"/>
        </w:rPr>
        <w:t xml:space="preserve"> </w:t>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8"/>
          <w:szCs w:val="18"/>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8" w:lineRule="exact"/>
        <w:rPr>
          <w:sz w:val="24"/>
          <w:szCs w:val="24"/>
          <w:color w:val="auto"/>
        </w:rPr>
      </w:pPr>
    </w:p>
    <w:p>
      <w:pPr>
        <w:ind w:right="120" w:firstLine="432"/>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4"/>
          <w:szCs w:val="14"/>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 w:lineRule="exact"/>
        <w:rPr>
          <w:sz w:val="24"/>
          <w:szCs w:val="24"/>
          <w:color w:val="auto"/>
        </w:rPr>
      </w:pPr>
    </w:p>
    <w:p>
      <w:pPr>
        <w:ind w:right="140" w:firstLine="432"/>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4"/>
          <w:szCs w:val="14"/>
          <w:color w:val="auto"/>
        </w:rPr>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No</w:t>
      </w:r>
      <w:r>
        <w:rPr>
          <w:rFonts w:ascii="Arial" w:cs="Arial" w:eastAsia="Arial" w:hAnsi="Arial"/>
          <w:sz w:val="14"/>
          <w:szCs w:val="14"/>
          <w:color w:val="auto"/>
        </w:rPr>
        <w:t xml:space="preserve"> </w:t>
      </w:r>
      <w:r>
        <w:rPr>
          <w:rFonts w:ascii="MS PGothic" w:cs="MS PGothic" w:eastAsia="MS PGothic" w:hAnsi="MS PGothic"/>
          <w:sz w:val="16"/>
          <w:szCs w:val="16"/>
          <w:color w:val="auto"/>
        </w:rPr>
        <w:t>☐</w:t>
      </w:r>
    </w:p>
    <w:p>
      <w:pPr>
        <w:spacing w:after="0" w:line="5" w:lineRule="exact"/>
        <w:rPr>
          <w:sz w:val="24"/>
          <w:szCs w:val="24"/>
          <w:color w:val="auto"/>
        </w:rPr>
      </w:pPr>
    </w:p>
    <w:p>
      <w:pPr>
        <w:jc w:val="both"/>
        <w:ind w:right="20" w:firstLine="432"/>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6" w:lineRule="exact"/>
        <w:rPr>
          <w:sz w:val="24"/>
          <w:szCs w:val="24"/>
          <w:color w:val="auto"/>
        </w:rPr>
      </w:pPr>
    </w:p>
    <w:tbl>
      <w:tblPr>
        <w:tblLayout w:type="fixed"/>
        <w:tblInd w:w="6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50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33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50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900" w:type="dxa"/>
            <w:vAlign w:val="bottom"/>
          </w:tcPr>
          <w:p>
            <w:pPr>
              <w:ind w:left="250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41" w:lineRule="exact"/>
        <w:rPr>
          <w:sz w:val="24"/>
          <w:szCs w:val="24"/>
          <w:color w:val="auto"/>
        </w:rPr>
      </w:pPr>
    </w:p>
    <w:p>
      <w:pPr>
        <w:ind w:right="120" w:firstLine="648"/>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440"/>
        <w:spacing w:after="0" w:line="184" w:lineRule="exact"/>
        <w:tabs>
          <w:tab w:leader="none" w:pos="85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1" w:lineRule="exact"/>
        <w:rPr>
          <w:sz w:val="24"/>
          <w:szCs w:val="24"/>
          <w:color w:val="auto"/>
        </w:rPr>
      </w:pPr>
    </w:p>
    <w:p>
      <w:pPr>
        <w:ind w:right="120" w:firstLine="432"/>
        <w:spacing w:after="0" w:line="260" w:lineRule="auto"/>
        <w:rPr>
          <w:sz w:val="20"/>
          <w:szCs w:val="20"/>
          <w:color w:val="auto"/>
        </w:rPr>
      </w:pPr>
      <w:r>
        <w:rPr>
          <w:rFonts w:ascii="Arial" w:cs="Arial" w:eastAsia="Arial" w:hAnsi="Arial"/>
          <w:sz w:val="16"/>
          <w:szCs w:val="16"/>
          <w:color w:val="auto"/>
        </w:rPr>
        <w:t>The aggregate market value of the registrant’s ordinary shares held by non-affiliates of the registrant, determined by multiplying the outstanding shares on June 28, 2019, by the closing price on such day of $25.94 as reported on the New York Stock Exchange, was $8.4 billion.</w:t>
      </w:r>
    </w:p>
    <w:p>
      <w:pPr>
        <w:spacing w:after="0" w:line="261" w:lineRule="exact"/>
        <w:rPr>
          <w:sz w:val="24"/>
          <w:szCs w:val="24"/>
          <w:color w:val="auto"/>
        </w:rPr>
      </w:pPr>
    </w:p>
    <w:tbl>
      <w:tblPr>
        <w:tblLayout w:type="fixed"/>
        <w:tblInd w:w="74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3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Outstanding at February 25, 2020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10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rPr>
              <w:t>Ordinary shares, $1.00 par value per share</w:t>
            </w:r>
          </w:p>
        </w:tc>
        <w:tc>
          <w:tcPr>
            <w:tcW w:w="5480" w:type="dxa"/>
            <w:vAlign w:val="bottom"/>
            <w:gridSpan w:val="3"/>
            <w:vMerge w:val="restart"/>
          </w:tcPr>
          <w:p>
            <w:pPr>
              <w:jc w:val="right"/>
              <w:spacing w:after="0"/>
              <w:rPr>
                <w:sz w:val="20"/>
                <w:szCs w:val="20"/>
                <w:color w:val="auto"/>
              </w:rPr>
            </w:pPr>
            <w:r>
              <w:rPr>
                <w:rFonts w:ascii="Arial" w:cs="Arial" w:eastAsia="Arial" w:hAnsi="Arial"/>
                <w:sz w:val="16"/>
                <w:szCs w:val="16"/>
                <w:color w:val="auto"/>
              </w:rPr>
              <w:t>447,064,767</w:t>
            </w:r>
          </w:p>
        </w:tc>
        <w:tc>
          <w:tcPr>
            <w:tcW w:w="0" w:type="dxa"/>
            <w:vAlign w:val="bottom"/>
          </w:tcPr>
          <w:p>
            <w:pPr>
              <w:spacing w:after="0"/>
              <w:rPr>
                <w:sz w:val="1"/>
                <w:szCs w:val="1"/>
                <w:color w:val="auto"/>
              </w:rPr>
            </w:pPr>
          </w:p>
        </w:tc>
      </w:tr>
      <w:tr>
        <w:trPr>
          <w:trHeight w:val="101"/>
        </w:trPr>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4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4"/>
          <w:szCs w:val="24"/>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Portions of the registrant’s definitive Proxy Statement relating to its 2020 Annual General Meeting of Shareholders are incorporated by reference into Part III of this Annual Report on Form 10-K where indicated. The 2020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87" w:right="319" w:bottom="53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80" w:type="dxa"/>
            <w:vAlign w:val="bottom"/>
            <w:gridSpan w:val="6"/>
          </w:tcPr>
          <w:p>
            <w:pPr>
              <w:ind w:left="3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5"/>
            <w:shd w:val="clear" w:color="auto" w:fill="CCEEFF"/>
          </w:tcPr>
          <w:p>
            <w:pPr>
              <w:ind w:left="100"/>
              <w:spacing w:after="0"/>
              <w:rPr>
                <w:sz w:val="20"/>
                <w:szCs w:val="20"/>
                <w:color w:val="auto"/>
              </w:rPr>
            </w:pPr>
            <w:r>
              <w:rPr>
                <w:rFonts w:ascii="Arial" w:cs="Arial" w:eastAsia="Arial" w:hAnsi="Arial"/>
                <w:sz w:val="14"/>
                <w:szCs w:val="14"/>
                <w:b w:val="1"/>
                <w:bCs w:val="1"/>
                <w:color w:val="auto"/>
              </w:rPr>
              <w:t>Page</w:t>
            </w:r>
          </w:p>
        </w:tc>
      </w:tr>
      <w:tr>
        <w:trPr>
          <w:trHeight w:val="258"/>
        </w:trPr>
        <w:tc>
          <w:tcPr>
            <w:tcW w:w="40" w:type="dxa"/>
            <w:vAlign w:val="bottom"/>
          </w:tcPr>
          <w:p>
            <w:pPr>
              <w:spacing w:after="0"/>
              <w:rPr>
                <w:sz w:val="22"/>
                <w:szCs w:val="22"/>
                <w:color w:val="auto"/>
              </w:rPr>
            </w:pPr>
          </w:p>
        </w:tc>
        <w:tc>
          <w:tcPr>
            <w:tcW w:w="10820" w:type="dxa"/>
            <w:vAlign w:val="bottom"/>
            <w:gridSpan w:val="24"/>
          </w:tcPr>
          <w:p>
            <w:pPr>
              <w:spacing w:after="0"/>
              <w:rPr>
                <w:sz w:val="20"/>
                <w:szCs w:val="20"/>
                <w:color w:val="auto"/>
              </w:rPr>
            </w:pPr>
            <w:r>
              <w:rPr>
                <w:rFonts w:ascii="Arial" w:cs="Arial" w:eastAsia="Arial" w:hAnsi="Arial"/>
                <w:sz w:val="14"/>
                <w:szCs w:val="14"/>
                <w:b w:val="1"/>
                <w:bCs w:val="1"/>
                <w:color w:val="auto"/>
              </w:rPr>
              <w:t>PART I</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2"/>
        </w:trPr>
        <w:tc>
          <w:tcPr>
            <w:tcW w:w="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Item 1. Business</w:t>
              </w:r>
            </w:hyperlink>
          </w:p>
        </w:tc>
        <w:tc>
          <w:tcPr>
            <w:tcW w:w="9760" w:type="dxa"/>
            <w:vAlign w:val="bottom"/>
            <w:gridSpan w:val="22"/>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22">
              <w:r>
                <w:rPr>
                  <w:rFonts w:ascii="Arial" w:cs="Arial" w:eastAsia="Arial" w:hAnsi="Arial"/>
                  <w:sz w:val="14"/>
                  <w:szCs w:val="14"/>
                  <w:color w:val="0000EE"/>
                </w:rPr>
                <w:t>Executive Officers of the Registrant</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22">
              <w:r>
                <w:rPr>
                  <w:rFonts w:ascii="Arial" w:cs="Arial" w:eastAsia="Arial" w:hAnsi="Arial"/>
                  <w:sz w:val="14"/>
                  <w:szCs w:val="14"/>
                  <w:color w:val="0000EE"/>
                </w:rPr>
                <w:t>22</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Item 1A. Risk Factors</w:t>
              </w:r>
            </w:hyperlink>
          </w:p>
        </w:tc>
        <w:tc>
          <w:tcPr>
            <w:tcW w:w="9440" w:type="dxa"/>
            <w:vAlign w:val="bottom"/>
            <w:gridSpan w:val="20"/>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23">
              <w:r>
                <w:rPr>
                  <w:rFonts w:ascii="Arial" w:cs="Arial" w:eastAsia="Arial" w:hAnsi="Arial"/>
                  <w:sz w:val="14"/>
                  <w:szCs w:val="14"/>
                  <w:color w:val="0000EE"/>
                </w:rPr>
                <w:t>23</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Item 1B. Unresolved Staff Comments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34">
              <w:r>
                <w:rPr>
                  <w:rFonts w:ascii="Arial" w:cs="Arial" w:eastAsia="Arial" w:hAnsi="Arial"/>
                  <w:sz w:val="14"/>
                  <w:szCs w:val="14"/>
                  <w:color w:val="0000EE"/>
                </w:rPr>
                <w:t>34</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spacing w:after="0"/>
              <w:rPr>
                <w:rFonts w:ascii="Arial" w:cs="Arial" w:eastAsia="Arial" w:hAnsi="Arial"/>
                <w:sz w:val="14"/>
                <w:szCs w:val="14"/>
                <w:color w:val="0000EE"/>
              </w:rPr>
            </w:pPr>
            <w:hyperlink w:anchor="page35">
              <w:r>
                <w:rPr>
                  <w:rFonts w:ascii="Arial" w:cs="Arial" w:eastAsia="Arial" w:hAnsi="Arial"/>
                  <w:sz w:val="14"/>
                  <w:szCs w:val="14"/>
                  <w:color w:val="0000EE"/>
                </w:rPr>
                <w:t>Item 2. Properties</w:t>
              </w:r>
            </w:hyperlink>
          </w:p>
        </w:tc>
        <w:tc>
          <w:tcPr>
            <w:tcW w:w="9680" w:type="dxa"/>
            <w:vAlign w:val="bottom"/>
            <w:gridSpan w:val="21"/>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35">
              <w:r>
                <w:rPr>
                  <w:rFonts w:ascii="Arial" w:cs="Arial" w:eastAsia="Arial" w:hAnsi="Arial"/>
                  <w:sz w:val="14"/>
                  <w:szCs w:val="14"/>
                  <w:color w:val="0000EE"/>
                </w:rPr>
                <w:t>35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Item 3. Legal Proceedings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37">
              <w:r>
                <w:rPr>
                  <w:rFonts w:ascii="Arial" w:cs="Arial" w:eastAsia="Arial" w:hAnsi="Arial"/>
                  <w:sz w:val="14"/>
                  <w:szCs w:val="14"/>
                  <w:color w:val="0000EE"/>
                </w:rPr>
                <w:t>37</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2020" w:type="dxa"/>
            <w:vAlign w:val="bottom"/>
            <w:gridSpan w:val="9"/>
            <w:shd w:val="clear" w:color="auto" w:fill="CCEEFF"/>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Item 4. Mine Safety Disclosures</w:t>
              </w:r>
            </w:hyperlink>
          </w:p>
        </w:tc>
        <w:tc>
          <w:tcPr>
            <w:tcW w:w="8800" w:type="dxa"/>
            <w:vAlign w:val="bottom"/>
            <w:gridSpan w:val="15"/>
            <w:shd w:val="clear" w:color="auto" w:fill="CCEEFF"/>
          </w:tcPr>
          <w:p>
            <w:pPr>
              <w:spacing w:after="0"/>
              <w:rPr>
                <w:sz w:val="17"/>
                <w:szCs w:val="17"/>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37">
              <w:r>
                <w:rPr>
                  <w:rFonts w:ascii="Arial" w:cs="Arial" w:eastAsia="Arial" w:hAnsi="Arial"/>
                  <w:sz w:val="14"/>
                  <w:szCs w:val="14"/>
                  <w:color w:val="0000EE"/>
                </w:rPr>
                <w:t>37</w:t>
              </w:r>
            </w:hyperlink>
          </w:p>
        </w:tc>
      </w:tr>
      <w:tr>
        <w:trPr>
          <w:trHeight w:val="264"/>
        </w:trPr>
        <w:tc>
          <w:tcPr>
            <w:tcW w:w="40" w:type="dxa"/>
            <w:vAlign w:val="bottom"/>
            <w:tcBorders>
              <w:top w:val="single" w:sz="8" w:color="CCEEFF"/>
            </w:tcBorders>
          </w:tcPr>
          <w:p>
            <w:pPr>
              <w:spacing w:after="0"/>
              <w:rPr>
                <w:sz w:val="22"/>
                <w:szCs w:val="22"/>
                <w:color w:val="auto"/>
              </w:rPr>
            </w:pPr>
          </w:p>
        </w:tc>
        <w:tc>
          <w:tcPr>
            <w:tcW w:w="2020" w:type="dxa"/>
            <w:vAlign w:val="bottom"/>
            <w:tcBorders>
              <w:top w:val="single" w:sz="8" w:color="0000EE"/>
            </w:tcBorders>
            <w:gridSpan w:val="9"/>
          </w:tcPr>
          <w:p>
            <w:pPr>
              <w:spacing w:after="0"/>
              <w:rPr>
                <w:sz w:val="20"/>
                <w:szCs w:val="20"/>
                <w:color w:val="auto"/>
              </w:rPr>
            </w:pPr>
            <w:r>
              <w:rPr>
                <w:rFonts w:ascii="Arial" w:cs="Arial" w:eastAsia="Arial" w:hAnsi="Arial"/>
                <w:sz w:val="14"/>
                <w:szCs w:val="14"/>
                <w:b w:val="1"/>
                <w:bCs w:val="1"/>
                <w:color w:val="auto"/>
              </w:rPr>
              <w:t>PART II</w:t>
            </w:r>
          </w:p>
        </w:tc>
        <w:tc>
          <w:tcPr>
            <w:tcW w:w="8800" w:type="dxa"/>
            <w:vAlign w:val="bottom"/>
            <w:tcBorders>
              <w:top w:val="single" w:sz="8" w:color="CCEEFF"/>
            </w:tcBorders>
            <w:gridSpan w:val="15"/>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r>
      <w:tr>
        <w:trPr>
          <w:trHeight w:val="182"/>
        </w:trPr>
        <w:tc>
          <w:tcPr>
            <w:tcW w:w="40" w:type="dxa"/>
            <w:vAlign w:val="bottom"/>
            <w:shd w:val="clear" w:color="auto" w:fill="CCEEFF"/>
          </w:tcPr>
          <w:p>
            <w:pPr>
              <w:spacing w:after="0"/>
              <w:rPr>
                <w:sz w:val="15"/>
                <w:szCs w:val="15"/>
                <w:color w:val="auto"/>
              </w:rPr>
            </w:pPr>
          </w:p>
        </w:tc>
        <w:tc>
          <w:tcPr>
            <w:tcW w:w="7580" w:type="dxa"/>
            <w:vAlign w:val="bottom"/>
            <w:gridSpan w:val="23"/>
            <w:shd w:val="clear" w:color="auto" w:fill="CCEEFF"/>
          </w:tcPr>
          <w:p>
            <w:pPr>
              <w:spacing w:after="0"/>
              <w:rPr>
                <w:rFonts w:ascii="Arial" w:cs="Arial" w:eastAsia="Arial" w:hAnsi="Arial"/>
                <w:sz w:val="14"/>
                <w:szCs w:val="14"/>
                <w:color w:val="0000EE"/>
              </w:rPr>
            </w:pPr>
            <w:hyperlink w:anchor="page38">
              <w:r>
                <w:rPr>
                  <w:rFonts w:ascii="Arial" w:cs="Arial" w:eastAsia="Arial" w:hAnsi="Arial"/>
                  <w:sz w:val="14"/>
                  <w:szCs w:val="14"/>
                  <w:color w:val="0000EE"/>
                </w:rPr>
                <w:t>Item 5. Market for Registrant’s Common Equity, Related Stockholder Matters and Issuer Purchases of Equity Securities</w:t>
              </w:r>
            </w:hyperlink>
          </w:p>
        </w:tc>
        <w:tc>
          <w:tcPr>
            <w:tcW w:w="3240" w:type="dxa"/>
            <w:vAlign w:val="bottom"/>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38">
              <w:r>
                <w:rPr>
                  <w:rFonts w:ascii="Arial" w:cs="Arial" w:eastAsia="Arial" w:hAnsi="Arial"/>
                  <w:sz w:val="14"/>
                  <w:szCs w:val="14"/>
                  <w:color w:val="0000EE"/>
                </w:rPr>
                <w:t>38</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580" w:type="dxa"/>
            <w:vAlign w:val="bottom"/>
            <w:gridSpan w:val="23"/>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Item 6. Selected Financial Data</w:t>
              </w:r>
            </w:hyperlink>
          </w:p>
        </w:tc>
        <w:tc>
          <w:tcPr>
            <w:tcW w:w="3240" w:type="dxa"/>
            <w:vAlign w:val="bottom"/>
          </w:tcPr>
          <w:p>
            <w:pPr>
              <w:spacing w:after="0"/>
              <w:rPr>
                <w:sz w:val="15"/>
                <w:szCs w:val="15"/>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40">
              <w:r>
                <w:rPr>
                  <w:rFonts w:ascii="Arial" w:cs="Arial" w:eastAsia="Arial" w:hAnsi="Arial"/>
                  <w:sz w:val="14"/>
                  <w:szCs w:val="14"/>
                  <w:color w:val="0000EE"/>
                </w:rPr>
                <w:t>40</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6140" w:type="dxa"/>
            <w:vAlign w:val="bottom"/>
            <w:gridSpan w:val="20"/>
            <w:shd w:val="clear" w:color="auto" w:fill="CCEEFF"/>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Item 7. Management’s Discussion and Analysis of Financial Condition and Results of Operations</w:t>
              </w:r>
            </w:hyperlink>
          </w:p>
        </w:tc>
        <w:tc>
          <w:tcPr>
            <w:tcW w:w="4680" w:type="dxa"/>
            <w:vAlign w:val="bottom"/>
            <w:gridSpan w:val="4"/>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1">
              <w:r>
                <w:rPr>
                  <w:rFonts w:ascii="Arial" w:cs="Arial" w:eastAsia="Arial" w:hAnsi="Arial"/>
                  <w:sz w:val="14"/>
                  <w:szCs w:val="14"/>
                  <w:color w:val="0000EE"/>
                </w:rPr>
                <w:t>41</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6140" w:type="dxa"/>
            <w:vAlign w:val="bottom"/>
            <w:gridSpan w:val="20"/>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Item 7A. Quantitative and Qualitative Disclosures About Market Risk</w:t>
              </w:r>
            </w:hyperlink>
          </w:p>
        </w:tc>
        <w:tc>
          <w:tcPr>
            <w:tcW w:w="4680" w:type="dxa"/>
            <w:vAlign w:val="bottom"/>
            <w:gridSpan w:val="4"/>
          </w:tcPr>
          <w:p>
            <w:pPr>
              <w:spacing w:after="0"/>
              <w:rPr>
                <w:sz w:val="15"/>
                <w:szCs w:val="15"/>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62">
              <w:r>
                <w:rPr>
                  <w:rFonts w:ascii="Arial" w:cs="Arial" w:eastAsia="Arial" w:hAnsi="Arial"/>
                  <w:sz w:val="14"/>
                  <w:szCs w:val="14"/>
                  <w:color w:val="0000EE"/>
                </w:rPr>
                <w:t>62</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460" w:type="dxa"/>
            <w:vAlign w:val="bottom"/>
            <w:gridSpan w:val="16"/>
            <w:shd w:val="clear" w:color="auto" w:fill="CCEEFF"/>
          </w:tcPr>
          <w:p>
            <w:pPr>
              <w:spacing w:after="0"/>
              <w:rPr>
                <w:rFonts w:ascii="Arial" w:cs="Arial" w:eastAsia="Arial" w:hAnsi="Arial"/>
                <w:sz w:val="14"/>
                <w:szCs w:val="14"/>
                <w:color w:val="0000EE"/>
              </w:rPr>
            </w:pPr>
            <w:hyperlink w:anchor="page64">
              <w:r>
                <w:rPr>
                  <w:rFonts w:ascii="Arial" w:cs="Arial" w:eastAsia="Arial" w:hAnsi="Arial"/>
                  <w:sz w:val="14"/>
                  <w:szCs w:val="14"/>
                  <w:color w:val="0000EE"/>
                </w:rPr>
                <w:t>Item 8. Financial Statements and Supplementary Data</w:t>
              </w:r>
            </w:hyperlink>
          </w:p>
        </w:tc>
        <w:tc>
          <w:tcPr>
            <w:tcW w:w="7360" w:type="dxa"/>
            <w:vAlign w:val="bottom"/>
            <w:gridSpan w:val="8"/>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64">
              <w:r>
                <w:rPr>
                  <w:rFonts w:ascii="Arial" w:cs="Arial" w:eastAsia="Arial" w:hAnsi="Arial"/>
                  <w:sz w:val="14"/>
                  <w:szCs w:val="14"/>
                  <w:color w:val="0000EE"/>
                </w:rPr>
                <w:t>64</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132">
              <w:r>
                <w:rPr>
                  <w:rFonts w:ascii="Arial" w:cs="Arial" w:eastAsia="Arial" w:hAnsi="Arial"/>
                  <w:sz w:val="14"/>
                  <w:szCs w:val="14"/>
                  <w:color w:val="0000EE"/>
                </w:rPr>
                <w:t>Item 9. Changes in and Disagreements with Accountants on Accounting and Financial Disclosure</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32">
              <w:r>
                <w:rPr>
                  <w:rFonts w:ascii="Arial" w:cs="Arial" w:eastAsia="Arial" w:hAnsi="Arial"/>
                  <w:sz w:val="14"/>
                  <w:szCs w:val="14"/>
                  <w:color w:val="0000EE"/>
                </w:rPr>
                <w:t>132</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0820" w:type="dxa"/>
            <w:vAlign w:val="bottom"/>
            <w:gridSpan w:val="24"/>
            <w:shd w:val="clear" w:color="auto" w:fill="CCEEFF"/>
          </w:tcPr>
          <w:p>
            <w:pPr>
              <w:spacing w:after="0"/>
              <w:rPr>
                <w:rFonts w:ascii="Arial" w:cs="Arial" w:eastAsia="Arial" w:hAnsi="Arial"/>
                <w:sz w:val="14"/>
                <w:szCs w:val="14"/>
                <w:color w:val="0000EE"/>
              </w:rPr>
            </w:pPr>
            <w:hyperlink w:anchor="page132">
              <w:r>
                <w:rPr>
                  <w:rFonts w:ascii="Arial" w:cs="Arial" w:eastAsia="Arial" w:hAnsi="Arial"/>
                  <w:sz w:val="14"/>
                  <w:szCs w:val="14"/>
                  <w:color w:val="0000EE"/>
                </w:rPr>
                <w:t>Item 9A. Controls and Procedures</w:t>
              </w:r>
            </w:hyperlink>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132">
              <w:r>
                <w:rPr>
                  <w:rFonts w:ascii="Arial" w:cs="Arial" w:eastAsia="Arial" w:hAnsi="Arial"/>
                  <w:sz w:val="14"/>
                  <w:szCs w:val="14"/>
                  <w:color w:val="0000EE"/>
                </w:rPr>
                <w:t>132</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160" w:type="dxa"/>
            <w:vAlign w:val="bottom"/>
            <w:gridSpan w:val="11"/>
          </w:tcPr>
          <w:p>
            <w:pPr>
              <w:spacing w:after="0"/>
              <w:rPr>
                <w:rFonts w:ascii="Arial" w:cs="Arial" w:eastAsia="Arial" w:hAnsi="Arial"/>
                <w:sz w:val="14"/>
                <w:szCs w:val="14"/>
                <w:color w:val="0000EE"/>
              </w:rPr>
            </w:pPr>
            <w:hyperlink w:anchor="page133">
              <w:r>
                <w:rPr>
                  <w:rFonts w:ascii="Arial" w:cs="Arial" w:eastAsia="Arial" w:hAnsi="Arial"/>
                  <w:sz w:val="14"/>
                  <w:szCs w:val="14"/>
                  <w:color w:val="0000EE"/>
                </w:rPr>
                <w:t>Item 9B. Other Information</w:t>
              </w:r>
            </w:hyperlink>
          </w:p>
        </w:tc>
        <w:tc>
          <w:tcPr>
            <w:tcW w:w="8660" w:type="dxa"/>
            <w:vAlign w:val="bottom"/>
            <w:gridSpan w:val="13"/>
          </w:tcPr>
          <w:p>
            <w:pPr>
              <w:spacing w:after="0"/>
              <w:rPr>
                <w:sz w:val="15"/>
                <w:szCs w:val="15"/>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133">
              <w:r>
                <w:rPr>
                  <w:rFonts w:ascii="Arial" w:cs="Arial" w:eastAsia="Arial" w:hAnsi="Arial"/>
                  <w:sz w:val="14"/>
                  <w:szCs w:val="14"/>
                  <w:color w:val="0000EE"/>
                </w:rPr>
                <w:t>133</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0820" w:type="dxa"/>
            <w:vAlign w:val="bottom"/>
            <w:gridSpan w:val="24"/>
            <w:shd w:val="clear" w:color="auto" w:fill="CCEEFF"/>
          </w:tcPr>
          <w:p>
            <w:pPr>
              <w:spacing w:after="0"/>
              <w:rPr>
                <w:sz w:val="20"/>
                <w:szCs w:val="20"/>
                <w:color w:val="auto"/>
              </w:rPr>
            </w:pPr>
            <w:r>
              <w:rPr>
                <w:rFonts w:ascii="Arial" w:cs="Arial" w:eastAsia="Arial" w:hAnsi="Arial"/>
                <w:sz w:val="14"/>
                <w:szCs w:val="14"/>
                <w:b w:val="1"/>
                <w:bCs w:val="1"/>
                <w:color w:val="auto"/>
              </w:rPr>
              <w:t>PART III</w:t>
            </w: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134">
              <w:r>
                <w:rPr>
                  <w:rFonts w:ascii="Arial" w:cs="Arial" w:eastAsia="Arial" w:hAnsi="Arial"/>
                  <w:sz w:val="14"/>
                  <w:szCs w:val="14"/>
                  <w:color w:val="0000EE"/>
                </w:rPr>
                <w:t>Item 10. Directors, Executive Officers and Corporate Governance</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34">
              <w:r>
                <w:rPr>
                  <w:rFonts w:ascii="Arial" w:cs="Arial" w:eastAsia="Arial" w:hAnsi="Arial"/>
                  <w:sz w:val="14"/>
                  <w:szCs w:val="14"/>
                  <w:color w:val="0000EE"/>
                </w:rPr>
                <w:t>134</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0820" w:type="dxa"/>
            <w:vAlign w:val="bottom"/>
            <w:gridSpan w:val="24"/>
            <w:shd w:val="clear" w:color="auto" w:fill="CCEEFF"/>
          </w:tcPr>
          <w:p>
            <w:pPr>
              <w:spacing w:after="0"/>
              <w:rPr>
                <w:rFonts w:ascii="Arial" w:cs="Arial" w:eastAsia="Arial" w:hAnsi="Arial"/>
                <w:sz w:val="14"/>
                <w:szCs w:val="14"/>
                <w:color w:val="0000EE"/>
              </w:rPr>
            </w:pPr>
            <w:hyperlink w:anchor="page134">
              <w:r>
                <w:rPr>
                  <w:rFonts w:ascii="Arial" w:cs="Arial" w:eastAsia="Arial" w:hAnsi="Arial"/>
                  <w:sz w:val="14"/>
                  <w:szCs w:val="14"/>
                  <w:color w:val="0000EE"/>
                </w:rPr>
                <w:t>Item 11. Executive Compensation</w:t>
              </w:r>
            </w:hyperlink>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134">
              <w:r>
                <w:rPr>
                  <w:rFonts w:ascii="Arial" w:cs="Arial" w:eastAsia="Arial" w:hAnsi="Arial"/>
                  <w:sz w:val="14"/>
                  <w:szCs w:val="14"/>
                  <w:color w:val="0000EE"/>
                </w:rPr>
                <w:t>134</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134">
              <w:r>
                <w:rPr>
                  <w:rFonts w:ascii="Arial" w:cs="Arial" w:eastAsia="Arial" w:hAnsi="Arial"/>
                  <w:sz w:val="14"/>
                  <w:szCs w:val="14"/>
                  <w:color w:val="0000EE"/>
                </w:rPr>
                <w:t>Item 12. Security Ownership of Certain Beneficial Owners and Management and Related Stockholder Matters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34">
              <w:r>
                <w:rPr>
                  <w:rFonts w:ascii="Arial" w:cs="Arial" w:eastAsia="Arial" w:hAnsi="Arial"/>
                  <w:sz w:val="14"/>
                  <w:szCs w:val="14"/>
                  <w:color w:val="0000EE"/>
                </w:rPr>
                <w:t>134</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5420" w:type="dxa"/>
            <w:vAlign w:val="bottom"/>
            <w:gridSpan w:val="19"/>
            <w:shd w:val="clear" w:color="auto" w:fill="CCEEFF"/>
          </w:tcPr>
          <w:p>
            <w:pPr>
              <w:spacing w:after="0"/>
              <w:rPr>
                <w:rFonts w:ascii="Arial" w:cs="Arial" w:eastAsia="Arial" w:hAnsi="Arial"/>
                <w:sz w:val="14"/>
                <w:szCs w:val="14"/>
                <w:color w:val="0000EE"/>
              </w:rPr>
            </w:pPr>
            <w:hyperlink w:anchor="page135">
              <w:r>
                <w:rPr>
                  <w:rFonts w:ascii="Arial" w:cs="Arial" w:eastAsia="Arial" w:hAnsi="Arial"/>
                  <w:sz w:val="14"/>
                  <w:szCs w:val="14"/>
                  <w:color w:val="0000EE"/>
                </w:rPr>
                <w:t>Item 13. Certain Relationships and Related Transactions, and Director Independence</w:t>
              </w:r>
            </w:hyperlink>
          </w:p>
        </w:tc>
        <w:tc>
          <w:tcPr>
            <w:tcW w:w="5400" w:type="dxa"/>
            <w:vAlign w:val="bottom"/>
            <w:gridSpan w:val="5"/>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135">
              <w:r>
                <w:rPr>
                  <w:rFonts w:ascii="Arial" w:cs="Arial" w:eastAsia="Arial" w:hAnsi="Arial"/>
                  <w:sz w:val="14"/>
                  <w:szCs w:val="14"/>
                  <w:color w:val="0000EE"/>
                </w:rPr>
                <w:t>135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5420" w:type="dxa"/>
            <w:vAlign w:val="bottom"/>
            <w:gridSpan w:val="19"/>
          </w:tcPr>
          <w:p>
            <w:pPr>
              <w:spacing w:after="0"/>
              <w:rPr>
                <w:rFonts w:ascii="Arial" w:cs="Arial" w:eastAsia="Arial" w:hAnsi="Arial"/>
                <w:sz w:val="14"/>
                <w:szCs w:val="14"/>
                <w:color w:val="0000EE"/>
              </w:rPr>
            </w:pPr>
            <w:hyperlink w:anchor="page135">
              <w:r>
                <w:rPr>
                  <w:rFonts w:ascii="Arial" w:cs="Arial" w:eastAsia="Arial" w:hAnsi="Arial"/>
                  <w:sz w:val="14"/>
                  <w:szCs w:val="14"/>
                  <w:color w:val="0000EE"/>
                </w:rPr>
                <w:t>Item 14. Principal Accounting Fees and Services</w:t>
              </w:r>
            </w:hyperlink>
          </w:p>
        </w:tc>
        <w:tc>
          <w:tcPr>
            <w:tcW w:w="5400" w:type="dxa"/>
            <w:vAlign w:val="bottom"/>
            <w:gridSpan w:val="5"/>
          </w:tcPr>
          <w:p>
            <w:pPr>
              <w:spacing w:after="0"/>
              <w:rPr>
                <w:sz w:val="15"/>
                <w:szCs w:val="15"/>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135">
              <w:r>
                <w:rPr>
                  <w:rFonts w:ascii="Arial" w:cs="Arial" w:eastAsia="Arial" w:hAnsi="Arial"/>
                  <w:sz w:val="14"/>
                  <w:szCs w:val="14"/>
                  <w:color w:val="0000EE"/>
                </w:rPr>
                <w:t>135</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0820" w:type="dxa"/>
            <w:vAlign w:val="bottom"/>
            <w:gridSpan w:val="24"/>
            <w:shd w:val="clear" w:color="auto" w:fill="CCEEFF"/>
          </w:tcPr>
          <w:p>
            <w:pPr>
              <w:spacing w:after="0"/>
              <w:rPr>
                <w:sz w:val="20"/>
                <w:szCs w:val="20"/>
                <w:color w:val="auto"/>
              </w:rPr>
            </w:pPr>
            <w:r>
              <w:rPr>
                <w:rFonts w:ascii="Arial" w:cs="Arial" w:eastAsia="Arial" w:hAnsi="Arial"/>
                <w:sz w:val="14"/>
                <w:szCs w:val="14"/>
                <w:b w:val="1"/>
                <w:bCs w:val="1"/>
                <w:color w:val="auto"/>
              </w:rPr>
              <w:t>PART IV</w:t>
            </w: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136">
              <w:r>
                <w:rPr>
                  <w:rFonts w:ascii="Arial" w:cs="Arial" w:eastAsia="Arial" w:hAnsi="Arial"/>
                  <w:sz w:val="14"/>
                  <w:szCs w:val="14"/>
                  <w:color w:val="0000EE"/>
                </w:rPr>
                <w:t>Item 15. Exhibits, Financial Statement Schedules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36">
              <w:r>
                <w:rPr>
                  <w:rFonts w:ascii="Arial" w:cs="Arial" w:eastAsia="Arial" w:hAnsi="Arial"/>
                  <w:sz w:val="14"/>
                  <w:szCs w:val="14"/>
                  <w:color w:val="0000EE"/>
                </w:rPr>
                <w:t>136</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900" w:type="dxa"/>
            <w:vAlign w:val="bottom"/>
            <w:gridSpan w:val="7"/>
            <w:shd w:val="clear" w:color="auto" w:fill="CCEEFF"/>
          </w:tcPr>
          <w:p>
            <w:pPr>
              <w:spacing w:after="0"/>
              <w:rPr>
                <w:rFonts w:ascii="Arial" w:cs="Arial" w:eastAsia="Arial" w:hAnsi="Arial"/>
                <w:sz w:val="14"/>
                <w:szCs w:val="14"/>
                <w:color w:val="0000EE"/>
              </w:rPr>
            </w:pPr>
            <w:hyperlink w:anchor="page138">
              <w:r>
                <w:rPr>
                  <w:rFonts w:ascii="Arial" w:cs="Arial" w:eastAsia="Arial" w:hAnsi="Arial"/>
                  <w:sz w:val="14"/>
                  <w:szCs w:val="14"/>
                  <w:color w:val="0000EE"/>
                </w:rPr>
                <w:t>Item 16. Form 10-K Summary</w:t>
              </w:r>
            </w:hyperlink>
          </w:p>
        </w:tc>
        <w:tc>
          <w:tcPr>
            <w:tcW w:w="8920" w:type="dxa"/>
            <w:vAlign w:val="bottom"/>
            <w:gridSpan w:val="17"/>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138">
              <w:r>
                <w:rPr>
                  <w:rFonts w:ascii="Arial" w:cs="Arial" w:eastAsia="Arial" w:hAnsi="Arial"/>
                  <w:sz w:val="14"/>
                  <w:szCs w:val="14"/>
                  <w:color w:val="0000EE"/>
                </w:rPr>
                <w:t>138</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00" w:type="dxa"/>
            <w:vAlign w:val="bottom"/>
            <w:gridSpan w:val="7"/>
          </w:tcPr>
          <w:p>
            <w:pPr>
              <w:spacing w:after="0"/>
              <w:rPr>
                <w:rFonts w:ascii="Arial" w:cs="Arial" w:eastAsia="Arial" w:hAnsi="Arial"/>
                <w:sz w:val="14"/>
                <w:szCs w:val="14"/>
                <w:color w:val="0000EE"/>
              </w:rPr>
            </w:pPr>
            <w:hyperlink w:anchor="page141">
              <w:r>
                <w:rPr>
                  <w:rFonts w:ascii="Arial" w:cs="Arial" w:eastAsia="Arial" w:hAnsi="Arial"/>
                  <w:sz w:val="14"/>
                  <w:szCs w:val="14"/>
                  <w:color w:val="0000EE"/>
                </w:rPr>
                <w:t>Signatures</w:t>
              </w:r>
            </w:hyperlink>
          </w:p>
        </w:tc>
        <w:tc>
          <w:tcPr>
            <w:tcW w:w="8920" w:type="dxa"/>
            <w:vAlign w:val="bottom"/>
            <w:gridSpan w:val="17"/>
          </w:tcPr>
          <w:p>
            <w:pPr>
              <w:spacing w:after="0"/>
              <w:rPr>
                <w:sz w:val="15"/>
                <w:szCs w:val="15"/>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141">
              <w:r>
                <w:rPr>
                  <w:rFonts w:ascii="Arial" w:cs="Arial" w:eastAsia="Arial" w:hAnsi="Arial"/>
                  <w:sz w:val="14"/>
                  <w:szCs w:val="14"/>
                  <w:color w:val="0000EE"/>
                </w:rPr>
                <w:t>140</w:t>
              </w:r>
            </w:hyperlink>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Annual Report on Form 10-K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 Item 1A, “Risk Factors” and elsewhere of this Annual Report on Form 10-K. 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49"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TechnipFMC plc, a public limited company incorporated and organized under the laws of England and Wales, with registered number 09909709, and with registered office at One St. Paul’s Churchyard, London EC4M 8AP, United Kingdom (“TechnipFMC”, the “Company,” “we,” or “our”) is a global energy service company with a portfolio of solutions for the production and transformation of hydrocarbons and renewable energy sources. These solutions range from discreet products and services to fully integrated solutions based on proprietary technologies, with a clear focus to deliver greater efficiency across project lifecycles from concept to delivery and beyond.</w:t>
      </w:r>
    </w:p>
    <w:p>
      <w:pPr>
        <w:spacing w:after="0" w:line="15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have operational headquarters in Paris, France and Houston, Texas, United States. We operate across three business segments: Subsea, Onshore/Offshore, and Surface Technologies. Through these segments, we are levered to the three energy growth areas of unconventionals, liquefied natural gas (“LNG”), and deepwater developments.</w:t>
      </w:r>
    </w:p>
    <w:p>
      <w:pPr>
        <w:spacing w:after="0" w:line="14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have a unique and comprehensive set of capabilities to serve the oil and gas industry. With our proprietary technologies and production systems, integration expertise, and comprehensive solutions, we are transforming our clients’ project economics.</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Enhancement of the Company’s performance and competitiveness is a key component of this strategy that is achieved through technology and innovation differentiation, seamless execution, and reliance on simplification to drive costs down. We are targeting profitable and sustainable growth by seizing market growth opportunities and expanding our range of services, and we are managing our assets efficiently to ensure that we are well-prepared to drive and benefit from the opportunities we are experiencing in many of the segments we serve.</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of our more than 37,000 employees is driven by a steadfast commitment to clients and a culture of purposeful innovation, challenging industry conventions, and finding new and better ways of working to unlock possibilities. This leads to fresh thinking, streamlined decisions, and smarter results, enabling us to achieve our vision of enhancing the performance of the world’s energy industry.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March 2015, FMC Technologies, Inc., a U.S. Delaware corporation (“FMC Technologies”), and Technip S.A., a French société anonyme (“Technip”), signed an agreement to form an exclusive alliance and to launch Forsys Subsea, a 50/50 joint venture, that would unite the subsea skills and capabilities of two industry leaders. This alliance, which became operational on June 1, 2015, was established to identify new and innovative approaches to the design, delivery, and maintenance of subsea fields.</w:t>
      </w:r>
    </w:p>
    <w:p>
      <w:pPr>
        <w:spacing w:after="0" w:line="15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Forsys Subsea brought the industry's most talented subsea professionals together early in operators’ project concept phase with the technical capabilities to design and integrate products, systems, and installation to significantly reduce the cost of subsea field development and enhance overall project economics.</w:t>
      </w:r>
    </w:p>
    <w:p>
      <w:pPr>
        <w:spacing w:after="0" w:line="14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Based on the success of the Forsys Subsea joint venture and its innovative approach to integrated solutions, Technip and FMC Technologies announced in May 2016 that the companies would combine through a merger of equals to create a global subsea leader, TechnipFMC, that would drive change by redefining the production of oil and gas. The business combination was completed on January 16, 2017 (the “Merger”), and on January 17, 2017, TechnipFMC began operating as a unified, combined company trading on the New York Stock Exchange (“NYSE”) and on the Euronext Paris Stock Exchange (“Euronext Paris”) under the symbol “FTI.”</w:t>
      </w:r>
    </w:p>
    <w:p>
      <w:pPr>
        <w:spacing w:after="0" w:line="1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2017, our first year as a merged company, TechnipFMC secured several project awards as many operators moved forward with final investment decisions for major onshore projects and subsea developments. Several of the subsea awards incorporated the use of our integrated approach to project delivery, validating our unique business model aimed at lowering project costs and accelerating the delivery of initial hydrocarbon production. This was made possible by bringing together the complimentary subsea work scopes of the merged companies.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11" w:right="239" w:bottom="1440" w:gutter="0" w:footer="0" w:header="0"/>
        </w:sectPr>
      </w:pPr>
    </w:p>
    <w:bookmarkStart w:id="4" w:name="page5"/>
    <w:bookmarkEnd w:id="4"/>
    <w:p>
      <w:pPr>
        <w:ind w:right="200"/>
        <w:spacing w:after="0" w:line="252" w:lineRule="auto"/>
        <w:rPr>
          <w:sz w:val="20"/>
          <w:szCs w:val="20"/>
          <w:color w:val="auto"/>
        </w:rPr>
      </w:pPr>
      <w:r>
        <w:rPr>
          <w:rFonts w:ascii="Arial" w:cs="Arial" w:eastAsia="Arial" w:hAnsi="Arial"/>
          <w:sz w:val="18"/>
          <w:szCs w:val="18"/>
          <w:color w:val="auto"/>
        </w:rPr>
        <w:t>In 2018, TechnipFMC delivered the industry's first three full-cycle, integrated projects and realized considerable growth in Subsea order inbound, driven in part by its unique integrated offering, iEPCI™ (“iEPCI”). For all of 2019, the value of integrated subsea awards to TechnipFMC more than doubled versus the prior year, representing more than 50 percent of all Subsea project order inbound. The increase was driven by a wider adoption of the integrated business model, particularly with those clients where we have unique alliances. With the industry’s most comprehensive and only truly integrated subsea market offering, we have continued to expand the deepwater opportunity set for our customers.</w:t>
      </w:r>
    </w:p>
    <w:p>
      <w:pPr>
        <w:spacing w:after="0" w:line="15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TechnipFMC’s expertise does not end with the production of hydrocarbons. Because of its best in class Engineering and Construction (“E&amp;C”) project design and execution capabilities, enabled by a portfolio of proprietary technologies, TechnipFMC continues to secure and deliver projects that further enable our clients to monetize resources - from liquefaction of gas, both onshore and on floating vessels, through refining and product facilities and with green chemistry and renewables.</w:t>
      </w:r>
    </w:p>
    <w:p>
      <w:pPr>
        <w:spacing w:after="0" w:line="15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August 26, 2019, the Company announced that it will separate into two diversified pure-play market leaders – TechnipFMC, focused on subsea and surface hydrocarbon production, and Technip Energies, focused on downstream engineering, procurement, and construction (“EPC”) project execution. The separation will enable both companies to benefit from distinct and compelling market opportunities across the energy value chain; dedicated focus of management, resources and capital; and unique value propositions with differentiated investment appeal.</w:t>
      </w:r>
    </w:p>
    <w:p>
      <w:pPr>
        <w:spacing w:after="0" w:line="152" w:lineRule="exact"/>
        <w:rPr>
          <w:sz w:val="20"/>
          <w:szCs w:val="20"/>
          <w:color w:val="auto"/>
        </w:rPr>
      </w:pPr>
    </w:p>
    <w:p>
      <w:pPr>
        <w:jc w:val="both"/>
        <w:ind w:left="660" w:right="180" w:hanging="328"/>
        <w:spacing w:after="0" w:line="265"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TechnipFMC will be a fully-integrated technology and services provider, driving energy development across deepwater, conventional, and unconventional resources. The Company continues to successfully demonstrate leadership in integrated subsea project delivery and is focused on replicating this success through the development of integrated production models for the surface market.</w:t>
      </w:r>
    </w:p>
    <w:p>
      <w:pPr>
        <w:ind w:left="660" w:right="160"/>
        <w:spacing w:after="0" w:line="262" w:lineRule="auto"/>
        <w:rPr>
          <w:rFonts w:ascii="Arial" w:cs="Arial" w:eastAsia="Arial" w:hAnsi="Arial"/>
          <w:sz w:val="17"/>
          <w:szCs w:val="17"/>
          <w:color w:val="auto"/>
        </w:rPr>
      </w:pPr>
      <w:r>
        <w:rPr>
          <w:rFonts w:ascii="Arial" w:cs="Arial" w:eastAsia="Arial" w:hAnsi="Arial"/>
          <w:sz w:val="18"/>
          <w:szCs w:val="18"/>
          <w:color w:val="auto"/>
        </w:rPr>
        <w:t>TechnipFMC is also poised to benefit from service opportunities resulting from the world’s largest installed base of subsea production equipment, umbilicals, risers, and flowlines.</w:t>
      </w:r>
    </w:p>
    <w:p>
      <w:pPr>
        <w:spacing w:after="0" w:line="142" w:lineRule="exact"/>
        <w:rPr>
          <w:rFonts w:ascii="Arial" w:cs="Arial" w:eastAsia="Arial" w:hAnsi="Arial"/>
          <w:sz w:val="17"/>
          <w:szCs w:val="17"/>
          <w:color w:val="auto"/>
        </w:rPr>
      </w:pPr>
    </w:p>
    <w:p>
      <w:pPr>
        <w:ind w:left="660" w:right="200" w:hanging="328"/>
        <w:spacing w:after="0" w:line="25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Technip Energies will be a leading engineering and construction player, with a robust project delivery model, strong technical capabilities, and proven track record as demonstrated by the successful execution of some of the world’s most iconic EPC projects. The new company will continue to leverage its industry-leading process technology portfolio, particularly in the areas of ethylene and hydrogen, while pursuing further opportunities to enhance and differentiate this portfolio.</w:t>
      </w:r>
    </w:p>
    <w:p>
      <w:pPr>
        <w:spacing w:after="0" w:line="150"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The Company continues to innovate and introduce new technologies across our portfolio of products and services. TechnipFMC’s strong operational performance in 2019 was driven by a relentless focus on operational execution, while our significant growth in project backlog provides improved visibility for our businesses for 2020 and beyond.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Subsea segment provides integrated design, engineering, procurement, manufacturing, fabrication, installation, and life of field services for subsea systems, subsea field infrastructure, and subsea pipe systems used in oil and gas production and transportation. We are a fully-integrated technology and services provider, continuing to drive responsible energy development.</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an industry leader in front-end engineering and design (“FEED”), subsea production systems (“SPS”), subsea flexible pipe, and subsea umbilicals, risers, and flowlines (“SURF”). We also have the capability to install these products and related subsea infrastructure with our fleet of highly specialized vessels. By integrating the SPS and SURF work scopes, we are uniquely able to drive greater value to our clients through more efficient execution of the installation campaign. This, in conjunction with our strong commercial focus, has enabled the successful market introduction of an integrated subsea business model, iEPCI, which spans a project’s early phase design through the life of field. Our integrated business model is unlocking incremental opportunities and materially expanding the deepwater opportunity set. Since the first iEPCI project was awarded in 2016, market adoption of the business model has accelerated each year, and in 2019 we secured more than 75 percent of the industry’s integrated project awards.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71" w:right="279" w:bottom="1440" w:gutter="0" w:footer="0" w:header="0"/>
        </w:sectPr>
      </w:pPr>
    </w:p>
    <w:bookmarkStart w:id="5" w:name="page6"/>
    <w:bookmarkEnd w:id="5"/>
    <w:p>
      <w:pPr>
        <w:ind w:right="60"/>
        <w:spacing w:after="0" w:line="256" w:lineRule="auto"/>
        <w:rPr>
          <w:sz w:val="20"/>
          <w:szCs w:val="20"/>
          <w:color w:val="auto"/>
        </w:rPr>
      </w:pPr>
      <w:r>
        <w:rPr>
          <w:rFonts w:ascii="Arial" w:cs="Arial" w:eastAsia="Arial" w:hAnsi="Arial"/>
          <w:sz w:val="18"/>
          <w:szCs w:val="18"/>
          <w:color w:val="auto"/>
        </w:rPr>
        <w:t>Through integrated FEED studies, or iFEED™ (“iFEED”), we are uniquely positioned to influence project concept and design. Using innovative solutions for field architecture, including standardized equipment, new technologies, and simplified installation, we can significantly reduce subsea development costs and accelerate time to first production.</w:t>
      </w:r>
    </w:p>
    <w:p>
      <w:pPr>
        <w:spacing w:after="0" w:line="14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Our first-mover advantage and ability to convert iFEED studies into iEPCI contracts, often as a direct award, creates a unique set of opportunities for the Company that are not available to our peers. This allows us to deliver a fully integrated - and technologically differentiated</w:t>
      </w:r>
    </w:p>
    <w:p>
      <w:pPr>
        <w:spacing w:after="0" w:line="1" w:lineRule="exact"/>
        <w:rPr>
          <w:sz w:val="20"/>
          <w:szCs w:val="20"/>
          <w:color w:val="auto"/>
        </w:rPr>
      </w:pPr>
    </w:p>
    <w:p>
      <w:pPr>
        <w:ind w:right="500" w:firstLine="8"/>
        <w:spacing w:after="0" w:line="262" w:lineRule="auto"/>
        <w:tabs>
          <w:tab w:leader="none" w:pos="11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subsea system, and to better manage the complete work scope through a single contracting mechanism and a single interface, yielding meaningful improvements in project economics and time to first oil.</w:t>
      </w:r>
    </w:p>
    <w:p>
      <w:pPr>
        <w:spacing w:after="0" w:line="1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continue to support our clients following project delivery by offering aftermarket and life of field services. Our wide range of capabilities and solutions, including integrated life of field, or iLOF™ (“iLOF”), allows TechnipFMC to help clients increase oil and gas recovery and equipment uptime while reducing overall cost. Our iLOF offering is designed to unlock the full potential of subsea infrastructures during operations by transforming the way subsea services are delivered and proactively addressing the challenges operators face over the life of subsea fields. We provide production optimization, asset life extension insight, proactive debottlenecking, and condition based maintenance.</w:t>
      </w:r>
    </w:p>
    <w:p>
      <w:pPr>
        <w:spacing w:after="0" w:line="152"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Our Subsea business depends on our ability to maintain a cost-effective and efficient production system, achieve planned equipment production targets, successfully develop new products, and meet or exceed stringent performance and reliability standards.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Services</w:t>
      </w:r>
    </w:p>
    <w:p>
      <w:pPr>
        <w:spacing w:after="0" w:line="18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u w:val="single" w:color="auto"/>
          <w:color w:val="auto"/>
        </w:rPr>
        <w:t>Subsea Production Systems.</w:t>
      </w:r>
      <w:r>
        <w:rPr>
          <w:rFonts w:ascii="Arial" w:cs="Arial" w:eastAsia="Arial" w:hAnsi="Arial"/>
          <w:sz w:val="18"/>
          <w:szCs w:val="18"/>
          <w:color w:val="auto"/>
        </w:rPr>
        <w:t xml:space="preserve"> Our systems are used in the offshore production of crude oil and natural gas. Subsea systems are placed on the seafloor and are used to control the flow of crude oil and natural gas from the reservoir to a host processing facility, such as a floating production facility, a fixed platform, or an onshore facility.</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subsea production systems and products include subsea trees, chokes and flow modules, manifold pipeline systems, control and data management systems, well access systems, multiphase and wetgas meters, and additional technologies. The design and manufacture of our subsea systems requires a high degree of technical expertise and innovation. Some of our systems are designed to withstand exposure to the extreme hydrostatic pressure of deepwater environments, as well as internal pressures of up to 20,000 pounds per square inch (“psi”) and temperatures of up to 400º F. The development of our integrated subsea production systems includes initial engineering design studies and field development planning and considers all relevant aspects and project requirements, including optimization of drilling programs and subsea architecture.</w:t>
      </w:r>
    </w:p>
    <w:p>
      <w:pPr>
        <w:spacing w:after="0" w:line="15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u w:val="single" w:color="auto"/>
          <w:color w:val="auto"/>
        </w:rPr>
        <w:t>Subsea Processing Systems</w:t>
      </w:r>
      <w:r>
        <w:rPr>
          <w:rFonts w:ascii="Arial" w:cs="Arial" w:eastAsia="Arial" w:hAnsi="Arial"/>
          <w:sz w:val="18"/>
          <w:szCs w:val="18"/>
          <w:color w:val="auto"/>
        </w:rPr>
        <w:t>. Our subsea processing systems, which include subsea boosting, subsea gas compression, and subsea separation, are designed to accelerate production, increase recovery, extend field life, and/or lower operators’ production costs for greenfield, subsea tie-backs and brownfield applications. To provide these products, systems, and services, we utilize our engineering, project management, procurement, manufacturing, and assembly and test capabilities.</w:t>
      </w:r>
    </w:p>
    <w:p>
      <w:pPr>
        <w:spacing w:after="0" w:line="1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Flexible Pipe and Umbilical Supply.</w:t>
      </w:r>
      <w:r>
        <w:rPr>
          <w:rFonts w:ascii="Arial" w:cs="Arial" w:eastAsia="Arial" w:hAnsi="Arial"/>
          <w:sz w:val="18"/>
          <w:szCs w:val="18"/>
          <w:color w:val="auto"/>
        </w:rPr>
        <w:t xml:space="preserve"> We engineer and manufacture flexible pipes as well as steel tube, thermoplastic hose, power and communication and hybrid (a combination of steel tube, thermoplastic hose, and electrical cables) umbilicals. TechnipFMC vessels will typically perform the installation of the flexible pipes and umbilicals, but we also sell these products directly to oil companies or to other vessel operators.</w:t>
      </w:r>
    </w:p>
    <w:p>
      <w:pPr>
        <w:spacing w:after="0" w:line="15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u w:val="single" w:color="auto"/>
          <w:color w:val="auto"/>
        </w:rPr>
        <w:t>Vessels.</w:t>
      </w:r>
      <w:r>
        <w:rPr>
          <w:rFonts w:ascii="Arial" w:cs="Arial" w:eastAsia="Arial" w:hAnsi="Arial"/>
          <w:sz w:val="18"/>
          <w:szCs w:val="18"/>
          <w:color w:val="auto"/>
        </w:rPr>
        <w:t xml:space="preserve"> We operate a fleet of 18 vessels. Of the 18 vessels currently in operation, we have sole ownership of ten vessels, ownership of six vessels as part of joint ventures, and operate two vessels under long-term charter.</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wholly own four pipelay support vessels and jointly own six subsea construction vessels. The jointly-owned vessels operate under a 50/50 ownership structure exclusively in the Brazilian market. These vessels are primarily contracted to Petróleo Brasileiro S.A. - Petrobras (“Petrobras”), principally to install umbilical and flexible flowlines and risers to connect subsea wells to floating production units across a range of water depths. We also own three subsea construction vessels and have long-term charter agreements for two other construction vessels. The Company also owns three dive support vessels.</w:t>
      </w:r>
    </w:p>
    <w:p>
      <w:pPr>
        <w:spacing w:after="0" w:line="152" w:lineRule="exact"/>
        <w:rPr>
          <w:sz w:val="20"/>
          <w:szCs w:val="20"/>
          <w:color w:val="auto"/>
        </w:rPr>
      </w:pPr>
    </w:p>
    <w:p>
      <w:pPr>
        <w:spacing w:after="0" w:line="262" w:lineRule="auto"/>
        <w:rPr>
          <w:sz w:val="20"/>
          <w:szCs w:val="20"/>
          <w:color w:val="auto"/>
        </w:rPr>
      </w:pPr>
      <w:r>
        <w:rPr>
          <w:rFonts w:ascii="Arial" w:cs="Arial" w:eastAsia="Arial" w:hAnsi="Arial"/>
          <w:sz w:val="18"/>
          <w:szCs w:val="18"/>
          <w:u w:val="single" w:color="auto"/>
          <w:color w:val="auto"/>
        </w:rPr>
        <w:t>Subsea Services.</w:t>
      </w:r>
      <w:r>
        <w:rPr>
          <w:rFonts w:ascii="Arial" w:cs="Arial" w:eastAsia="Arial" w:hAnsi="Arial"/>
          <w:sz w:val="18"/>
          <w:szCs w:val="18"/>
          <w:color w:val="auto"/>
        </w:rPr>
        <w:t xml:space="preserve"> We provide a portfolio of services that improve uptime, lower lifecycle costs and increase recovery over the life of the field for our clients’ subsea assets. These services include: (i) provision of exploration</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71"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and production wellhead systems and services; (ii) remotely operated vehicle (“ROV”) services; (iii) installation and well completion rig services;</w:t>
      </w:r>
    </w:p>
    <w:p>
      <w:pPr>
        <w:spacing w:after="0" w:line="9" w:lineRule="exact"/>
        <w:rPr>
          <w:sz w:val="20"/>
          <w:szCs w:val="20"/>
          <w:color w:val="auto"/>
        </w:rPr>
      </w:pPr>
    </w:p>
    <w:p>
      <w:pPr>
        <w:ind w:right="20" w:firstLine="8"/>
        <w:spacing w:after="0" w:line="250"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services for test, modification, refurbishment, and upgrade of subsea equipment and tooling; (v) asset integrity services based on product and field data to optimize the performance of the subsea asset, including proactive inspection, maintenance, and repair (“IMR”) of subsea infrastructure; (vi) well access and intervention services, both rig-based and vessel-based (riserless light well intervention or “RLWI”);</w:t>
      </w:r>
    </w:p>
    <w:p>
      <w:pPr>
        <w:spacing w:after="0" w:line="1" w:lineRule="exact"/>
        <w:rPr>
          <w:rFonts w:ascii="Arial" w:cs="Arial" w:eastAsia="Arial" w:hAnsi="Arial"/>
          <w:sz w:val="18"/>
          <w:szCs w:val="18"/>
          <w:color w:val="auto"/>
        </w:rPr>
      </w:pPr>
    </w:p>
    <w:p>
      <w:pPr>
        <w:ind w:right="40" w:firstLine="8"/>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production management services to enhance well and field production, including subsea multiphase boosting and real time virtual metering services; and (viii) well plug, abandonment and decommissioning. Our vision is to transform the customer experience with an agile services culture and grow our business across the life of the field.</w:t>
      </w:r>
    </w:p>
    <w:p>
      <w:pPr>
        <w:spacing w:after="0" w:line="148"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Key drivers of subsea services market activity are the inspection and maintenance of subsea infrastructure, driven in large part by aging infrastructure on mature fields. The need for well intervention services also continues to grow, with more than 6,500 wells operated globally.</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With our extensive experience in subsea equipment, our large installed base of subsea production equipment, our broad range of services, and our historical technical design and manufacturing leadership, we are in a unique position to offer integrated solutions across the “life of field” services combining asset light solutions (e.g. RLWI), digital services (e.g. data driven monitoring, surveillance and production management suite of applications), and leading edge automated systems (e.g. Schilling ROVs) to enhance the economics of producing fields through maximization of asset uptime, higher production volumes, and lower operating expense.</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Robotics, Controls and Automation.</w:t>
      </w:r>
      <w:r>
        <w:rPr>
          <w:rFonts w:ascii="Arial" w:cs="Arial" w:eastAsia="Arial" w:hAnsi="Arial"/>
          <w:sz w:val="18"/>
          <w:szCs w:val="18"/>
          <w:color w:val="auto"/>
        </w:rPr>
        <w:t xml:space="preserve"> We design and manufacture ROVs and manipulator arms that are used in subsea drilling, construction, IMR, and life of field services. Our product offering includes electric and hydraulic work-class ROVs, tether-management systems, launch and recovery systems, remote manipulator arms, and modular control systems. We also provide support and services such as product training, pilot simulator training, spare parts, and technical assistance.</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also provide electro-hydraulic and electric production and intervention control systems, allowing accurate control and monitoring of subsea installations to ensure the highest production availability that can ensure safe and environmentally friendly field operations. These include the sensors, multiphase flow meters, digital infrastructure, integrity monitoring, control functionality, and automation features needed for subsea systems. Robotics capabilities are now being used in the control of manifold valves during production, which demonstrates a convergence of our technologies in order to provide better systems for our customers.</w:t>
      </w:r>
    </w:p>
    <w:p>
      <w:pPr>
        <w:spacing w:after="0" w:line="152"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u w:val="single" w:color="auto"/>
          <w:color w:val="auto"/>
        </w:rPr>
        <w:t>Research, Engineering, Manufacturing and Supply Chain (“REMS”).</w:t>
      </w:r>
      <w:r>
        <w:rPr>
          <w:rFonts w:ascii="Arial" w:cs="Arial" w:eastAsia="Arial" w:hAnsi="Arial"/>
          <w:sz w:val="18"/>
          <w:szCs w:val="18"/>
          <w:color w:val="auto"/>
        </w:rPr>
        <w:t xml:space="preserve"> REMS is an organization we formed in September of 2019 to support accelerated technology innovation, and product delivery improvements. We accomplish this by reducing the cycle-time of engineering and manufacturing our products, including working with our suppliers to reduce their costs, and optimizing our processes and how we manage workflow. Through REMS, we are focused on challenging the existing technologies and implementing world-class manufacturing practices, including LEAN and process automation, to improve reliability while reducing total product cost and lead time to delivery. Our REMS organization primarily supports our Subsea segment but is also integrated across our Surface Technologies business.</w:t>
      </w:r>
    </w:p>
    <w:p>
      <w:pPr>
        <w:spacing w:after="0" w:line="15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Also this year, we established a Product Management function to further our capabilities to understand, define, and deliver the technologies and products of the future. This function will provide a complement to REMS, Subsea and Surface business, and will drive the understanding of customer requirements, competitive landscape, and investment prioritization.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Intensity</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Many of the systems and products we supply for subsea applications are highly engineered to meet the unique demands of our customers’ field properties and are typically ordered one to two years prior to installation. We often receive advance payments and progress billings from our customers to fund initial development and working capital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Key Customers</w:t>
      </w:r>
    </w:p>
    <w:p>
      <w:pPr>
        <w:spacing w:after="0" w:line="18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Generally, our customers in the Subsea segment are major integrated oil companies, national oil companies, and independent exploration and production companies.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1" w:right="239" w:bottom="1440" w:gutter="0" w:footer="0" w:header="0"/>
        </w:sectPr>
      </w:pPr>
    </w:p>
    <w:bookmarkStart w:id="7" w:name="page8"/>
    <w:bookmarkEnd w:id="7"/>
    <w:p>
      <w:pPr>
        <w:ind w:right="440"/>
        <w:spacing w:after="0" w:line="253" w:lineRule="auto"/>
        <w:rPr>
          <w:sz w:val="20"/>
          <w:szCs w:val="20"/>
          <w:color w:val="auto"/>
        </w:rPr>
      </w:pPr>
      <w:r>
        <w:rPr>
          <w:rFonts w:ascii="Arial" w:cs="Arial" w:eastAsia="Arial" w:hAnsi="Arial"/>
          <w:sz w:val="18"/>
          <w:szCs w:val="18"/>
          <w:color w:val="auto"/>
        </w:rPr>
        <w:t>We actively pursue alliances with companies that are engaged in the subsea development of oil and natural gas to promote our integrated systems for subsea production. These alliances are typically related to the procurement of subsea production equipment, although some alliances are related to EPCI services. Development of subsea fields, particularly in deepwater environments, involves substantial capital investments. Operators have also sought the security of alliances with us to ensure timely and cost-effective delivery of subsea and other energy-related systems that provide integrated solutions to meet their needs.</w:t>
      </w:r>
    </w:p>
    <w:p>
      <w:pPr>
        <w:spacing w:after="0" w:line="1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alliances establish important ongoing relationships with our customers. While these alliances do not contractually commit our customers to purchase our systems and services, they have historically led to, and we expect that they would continue to result in, such purchases.</w:t>
      </w:r>
    </w:p>
    <w:p>
      <w:pPr>
        <w:spacing w:after="0" w:line="14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commitment to our customers goes beyond project delivery, and we nurture these alliances with transparency and collaboration to better understand their needs to ensure customer success.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 single Subsea customer accounted for 10% or more of our 2019 consolidated revenue.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the only fully integrated company that can provide the complete suite of subsea production equipment, umbilicals, and flowlines with the complete portfolio of installation services enabling us to develop a subsea field as a single company. Our company competes with companies that supply some of the components as well as installation companies. Our competitors include Aker Solutions ASA, Baker Hughes Company (“Baker Hughes”), Dril-Quip, Inc., McDermott International, Inc. (“McDermott”), National Oilwell Varco, Oceaneering International, Inc., Saipem S.p.A. (“Saipem”), Schlumberger, Ltd. (“Schlumberger”), and Subsea 7 S.A.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8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 the North Sea, winter weather generally subdues drilling activity, reducing vessel utilization and demand for subsea services as certain activities cannot be performed. As a result, the level of offshore activity in our Subsea segment is negatively impacted in the first quarter of each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8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volatile, and generally low, crude oil price environment over the last four years led many of our customers to reduce their capital spending plans or defer new deepwater projects. The reduction and deferral of projects resulted in delayed subsea project inbound for the industry. In response to the lower commodity prices and reduced cash flow, operators took actions needed to improve their subsea project economics, and suppliers, in turn, took the steps necessary to further reduce project break-even levels by offering cost-effective approaches for project developments. These actions continue.</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rate of project sanctioning for new subsea developments has moved higher since the market trough as project economics and operator confidence have improved. Similarly to other parts of the market (e.g. onshore), the trajectory and pace of further recovery and expansion in the subsea market is subject to the allocation of capital our clients dedicate to developing offshore oil and gas fields amongst their entire portfolio of projects and drivers of capital expansion or discipline. The risk of project sanctioning delays is still present in the current environment; however, innovative approaches to subsea projects, like our iEPCI solution, have improved project economics, and many offshore discoveries can be developed economically at today’s crude oil prices. In the long-term, deepwater development is expected to remain a significant part of many of our customers’ portfolios.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With our proprietary technologies and production systems, integration expertise, and comprehensive solutions, we are transforming our clients’ project economics. We have used these capabilities to develop a new subsea commercial model that is transforming the way we interact with our customers and create value with them.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strategy includes the following priorities:</w:t>
      </w:r>
    </w:p>
    <w:p>
      <w:pPr>
        <w:spacing w:after="0" w:line="171" w:lineRule="exact"/>
        <w:rPr>
          <w:sz w:val="20"/>
          <w:szCs w:val="20"/>
          <w:color w:val="auto"/>
        </w:rPr>
      </w:pPr>
    </w:p>
    <w:p>
      <w:pPr>
        <w:ind w:left="660" w:right="8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Engagement in the conceptual design and integrated front-end engineering, or iFEED, of subsea development projects to create value through technology and integration of scopes (iEPCI) by simplifying field architecture and accelerating both delivery schedules and time to first production;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1" w:right="239" w:bottom="1440" w:gutter="0" w:footer="0" w:header="0"/>
        </w:sectPr>
      </w:pPr>
    </w:p>
    <w:bookmarkStart w:id="8" w:name="page9"/>
    <w:bookmarkEnd w:id="8"/>
    <w:p>
      <w:pPr>
        <w:ind w:left="660" w:right="20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Innovative research and development (“R&amp;D”), often in collaboration with clients and partners, to develop leading products and technologies that deliver greater efficiency to the client, lower development costs, unlock stranded and/or marginal fields, and enable frontier developments;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 on selecting the right projects to ensure a strong and healthy backlog;</w:t>
      </w:r>
    </w:p>
    <w:p>
      <w:pPr>
        <w:spacing w:after="0" w:line="17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Superior project execution capabilities allowing the Company to mobilize the right teams, assets, and facilities to capture and profitably execute complex subsea projects and services;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Capitalize on combined competencies coming from alliances and partnerships with both clients and suppliers; and</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supplier relationships to optimize supply chain market dynamics and implement greater simplification and standardization in products and processes.</w:t>
      </w:r>
    </w:p>
    <w:p>
      <w:pPr>
        <w:spacing w:after="0" w:line="142"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TechnipFMC is a clear leader in the subsea industry. Our success has been built on our technological strength, innovation, focus on digitalization, and strong partnerships with major oil companies to expand market opportunities.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Future Developments</w:t>
      </w:r>
    </w:p>
    <w:p>
      <w:pPr>
        <w:spacing w:after="0" w:line="18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2019, our Subsea inbound orders increased more than 50 percent versus the prior year, driven by further adoption of the integrated model and growth in services activity. The value of integrated project awards also more than doubled from the levels we recorded in 2018. Subsea services continued to benefit from the industry's largest and expanding installed base, with growth in the year reflecting increased installation, asset refurbishment and well intervention activities. Subsea services remains on track for double-digit growth in 2020.</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continue to focus on performance improvement and optimization strategies that will improve our profitability. Our investments decisions fully support our business with technologies that will differentiate our portfolio.</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2019, we completed the sale of the G1201 vessel as part of our overall strategy to optimize the profile and size of its subsea fleet. In addition to the sale transaction we also executed a Memorandum of Agreement which includes a Collaboration Agreement with the buyer that provides 5 years of exclusivity for a list of named subsea projects in a specific jurisdiction and the right of first refusal for other projects. This followed the announcement of our Strategic Collaboration Agreement with Allseas aimed at jointly pursuing specific deepwater projects where the assets, products and capabilities of both companies are complementary. This supports the Company’s intent to use collaboration agreements, where possible, to execute its differentiated iEPCI™ business model.</w:t>
      </w:r>
    </w:p>
    <w:p>
      <w:pPr>
        <w:spacing w:after="0" w:line="15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received the industry’s first award of a 20K high-pressure, high-temperature system for LLOG’s Shenandoah project in the Gulf of Mexico. This new technology was the result of our joint industry program that included 5 major operators. This was the first time the industry collaborated to develop a new subsea system focused on the delivery of a single-part number and designed to handle hydrocarbons under the industry's most extreme pressure and temperature conditions to date.</w:t>
      </w:r>
    </w:p>
    <w:p>
      <w:pPr>
        <w:spacing w:after="0" w:line="1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have accelerated our digital journey to deliver an integrated digital thread from Front End to Services, thus enhancing the performance of our products and services as well as safety and asset integrity. With its presence all along the oil and gas value chain, TechnipFMC is well-placed to leverage data to improve and enhance the performance of our clients’ assets, optimize operational costs, deliver predictive and preventive maintenance, and enable remote operations.</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inbound order growth for the full year was significantly better than the total Subsea market growth. This high level of growth came in the third year of a market recovery and is the highest annual growth rate we have experienced in a decade. Strength in project activity, as well as our expectation for double-digit revenue growth in Subsea Services, provides the framework for 2020 Subsea orders to approach the level achieved in 2019, although this remains dependent on the timing of one or two major project awards. We expect our iEPCI capabilities to provide a competitive advantage as we deliver comprehensive and differentiated solutions. In addition, we anticipate the following longer-term trends in the subsea market:</w:t>
      </w:r>
    </w:p>
    <w:p>
      <w:pPr>
        <w:spacing w:after="0" w:line="155" w:lineRule="exact"/>
        <w:rPr>
          <w:sz w:val="20"/>
          <w:szCs w:val="20"/>
          <w:color w:val="auto"/>
        </w:rPr>
      </w:pPr>
    </w:p>
    <w:p>
      <w:pPr>
        <w:ind w:left="660" w:right="28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market adoption of integrated subsea projects, leading to further penetration of our integrated business model and higher levels of iEPCI order activity for our Company;</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71" w:right="259" w:bottom="1440" w:gutter="0" w:footer="0" w:header="0"/>
        </w:sectPr>
      </w:pPr>
    </w:p>
    <w:bookmarkStart w:id="9" w:name="page10"/>
    <w:bookmarkEnd w:id="9"/>
    <w:p>
      <w:pPr>
        <w:ind w:left="660" w:right="2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Growing service opportunities, driven by (i) higher levels of project activity, (ii) increased asset integrity and production management activities focused on improving uptime and production volume and lowering emissions, and (iii) increased maintenance and intervention activity resulting from an expanding and aging installed equipment base;</w:t>
      </w:r>
    </w:p>
    <w:p>
      <w:pPr>
        <w:spacing w:after="0" w:line="147" w:lineRule="exact"/>
        <w:rPr>
          <w:rFonts w:ascii="Arial" w:cs="Arial" w:eastAsia="Arial" w:hAnsi="Arial"/>
          <w:sz w:val="18"/>
          <w:szCs w:val="18"/>
          <w:color w:val="auto"/>
        </w:rPr>
      </w:pPr>
    </w:p>
    <w:p>
      <w:pPr>
        <w:ind w:left="660" w:right="20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Smaller projects and direct awards will continue to contribute meaningfully to our order mix. In 2018 and 2019, these awards collectively represented just under one-half of our total subsea inbound orders, with the remainder being publicly announced projects and subsea service activities. Subsea tiebacks are often part of this mix, and these shorter cycle brownfield expansions provide operators with faster paybacks and higher returns;</w:t>
      </w:r>
    </w:p>
    <w:p>
      <w:pPr>
        <w:spacing w:after="0" w:line="150"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is a growing trend towards independent operators and new entrants undertaking subsea developments; we are a natural partner for this customer group because of our ability to offer fully integrated solutions; and</w:t>
      </w:r>
    </w:p>
    <w:p>
      <w:pPr>
        <w:spacing w:after="0" w:line="142"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gas developments are growing in prominence. We believe that more than 20 percent of offshore capital expenditures could be directed at natural gas developments by early next decade. We also anticipate that 45 percent of gas production will come from offshore, with significant growth in the Middle East (shallow water) followed by Australia (deep water) in the next five years.</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continue to work closely with our customers and believe that, in the context of lower oil prices, with our unique business model we can further reduce their project break-even levels by offering cost-effective approaches to their project developments and accelerate time to first oil and gas.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8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2014, we entered into a joint development agreement with several major operators to develop common standards for subsea production equipment capable of operating at pressures as high as 20,000 psi and temperatures up to 350º F. This joint development agreement is delivering standardized design, materials, processes, and interfaces to provide improved reliability and operations over the life of the field. The first major achievement of this joint development effort, and further highlighting our technology-based solutions focused on creating customer success, we delivered a complete production system for Shell’s high-pressure and high-temperature Appomattox field in the Gulf of Mexico in 2018, and Shell began producing from Appomattox in May of 2019.</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Technology development progressed on our Subsea 2.0 product platform, the next generation of subsea equipment, using designs that are significantly simpler, leaner, and smarter than current designs. These new products incorporate a modular product architecture and component level standardization to enable a flexible configure-to-order approach, reducing hardware delivery time for clients. The products are expected to deliver breakthroughs in the way subsea products are manufactured, assembled, installed, and maintained over the life of the field. The smaller, lighter products achieve up to a 50 percent reduction in size, weight, and part count, while maintaining the same or improved functionality. When combined with iEPCI, our powerful integrated approach to field architecture, and project execution, Subsea 2.0 improves project economics and unlocks first oil and gas faster.</w:t>
      </w:r>
    </w:p>
    <w:p>
      <w:pPr>
        <w:spacing w:after="0" w:line="15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addition to investments to develop lower cost production solutions, we also invest in the development of technology to expand our service portfolio. We have qualified new technology to enable the inspection of flexible risers and flowlines. We also are advancing subsea robotic productivity through the development of more efficient ROV systems that are easier to operate and maintain.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February 2018, we signed an agreement with the Island Offshore Group to acquire a 51 percent stake in Island Offshore’s wholly-owned subsidiary, Island Offshore Subsea AS. Island Offshore Subsea AS provides RLWI project management and engineering services for plug and abandonment (“P&amp;A”), riserless coiled tubing, and well completion operations. In connection with the acquisition of the controlling interest, TechnipFMC and Island Offshore entered into a strategic cooperation agreement to deliver RLWI services on a worldwide basis, which also include TechnipFMC’s RLWI capabilities. Island Offshore Subsea AS has been rebranded to TechnipFMC Island Offshore Subsea (“TIOS”) and is now the operating unit for TechnipFMC’s RLWI activities worldwide.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71" w:right="259" w:bottom="1440" w:gutter="0" w:footer="0" w:header="0"/>
        </w:sectPr>
      </w:pPr>
    </w:p>
    <w:bookmarkStart w:id="10" w:name="page11"/>
    <w:bookmarkEnd w:id="10"/>
    <w:p>
      <w:pPr>
        <w:ind w:right="160"/>
        <w:spacing w:after="0" w:line="254" w:lineRule="auto"/>
        <w:rPr>
          <w:sz w:val="20"/>
          <w:szCs w:val="20"/>
          <w:color w:val="auto"/>
        </w:rPr>
      </w:pPr>
      <w:r>
        <w:rPr>
          <w:rFonts w:ascii="Arial" w:cs="Arial" w:eastAsia="Arial" w:hAnsi="Arial"/>
          <w:sz w:val="18"/>
          <w:szCs w:val="18"/>
          <w:color w:val="auto"/>
        </w:rPr>
        <w:t>In March 2018, we announced a collaboration agreement with Magma Global Ltd. to develop a new generation of hybrid flexible pipe (“HFP”) for use in offshore applications. HFP is expected to provide increased strength and fatigue performance, while also achieving dramatic weight and cost reductions, for subsea fluid transport applications. As part of the collaboration, TechnipFMC purchased a minority stake in Magma Global. We are advanced in creating our new HFP and continue working towards important milestones in the qualification process.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2019, we acquired a new dive support vessel, the Deep Discoverer, to replace a vessel we retired in support of our fleet optimization strategy. The acquisition was somewhat opportunistic, but allowed us to obtain a high-quality, top-tier vessel significantly below newbuild cost and without a protracted delivery schedule. The vessel will operate primarily in the dive construction, inspection, maintenance and repair markets in the North Sea and can also support our iEPCI™ initiative in the region.</w:t>
      </w:r>
    </w:p>
    <w:p>
      <w:pPr>
        <w:spacing w:after="0" w:line="6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December 2019, we completed the acquisition of the remaining 50% interest in Technip Odebrecht PLSV CV (“TOP CV”). TOP CV was formed as a joint venture between Technip SA and Ocyan SA to provide pipeline installation ships to Petrobras for its work in oil and gas fields offshore Brazil.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Onshore/Offshore segment offers a full range of design, project management and construction services to our customers spanning the entire downstream value chain, including technical consulting, concept selection, and final acceptance test. We have been successful in meeting our clients’ needs given our proven skills in managing large EPC projects. When our announced separation is complete, this segment will be the cornerstone of Technip Energies.</w:t>
      </w:r>
    </w:p>
    <w:p>
      <w:pPr>
        <w:spacing w:after="0" w:line="1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Onshore business combines the study, engineering, procurement, construction, and project management of the entire range of onshore facilities related to the production, treatment, and transportation of oil and gas, the transformation of petrochemicals such as ethylene, polymers, and fertilizers, as well as other activities, and the commercialization of renewable energy and feedstocks.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conduct large-scale, complex, and challenging projects that involve extreme climatic conditions and non-conventional resources and are subject to increasing environmental and regulatory performance standards. We rely on technological know-how for process design and engineering, either through the integration of technologies from leading alliance partners or through our own technologies. We seek to integrate and develop advanced technologies and reinforce our strong project execution capabilities in each of our Onshore activities.</w:t>
      </w:r>
    </w:p>
    <w:p>
      <w:pPr>
        <w:spacing w:after="0" w:line="15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Our Offshore business combines the study, engineering, procurement, construction, and project management within the entire range of fixed and floating offshore facilities, many of which were the first of their kind, including the development of floating liquefied natural gas (“FLNG”)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Services</w:t>
      </w:r>
    </w:p>
    <w:p>
      <w:pPr>
        <w:spacing w:after="0" w:line="18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u w:val="single" w:color="auto"/>
          <w:color w:val="auto"/>
        </w:rPr>
        <w:t>Onshore E&amp;C.</w:t>
      </w:r>
      <w:r>
        <w:rPr>
          <w:rFonts w:ascii="Arial" w:cs="Arial" w:eastAsia="Arial" w:hAnsi="Arial"/>
          <w:sz w:val="18"/>
          <w:szCs w:val="18"/>
          <w:color w:val="auto"/>
        </w:rPr>
        <w:t xml:space="preserve"> We design and build different types of facilities for the development of onshore oil and gas, processing facilities, and product export systems. In addition, we renovate existing facilities by modernizing production equipment and control systems, in accordance with applicable environmental standards.</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u w:val="single" w:color="auto"/>
          <w:color w:val="auto"/>
        </w:rPr>
        <w:t>Refining.</w:t>
      </w:r>
      <w:r>
        <w:rPr>
          <w:rFonts w:ascii="Arial" w:cs="Arial" w:eastAsia="Arial" w:hAnsi="Arial"/>
          <w:sz w:val="18"/>
          <w:szCs w:val="18"/>
          <w:color w:val="auto"/>
        </w:rPr>
        <w:t xml:space="preserve"> We are a leader in the design and construction of oil refineries. We manage many aspects of these projects, including the preparation of concept and feasibility studies, and the design, construction, and start-up of complex refineries or single refinery units. We have been involved in the design and construction of over 30 new refineries or major refinery expansions, and are one of the few contractors in the world to have built seven new refineries since 2000. We have extensive experience with technologies related to refining and have completed more than 840 individual process units within major expansion or refurbishment projects, implemented in more than 75 countries. As a result of our cooperation with the most highly renowned technology licensors and catalyst suppliers and our strong technological expertise and refinery consulting services, we are able to provide an independent selection of appropriate technologies to meet specific project and client targets. These technologies result in direct benefits to the client, such as emission control and environmental protection, including hydrogen and carbon dioxide management, sulfur recovery units, water treatment, and zero flaring. With a strong record of accomplishment in refinery optimization projects, we have experience and competence in relevant technological fields in the oil refining sector.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52" w:right="239" w:bottom="1440" w:gutter="0" w:footer="0" w:header="0"/>
        </w:sectPr>
      </w:pPr>
    </w:p>
    <w:bookmarkStart w:id="11" w:name="page12"/>
    <w:bookmarkEnd w:id="11"/>
    <w:p>
      <w:pPr>
        <w:ind w:right="240"/>
        <w:spacing w:after="0" w:line="256" w:lineRule="auto"/>
        <w:rPr>
          <w:sz w:val="20"/>
          <w:szCs w:val="20"/>
          <w:color w:val="auto"/>
        </w:rPr>
      </w:pPr>
      <w:r>
        <w:rPr>
          <w:rFonts w:ascii="Arial" w:cs="Arial" w:eastAsia="Arial" w:hAnsi="Arial"/>
          <w:sz w:val="18"/>
          <w:szCs w:val="18"/>
          <w:u w:val="single" w:color="auto"/>
          <w:color w:val="auto"/>
        </w:rPr>
        <w:t>Natural Gas Treatment and Liquefaction.</w:t>
      </w:r>
      <w:r>
        <w:rPr>
          <w:rFonts w:ascii="Arial" w:cs="Arial" w:eastAsia="Arial" w:hAnsi="Arial"/>
          <w:sz w:val="18"/>
          <w:szCs w:val="18"/>
          <w:color w:val="auto"/>
        </w:rPr>
        <w:t xml:space="preserve"> We offer a complete range of services across the gas value chain to support our clients’ capital projects from concept to delivery. Our capabilities include the design and construction of facilities for LNG, gas-to-liquids (“GTL”), natural gas liquids (“NGL”) recovery, and gas treatment.</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field of LNG, we pioneered base-load LNG plant construction through the first-ever facility in Arzew, Algeria. Working with our partners, we have constructed facilities that can deliver more than 105 million metric tonnes per annum (“Mtpa”), which is a significant portion of the global liquefaction capacity in operation today. TechnipFMC brings knowledge and conceptual design capabilities that are unique among engineering and construction companies involved in LNG. We have engineered and delivered a broad range of LNG plants, including mid-scale and very large-scale plants, both onshore and offshore, and plants in remote locations. We have experience in the complete range of services for LNG receiving terminals from conceptual design studies to EPC. Reference projects include LNG trains in Qatar (the six largest ever constructed), Yemen, and a series of mid-scale LNG plants in China, and together with our joint venture partners, we delivered first phase of the Yamal LNG plant (“Yamal”) in the Russian Arctic with all three trains put in production before the end of 2018. During 2019, the Arctic LNG 2 project for Novatek was sanctioned following award of the EPC contract to us, together with our joint venture partners.</w:t>
      </w:r>
    </w:p>
    <w:p>
      <w:pPr>
        <w:spacing w:after="0" w:line="15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also well positioned in the GTL market and are one of the few contractors with experience in large GTL facilities. We have unique experience in delivering plants using Sasol’s “Slurry Phase Distillate” technology, and we have provided front-end engineering design for the Fischer-Tropsch section of more than 60 percent of commercial liquids conversion capacity worldwide. Our clients also benefit from our development of environmental protection measures, including low nitrogen oxide and sulfur oxide emissions, waste-water treatment, and waste management.</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specialize in the design and construction of large-scale gas treatment complexes as well as existing facility upgrades. Gas treatment includes the removal of carbon dioxide and sulfur components from natural gas using chemical or physical solvents, sulfur recovery, and gas sweetening processes based on the use of an amine solvent. The Company ranks among the top contractors in the field in relation to sulfur recovery units installed in refineries or natural gas processing plants. Given our long-term experience in the field of sour gas processing, we can provide support to clients for the overall evaluation of the gas sweetening/sulfur recovery chain and the selection of optimum technologies.</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u w:val="single" w:color="auto"/>
          <w:color w:val="auto"/>
        </w:rPr>
        <w:t>Ethylene.</w:t>
      </w:r>
      <w:r>
        <w:rPr>
          <w:rFonts w:ascii="Arial" w:cs="Arial" w:eastAsia="Arial" w:hAnsi="Arial"/>
          <w:sz w:val="18"/>
          <w:szCs w:val="18"/>
          <w:color w:val="auto"/>
        </w:rPr>
        <w:t xml:space="preserve"> We hold proprietary technologies and are a leader in the design, construction, and commissioning of ethylene production plants. We design steam crackers, from concept stage through construction and commissioning, for both new plants (including mega-crackers) and plant expansions. We have a portfolio of the latest generation of commercially proven technologies and are uniquely positioned to be both a licensor and an EPC contractor. Our technological developments have improved the energy efficiency in ethylene plants by improving thermal efficiency of the furnaces and reducing the compression power required per ton, thereby reducing carbon dioxide emissions per ton of ethylene by 30 percent over the last 25 years.</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u w:val="single" w:color="auto"/>
          <w:color w:val="auto"/>
        </w:rPr>
        <w:t>Petrochemicals and Fertilizers.</w:t>
      </w:r>
      <w:r>
        <w:rPr>
          <w:rFonts w:ascii="Arial" w:cs="Arial" w:eastAsia="Arial" w:hAnsi="Arial"/>
          <w:sz w:val="18"/>
          <w:szCs w:val="18"/>
          <w:color w:val="auto"/>
        </w:rPr>
        <w:t xml:space="preserve"> We are one of the world leaders in the process design, licensing, and realization of petrochemical units, including basic chemicals, intermediate and derivative plants. We provide a range of services that includes process technology licensing and development and full EPC complexes. We license a portfolio of chemical technologies through long-standing alliances and relationships with leading manufacturing companies and technology providers. We have research centers to develop and test technologies for polymer and petrochemical applications, where fully automated pilot plants gather design data to scale-up processes for commercialization.</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Hydrogen.</w:t>
      </w:r>
      <w:r>
        <w:rPr>
          <w:rFonts w:ascii="Arial" w:cs="Arial" w:eastAsia="Arial" w:hAnsi="Arial"/>
          <w:sz w:val="18"/>
          <w:szCs w:val="18"/>
          <w:color w:val="auto"/>
        </w:rPr>
        <w:t xml:space="preserve"> Hydrogen is the most widely used industrial gas in the refining, chemical, and petrochemical industries, and is also widely used in the production of cleaner transport fuels. We offer a single point of responsibility for the design and construction of hydrogen and synthesis gas production units, with solutions ranging from Process Design Packages to full lump-sum turnkey projects. We also offer services for maintenance and performance optimization of running units. We have solutions in place for carbon capture readiness in future hydrogen plants, targeting more than a two-thirds reduction in carbon dioxide release from the hydrogen plant.</w:t>
      </w:r>
    </w:p>
    <w:p>
      <w:pPr>
        <w:spacing w:after="0" w:line="152"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u w:val="single" w:color="auto"/>
          <w:color w:val="auto"/>
        </w:rPr>
        <w:t>Fixed Platforms.</w:t>
      </w:r>
      <w:r>
        <w:rPr>
          <w:rFonts w:ascii="Arial" w:cs="Arial" w:eastAsia="Arial" w:hAnsi="Arial"/>
          <w:sz w:val="18"/>
          <w:szCs w:val="18"/>
          <w:color w:val="auto"/>
        </w:rPr>
        <w:t xml:space="preserve"> We offer a broad range of fixed platform solutions in shallow water, including: (i) large conventional platforms with pile steel jackets whose topsides are installed offshore either by heavy lift vessel or floatover; (ii) small, conventional platforms installed by small crane vessel; (iii) steel gravity-based structure platforms, generally with floatover topsides; and (iv) small to large self-installing platforms.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Floating Production Units.</w:t>
      </w:r>
      <w:r>
        <w:rPr>
          <w:rFonts w:ascii="Arial" w:cs="Arial" w:eastAsia="Arial" w:hAnsi="Arial"/>
          <w:sz w:val="18"/>
          <w:szCs w:val="18"/>
          <w:color w:val="auto"/>
        </w:rPr>
        <w:t xml:space="preserve"> We offer a broad range of floating platform solutions for moderate to ultra-deepwater applications, including: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71" w:right="259" w:bottom="1440" w:gutter="0" w:footer="0" w:header="0"/>
        </w:sectPr>
      </w:pPr>
    </w:p>
    <w:bookmarkStart w:id="12" w:name="page13"/>
    <w:bookmarkEnd w:id="12"/>
    <w:p>
      <w:pPr>
        <w:ind w:left="660" w:right="10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Spar Platforms: </w:t>
      </w:r>
      <w:r>
        <w:rPr>
          <w:rFonts w:ascii="Arial" w:cs="Arial" w:eastAsia="Arial" w:hAnsi="Arial"/>
          <w:sz w:val="18"/>
          <w:szCs w:val="18"/>
          <w:color w:val="auto"/>
        </w:rPr>
        <w:t>Capable of operating in a wide range of water depths, the Spar is a low motion floater that can support full drilling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dry trees or with tender assist and flexible or steel catenary risers. The Spar topside is installed offshore either by heavy lift vessel or floatover.</w:t>
      </w:r>
    </w:p>
    <w:p>
      <w:pPr>
        <w:spacing w:after="0" w:line="122" w:lineRule="exact"/>
        <w:rPr>
          <w:rFonts w:ascii="Arial" w:cs="Arial" w:eastAsia="Arial" w:hAnsi="Arial"/>
          <w:sz w:val="18"/>
          <w:szCs w:val="18"/>
          <w:color w:val="auto"/>
        </w:rPr>
      </w:pPr>
    </w:p>
    <w:p>
      <w:pPr>
        <w:ind w:left="660" w:hanging="328"/>
        <w:spacing w:after="0" w:line="28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Semi-Submersible Platforms</w:t>
      </w:r>
      <w:r>
        <w:rPr>
          <w:rFonts w:ascii="Arial" w:cs="Arial" w:eastAsia="Arial" w:hAnsi="Arial"/>
          <w:sz w:val="17"/>
          <w:szCs w:val="17"/>
          <w:color w:val="auto"/>
        </w:rPr>
        <w:t>: These platforms are well-suited for oil field developments where subsea wells drilled by a mobile offshore</w:t>
      </w:r>
      <w:r>
        <w:rPr>
          <w:rFonts w:ascii="Arial" w:cs="Arial" w:eastAsia="Arial" w:hAnsi="Arial"/>
          <w:sz w:val="17"/>
          <w:szCs w:val="17"/>
          <w:i w:val="1"/>
          <w:iCs w:val="1"/>
          <w:color w:val="auto"/>
        </w:rPr>
        <w:t xml:space="preserve"> </w:t>
      </w:r>
      <w:r>
        <w:rPr>
          <w:rFonts w:ascii="Arial" w:cs="Arial" w:eastAsia="Arial" w:hAnsi="Arial"/>
          <w:sz w:val="17"/>
          <w:szCs w:val="17"/>
          <w:color w:val="auto"/>
        </w:rPr>
        <w:t>drilling unit are appropriate. Semi-Submersibles can operate in a wide range of water depths and may have full drilling and large topside capabilities. We have our own unique design of low-motion Semi-Submersible platforms that can accommodate dry trees.</w:t>
      </w:r>
    </w:p>
    <w:p>
      <w:pPr>
        <w:spacing w:after="0" w:line="104" w:lineRule="exact"/>
        <w:rPr>
          <w:rFonts w:ascii="Arial" w:cs="Arial" w:eastAsia="Arial" w:hAnsi="Arial"/>
          <w:sz w:val="17"/>
          <w:szCs w:val="17"/>
          <w:color w:val="auto"/>
        </w:rPr>
      </w:pPr>
    </w:p>
    <w:p>
      <w:pPr>
        <w:ind w:left="66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Tension-Leg Platforms </w:t>
      </w:r>
      <w:r>
        <w:rPr>
          <w:rFonts w:ascii="Arial" w:cs="Arial" w:eastAsia="Arial" w:hAnsi="Arial"/>
          <w:sz w:val="18"/>
          <w:szCs w:val="18"/>
          <w:color w:val="auto"/>
        </w:rPr>
        <w:t>(“TLP”): An appropriate platform for deepwater drilling and production in water depths up to approximately 1,500</w:t>
      </w:r>
      <w:r>
        <w:rPr>
          <w:rFonts w:ascii="Arial" w:cs="Arial" w:eastAsia="Arial" w:hAnsi="Arial"/>
          <w:sz w:val="18"/>
          <w:szCs w:val="18"/>
          <w:i w:val="1"/>
          <w:iCs w:val="1"/>
          <w:color w:val="auto"/>
        </w:rPr>
        <w:t xml:space="preserve"> </w:t>
      </w:r>
      <w:r>
        <w:rPr>
          <w:rFonts w:ascii="Arial" w:cs="Arial" w:eastAsia="Arial" w:hAnsi="Arial"/>
          <w:sz w:val="18"/>
          <w:szCs w:val="18"/>
          <w:color w:val="auto"/>
        </w:rPr>
        <w:t>meters, the TLP can be configured with full drilling or with tender assist and is generally a dry tree unit. The TLP and our topside can be integrated onto the substructure in a cost-effective manner at quayside.</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Floating Production, Storage and Offloading (“FPSO”).</w:t>
      </w:r>
      <w:r>
        <w:rPr>
          <w:rFonts w:ascii="Arial" w:cs="Arial" w:eastAsia="Arial" w:hAnsi="Arial"/>
          <w:sz w:val="18"/>
          <w:szCs w:val="18"/>
          <w:color w:val="auto"/>
        </w:rPr>
        <w:t xml:space="preserve"> Working with our construction partners, we have delivered some of the largest FPSOs in the world. FPSOs enable offshore production and storage of oil which is then transported by a tanker where pipeline export is uneconomic or technically challenged (e.g., ultra-deepwater). FPSOs utilize onshore processes adapted to a floating marine environment. They can support large topsides and hence large production capacities. Leveraging our industry-leading capabilities in gas monetization, particularly FLNG, we are currently well-positioned to leverage the global offshore gas cycle with gas FPSOs.</w:t>
      </w:r>
    </w:p>
    <w:p>
      <w:pPr>
        <w:spacing w:after="0" w:line="1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u w:val="single" w:color="auto"/>
          <w:color w:val="auto"/>
        </w:rPr>
        <w:t>Floating Liquefied Natural Gas (“FLNG”).</w:t>
      </w:r>
      <w:r>
        <w:rPr>
          <w:rFonts w:ascii="Arial" w:cs="Arial" w:eastAsia="Arial" w:hAnsi="Arial"/>
          <w:sz w:val="18"/>
          <w:szCs w:val="18"/>
          <w:color w:val="auto"/>
        </w:rPr>
        <w:t xml:space="preserve"> FLNG is an innovative alternative to traditional onshore LNG plants and is suitable for remote and stranded gas fields that were previously deemed uneconomical. FLNG is a commercially attractive approach to the monetization of offshore gas fields. It avoids the cost of building and operating long-distance pipelines and extensive onshore infrastructure. We pioneered the FLNG industry and are the only contractor to integrate all of the core activities required to deliver an FLNG project: LNG process, offshore facilities, loading systems, and subsea infrastructure. We delivered the industry’s first and largest FLNG facilities and are currently executing ENI’s Coral South FLNG, which will be installed offshore Mozambique in East Africa.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Intensity</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Onshore/Offshore business executes turnkey contracts on a lump-sum or reimbursable basis through engineering, procurement, construction, and project management services on both brownfield and greenfield developments and projects. We can execute EPC contracts through sole responsibility, joint ventures, or consortiums with other companies. We often receive advance payments and progress billings from our customers to fund initial development and working capital requirements. However, our working capital balances can vary significantly through the project lifecycle depending on the payment terms and timing on contracts.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Key Customers</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Generally, our Onshore/Offshore customers are major integrated oil companies or national oil companies. We have developed long-term relationships with our main clients around our portfolio of technologies, expertise in project management, and strong execution. Our customers have sought the security of partnerships with us to ensure timely and cost-effective delivery of their projects.</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One customer, JSC Yamal LNG, represented more than 10 percent of 2019 consolidated revenue. We do not anticipate JSC Yamal LNG representing more than 10 percent of our consolidated revenue beyond 2019 as the project nears completion. We consolidate all revenue from the JSC Yamal LNG partnership, including revenue associated with the minority partners of the joint venture.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8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the onshore market, we face a large number of competitors, including U.S. companies (Bechtel Corporation, Fluor Corporation,, KBR, Inc. (“KBR”), and McDermott), Asian and Australian companies (Chiyoda Corporation, JGC Corporation, Hyundai Oilbank, Samsung Engineering Co., Ltd, SK Energy Co., Ltd and WorleyParsons Limited), European companies (John Wood Group plc, Maire Tecnimont Group, Petrofac, Ltd., Saipem, and Tecnicas Reunidas, S.A.),. In addition, we compete against smaller, specialized, and locally-based engineering and construction companies in certain countries or for specific units such as petrochemicals.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53" w:right="259" w:bottom="1440" w:gutter="0" w:footer="0" w:header="0"/>
        </w:sectPr>
      </w:pPr>
    </w:p>
    <w:bookmarkStart w:id="13" w:name="page14"/>
    <w:bookmarkEnd w:id="13"/>
    <w:p>
      <w:pPr>
        <w:spacing w:after="0" w:line="254" w:lineRule="auto"/>
        <w:rPr>
          <w:sz w:val="20"/>
          <w:szCs w:val="20"/>
          <w:color w:val="auto"/>
        </w:rPr>
      </w:pPr>
      <w:r>
        <w:rPr>
          <w:rFonts w:ascii="Arial" w:cs="Arial" w:eastAsia="Arial" w:hAnsi="Arial"/>
          <w:sz w:val="18"/>
          <w:szCs w:val="18"/>
          <w:color w:val="auto"/>
        </w:rPr>
        <w:t>Competition in the Offshore market is relatively fragmented and includes various players with different core capabilities, including offshore construction contractors, shipyards, leasing contractors, and local yards in Asia Pacific, the Middle East, and Africa. Competitors include China Offshore Oil Engineering Co., Ltd., Daewoo Shipbuilding &amp; Marine Engineering Co., Ltd., Hyundai Heavy Industries Co., Ltd., JGC Corporation, KBR, McDermott, MODEC Inc., Saipem, and Samsung Heavy Industries Co., Ltd.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8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Onshore business is generally not impacted by seasonality. Our Offshore business could be impacted by seasonality in the North Sea and other harsh environment regions during the offshore installation campaign at the end of a project.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8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onshore market is impacted by changes in oil and gas prices, but is typically more resilient than offshore markets. Indeed, some downstream markets have benefited from low commodity prices where market fundamentals are influenced by other economic factors (e.g., petrochemicals and fertilizers that are linked to global growth). This market dynamic is mostly present in developing countries with rapidly growing energy demand (in particular, Asia) and countries with abundant oil and gas reserves that have decided to expand downstream (in particular, the Middle East and Russia). The onshore market remains relatively small in Western Europe with a diversity of projects, including a second generation of bio ethanol plants. The North American onshore market is experiencing a strong recovery in the wake of the oil and gas shale revolution.</w:t>
      </w:r>
    </w:p>
    <w:p>
      <w:pPr>
        <w:spacing w:after="0" w:line="15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offshore market is more directly impacted by changes in oil prices. Offshore fields in the Gulf of Mexico, the Middle East, and the North Sea were the traditional backbone for investments in the last decade. Recent discoveries of offshore fields with reserves in other regions such as Brazil, Australia, and East Africa are expected to become drivers of increased investment. In the long-term, gas is expected to become a bigger portion of the global energy mix, requiring new investments in the upstream industry.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based on the following:</w:t>
      </w:r>
    </w:p>
    <w:p>
      <w:pPr>
        <w:spacing w:after="0" w:line="171" w:lineRule="exact"/>
        <w:rPr>
          <w:sz w:val="20"/>
          <w:szCs w:val="20"/>
          <w:color w:val="auto"/>
        </w:rPr>
      </w:pPr>
    </w:p>
    <w:p>
      <w:pPr>
        <w:ind w:left="660" w:right="28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Selectivity of clients, projects, and geographies, which serves to maintain early engagement, leading to influence over technological choices, design considerations, and project specifications that make projects economically viable;</w:t>
      </w:r>
    </w:p>
    <w:p>
      <w:pPr>
        <w:spacing w:after="0" w:line="142"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Technology-driven differentiation with strong project management, which eliminates or significantly reduces technical and project risks, leading to both schedule and cost certainty without compromising safety; and</w:t>
      </w:r>
    </w:p>
    <w:p>
      <w:pPr>
        <w:spacing w:after="0" w:line="142"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Excellence in project execution, because of our global, multi-center project delivery model complemented by deep partnerships and alliances to ensure the best possible execution for complex projects.</w:t>
      </w:r>
    </w:p>
    <w:p>
      <w:pPr>
        <w:spacing w:after="0" w:line="14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TechnipFMC’s Onshore/Offshore segment continually invests in innovation and technology. The Company is at the forefront of digital solutions due in part to our investment in 3D models, often referred to as digital twin, and interfaces.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Future Developments</w:t>
      </w:r>
    </w:p>
    <w:p>
      <w:pPr>
        <w:spacing w:after="0" w:line="18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response to industry challenges to improve project economics in the Offshore market, we are continuing our cost reduction efforts to align capacity and capabilities with market demands. As such, in 2018 we sold our interest in the Pori Offshore yard in Finland.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Onshore market activity continues to provide a tangible set of opportunities, including natural gas, refining, and petrochemical projects.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71" w:right="259" w:bottom="1440" w:gutter="0" w:footer="0" w:header="0"/>
        </w:sectPr>
      </w:pPr>
    </w:p>
    <w:bookmarkStart w:id="14" w:name="page15"/>
    <w:bookmarkEnd w:id="14"/>
    <w:p>
      <w:pPr>
        <w:spacing w:after="0" w:line="252" w:lineRule="auto"/>
        <w:rPr>
          <w:sz w:val="20"/>
          <w:szCs w:val="20"/>
          <w:color w:val="auto"/>
        </w:rPr>
      </w:pPr>
      <w:r>
        <w:rPr>
          <w:rFonts w:ascii="Arial" w:cs="Arial" w:eastAsia="Arial" w:hAnsi="Arial"/>
          <w:sz w:val="18"/>
          <w:szCs w:val="18"/>
          <w:color w:val="auto"/>
        </w:rPr>
        <w:t>Activity in LNG is fueled by higher demand for natural gas, a fuel source that continues to command a greater share of global energy demand. Natural gas will play an essential role as an energy transition fuel, helping to meet the increasing demand for energy while lowering greenhouse gases when compared to current fuel sources. This trend is structural, driven by market preference for cleaner energy sources and the need to satisfy growing domestic demand in markets such as Asia and the Middle East. To meet this demand, we believe that large gas projects will need to be sanctioned in the near future, as evidenced by both the significant increase in pre-FEED and FEED contract awards and higher levels of pre-bid project planning experienced in 2019. The award of Novatek’s Arctic LNG 2 project and its sanction in late 2019 confirmed this trend.</w:t>
      </w:r>
    </w:p>
    <w:p>
      <w:pPr>
        <w:spacing w:after="0" w:line="15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onshore market activity levels remain stable, it provides our business with the opportunity to engage early with our clients and pursue additional front-end engineering studies, which serve to optimize project economics while also mitigating risks during project execution. Market opportunities for downstream front-end engineering studies and full EPC projects in both LNG and refining are most prevalent in the Middle East, Africa, and Asia. We continue to track near-term prospects for petrochemical and fertilizer projects as well. We believe this broad opportunity set could generate additional inbound orders in the coming years.</w:t>
      </w:r>
    </w:p>
    <w:p>
      <w:pPr>
        <w:spacing w:after="0" w:line="15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response to an increase in demand for gas, Offshore continued as a leader in gas FPSO projects. In addition to the ongoing Karish project for Energean, we were awarded the EPCI contract for BP’s Tortue gas FPSO, which will be deployed offshore West Africa.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8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are positioned as a premier provider of project execution and technology solutions, which enables our customers to unlock resources at advantaged capital and operating economics. We invest in these main Onshore R&amp;D areas: (i) the development of process technology and equipment for economy of scale; (ii) continuous improvement of our proprietary process technologies and other solutions to reduce operating and investment cost; and (iii) diversification of our proprietary technology offering.</w:t>
      </w:r>
    </w:p>
    <w:p>
      <w:pPr>
        <w:spacing w:after="0" w:line="150"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Our Offshore R&amp;D efforts are focused on improving the economics of our clients’ diverse fixed and floating platform projects. Additionally, to further reduce operating and investment costs, we continue to progress the development of robotic solutions for offshore platforms and work towards a standard and adaptable design for Normally Unmanned Installations (“NUI”). We are also evaluating the various opportunities that will emerge as the industry and societal demands shift as part of the energy transition. The Company continues to assess and implement the best digital technologies to support the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acquisitions or significant investments occurred during 2019 or 2018.</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19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Surface Technologies segment designs, manufactures, and services products and systems used by companies involved in land and shallow water exploration and production of crude oil and natural gas. Such products and systems include: (i) wellhead systems, (ii) hydraulic fracturing systems, including fracturing valves, pumps, rigid flowlines, and flexible flowlines, (iii) production, separation, and flow processing systems, and (iv) measurement products and integrated systems. We manufacture most of our products internally and on facilities located worldwide.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Services</w:t>
      </w:r>
    </w:p>
    <w:p>
      <w:pPr>
        <w:spacing w:after="0" w:line="18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u w:val="single" w:color="auto"/>
          <w:color w:val="auto"/>
        </w:rPr>
        <w:t>Upstream Production.</w:t>
      </w:r>
      <w:r>
        <w:rPr>
          <w:rFonts w:ascii="Arial" w:cs="Arial" w:eastAsia="Arial" w:hAnsi="Arial"/>
          <w:sz w:val="18"/>
          <w:szCs w:val="18"/>
          <w:color w:val="auto"/>
        </w:rPr>
        <w:t xml:space="preserve"> Our upstream production offering includes well control, safety and integrity systems, multiphase meter modules, in-line separation and processing systems, and standard pumps. These offerings are differentiated by our comprehensive portfolio of in-house compact, modular, and digital technologies, and are designed to enhance field project economics and reduce operating expenditures with an integrated system that spans from wellhead to pipeline.</w:t>
      </w:r>
    </w:p>
    <w:p>
      <w:pPr>
        <w:spacing w:after="0" w:line="15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high-efficiency solutions, such as our separation portfolio and measurement technologies, combined with our expertise in modularization, enable our customers to achieve first production faster with fully optimized and environmentally-conscious, compact systems.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71" w:right="259" w:bottom="1440" w:gutter="0" w:footer="0" w:header="0"/>
        </w:sectPr>
      </w:pPr>
    </w:p>
    <w:bookmarkStart w:id="15" w:name="page16"/>
    <w:bookmarkEnd w:id="15"/>
    <w:p>
      <w:pPr>
        <w:ind w:right="180"/>
        <w:spacing w:after="0" w:line="266" w:lineRule="auto"/>
        <w:rPr>
          <w:sz w:val="20"/>
          <w:szCs w:val="20"/>
          <w:color w:val="auto"/>
        </w:rPr>
      </w:pPr>
      <w:r>
        <w:rPr>
          <w:rFonts w:ascii="Arial" w:cs="Arial" w:eastAsia="Arial" w:hAnsi="Arial"/>
          <w:sz w:val="18"/>
          <w:szCs w:val="18"/>
          <w:i w:val="1"/>
          <w:iCs w:val="1"/>
          <w:color w:val="auto"/>
        </w:rPr>
        <w:t>Well Control and Integrity Systems</w:t>
      </w:r>
      <w:r>
        <w:rPr>
          <w:rFonts w:ascii="Arial" w:cs="Arial" w:eastAsia="Arial" w:hAnsi="Arial"/>
          <w:sz w:val="18"/>
          <w:szCs w:val="18"/>
          <w:color w:val="auto"/>
        </w:rPr>
        <w:t>: We supply control components and safety systems designed to safely and efficiently run either a wellpad,</w:t>
      </w:r>
      <w:r>
        <w:rPr>
          <w:rFonts w:ascii="Arial" w:cs="Arial" w:eastAsia="Arial" w:hAnsi="Arial"/>
          <w:sz w:val="18"/>
          <w:szCs w:val="18"/>
          <w:i w:val="1"/>
          <w:iCs w:val="1"/>
          <w:color w:val="auto"/>
        </w:rPr>
        <w:t xml:space="preserve"> </w:t>
      </w:r>
      <w:r>
        <w:rPr>
          <w:rFonts w:ascii="Arial" w:cs="Arial" w:eastAsia="Arial" w:hAnsi="Arial"/>
          <w:sz w:val="18"/>
          <w:szCs w:val="18"/>
          <w:color w:val="auto"/>
        </w:rPr>
        <w:t>modules on an offshore platform, or a production facility. Our systems are based on standard, field-proven building blocks and designed for minimal maintenance during life of field operations.</w:t>
      </w:r>
    </w:p>
    <w:p>
      <w:pPr>
        <w:spacing w:after="0" w:line="122"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i w:val="1"/>
          <w:iCs w:val="1"/>
          <w:color w:val="auto"/>
        </w:rPr>
        <w:t xml:space="preserve">Surface Multiphase Meter: </w:t>
      </w:r>
      <w:r>
        <w:rPr>
          <w:rFonts w:ascii="Arial" w:cs="Arial" w:eastAsia="Arial" w:hAnsi="Arial"/>
          <w:sz w:val="17"/>
          <w:szCs w:val="17"/>
          <w:color w:val="auto"/>
        </w:rPr>
        <w:t>Our multiphase meters (“MPMs”) are a collection of technologically-advanced innovations that provide a</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differentiated approach to multiphase measurement. The patented technology in our MPMs offers many unique features that provide a step change in allocation measurement and allows for continuous surveillance of wells across a full range of operating conditions. Our MPMs provide real-time data to a central facility, or our cloud portal, for production reporting and remote notification and system troubleshooting.</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Separation and Processing Systems: </w:t>
      </w:r>
      <w:r>
        <w:rPr>
          <w:rFonts w:ascii="Arial" w:cs="Arial" w:eastAsia="Arial" w:hAnsi="Arial"/>
          <w:sz w:val="18"/>
          <w:szCs w:val="18"/>
          <w:color w:val="auto"/>
        </w:rPr>
        <w:t>TechnipFMC provides industry-leading technology for the separation of oil, gas, sand, and water. These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are used in onshore production facilities and on offshore platforms worldwide. Our family of separation products delivers client success by increasing efficiency and throughput and reducing the footprint of processing facilities. Our separation systems offering includes internal components for oil and gas multiphase separation, in-line deliquidisers, and solids removal, as well as fully assembled separation modules and packages designed and fabricated for oil and gas separation, fracturing flowback treatment, solids removal, and primary produced water treatment.</w:t>
      </w:r>
    </w:p>
    <w:p>
      <w:pPr>
        <w:spacing w:after="0" w:line="129"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color w:val="auto"/>
        </w:rPr>
        <w:t>Standard Pumps and Skid Systems</w:t>
      </w:r>
      <w:r>
        <w:rPr>
          <w:rFonts w:ascii="Arial" w:cs="Arial" w:eastAsia="Arial" w:hAnsi="Arial"/>
          <w:sz w:val="18"/>
          <w:szCs w:val="18"/>
          <w:color w:val="auto"/>
        </w:rPr>
        <w:t>: TechnipFMC provides complete skid solutions, from design consultation through startup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commissioning. We offer a diverse line of reciprocating pumps, customized according to the application with pressure ranges available up to 10,000 psi and flow rates up to 1,500 gpm.</w:t>
      </w:r>
    </w:p>
    <w:p>
      <w:pPr>
        <w:spacing w:after="0" w:line="12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Automation and Digital Systems: </w:t>
      </w:r>
      <w:r>
        <w:rPr>
          <w:rFonts w:ascii="Arial" w:cs="Arial" w:eastAsia="Arial" w:hAnsi="Arial"/>
          <w:sz w:val="18"/>
          <w:szCs w:val="18"/>
          <w:color w:val="auto"/>
        </w:rPr>
        <w:t>TechnipFMC provides hardware and software solutions to automate and provide simple human interfaces for</w:t>
      </w:r>
      <w:r>
        <w:rPr>
          <w:rFonts w:ascii="Arial" w:cs="Arial" w:eastAsia="Arial" w:hAnsi="Arial"/>
          <w:sz w:val="18"/>
          <w:szCs w:val="18"/>
          <w:i w:val="1"/>
          <w:iCs w:val="1"/>
          <w:color w:val="auto"/>
        </w:rPr>
        <w:t xml:space="preserve"> </w:t>
      </w:r>
      <w:r>
        <w:rPr>
          <w:rFonts w:ascii="Arial" w:cs="Arial" w:eastAsia="Arial" w:hAnsi="Arial"/>
          <w:sz w:val="18"/>
          <w:szCs w:val="18"/>
          <w:color w:val="auto"/>
        </w:rPr>
        <w:t>a number of its critical products. These digital offerings help enable the removal of personnel from critical zones either offshore or onshore. In addition the digital signatures from our products can then be interpreted and used via condition performance monitoring to eliminate unplanned downtime.</w:t>
      </w:r>
    </w:p>
    <w:p>
      <w:pPr>
        <w:spacing w:after="0" w:line="14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u w:val="single" w:color="auto"/>
          <w:color w:val="auto"/>
        </w:rPr>
        <w:t>Pressure Control.</w:t>
      </w:r>
      <w:r>
        <w:rPr>
          <w:rFonts w:ascii="Arial" w:cs="Arial" w:eastAsia="Arial" w:hAnsi="Arial"/>
          <w:sz w:val="18"/>
          <w:szCs w:val="18"/>
          <w:color w:val="auto"/>
        </w:rPr>
        <w:t xml:space="preserve"> We design and manufacture equipment used in well completion and stimulation activities by major oilfield sevice and drilling companies, as well as by oil and gas exploration and production operators directly.</w:t>
      </w:r>
    </w:p>
    <w:p>
      <w:pPr>
        <w:spacing w:after="0" w:line="124"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i w:val="1"/>
          <w:iCs w:val="1"/>
          <w:color w:val="auto"/>
        </w:rPr>
        <w:t xml:space="preserve">Flowline: </w:t>
      </w:r>
      <w:r>
        <w:rPr>
          <w:rFonts w:ascii="Arial" w:cs="Arial" w:eastAsia="Arial" w:hAnsi="Arial"/>
          <w:sz w:val="17"/>
          <w:szCs w:val="17"/>
          <w:color w:val="auto"/>
        </w:rPr>
        <w:t>TechnipFMC is a leading supplier of flowline products and services to the oilfield industry. From the original Chiksan® and Weco®</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to our revolutionary equipment designs and integrated services, our family of flowline products and services provides our customers with reliable and durable pressure pumping equipment. Our facilities stock flowline products in the specific sizes, pressures, and materials common to each region. Our commitment is to help our customers worldwide attain maximum value from their pressure pumping assets by guaranteeing that the right products arrive at the job site in top working condition. Our total solutions approach includes the InteServ tracking and management system, mobile inspection and repair, strategically located service centers, and genuine Chiksan® and Weco® spare parts.</w:t>
      </w:r>
    </w:p>
    <w:p>
      <w:pPr>
        <w:spacing w:after="0" w:line="120"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Well Service Pumps</w:t>
      </w:r>
      <w:r>
        <w:rPr>
          <w:rFonts w:ascii="Arial" w:cs="Arial" w:eastAsia="Arial" w:hAnsi="Arial"/>
          <w:sz w:val="18"/>
          <w:szCs w:val="18"/>
          <w:color w:val="auto"/>
        </w:rPr>
        <w:t>: TechnipFMC offers a diverse line of well service pumps for use in high-pressure pumping operations such as hydraulic</w:t>
      </w:r>
      <w:r>
        <w:rPr>
          <w:rFonts w:ascii="Arial" w:cs="Arial" w:eastAsia="Arial" w:hAnsi="Arial"/>
          <w:sz w:val="18"/>
          <w:szCs w:val="18"/>
          <w:i w:val="1"/>
          <w:iCs w:val="1"/>
          <w:color w:val="auto"/>
        </w:rPr>
        <w:t xml:space="preserve"> </w:t>
      </w:r>
      <w:r>
        <w:rPr>
          <w:rFonts w:ascii="Arial" w:cs="Arial" w:eastAsia="Arial" w:hAnsi="Arial"/>
          <w:sz w:val="18"/>
          <w:szCs w:val="18"/>
          <w:color w:val="auto"/>
        </w:rPr>
        <w:t>fracturing and stimulation, including triplex and quintuplex pumps, each with its own industry-leading features, including: (i) heavy-duty power ends, paired with main journal roller bearings and heavy-duty rod journal bearings, (ii) heavy-duty crankshafts, (iii) fluid cylinders, with accessible packing and valves, and (iv) made-to-order pumps. Our pumps can withstand some of the harshest operating conditions, with pressure ranges up to 20,000 psi and flow rates up to 1,500 gallons per minute.</w:t>
      </w:r>
    </w:p>
    <w:p>
      <w:pPr>
        <w:spacing w:after="0" w:line="14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All of our pumps are supported by dedicated service staff. We have the industry’s largest fleet of mobile units to perform complete inspection and repair services at customer locations around the world. The mobile services include inspection, testing, repair, documentation, and certification, with the goal of extending product life and reducing operator costs.</w:t>
      </w:r>
    </w:p>
    <w:p>
      <w:pPr>
        <w:spacing w:after="0" w:line="14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u w:val="single" w:color="auto"/>
          <w:color w:val="auto"/>
        </w:rPr>
        <w:t>Drilling and Completion.</w:t>
      </w:r>
      <w:r>
        <w:rPr>
          <w:rFonts w:ascii="Arial" w:cs="Arial" w:eastAsia="Arial" w:hAnsi="Arial"/>
          <w:sz w:val="18"/>
          <w:szCs w:val="18"/>
          <w:color w:val="auto"/>
        </w:rPr>
        <w:t xml:space="preserve"> We provide a full range of drilling and completion systems for both standard and custom engineered applications. The customer base of our drilling and completion offerings are oil and gas exploration and production companies.</w:t>
      </w:r>
    </w:p>
    <w:p>
      <w:pPr>
        <w:spacing w:after="0" w:line="12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Surface Wellheads and Production Trees</w:t>
      </w:r>
      <w:r>
        <w:rPr>
          <w:rFonts w:ascii="Arial" w:cs="Arial" w:eastAsia="Arial" w:hAnsi="Arial"/>
          <w:sz w:val="18"/>
          <w:szCs w:val="18"/>
          <w:color w:val="auto"/>
        </w:rPr>
        <w:t>: Our products are used to control and regulate the flow of crude oil and natural gas from the well. The</w:t>
      </w:r>
      <w:r>
        <w:rPr>
          <w:rFonts w:ascii="Arial" w:cs="Arial" w:eastAsia="Arial" w:hAnsi="Arial"/>
          <w:sz w:val="18"/>
          <w:szCs w:val="18"/>
          <w:i w:val="1"/>
          <w:iCs w:val="1"/>
          <w:color w:val="auto"/>
        </w:rPr>
        <w:t xml:space="preserve"> </w:t>
      </w:r>
      <w:r>
        <w:rPr>
          <w:rFonts w:ascii="Arial" w:cs="Arial" w:eastAsia="Arial" w:hAnsi="Arial"/>
          <w:sz w:val="18"/>
          <w:szCs w:val="18"/>
          <w:color w:val="auto"/>
        </w:rPr>
        <w:t>wellhead is a system of spools and sealing devices from which the entire downhole well string hangs and provides the structural support for surface production trees. Production trees are comprised of valves, actuators and chokes which can be combined in both vertical and horizontal configurations, depending on customer-specific requirements.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3" w:right="239" w:bottom="1440" w:gutter="0" w:footer="0" w:header="0"/>
        </w:sectPr>
      </w:pPr>
    </w:p>
    <w:bookmarkStart w:id="16" w:name="page17"/>
    <w:bookmarkEnd w:id="16"/>
    <w:p>
      <w:pPr>
        <w:ind w:right="100"/>
        <w:spacing w:after="0" w:line="252" w:lineRule="auto"/>
        <w:rPr>
          <w:sz w:val="20"/>
          <w:szCs w:val="20"/>
          <w:color w:val="auto"/>
        </w:rPr>
      </w:pPr>
      <w:r>
        <w:rPr>
          <w:rFonts w:ascii="Arial" w:cs="Arial" w:eastAsia="Arial" w:hAnsi="Arial"/>
          <w:sz w:val="18"/>
          <w:szCs w:val="18"/>
          <w:color w:val="auto"/>
        </w:rPr>
        <w:t>Surface wellheads and production trees are “per-well” systems which are designed for onshore shale, onshore conventional, and offshore shallow water platform applications, and are typically sold directly to exploration and production operators during the drilling and completion phases of the well lifecycle. Our surface wellhead and production tree systems are used worldwide, and we are one of the few companies that provide global coverage and a full range of system configurations, including (i) conventional wellheads, (ii) Unihead® drill-thru wellheads designed for faster installation and drill-time optimization, (iii) high-pressure, high-temperature (“HPHT”) systems for extreme production applications, and (iv) steam-assisted gravity drainage (“SAGD”) and cyclic steam injection (“CSS”) thermal systems for heavy oil applications.</w:t>
      </w:r>
    </w:p>
    <w:p>
      <w:pPr>
        <w:spacing w:after="0" w:line="155"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We also provide services associated to our surface wellhead and production tree portfolio including service personnel and rental tooling for wellhead and production tree installation and life of field repair, refurbishment, and general maintenance. Our wellhead and production tree business relies on our ability to successfully provide the necessary field operations coverage, responsiveness, and reliability to prevent downtime and nonproductive time during the drilling and completion phases.</w:t>
      </w:r>
    </w:p>
    <w:p>
      <w:pPr>
        <w:spacing w:after="0" w:line="13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Fracturing Tree and Manifold Systems</w:t>
      </w:r>
      <w:r>
        <w:rPr>
          <w:rFonts w:ascii="Arial" w:cs="Arial" w:eastAsia="Arial" w:hAnsi="Arial"/>
          <w:sz w:val="18"/>
          <w:szCs w:val="18"/>
          <w:color w:val="auto"/>
        </w:rPr>
        <w:t>: During the completion of a shale well, the well undergoes hydraulic fracturing. During this phase,</w:t>
      </w:r>
      <w:r>
        <w:rPr>
          <w:rFonts w:ascii="Arial" w:cs="Arial" w:eastAsia="Arial" w:hAnsi="Arial"/>
          <w:sz w:val="18"/>
          <w:szCs w:val="18"/>
          <w:i w:val="1"/>
          <w:iCs w:val="1"/>
          <w:color w:val="auto"/>
        </w:rPr>
        <w:t xml:space="preserve"> </w:t>
      </w:r>
      <w:r>
        <w:rPr>
          <w:rFonts w:ascii="Arial" w:cs="Arial" w:eastAsia="Arial" w:hAnsi="Arial"/>
          <w:sz w:val="18"/>
          <w:szCs w:val="18"/>
          <w:color w:val="auto"/>
        </w:rPr>
        <w:t>durable and wear resistant wellsite equipment is temporarily deployed, designed to sustain the high pressure and highly erosive fracturing fluid which is pumped through the well into the formation.</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surface completions portfolio includes fracturing tree systems, fracturing valve greasing systems, hydraulic control units, fracturing manifold systems, and rigid and flexible flowlines. This equipment is temporarily laid out between the wellhead and the fracturing pump truck during hydraulic fracturing. These products are typically supplied to exploration and production operators who rent this equipment directly from us during the hydraulic fracturing activities. Associated with our fracturing equipment rental is fracturing rig-up / rig-down field service personnel as well as oversight and operation of the equipment during the multiple fracturing stages for a shale well.</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TechnipFMC’s manifold solutions help increase operational efficiency for a pad site with multiple wells. Our TE Manifold provides time savings and pumping efficiencies when stimulating multiple wells on a single pad. The manifolds are installed and connected to multiple trees off the critical path, which allows our customers to fracture more stages per day in a compact footprint and efficiently move operations from one well to another, saving time and money. We also offer conventional and articulating arm manifold trailers which are used as the connection point between fracturing pump trucks and the fracturing flowline and manifold system.</w:t>
      </w:r>
    </w:p>
    <w:p>
      <w:pPr>
        <w:spacing w:after="0" w:line="15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Ground Level Fracturing System is an essential tool for unconventional operators who use simultaneous operations to efficiently run completions in multi-well pads. The innovative system design uses various lengths of trunkline to align the TE Manifold and fracturing tree at ground level, which minimizes the number of flowline connections for safer operation. We are a significant supplier of flowline pipework (rigid and flexible) that is used to move the fracturing product from the pump truck, via the manifold and into the fracturing trees.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With a presence in all the major shale plays worldwide, our fracturing offering is recognized for its reliability and durability.</w:t>
      </w:r>
    </w:p>
    <w:p>
      <w:pPr>
        <w:spacing w:after="0" w:line="15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Flowback and Well Testing Services</w:t>
      </w:r>
      <w:r>
        <w:rPr>
          <w:rFonts w:ascii="Arial" w:cs="Arial" w:eastAsia="Arial" w:hAnsi="Arial"/>
          <w:sz w:val="18"/>
          <w:szCs w:val="18"/>
          <w:color w:val="auto"/>
        </w:rPr>
        <w:t>: After a shale well is hydraulically fractured, the well moves to the flowback phase in which much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fracturing fluid pumped into the well flows back out through the wellhead and fracturing tree system. This phase lasts until the wellbore flow is adequate for flow through the production facilities downstream of the wellsite. Our flowback and well testing offering includes chokes, de-sanders, and advanced well testing equipment and related services which are provided to exploration and production operators during the flowback phase.</w:t>
      </w:r>
    </w:p>
    <w:p>
      <w:pPr>
        <w:spacing w:after="0" w:line="13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 xml:space="preserve">Fracturing Integrated Offering </w:t>
      </w:r>
      <w:r>
        <w:rPr>
          <w:rFonts w:ascii="Arial" w:cs="Arial" w:eastAsia="Arial" w:hAnsi="Arial"/>
          <w:sz w:val="18"/>
          <w:szCs w:val="18"/>
          <w:color w:val="auto"/>
        </w:rPr>
        <w:t>(“Frac I/O”): We are one of the few oilfield service providers that can offer an integrated solution covering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fracturing through flowback phases. Our Frac I/O provides our exploration and production customers with an integrated rental and service offering, including fracturing tree and manifold systems, as well as pressure control flowlines, flowback and well testing equipment, and field services.</w:t>
      </w:r>
    </w:p>
    <w:p>
      <w:pPr>
        <w:spacing w:after="0" w:line="14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We offer our customers a comprehensive suite of service packages to ensure optimal performance and reliability of our equipment. These service packages include all phases of the asset’s life cycle: from the early planning stages through testing and installation, commissioning and operations, replacement and upgrade, maintenance, storage, preservation, intervention, integrity, decommissioning and abandonment.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71" w:right="259" w:bottom="1440" w:gutter="0" w:footer="0" w:header="0"/>
        </w:sectPr>
      </w:pPr>
    </w:p>
    <w:bookmarkStart w:id="17" w:name="page18"/>
    <w:bookmarkEnd w:id="17"/>
    <w:p>
      <w:pPr>
        <w:ind w:right="20"/>
        <w:spacing w:after="0" w:line="252" w:lineRule="auto"/>
        <w:rPr>
          <w:sz w:val="20"/>
          <w:szCs w:val="20"/>
          <w:color w:val="auto"/>
        </w:rPr>
      </w:pPr>
      <w:r>
        <w:rPr>
          <w:rFonts w:ascii="Arial" w:cs="Arial" w:eastAsia="Arial" w:hAnsi="Arial"/>
          <w:sz w:val="18"/>
          <w:szCs w:val="18"/>
          <w:u w:val="single" w:color="auto"/>
          <w:color w:val="auto"/>
        </w:rPr>
        <w:t>Measurement Solutions.</w:t>
      </w:r>
      <w:r>
        <w:rPr>
          <w:rFonts w:ascii="Arial" w:cs="Arial" w:eastAsia="Arial" w:hAnsi="Arial"/>
          <w:sz w:val="18"/>
          <w:szCs w:val="18"/>
          <w:color w:val="auto"/>
        </w:rPr>
        <w:t xml:space="preserve"> We design, manufacture, and service measurement products for the oil and gas industry. Our flow computers and control systems manage and monitor liquid and gas measurement for applications such as custody transfer, fiscal measurement, and batch loading and deliveries. Our FPSO metering systems provide the precision and reliability required for measuring large flow rates of marine loading operations. Our gas and liquid measurement systems are utilized in multiple energy-related applications, including crude oil and natural gas production and transportation, refined product transportation, petroleum refining, and petroleum marketing and distribution. We combine advanced measurement technology with state-of-the-art electronics and supervisory control systems to provide the measurement of both liquids and gases. This ensures processes operate efficiently while reducing operating costs and minimizing the risks associated with custody transfer.</w:t>
      </w:r>
    </w:p>
    <w:p>
      <w:pPr>
        <w:spacing w:after="0" w:line="1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u w:val="single" w:color="auto"/>
          <w:color w:val="auto"/>
        </w:rPr>
        <w:t>Loading Systems.</w:t>
      </w:r>
      <w:r>
        <w:rPr>
          <w:rFonts w:ascii="Arial" w:cs="Arial" w:eastAsia="Arial" w:hAnsi="Arial"/>
          <w:sz w:val="18"/>
          <w:szCs w:val="18"/>
          <w:color w:val="auto"/>
        </w:rPr>
        <w:t xml:space="preserve"> We lead the market with reliable loading system solutions. We are globally recognized for setting technical and performance standards in fluid transfer, delivering liquid and gas loading systems to the most challenging applications, both onshore and offshore.</w:t>
      </w:r>
    </w:p>
    <w:p>
      <w:pPr>
        <w:spacing w:after="0" w:line="14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TechnipFMC leads the market with 10,000 marine loading arms supplied, including more than 500 arms for LNG applications. We have developed unique offshore LNG transfer systems for all FLNG facilities operating to date. We offer equipment design and fabrication projects, as well as services over the life of our systems. Our proven ability to innovate, coupled with our modern manufacturing and assembly techniques, serve as the foundation for the future development of fluid transfer systems capable of operating in the most hostile and challenging environments.</w:t>
      </w:r>
    </w:p>
    <w:p>
      <w:pPr>
        <w:spacing w:after="0" w:line="1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By offering both types of products covering the full range of midstream and downstream applications, we can recommend and provide the best solution to our clients.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Intensity</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Surface Technologies manufactures most of its products, resulting in a reliance on manufacturing locations throughout the world, including fully owned manufacturing hubs in Stephenville, Texas, United States and Singapore, and a wide global network of third party suppliers. We also maintain a large quantity of rental equipment related to our drilling &amp; completion and pressure control offerings.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Key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single Surface Technologies customer accounted for 10% or more of our 2019 consolidated revenue.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Surface Technologies is a market leader for many of our products and services. Some of the factors that distinguish us from other companies in the same sector include our technological innovation, reliability, product quality, and ability to integrate across a broad portfolio scope. Surface Technologies competes with other companies that supply surface production equipment and pressure control products. Some of our major competitors in Surface Technologies include Baker Hughes, Cactus, Inc., Forum Energy Technologies, Inc., Gardner Denver, Inc., Schlumberger, and The Weir Group plc.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8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Surface Technologies’ performance is typically driven by variations in global drilling activity, creating a dynamic environment. Operating results can be further impacted by pressure pumping activity and the completions intensity of shale applications in the Americas.</w:t>
      </w:r>
    </w:p>
    <w:p>
      <w:pPr>
        <w:spacing w:after="0" w:line="14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North America shale market is sensitive to oil price fluctuations. For a global oilfield service company such as ourselves, this is partially offset by the less cyclical drilling activity in the international markets where most of the activity is driven by national oil companies (NOCs), which tend to maintain longer term and more capital intense drilling programs.</w:t>
      </w:r>
    </w:p>
    <w:p>
      <w:pPr>
        <w:spacing w:after="0" w:line="14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Global activity is still below levels achieved in the prior industry cycle and pricing remains competitive. Drilling activity in North America during 2019 declined approximately 12% compared to 2018, in terms of rig count and number of wells drilled. Completion activity contracted approximately 10% in 2019 in terms of number of wells fractured and a decrease of approximately 7% in 2019 in terms of pressure pumping horsepower demand. The activity decline was driven by pipeline takeaway capacity constraints, lower commodity prices, and lower spending by our customers.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71" w:right="259" w:bottom="1440" w:gutter="0" w:footer="0" w:header="0"/>
        </w:sectPr>
      </w:pPr>
    </w:p>
    <w:bookmarkStart w:id="18" w:name="page19"/>
    <w:bookmarkEnd w:id="18"/>
    <w:p>
      <w:pPr>
        <w:ind w:right="100"/>
        <w:spacing w:after="0" w:line="253" w:lineRule="auto"/>
        <w:rPr>
          <w:sz w:val="20"/>
          <w:szCs w:val="20"/>
          <w:color w:val="auto"/>
        </w:rPr>
      </w:pPr>
      <w:r>
        <w:rPr>
          <w:rFonts w:ascii="Arial" w:cs="Arial" w:eastAsia="Arial" w:hAnsi="Arial"/>
          <w:sz w:val="18"/>
          <w:szCs w:val="18"/>
          <w:color w:val="auto"/>
        </w:rPr>
        <w:t>Our business outside of the Americas continued to experience competitive pricing pressure throughout much of 2019. We believe market pricing has since stabilized and expect this more stable pricing environment to continue throughout 2020. Confidence in an improved outlook for our business, based on an expected 4% to 5% increase in rig count and number of wells drilled in 2020, is further supported by the strong growth experienced in inbound orders and backlog in late 2019, about 25% inbound increase in Q4 compared to the average in Q1 to Q3. We believe that the Middle East, Asia Pacific, and Northern Europe are best poised for new order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8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strategy is focused on being a leading provider of best-cost and high-performance integrated assets and services for our customers in the drilling, completion, upstream production, and midstream transportation sectors. We distinguish our offering by combining four elements – innovative product design, exceptional customer experience, leading digital tools, and integrated systems.</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developed the digital tools and customer-centric organizational culture that help enable customer success. Our system integration capabilities and automation technologies (i) reduce cycle time, lowering both capital and operating expenditures and allowing our customers to achieve first oil faster, and (ii) optimize the production process, minimizing facility footprint, manual interventions, and environmental impacts.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Future Developments</w:t>
      </w:r>
    </w:p>
    <w:p>
      <w:pPr>
        <w:spacing w:after="0" w:line="18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continue to operate in a challenging environment as global activity is still below levels achieved in the prior industry cycle and pricing remains competitive. In 2019 well completion activity in North America moved lower, negatively impacting demand for pressure control equipment. The activity decline was driven by pipeline takeaway capacity constraints, lower commodity prices, and lower operator budgets.</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North American drilling and completion activity continued to move higher throughout 2018, peaking in the first quarter of 2019, and then declining throughout the remainder of 2019. Forecasts for 2020 activity are heavily dependent on commodity prices. Our current outlook is that activity in early 2020 will remain near the fourth quarter of 2019 exit levels and then gradually increase in the second half of the year.</w:t>
      </w:r>
    </w:p>
    <w:p>
      <w:pPr>
        <w:spacing w:after="0" w:line="14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Outside of the Americas, drilling and completion activity increased 7 percent from 2018 to 2019 and is now planned to stabilize on a 4 to 5 percent increase in the next three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8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 2019, we expanded our desanding product offering by introducing our Desander Pro which can handle up to 30 percent higher drill out sand volumes during the flowback phase in shale applications. We are in the final stages of testing for our high gas desander, specifically designed for gas shale plays in Canada and the United States and we have high hopes that this technology can be utilized in conventional applications.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introduced a number of products that are specifically orientated to improving the safety and efficiency on the Fracturing Pad, including SAFlex - large bore flexible Fracturing lines, 7” Check Valves, Speedloc Quick Connector for wireline intervention. These new products will all become important element in our integrated fracturing offering. Further, we have expanded our suite of high-pressure, high-temperature wellheads and trees, and continue to expand our digital product offering with automated desanding dumps, tank level monitoring, automatic valve greasing units, and automated well testing system, all in an effort to further reduce manning and increase remote oversight of drilling and completion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October 2017, we announced an agreement to acquire Plexus Holding plc’s (“Plexus”) wellhead exploration equipment and services business for jack-up applications. In conjunction with our global footprint and market presence, this portfolio expansion in the mudline and high-pressure, high-temperature arena has enabled us to be a leading provider of products and services to the global jack-up exploration drilling market. This acquisition fits within our strategy to extend and strengthen our position in exploration drilling products and services while leveraging our global field presence. The acquisition closed in the first quarter of 2018.</w:t>
      </w:r>
    </w:p>
    <w:p>
      <w:pPr>
        <w:spacing w:after="0" w:line="1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business has been integrated into our Surface Technologies segment, including the transfer of key personnel from Plexus, with their specialized expertise, to ensure continuity and ongoing customer support. The business continues to operate from its existing location in Dyce, Aberdeen, United Kingdom.</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71" w:right="279" w:bottom="1440" w:gutter="0" w:footer="0" w:header="0"/>
        </w:sectPr>
      </w:pPr>
    </w:p>
    <w:bookmarkStart w:id="19" w:name="page20"/>
    <w:bookmarkEnd w:id="19"/>
    <w:p>
      <w:pPr>
        <w:ind w:right="40"/>
        <w:spacing w:after="0" w:line="251" w:lineRule="auto"/>
        <w:rPr>
          <w:sz w:val="20"/>
          <w:szCs w:val="20"/>
          <w:color w:val="auto"/>
        </w:rPr>
      </w:pPr>
      <w:r>
        <w:rPr>
          <w:rFonts w:ascii="Arial" w:cs="Arial" w:eastAsia="Arial" w:hAnsi="Arial"/>
          <w:sz w:val="18"/>
          <w:szCs w:val="18"/>
          <w:color w:val="auto"/>
        </w:rPr>
        <w:t>In December 2017, we opened a new 18,000 square meter facility in Abu Dhabi’s Industrial City 2, which has been further expanded in 2019 to provide customer inventory management services and position the Company for the construction of integrated skids and modules in support of our Production Systems business. In June 2018, we broke ground on a new 52,000 square meter facility in Dhahran, Saudi Arabia. These facilities are part of our continued investment in the United Arab Emirates and Saudi Arabia to reinforce our leading position in delivering local solutions that extend asset life and improve project returns. They position us to respond to the expected increase in activity for Abu Dhabi National Oil Company (“ADNOC”) and Saudi Aramco in 2020 and beyond while strengthening our capabilities, providing a solid platform for us to grow our integrated offerings in this region, including multiple product lines and aftermarket services that are key to our growth strategy. The new facilities will offer a broader range of capabilities and greater value-add in-country, supporting our full portfolio with high technology equipment in the drilling, completion, production, and pressure control sectors.</w:t>
      </w:r>
    </w:p>
    <w:p>
      <w:pPr>
        <w:spacing w:after="0" w:line="299" w:lineRule="exact"/>
        <w:rPr>
          <w:sz w:val="20"/>
          <w:szCs w:val="20"/>
          <w:color w:val="auto"/>
        </w:rPr>
      </w:pPr>
    </w:p>
    <w:p>
      <w:pPr>
        <w:ind w:right="4700"/>
        <w:spacing w:after="0" w:line="451" w:lineRule="auto"/>
        <w:rPr>
          <w:sz w:val="20"/>
          <w:szCs w:val="20"/>
          <w:color w:val="auto"/>
        </w:rPr>
      </w:pPr>
      <w:r>
        <w:rPr>
          <w:rFonts w:ascii="Arial" w:cs="Arial" w:eastAsia="Arial" w:hAnsi="Arial"/>
          <w:sz w:val="18"/>
          <w:szCs w:val="18"/>
          <w:b w:val="1"/>
          <w:bCs w:val="1"/>
          <w:color w:val="auto"/>
        </w:rPr>
        <w:t xml:space="preserve">OTHER BUSINESS INFORMATION RELEVANT TO OUR BUSINESS SEGMENTS </w:t>
      </w:r>
      <w:r>
        <w:rPr>
          <w:rFonts w:ascii="Arial" w:cs="Arial" w:eastAsia="Arial" w:hAnsi="Arial"/>
          <w:sz w:val="18"/>
          <w:szCs w:val="18"/>
          <w:i w:val="1"/>
          <w:iCs w:val="1"/>
          <w:color w:val="auto"/>
        </w:rPr>
        <w:t>Sources and Availability of Raw Materials</w:t>
      </w:r>
    </w:p>
    <w:p>
      <w:pPr>
        <w:ind w:right="200"/>
        <w:spacing w:after="0" w:line="254" w:lineRule="auto"/>
        <w:rPr>
          <w:sz w:val="20"/>
          <w:szCs w:val="20"/>
          <w:color w:val="auto"/>
        </w:rPr>
      </w:pPr>
      <w:r>
        <w:rPr>
          <w:rFonts w:ascii="Arial" w:cs="Arial" w:eastAsia="Arial" w:hAnsi="Arial"/>
          <w:sz w:val="18"/>
          <w:szCs w:val="18"/>
          <w:color w:val="auto"/>
        </w:rPr>
        <w:t>Our business segments purchase carbon steel, stainless steel, aluminum, and steel castings and forgings from the global marketplace. We typically do not use single source suppliers for the majority of our raw material purchases; however, certain geographic areas of our businesses, or a project or group of projects, may heavily depend on certain suppliers for raw materials or supply of semi-finished goods. We believe the available supplies of raw materials are adequate to meet our needs.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engaged in R&amp;D activities directed toward the improvement of existing products and services, the design of specialized products to meet customer needs, and the development of new products, processes, and services. A large part of our product development spending has focused on the improved design and standardization of our Subsea and Onshore/Offshore products to meet our customer needs.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Trademarks, and Other Intellectual Property</w:t>
      </w:r>
    </w:p>
    <w:p>
      <w:pPr>
        <w:spacing w:after="0" w:line="18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own a number of patents, trademarks, and licenses that are cumulatively important to our businesses. As part of our ongoing R&amp;D focus, we seek patents when appropriate for new products, product improvements, and related service innovations. We have approximately 6,800 issued patents and pending patent applications worldwide. Further, we license intellectual property rights to or from third parties. We also own numerous trademarks and trade names and have approximately 550 registrations and pending applications worldwide.</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protect and promote our intellectual property portfolio and take actions we deem appropriate to enforce and defend our intellectual property rights. We do not believe, however, that the loss of any one patent, trademark, or license, or group of related patents, trademarks, or licenses would have a material adverse effect on our overall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more than 37,000 employees.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and Geographic Financial Information</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consolidated revenue and segment operating profits are generated in markets outside of the United States. Each segment’s revenue is dependent upon worldwide oil and gas exploration, production and petrochemical activity. Financial information about our segments and geographic areas is incorporated herein by reference from Note 7 to our consolidated financial statements in Part II, Item 8 of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 Backlog</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Information regarding order backlog is incorporated herein by reference from the section entitled “Inbound Orders and Order Backlog” in Part II, Item 7 of this Annual Report on Form 10-K.</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71"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Website Access to Reports and Proxy Statement</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and Forms 3, 4, and 5 filed on behalf of directors and executive officers, and amendments to each of those reports and statements, are available free of charge through our website at www.technipfmc.com, under “Investors” as soon as reasonably practicable after such material is electronically filed with, or furnished to, the U.S. Securities and Exchange Commission (the “SEC”). Alternatively, our reports may be accessed through the website maintained by the SEC at www.sec.gov. Unless expressly noted, the information on our website or any other website is not incorporated by reference in this Annual Report on Form 10-K and should not be considered part of this Annual Report on Form 10-K or any other filing we make with the SEC.</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553"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9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Information regarding our executive officers called for by Item 401(b) of Regulation S-K is hereby included in Part I, Item 1 “Business” of this Annual Report on Form 10-K.</w:t>
      </w:r>
    </w:p>
    <w:p>
      <w:pPr>
        <w:spacing w:after="0" w:line="14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 indicates the names and ages of our executive officers as of March 2, 2020, including all offices and positions held by each in the past five years: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20" w:type="dxa"/>
            <w:vAlign w:val="bottom"/>
            <w:tcBorders>
              <w:bottom w:val="single" w:sz="8" w:color="CCEEFF"/>
            </w:tcBorders>
          </w:tcPr>
          <w:p>
            <w:pPr>
              <w:spacing w:after="0"/>
              <w:rPr>
                <w:sz w:val="17"/>
                <w:szCs w:val="17"/>
                <w:color w:val="auto"/>
              </w:rPr>
            </w:pPr>
          </w:p>
        </w:tc>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Current Position and Business Experience (Start Date)</w:t>
            </w:r>
          </w:p>
        </w:tc>
      </w:tr>
      <w:tr>
        <w:trPr>
          <w:trHeight w:val="220"/>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Douglas J. Pferdehirt</w:t>
            </w:r>
            <w:r>
              <w:rPr>
                <w:rFonts w:ascii="Arial" w:cs="Arial" w:eastAsia="Arial" w:hAnsi="Arial"/>
                <w:sz w:val="17"/>
                <w:szCs w:val="17"/>
                <w:color w:val="auto"/>
                <w:vertAlign w:val="superscript"/>
              </w:rPr>
              <w:t>1</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9"/>
                <w:szCs w:val="19"/>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Chairman and Chief Executive Officer (2019)</w:t>
            </w:r>
          </w:p>
        </w:tc>
      </w:tr>
      <w:tr>
        <w:trPr>
          <w:trHeight w:val="172"/>
        </w:trPr>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Executive Officer (2017)</w:t>
            </w:r>
          </w:p>
        </w:tc>
      </w:tr>
      <w:tr>
        <w:trPr>
          <w:trHeight w:val="189"/>
        </w:trPr>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President and Chief Executive Officer of FMC Technologies (2016)</w:t>
            </w:r>
          </w:p>
        </w:tc>
      </w:tr>
      <w:tr>
        <w:trPr>
          <w:trHeight w:val="208"/>
        </w:trPr>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President and Chief Operating Officer of FMC Technologies (2015)</w:t>
            </w:r>
          </w:p>
        </w:tc>
      </w:tr>
      <w:tr>
        <w:trPr>
          <w:trHeight w:val="221"/>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Maryann T. Mannen</w:t>
            </w:r>
            <w:r>
              <w:rPr>
                <w:rFonts w:ascii="Arial" w:cs="Arial" w:eastAsia="Arial" w:hAnsi="Arial"/>
                <w:sz w:val="17"/>
                <w:szCs w:val="17"/>
                <w:color w:val="auto"/>
                <w:vertAlign w:val="superscript"/>
              </w:rPr>
              <w:t>1</w:t>
            </w:r>
          </w:p>
        </w:tc>
        <w:tc>
          <w:tcPr>
            <w:tcW w:w="460" w:type="dxa"/>
            <w:vAlign w:val="bottom"/>
          </w:tcPr>
          <w:p>
            <w:pPr>
              <w:jc w:val="center"/>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Executive Vice President and Chief Financial Officer (2017)</w:t>
            </w:r>
          </w:p>
        </w:tc>
      </w:tr>
      <w:tr>
        <w:trPr>
          <w:trHeight w:val="17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Executive Vice President and Chief Financial Officer of FMC Technologies (2014)</w:t>
            </w:r>
          </w:p>
        </w:tc>
      </w:tr>
      <w:tr>
        <w:trPr>
          <w:trHeight w:val="39"/>
        </w:trPr>
        <w:tc>
          <w:tcPr>
            <w:tcW w:w="2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540" w:type="dxa"/>
            <w:vAlign w:val="bottom"/>
          </w:tcPr>
          <w:p>
            <w:pPr>
              <w:spacing w:after="0"/>
              <w:rPr>
                <w:sz w:val="3"/>
                <w:szCs w:val="3"/>
                <w:color w:val="auto"/>
              </w:rPr>
            </w:pPr>
          </w:p>
        </w:tc>
      </w:tr>
      <w:tr>
        <w:trPr>
          <w:trHeight w:val="221"/>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Dianne B. Ralston</w:t>
            </w:r>
            <w:r>
              <w:rPr>
                <w:rFonts w:ascii="Arial" w:cs="Arial" w:eastAsia="Arial" w:hAnsi="Arial"/>
                <w:sz w:val="17"/>
                <w:szCs w:val="17"/>
                <w:color w:val="auto"/>
                <w:vertAlign w:val="superscript"/>
              </w:rPr>
              <w:t>1</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9"/>
                <w:szCs w:val="19"/>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Vice President, Chief Legal Officer and Secretary (2017)</w:t>
            </w:r>
          </w:p>
        </w:tc>
      </w:tr>
      <w:tr>
        <w:trPr>
          <w:trHeight w:val="191"/>
        </w:trPr>
        <w:tc>
          <w:tcPr>
            <w:tcW w:w="2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Vice President, General Counsel, and Secretary of FMC Technologies (2015)</w:t>
            </w:r>
          </w:p>
        </w:tc>
      </w:tr>
      <w:tr>
        <w:trPr>
          <w:trHeight w:val="221"/>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Justin Rounce</w:t>
            </w:r>
            <w:r>
              <w:rPr>
                <w:rFonts w:ascii="Arial" w:cs="Arial" w:eastAsia="Arial" w:hAnsi="Arial"/>
                <w:sz w:val="17"/>
                <w:szCs w:val="17"/>
                <w:color w:val="auto"/>
                <w:vertAlign w:val="superscript"/>
              </w:rPr>
              <w:t>1</w:t>
            </w:r>
          </w:p>
        </w:tc>
        <w:tc>
          <w:tcPr>
            <w:tcW w:w="460" w:type="dxa"/>
            <w:vAlign w:val="bottom"/>
          </w:tcPr>
          <w:p>
            <w:pPr>
              <w:jc w:val="center"/>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Executive Vice President and Chief Technology Officer (2018)</w:t>
            </w:r>
          </w:p>
        </w:tc>
      </w:tr>
      <w:tr>
        <w:trPr>
          <w:trHeight w:val="17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President—Valves &amp; Measurement for Schlumberger Limited (2018)</w:t>
            </w:r>
          </w:p>
        </w:tc>
      </w:tr>
      <w:tr>
        <w:trPr>
          <w:trHeight w:val="189"/>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Senior Vice President—Marketing &amp; Technology for Schlumberger Limited (2016)</w:t>
            </w:r>
          </w:p>
        </w:tc>
      </w:tr>
      <w:tr>
        <w:trPr>
          <w:trHeight w:val="189"/>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Vice President—Marketing &amp; Chief Technology Officer for Cameron International Corporation (2015)</w:t>
            </w:r>
          </w:p>
        </w:tc>
      </w:tr>
      <w:tr>
        <w:trPr>
          <w:trHeight w:val="39"/>
        </w:trPr>
        <w:tc>
          <w:tcPr>
            <w:tcW w:w="2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540" w:type="dxa"/>
            <w:vAlign w:val="bottom"/>
          </w:tcPr>
          <w:p>
            <w:pPr>
              <w:spacing w:after="0"/>
              <w:rPr>
                <w:sz w:val="3"/>
                <w:szCs w:val="3"/>
                <w:color w:val="auto"/>
              </w:rPr>
            </w:pPr>
          </w:p>
        </w:tc>
      </w:tr>
      <w:tr>
        <w:trPr>
          <w:trHeight w:val="221"/>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Agnieszka Kmieciak</w:t>
            </w:r>
            <w:r>
              <w:rPr>
                <w:rFonts w:ascii="Arial" w:cs="Arial" w:eastAsia="Arial" w:hAnsi="Arial"/>
                <w:sz w:val="17"/>
                <w:szCs w:val="17"/>
                <w:color w:val="auto"/>
                <w:vertAlign w:val="superscript"/>
              </w:rPr>
              <w:t>1</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9"/>
                <w:szCs w:val="19"/>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Vice President—People and Culture (2018)</w:t>
            </w:r>
          </w:p>
        </w:tc>
      </w:tr>
      <w:tr>
        <w:trPr>
          <w:trHeight w:val="172"/>
        </w:trPr>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HR Director—Production Group for Schlumberger Limited (2017)</w:t>
            </w:r>
          </w:p>
        </w:tc>
      </w:tr>
      <w:tr>
        <w:trPr>
          <w:trHeight w:val="208"/>
        </w:trPr>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Talent Manager and Workforce Planning Manager for Schlumberger Limited (2015)</w:t>
            </w:r>
          </w:p>
        </w:tc>
      </w:tr>
      <w:tr>
        <w:trPr>
          <w:trHeight w:val="221"/>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Arnaud Piéton</w:t>
            </w:r>
            <w:r>
              <w:rPr>
                <w:rFonts w:ascii="Arial" w:cs="Arial" w:eastAsia="Arial" w:hAnsi="Arial"/>
                <w:sz w:val="17"/>
                <w:szCs w:val="17"/>
                <w:color w:val="auto"/>
                <w:vertAlign w:val="superscript"/>
              </w:rPr>
              <w:t>1</w:t>
            </w:r>
          </w:p>
        </w:tc>
        <w:tc>
          <w:tcPr>
            <w:tcW w:w="460" w:type="dxa"/>
            <w:vAlign w:val="bottom"/>
          </w:tcPr>
          <w:p>
            <w:pPr>
              <w:jc w:val="center"/>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President—Subsea (2018)</w:t>
            </w:r>
          </w:p>
        </w:tc>
      </w:tr>
      <w:tr>
        <w:trPr>
          <w:trHeight w:val="17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Executive Vice President—People and Culture (2017)</w:t>
            </w:r>
          </w:p>
        </w:tc>
      </w:tr>
      <w:tr>
        <w:trPr>
          <w:trHeight w:val="189"/>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President—Asia-Pacific Region of Technip (2016)</w:t>
            </w:r>
          </w:p>
        </w:tc>
      </w:tr>
      <w:tr>
        <w:trPr>
          <w:trHeight w:val="189"/>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Chief Operating Officer, Subsea—Asia-Pacific Region of Technip (2014)</w:t>
            </w:r>
          </w:p>
        </w:tc>
      </w:tr>
      <w:tr>
        <w:trPr>
          <w:trHeight w:val="39"/>
        </w:trPr>
        <w:tc>
          <w:tcPr>
            <w:tcW w:w="2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540" w:type="dxa"/>
            <w:vAlign w:val="bottom"/>
          </w:tcPr>
          <w:p>
            <w:pPr>
              <w:spacing w:after="0"/>
              <w:rPr>
                <w:sz w:val="3"/>
                <w:szCs w:val="3"/>
                <w:color w:val="auto"/>
              </w:rPr>
            </w:pPr>
          </w:p>
        </w:tc>
      </w:tr>
      <w:tr>
        <w:trPr>
          <w:trHeight w:val="221"/>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Richard G. Alabaster</w:t>
            </w:r>
            <w:r>
              <w:rPr>
                <w:rFonts w:ascii="Arial" w:cs="Arial" w:eastAsia="Arial" w:hAnsi="Arial"/>
                <w:sz w:val="17"/>
                <w:szCs w:val="17"/>
                <w:color w:val="auto"/>
                <w:vertAlign w:val="superscript"/>
              </w:rPr>
              <w:t>1</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9"/>
                <w:szCs w:val="19"/>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Transition Manager (2019)</w:t>
            </w:r>
          </w:p>
        </w:tc>
      </w:tr>
      <w:tr>
        <w:trPr>
          <w:trHeight w:val="172"/>
        </w:trPr>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President—Surface Technologies (2017)</w:t>
            </w:r>
          </w:p>
        </w:tc>
      </w:tr>
      <w:tr>
        <w:trPr>
          <w:trHeight w:val="208"/>
        </w:trPr>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Vice President—Surface Technologies of FMC Technologies (2015)</w:t>
            </w:r>
          </w:p>
        </w:tc>
      </w:tr>
      <w:tr>
        <w:trPr>
          <w:trHeight w:val="221"/>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Barry Glickman</w:t>
            </w:r>
            <w:r>
              <w:rPr>
                <w:rFonts w:ascii="Arial" w:cs="Arial" w:eastAsia="Arial" w:hAnsi="Arial"/>
                <w:sz w:val="17"/>
                <w:szCs w:val="17"/>
                <w:color w:val="auto"/>
                <w:vertAlign w:val="superscript"/>
              </w:rPr>
              <w:t>1</w:t>
            </w:r>
          </w:p>
        </w:tc>
        <w:tc>
          <w:tcPr>
            <w:tcW w:w="460" w:type="dxa"/>
            <w:vAlign w:val="bottom"/>
          </w:tcPr>
          <w:p>
            <w:pPr>
              <w:jc w:val="center"/>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President —Surface Technologies (2019)</w:t>
            </w:r>
          </w:p>
        </w:tc>
      </w:tr>
      <w:tr>
        <w:trPr>
          <w:trHeight w:val="17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President—Engineering, Manufacturing and Supply Chain (2017)</w:t>
            </w:r>
          </w:p>
        </w:tc>
      </w:tr>
      <w:tr>
        <w:trPr>
          <w:trHeight w:val="189"/>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Vice President—Subsea Services of FMC Technologies (2015)</w:t>
            </w:r>
          </w:p>
        </w:tc>
      </w:tr>
      <w:tr>
        <w:trPr>
          <w:trHeight w:val="39"/>
        </w:trPr>
        <w:tc>
          <w:tcPr>
            <w:tcW w:w="2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540" w:type="dxa"/>
            <w:vAlign w:val="bottom"/>
          </w:tcPr>
          <w:p>
            <w:pPr>
              <w:spacing w:after="0"/>
              <w:rPr>
                <w:sz w:val="3"/>
                <w:szCs w:val="3"/>
                <w:color w:val="auto"/>
              </w:rPr>
            </w:pPr>
          </w:p>
        </w:tc>
      </w:tr>
      <w:tr>
        <w:trPr>
          <w:trHeight w:val="221"/>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Nello Uccelletti</w:t>
            </w:r>
            <w:r>
              <w:rPr>
                <w:rFonts w:ascii="Arial" w:cs="Arial" w:eastAsia="Arial" w:hAnsi="Arial"/>
                <w:sz w:val="17"/>
                <w:szCs w:val="17"/>
                <w:color w:val="auto"/>
                <w:vertAlign w:val="superscript"/>
              </w:rPr>
              <w:t>1</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9"/>
                <w:szCs w:val="19"/>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President and Advisor to the CEO (2019)</w:t>
            </w:r>
          </w:p>
        </w:tc>
      </w:tr>
      <w:tr>
        <w:trPr>
          <w:trHeight w:val="172"/>
        </w:trPr>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President—Onshore/Offshore (2017)</w:t>
            </w:r>
          </w:p>
        </w:tc>
      </w:tr>
      <w:tr>
        <w:trPr>
          <w:trHeight w:val="208"/>
        </w:trPr>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President—Onshore/Offshore of Technip (2014)</w:t>
            </w:r>
          </w:p>
        </w:tc>
      </w:tr>
      <w:tr>
        <w:trPr>
          <w:trHeight w:val="221"/>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Catherine MacGregor</w:t>
            </w:r>
            <w:r>
              <w:rPr>
                <w:rFonts w:ascii="Arial" w:cs="Arial" w:eastAsia="Arial" w:hAnsi="Arial"/>
                <w:sz w:val="17"/>
                <w:szCs w:val="17"/>
                <w:color w:val="auto"/>
                <w:vertAlign w:val="superscript"/>
              </w:rPr>
              <w:t>1</w:t>
            </w:r>
          </w:p>
        </w:tc>
        <w:tc>
          <w:tcPr>
            <w:tcW w:w="460" w:type="dxa"/>
            <w:vAlign w:val="bottom"/>
          </w:tcPr>
          <w:p>
            <w:pPr>
              <w:jc w:val="center"/>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President—Onshore/Offshore (2019)</w:t>
            </w:r>
          </w:p>
        </w:tc>
      </w:tr>
      <w:tr>
        <w:trPr>
          <w:trHeight w:val="17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President—New Ventures (2019)</w:t>
            </w:r>
          </w:p>
        </w:tc>
      </w:tr>
      <w:tr>
        <w:trPr>
          <w:trHeight w:val="189"/>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President—Drilling Group of Schlumberger Limited (2017)</w:t>
            </w:r>
          </w:p>
        </w:tc>
      </w:tr>
      <w:tr>
        <w:trPr>
          <w:trHeight w:val="189"/>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President—Reservoir Characterization of Schlumberger Limited (2016)</w:t>
            </w:r>
          </w:p>
        </w:tc>
      </w:tr>
      <w:tr>
        <w:trPr>
          <w:trHeight w:val="189"/>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President—Europe and Africa Region of Schlumberger Limited (2013)</w:t>
            </w:r>
          </w:p>
        </w:tc>
      </w:tr>
      <w:tr>
        <w:trPr>
          <w:trHeight w:val="39"/>
        </w:trPr>
        <w:tc>
          <w:tcPr>
            <w:tcW w:w="2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540" w:type="dxa"/>
            <w:vAlign w:val="bottom"/>
          </w:tcPr>
          <w:p>
            <w:pPr>
              <w:spacing w:after="0"/>
              <w:rPr>
                <w:sz w:val="3"/>
                <w:szCs w:val="3"/>
                <w:color w:val="auto"/>
              </w:rPr>
            </w:pPr>
          </w:p>
        </w:tc>
      </w:tr>
      <w:tr>
        <w:trPr>
          <w:trHeight w:val="221"/>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Christophe Bélorgeot</w:t>
            </w:r>
            <w:r>
              <w:rPr>
                <w:rFonts w:ascii="Arial" w:cs="Arial" w:eastAsia="Arial" w:hAnsi="Arial"/>
                <w:sz w:val="17"/>
                <w:szCs w:val="17"/>
                <w:color w:val="auto"/>
                <w:vertAlign w:val="superscript"/>
              </w:rPr>
              <w:t>2</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9"/>
                <w:szCs w:val="19"/>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Vice President, Corporate Engagement (2018)</w:t>
            </w:r>
          </w:p>
        </w:tc>
      </w:tr>
      <w:tr>
        <w:trPr>
          <w:trHeight w:val="172"/>
        </w:trPr>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Vice President, Corporate Communications (2017)</w:t>
            </w:r>
          </w:p>
        </w:tc>
      </w:tr>
      <w:tr>
        <w:trPr>
          <w:trHeight w:val="201"/>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Vice President, Communications and CEO Office of Technip (2014)</w:t>
            </w:r>
          </w:p>
        </w:tc>
      </w:tr>
      <w:tr>
        <w:trPr>
          <w:trHeight w:val="221"/>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Krisztina Doroghazi</w:t>
            </w:r>
            <w:r>
              <w:rPr>
                <w:rFonts w:ascii="Arial" w:cs="Arial" w:eastAsia="Arial" w:hAnsi="Arial"/>
                <w:sz w:val="17"/>
                <w:szCs w:val="17"/>
                <w:color w:val="auto"/>
                <w:vertAlign w:val="superscript"/>
              </w:rPr>
              <w:t>3</w:t>
            </w:r>
          </w:p>
        </w:tc>
        <w:tc>
          <w:tcPr>
            <w:tcW w:w="460" w:type="dxa"/>
            <w:vAlign w:val="bottom"/>
          </w:tcPr>
          <w:p>
            <w:pPr>
              <w:jc w:val="center"/>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Senior Vice President, Controller, and Chief Accounting Officer (2018)</w:t>
            </w:r>
          </w:p>
        </w:tc>
      </w:tr>
      <w:tr>
        <w:trPr>
          <w:trHeight w:val="17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40" w:type="dxa"/>
            <w:vAlign w:val="bottom"/>
          </w:tcPr>
          <w:p>
            <w:pPr>
              <w:ind w:left="20"/>
              <w:spacing w:after="0"/>
              <w:rPr>
                <w:sz w:val="20"/>
                <w:szCs w:val="20"/>
                <w:color w:val="auto"/>
              </w:rPr>
            </w:pPr>
            <w:r>
              <w:rPr>
                <w:rFonts w:ascii="Arial" w:cs="Arial" w:eastAsia="Arial" w:hAnsi="Arial"/>
                <w:sz w:val="14"/>
                <w:szCs w:val="14"/>
                <w:color w:val="auto"/>
              </w:rPr>
              <w:t>Senior Vice President, Financing Planning and Reporting of MOL Group (2015)</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32" w:lineRule="exact"/>
        <w:rPr>
          <w:sz w:val="20"/>
          <w:szCs w:val="20"/>
          <w:color w:val="auto"/>
        </w:rPr>
      </w:pPr>
    </w:p>
    <w:p>
      <w:pPr>
        <w:ind w:left="80" w:hanging="72"/>
        <w:spacing w:after="0"/>
        <w:tabs>
          <w:tab w:leader="none" w:pos="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Member of the Executive Leadership Team and a Rule 3b-7 executive officer and Section 16 officer under the Exchange Act</w:t>
      </w:r>
    </w:p>
    <w:p>
      <w:pPr>
        <w:spacing w:after="0" w:line="19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4"/>
          <w:szCs w:val="14"/>
          <w:color w:val="auto"/>
        </w:rPr>
        <w:t xml:space="preserve"> Member of the Executive Leadership Team</w:t>
      </w: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4"/>
          <w:szCs w:val="14"/>
          <w:color w:val="auto"/>
        </w:rPr>
        <w:t xml:space="preserve"> Section 16 officer under the Exchange Act</w:t>
      </w:r>
    </w:p>
    <w:p>
      <w:pPr>
        <w:spacing w:after="0" w:line="1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No family relationships exist among any of the above-listed officers, and there are no arrangements or understandings between any of the above-listed officers and any other person pursuant to which they serve as an officer. During the past 10 years, none of the above-listed officers was involved in any legal proceedings as defined in Item 401(f) of Regulation S-K. All officers are appointed by the Board of Directors to hold office until their successors are appointed.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1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Important risk factors that could impact our ability to achieve our anticipated operating results and growth plan goals are presented below. The following risk factors should be read in conjunction with discussions of our business and the factors affecting our business located elsewhere in this Annual Report on Form 10-K and in our other filings with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operate in a highly competitive environment and unanticipated changes relating to competitive factors in our industry, including ongoing industry consolidation, may impact our results of operations.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compete on the basis of a number of different factors, such as product offerings, project execution, customer service, and price. In order to compete effectively we must develop and implement innovative technologies and processes, and execute our clients’ projects effectively. We can give no assurances that we will continue to be able to compete effectively with the products and services or prices offered by our competitors.</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industry, including our customers and competitors, has experienced unanticipated changes in recent years. Moreover, the industry is undergoing vertical and horizontal consolidation to create economies of scale and control the value chain, which may affect demand for our products and services because of price concessions for our competitors or decreased customer capital spending. This consolidation activity could impact our ability to maintain market share, maintain or increase pricing for our products and services or negotiate favorable contract terms with our customers and suppliers, which could have a significant negative impact on our financial condition, results of operations or cash flows. We are unable to predict what effect consolidations and other competitive factors in the industry may have on prices, capital spending by our customers, our selling strategies, our competitive position, our ability to retain customers or our ability to negotiate favorable agreements with our customers.</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Demand for our products and services depends on oil and gas industry activity and expenditure levels, which are directly affected by trends in the demand for and price of crude oil and natural gas.</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substantially dependent on conditions in the oil and gas industry, including (i) the level of exploration, development and production activity, (ii) capital spending, and (iii) the processing of oil and natural gas in refining units, petrochemical sites, and natural gas liquefaction plants by energy companies that are our customers. Any substantial or extended decline in these expenditures may result in the reduced pace of discovery and development of new reserves of oil and gas and the reduced exploration of existing wells, which could adversely affect demand for our products and services and, in certain instances, result in the cancellation, modification, or re-scheduling of existing orders in our backlog. These factors could have an adverse effect on our revenue and profitability. The level of exploration, development, and production activity is directly affected by trends in oil and natural gas prices, which historically have been volatile and are likely to continue to be volatile in the future.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prices of oil and natural gas include, but are not limited to, the following:</w:t>
      </w:r>
    </w:p>
    <w:p>
      <w:pPr>
        <w:spacing w:after="0" w:line="171" w:lineRule="exact"/>
        <w:rPr>
          <w:sz w:val="20"/>
          <w:szCs w:val="20"/>
          <w:color w:val="auto"/>
        </w:rPr>
      </w:pPr>
    </w:p>
    <w:p>
      <w:pPr>
        <w:ind w:left="340" w:right="140" w:hanging="332"/>
        <w:spacing w:after="0" w:line="26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hydrocarbons, which is affected by worldwide population growth, economic growth rates, and general economic and business conditions;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exploring for, producing, and delivering oil and natural gas;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71" w:lineRule="exact"/>
        <w:rPr>
          <w:rFonts w:ascii="Arial" w:cs="Arial" w:eastAsia="Arial" w:hAnsi="Arial"/>
          <w:sz w:val="18"/>
          <w:szCs w:val="18"/>
          <w:color w:val="auto"/>
        </w:rPr>
      </w:pPr>
    </w:p>
    <w:p>
      <w:pPr>
        <w:ind w:left="340" w:right="360" w:hanging="332"/>
        <w:spacing w:after="0" w:line="26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governmental laws, policies, regulations and subsidies related to or affecting the production, use, and exportation/importation of oil and natural gas;</w:t>
      </w:r>
    </w:p>
    <w:p>
      <w:pPr>
        <w:spacing w:after="0" w:line="142" w:lineRule="exact"/>
        <w:rPr>
          <w:rFonts w:ascii="Arial" w:cs="Arial" w:eastAsia="Arial" w:hAnsi="Arial"/>
          <w:sz w:val="18"/>
          <w:szCs w:val="18"/>
          <w:color w:val="auto"/>
        </w:rPr>
      </w:pPr>
    </w:p>
    <w:p>
      <w:pPr>
        <w:ind w:left="340" w:right="140" w:hanging="332"/>
        <w:spacing w:after="0" w:line="26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available excess production capacity within the Organization of Petroleum Exporting Countries (“OPEC”) and the level of oil production by non-OPEC countries;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oil refining and transportation capacity and shifts in end-customer preferences toward fuel efficiency and the use of natural gas;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171" w:lineRule="exact"/>
        <w:rPr>
          <w:rFonts w:ascii="Arial" w:cs="Arial" w:eastAsia="Arial" w:hAnsi="Arial"/>
          <w:sz w:val="18"/>
          <w:szCs w:val="18"/>
          <w:color w:val="auto"/>
        </w:rPr>
      </w:pPr>
    </w:p>
    <w:p>
      <w:pPr>
        <w:ind w:left="340" w:right="840" w:hanging="332"/>
        <w:spacing w:after="0" w:line="26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 exploitation, relative price, and availability of alternative sources of energy and our customers’ shift of capital to the development of these sources;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49" w:right="259" w:bottom="1440" w:gutter="0" w:footer="0" w:header="0"/>
        </w:sectPr>
      </w:pPr>
    </w:p>
    <w:bookmarkStart w:id="23" w:name="page24"/>
    <w:bookmarkEnd w:id="23"/>
    <w:p>
      <w:pPr>
        <w:ind w:left="340" w:right="260" w:hanging="332"/>
        <w:spacing w:after="0" w:line="26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and access to, capital and credit markets, which may affect our customers’ activity levels, and spending for our products and services; and</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7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oilfield services and downward pressure on the prices we charge. While oil and natural gas prices have partially rebounded from the downturn that began in 2014, the market remains quite volatile and the sustainability of the price recovery and business activity levels is dependent on variables beyond our control, such as geopolitical stability, OPEC’s actions to regulate its production capacity, changes in demand patterns, and international sanctions and tariffs. Continued volatility or any future reduction in demand for oilfield services could further adversely affect our financial condition,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develop, implement, and protect new technologies and services.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on the ongoing development and implementation of new product designs, including the processes used by us to produce and market our products, and on our ability to protect and maintain critical intellectual property assets related to these developments. If we are not able to obtain patents, trade secrets or other protection of our intellectual property rights, if our patents are unenforceable or the claims allowed under our patents are not sufficient to protect our technology, or if we are not able to adequately protect our patents or trade secrets, we may not be able to continue to develop our services, products and related technologies. Additionally, our competitors may be able to independently develop technology that is similar to ours without infringing on our patents or gaining access to our trade secrets. If any of these events occurs, we may be unable to meet evolving industry requirements or do so at prices acceptable to our customers, which could adversely affect our financial condition, results of operations, or cash flows.</w:t>
      </w:r>
    </w:p>
    <w:p>
      <w:pPr>
        <w:spacing w:after="0" w:line="130"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i w:val="1"/>
          <w:iCs w:val="1"/>
          <w:color w:val="auto"/>
        </w:rPr>
        <w:t>The industries in which we operate or have operated expose us to potential liabilities, including the installation or use of our products, which may not be covered by insurance or may be in excess of policy limits, or for which expected recoveries may not be realized.</w:t>
      </w:r>
    </w:p>
    <w:p>
      <w:pPr>
        <w:spacing w:after="0" w:line="13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subject to potential liabilities arising from, among other possibilities, equipment malfunctions, equipment misuse, personal injuries, and natural disasters, any of which may result in hazardous situations, including uncontrollable flows of gas or well fluids, fires, and explosions. Our insurance against these risks may not be adequate to cover our liabilities. Further, the insurance may not generally be available in the future or, if available, premiums may not be commercially justifiable. If we incur substantial liability and the damages are not covered by insurance or are in excess of policy limits, or if we were to incur liability at a time when we were not able to obtain liability insurance, such potential liabilities could have a material adverse effect on our business, results of operations, financial condition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money on fixed-price contracts.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customary for some of our projects, we often agree to provide products and services under fixed-price contracts. We are subject to material risks in connection with such fixed-price contracts. It is not possible to estimate with complete certainty the final cost or margin of a project at the time of bidding or during the early phases of its execution. Actual expenses incurred in executing these fixed-price contracts can vary substantially from those originally anticipated for several reasons including, but not limited to, the following:</w:t>
      </w:r>
    </w:p>
    <w:p>
      <w:pPr>
        <w:spacing w:after="0" w:line="150" w:lineRule="exact"/>
        <w:rPr>
          <w:sz w:val="20"/>
          <w:szCs w:val="20"/>
          <w:color w:val="auto"/>
        </w:rPr>
      </w:pPr>
    </w:p>
    <w:p>
      <w:pPr>
        <w:ind w:right="300" w:firstLine="8"/>
        <w:spacing w:after="0" w:line="262" w:lineRule="auto"/>
        <w:tabs>
          <w:tab w:leader="none" w:pos="3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additional costs related to the purchase of substantial equipment necessary for contract fulfillment or labor shortages in the markets where the contracts are performed;</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mechanical failure of our production equipment and machinery;</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caused by local weather conditions and/or natural disasters (including earthquakes and floods);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failure of suppliers, subcontractors, or joint venture partners to perform their contractual obligations.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realization of any material risks and unforeseen circumstances could also lead to delays in the execution schedule of a project. We may be held liable to a customer should we fail to meet project milestones or deadlines or to comply with other contractual provisions. Additionally, delays in certain projects could lead to delays in subsequent projects that were scheduled to use equipment and machinery still being utilized on a delayed project.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71" w:right="259" w:bottom="1440" w:gutter="0" w:footer="0" w:header="0"/>
        </w:sectPr>
      </w:pPr>
    </w:p>
    <w:bookmarkStart w:id="24" w:name="page25"/>
    <w:bookmarkEnd w:id="24"/>
    <w:p>
      <w:pPr>
        <w:ind w:right="460"/>
        <w:spacing w:after="0" w:line="254" w:lineRule="auto"/>
        <w:rPr>
          <w:sz w:val="20"/>
          <w:szCs w:val="20"/>
          <w:color w:val="auto"/>
        </w:rPr>
      </w:pPr>
      <w:r>
        <w:rPr>
          <w:rFonts w:ascii="Arial" w:cs="Arial" w:eastAsia="Arial" w:hAnsi="Arial"/>
          <w:sz w:val="18"/>
          <w:szCs w:val="18"/>
          <w:color w:val="auto"/>
        </w:rPr>
        <w:t>Pursuant to the terms of fixed-price contracts, we are not always able to increase the price of the contract to reflect factors that were unforeseen at the time our bid was submitted, and this risk may be heightened for projects with longer terms. Depending on the size of a project, variations from estimated contract performance, or variations in multiple contracts, could have a significant impact on our financial condition, results of operations or cash flows.</w:t>
      </w:r>
    </w:p>
    <w:p>
      <w:pPr>
        <w:spacing w:after="0" w:line="12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New capital asset construction projects for vessels and manufacturing facilities are subject to risks, including delays and cost overruns, which could have a material adverse effect on our financial condition, or results of operations.</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regularly carry out capital asset construction projects to maintain, upgrade, and develop our asset base, and such projects are subject to risks of delay and cost overruns that are inherent in any large construction project, resulting from numerous factors including, but not limited to, the following:</w:t>
      </w:r>
    </w:p>
    <w:p>
      <w:pPr>
        <w:spacing w:after="0" w:line="14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delivery of ordered materials and equipment;</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 and engineering issues;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shipyard delays and performance issues.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Failure to complete construction in time, or the inability to complete construction in accordance with design specifications, may result in the loss of revenue. Additionally, capital expenditures for construction projects could materially exceed the initially planned investments, or there could be delays in putting such assets into operation.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timely deliver our backlog could affect future sales, profitability, and relationships with our customers.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Many of the contracts we enter into with our customers require long manufacturing lead times due to complex technical and logistical requirements. These contracts may contain clauses related to liquidated damages or financial incentives regarding on-time delivery, and a failure by us to deliver in accordance with customer expectations could subject us to liquidated damages or loss of financial incentives, reduce our margins on these contracts, or result in damage to existing customer relationships. The ability to meet customer delivery schedules for this backlog is dependent upon a number of factors, including, but not limited to, access to the raw materials required for production, an adequately trained and capable workforce, subcontractor performance, project engineering expertise and execution, sufficient manufacturing plant capacity, and appropriate planning and scheduling of manufacturing resources. Failure to deliver backlog in accordance with expectations could negatively impact our financial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relating to our reliance on subcontractors, suppliers, and our joint venture partners.</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generally rely on subcontractors, suppliers, and our joint venture partners for the performance of our contracts. Although we are not dependent upon any single supplier, certain geographic areas of our business or a project or group of projects may depend heavily on certain suppliers for raw materials or semi-finished goods.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Any difficulty in engaging suitable subcontractors or acquiring equipment and materials could compromise our ability to generate a significant margin on a project or to complete such project within the allocated time frame. If subcontractors, suppliers or joint venture partners refuse to adhere to their contractual obligations with us or are unable to do so due to a deterioration of their financial condition, we may be unable to find a suitable replacement at a comparable price, or at all. Moreover, the failure of one of our joint venture partners to perform their obligations in a timely and satisfactory manner could lead to additional obligations and costs being imposed on us as we may be obligated to assume our defaulting partner’s obligations or compensate our customers.</w:t>
      </w:r>
    </w:p>
    <w:p>
      <w:pPr>
        <w:spacing w:after="0" w:line="15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Any delay, failure to meet contractual obligations, or other event beyond our control or not foreseeable by us, that is attributable to a subcontractor, supplier or joint venture partner, could lead to delays in the overall progress of the project and/or generate significant extra costs. Even if we are entitled to make a claim for these extra costs against the defaulting supplier, subcontractor or joint venture partner, we may be unable to recover the entirety of these costs and this could materially adversely affect our business, financial condition or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businesses are dependent on the continuing services of certain of our key managers and employees.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71" w:right="239" w:bottom="1440" w:gutter="0" w:footer="0" w:header="0"/>
        </w:sectPr>
      </w:pPr>
    </w:p>
    <w:bookmarkStart w:id="25" w:name="page26"/>
    <w:bookmarkEnd w:id="25"/>
    <w:p>
      <w:pPr>
        <w:ind w:right="60"/>
        <w:spacing w:after="0" w:line="254" w:lineRule="auto"/>
        <w:rPr>
          <w:sz w:val="20"/>
          <w:szCs w:val="20"/>
          <w:color w:val="auto"/>
        </w:rPr>
      </w:pPr>
      <w:r>
        <w:rPr>
          <w:rFonts w:ascii="Arial" w:cs="Arial" w:eastAsia="Arial" w:hAnsi="Arial"/>
          <w:sz w:val="18"/>
          <w:szCs w:val="18"/>
          <w:color w:val="auto"/>
        </w:rPr>
        <w:t>We depend on key personnel. The loss of any key personnel could adversely impact our business if we are unable to implement key strategies or transactions in their absence. The loss of qualified employees or failure to retain and motivate additional highly-skilled employees required for the operation and expansion of our business could hinder our ability to successfully conduct research activities and develop marketable products and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and weather conditions could adversely affect demand for our services and operations.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business may be materially affected by variation from normal weather patterns, such as cooler or warmer summers and winters. Adverse weather conditions, such as hurricanes in the Gulf of Mexico or extreme winter conditions in Canada, Russia, and the North Sea, may interrupt or curtail our operations, or our customers’ operations, cause supply disruptions or loss of productivity, and may result in a loss of revenue or damage to our equipment and facilities, which may or may not be insured. Any of these events or outcomes could have a material adverse effect on our business, financial condition, cash flows, or results of operations.</w:t>
      </w:r>
    </w:p>
    <w:p>
      <w:pPr>
        <w:spacing w:after="0" w:line="13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Due to the types of contracts we enter into and the markets in which we operate, the cumulative loss of several major contracts, customers, or alliances may have an adverse effect on our results of operations.</w:t>
      </w:r>
    </w:p>
    <w:p>
      <w:pPr>
        <w:spacing w:after="0" w:line="12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often enter into large, long-term contracts that, collectively, represent a significant portion of our revenue. These agreements, if terminated or breached, may have a larger impact on our operating results or our financial condition than shorter-term contracts due to the value at risk. Moreover, the global market for the production, transportation, and transformation of hydrocarbons and by-products, as well as the other industrial markets in which we operate, is dominated by a small number of companies. As a result, our business relies on a limited number of customers. If we were to lose several key contracts, customers, or alliances over a relatively short period of time, we could experience a significant adverse impact on our financial condition, results of operations, or cash flows.</w:t>
      </w:r>
    </w:p>
    <w:p>
      <w:pPr>
        <w:spacing w:after="0" w:line="13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Our operations require us to comply with numerous regulations, violations of which could have a material adverse effect on our financial condition, results of operations, or cash flows.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operations and manufacturing activities are governed by international, regional, transnational, and national laws and regulations in every place where we operate relating to matters such as environmental protection, health and safety, labor and employment, import/export controls, currency exchange, bribery and corruption, and taxation. These laws and regulations are complex, frequently change, and have tended to become more stringent over time. In the event the scope of these laws and regulations expand in the future, the incremental cost of compliance could adversely impact our financial condition, results of operations, or cash flows.</w:t>
      </w:r>
    </w:p>
    <w:p>
      <w:pPr>
        <w:spacing w:after="0" w:line="15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Our international operations are subject to anti-corruption laws and regulations, such as the U.S. Foreign Corrupt Practices Act (“FCPA”), the U.K. Bribery Act of 2010 (the “Bribery Act”), the anti-corruption provisions of French law n° 2016-1691 dated December 9, 2016 relating to Transparency, Anti-corruption and Modernization of the Business Practice (“Sapin II Law”), the Brazilian Anti-Bribery Act (also known as the Brazilian Clean Company Act), and economic and trade sanctions, including those administered by the United Nations, the European Union, the Office of Foreign Assets Control of the U.S. Department of the Treasury (“U.S. Treasury”), and the U.S. Department of State. The FCPA prohibits corruptly providing anything of value to foreign officials for the purposes of obtaining or retaining business or securing any improper business advantage. We may deal with both governments and state-owned business enterprises, the employees of which are considered foreign officials for purposes of the FCPA. The provisions of the Bribery Act extend beyond bribery of foreign public officials and are more onerous than the FCPA in a number of other respects, including jurisdiction, non-exemption of facilitation payments, and penalties. Economic and trade sanctions restrict our transactions or dealings with certain sanctioned countries, territories, and designated persons.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result of doing business in foreign countries, including through partners and agents, we are exposed to a risk of violating anti-corruption laws and sanctions regulations. Some of the international locations in which we currently operate or may, in the future, operate, have developing legal systems and may have higher levels of corruption than more developed nations. Our continued expansion and worldwide operations, including in developing countries, our development of joint venture relationships worldwide, and the employment of local agents in the countries in which we operate increases the risk of violations of anti-corruption laws and economic and trade sanctions. Violations of anti-corruption laws and economic and trade sanctions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1" w:right="239" w:bottom="1440" w:gutter="0" w:footer="0" w:header="0"/>
        </w:sectPr>
      </w:pPr>
    </w:p>
    <w:bookmarkStart w:id="26" w:name="page27"/>
    <w:bookmarkEnd w:id="26"/>
    <w:p>
      <w:pPr>
        <w:ind w:right="120"/>
        <w:spacing w:after="0" w:line="254" w:lineRule="auto"/>
        <w:rPr>
          <w:sz w:val="20"/>
          <w:szCs w:val="20"/>
          <w:color w:val="auto"/>
        </w:rPr>
      </w:pPr>
      <w:r>
        <w:rPr>
          <w:rFonts w:ascii="Arial" w:cs="Arial" w:eastAsia="Arial" w:hAnsi="Arial"/>
          <w:sz w:val="18"/>
          <w:szCs w:val="18"/>
          <w:color w:val="auto"/>
        </w:rPr>
        <w:t>We have implemented internal controls designed to minimize and detect potential violations of laws and regulations in a timely manner but we can provide no assurance that such policies and procedures will be followed at all times or will effectively detect and prevent violations of the applicable laws by one or more of our employees, consultants, agents, or partners. The occurrence of any such violation could subject us to penalties and material adverse consequences on our business, financial condition, results of operations, or cash flows.</w:t>
      </w:r>
    </w:p>
    <w:p>
      <w:pPr>
        <w:spacing w:after="0" w:line="12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Compliance with environmental and climate change-related laws and regulations may adversely affect our business and results of operations.</w:t>
      </w:r>
    </w:p>
    <w:p>
      <w:pPr>
        <w:spacing w:after="0" w:line="12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Environmental laws and regulations in various countries affect the equipment, systems, and services we design, market, and sell, as well as the facilities where we manufacture our equipment and systems, and any other operations we undertake. 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obligations, the issuance of orders enjoining our operations, or other claims and complaints. Additionally, our insurance and compliance costs may increase as a result of changes in environmental laws and regulations or changes in enforcement. These laws and regulations, as well as any new laws and regulations affecting exploration and development of drilling for crude oil and natural gas, are becoming increasingly strict and could adversely affect our business and operating results by increasing our costs, limiting the demand for our products and services, or restricting our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or future laws and regulations relating to greenhouse gas emissions and climate change may adversely affect our business.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Climate change continues to attract considerable public and scientific attention. As a result, numerous laws, regulations, and proposals have been made and are likely to continue to be made at the international, national, regional, and state levels of government to monitor and limit emissions of carbon dioxide, methane, and other “greenhouse gases” (“GHGs”). These efforts have included cap-and-trade programs, carbon taxes, GHG reporting and tracking programs and regulations that directly limit GHG emissions from certain sources. Such existing or future laws, regulations, and proposals concerning the release of GHGs or that concern climate change (including laws, regulations, and proposals that seek to mitigate the effects of climate change) may adversely impact demand for the equipment, systems and services we design, market and sell. For example, oil and natural gas exploration and production may decline as a result of such laws, regulations, and proposals, and as a consequence, demand for our equipment, systems and services may also decline. In addition, such laws, regulations, and proposals may also result in more onerous obligations with respect to our operations, including the facilities where we manufacture our equipment and systems. Such decline in demand for our equipment, systems and services and such onerous obligations in respect of our operations may adversely affect our financial condition, results of operations, or cash flows.</w:t>
      </w:r>
    </w:p>
    <w:p>
      <w:pPr>
        <w:spacing w:after="0" w:line="13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Disruptions in the political, regulatory, economic, and social conditions of the countries in which we conduct business could adversely affect our business or results of operations.</w:t>
      </w:r>
    </w:p>
    <w:p>
      <w:pPr>
        <w:spacing w:after="0" w:line="12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operate in various countries across the world. Instability and unforeseen changes in any of the markets in which we conduct business, including economically and politically volatile areas could have an adverse effect on the demand for our services and products, our financial condition, or our results of operations. These factors include, but are not limited to, the following:</w:t>
      </w:r>
    </w:p>
    <w:p>
      <w:pPr>
        <w:spacing w:after="0" w:line="14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burdensome taxation;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inflationary and recessionary markets, including capital and equity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civil unrest, labor issues, political instability, disease outbreaks, terrorist attacks, cyber terrorism, military activity, and wars;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disruptions in key oil producing countries;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OPEC to set and maintain production levels and pricing;</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restrictions, trade protection measures, price controls, or trade disputes;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71" w:right="259" w:bottom="1440" w:gutter="0" w:footer="0" w:header="0"/>
        </w:sectPr>
      </w:pPr>
    </w:p>
    <w:bookmarkStart w:id="27" w:name="page28"/>
    <w:bookmarkEnd w:id="27"/>
    <w:p>
      <w:pPr>
        <w:ind w:left="340" w:right="440" w:hanging="332"/>
        <w:spacing w:after="0" w:line="26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sanctions, such as prohibitions or restrictions by the United States against countries that are the targets of economic sanctions, or are designated as state sponsors of terrorism;</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71" w:lineRule="exact"/>
        <w:rPr>
          <w:rFonts w:ascii="Arial" w:cs="Arial" w:eastAsia="Arial" w:hAnsi="Arial"/>
          <w:sz w:val="18"/>
          <w:szCs w:val="18"/>
          <w:color w:val="auto"/>
        </w:rPr>
      </w:pPr>
    </w:p>
    <w:p>
      <w:pPr>
        <w:ind w:left="340" w:right="760" w:hanging="332"/>
        <w:spacing w:after="0" w:line="26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operations, trade practices, trade partners, and investment decisions resulting from domestic and foreign laws, and regulations;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regime changes;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and the administration of, treaties, laws, and regulations including in response to public health issues;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repatriate income or capital;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reductions in the availability of qualified personnel;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fluctuations or currency restrictions;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interest rate component of forward foreign currency rates.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 and Euroclear may cease to act as depository and clearing agencies for our shares.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shares were issued into the facilities of The Depository Trust Company (“DTC”) with respect to shares listed on the NYSE and Euroclear with respect to shares listed on Euronext Paris (DTC and Euroclear being referred to as the “Clearance Services”). The Clearance Services are widely used mechanisms that allow for rapid electronic transfers of securities between the participants in their respective systems, which include many large banks and brokerage firms. The Clearance Services have general discretion to cease to act as a depository and clearing agencies for our shares. If either of the Clearance Services determine at any time that our shares are not eligible for continued deposit and clearance within its facilities, then we believe that our shares would not be eligible for continued listing on the NYSE or Euronext Paris, as applicable, and trading in our shares would be disrupted. Any such disruption could have a material adverse effect on the trading price of our shares.</w:t>
      </w:r>
    </w:p>
    <w:p>
      <w:pPr>
        <w:spacing w:after="0" w:line="13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based in the United Kingdom and have operational headquarters in Paris, France; Houston, Texas, United States; and in London, United Kingdom, with worldwide operations, including material business operations in Europe. The United Kingdom formally withdrew from the European Union on January 31, 2020 and entered into a transition period, which will end on or after December 31, 2020. During the transition period, the United Kingdom and the European Union will continue to negotiate their future customs and trading arrangements, and other aspects of their relationship. Political and economic uncertainty remains about whether the terms of the relationship will differ materially from the terms before withdrawal, as well as the possibility that a so-called “no deal” separation will occur if negotiations are not completed by the end of the transition period.</w:t>
      </w:r>
    </w:p>
    <w:p>
      <w:pPr>
        <w:spacing w:after="0" w:line="20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These developments could have a material adverse effect on global economic conditions and the stability of the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In addition, a lack of clarity about the future relationship between the United Kingdom and the European Union, and their respective laws and regulations, including financial laws and regulations, tax and free trade agreements, intellectual property rights, supply chain logistics, environmental, health and safety laws and regulations, immigration laws, employment laws, and other rules that would apply to us and our subsidiaries, could increase our costs, restrict our access to capital within the United Kingdom and the European Union, depress economic activity, and further decrease foreign direct investment in the United Kingdom. For example, withdrawal from the European Union could, depending on the negotiated terms of such withdrawal, eliminate the benefit of certain tax-related E.U. directives currently applicable to U.K. companies such as us, including the Parent-Subsidiary Directive and the Interest and Royalties Directive, which could, subject to any relief under an available tax treaty, raise our tax costs.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7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Any of these factors could have a material adverse effect on our business, financial condition, or results of operations.</w:t>
      </w:r>
    </w:p>
    <w:p>
      <w:pPr>
        <w:spacing w:after="0" w:line="14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As an English public limited company, we must meet certain additional financial requirements before we may declare dividends or repurchase shares and certain capital structure decisions may require stockholder approval which may limit our flexibility to manage our capital structure. We may not be able to pay dividends or repurchase shares of our ordinary shares in accordance with our announced intent, or at all.</w:t>
      </w:r>
    </w:p>
    <w:p>
      <w:pPr>
        <w:spacing w:after="0" w:line="14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English law, we will only be able to declare dividends, make distributions, or repurchase shares (other than out of the proceeds of a new issuance of shares for that purpose) out of “distributable profits.” Distributable profits are a company’s accumulated, realized profits, to the extent that they have not been previously utilized by distribution or capitalization, less its accumulated, realized losses, to the extent that they have not been previously written off in a reduction or reorganization of capital duly made. In addition, as a public limited company incorporated in England and Wales, we may only make a distribution if the amount of our net assets is not less than the aggregate of our called-up share capital and non-distributable reserves and to the extent that the distribution does not reduce the amount of those assets to less than that aggregate.</w:t>
      </w:r>
    </w:p>
    <w:p>
      <w:pPr>
        <w:spacing w:after="0" w:line="153"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Following the Merger, we implemented a court-approved reduction of our capital, which was completed on June 29, 2017, in order to create distributable profits to support the payment of possible future dividends or future share repurchases. Our articles of association permit us by ordinary resolution of the stockholders to declare dividends, provided that the directors have made a recommendation as to its amount. The dividend shall not exceed the amount recommended by the Board of Directors. The directors may also decide to pay interim dividends if it appears to them that the profits available for distribution justify the payment. When recommending or declaring payment of a dividend, the directors are required under English law to comply with their duties, including considering our future financial requirements.</w:t>
      </w:r>
    </w:p>
    <w:p>
      <w:pPr>
        <w:spacing w:after="0" w:line="15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the Board of Directors’ determinations regarding dividends and share repurchases will depend on a variety of other factors, including our net income, cash flow generated from operations or other sources, liquidity position, and potential alternative uses of cash, such as acquisitions, as well as economic conditions and expected future financial results. Our ability to declare and pay future dividends and make future share repurchases will depend on our future financial performance, which in turn depends on the successful implementation of our strategy and on financial, competitive, regulatory, technical, general economic conditions, demand and selling prices for our products and services, and other factors specific to our industry or specific projects, many of which are beyond our control. Therefore, our ability to generate cash depends on the performance of our operations and could be limited by decreases in our profitability or increases in costs, regulatory changes, capital expenditures, or debt servicing requirements.</w:t>
      </w:r>
    </w:p>
    <w:p>
      <w:pPr>
        <w:spacing w:after="0" w:line="15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Any failure to pay dividends or repurchase shares of our ordinary shares could negatively impact our reputation, harm investor confidence in us, and cause the market price of our ordinary shares to decline.</w:t>
      </w:r>
    </w:p>
    <w:p>
      <w:pPr>
        <w:spacing w:after="0" w:line="12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existing and future debt may limit cash flow available to invest in the ongoing needs of our business and could prevent us from fulfilling our obligations under our outstanding debt.</w:t>
      </w:r>
    </w:p>
    <w:p>
      <w:pPr>
        <w:spacing w:after="0" w:line="12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substantial existing debt. As of December 31, 2019, our total debt is $4.5 billion. We also have the capacity under our $2.5 billion credit facility, in addition to our bilateral facility, to incur substantial additional debt. Our level of debt could have important consequences. For example, it could:</w:t>
      </w:r>
    </w:p>
    <w:p>
      <w:pPr>
        <w:spacing w:after="0" w:line="14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171" w:lineRule="exact"/>
        <w:rPr>
          <w:rFonts w:ascii="Arial" w:cs="Arial" w:eastAsia="Arial" w:hAnsi="Arial"/>
          <w:sz w:val="18"/>
          <w:szCs w:val="18"/>
          <w:color w:val="auto"/>
        </w:rPr>
      </w:pPr>
    </w:p>
    <w:p>
      <w:pPr>
        <w:ind w:left="340" w:right="120" w:hanging="332"/>
        <w:spacing w:after="0" w:line="262"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distributions, and other general partnership purposes;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react to changes in our business; or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Additionally, any failure to meet required payments on our debt or to comply with any covenants in the instruments governing our debt, could result in an event of default under the terms of those instruments. In the event of such</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71"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default, the holders of such debt could elect to declare all the amounts outstanding under such instruments to be due and payable.</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London Interbank Offered Rate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If LIBOR ceases to exist or if the methods of calculating LIBOR change from their current form, interest rates on our current or future debt obligations may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debt rating could restrict our ability to access the capital markets.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terms of our financing are, in part, dependent on the credit ratings assigned to our debt by independent credit rating agencies. We cannot provide assurance that any of our current credit ratings will remain in effect for any given period of time or that a rating will not be lowered or withdrawn entirely by a rating agency. Factors that may impact our credit ratings include debt levels, capital structure, planned asset purchases or sales, near- and long-term production growth opportunities, market position, liquidity, asset quality, cost structure, product mix, customer and geographic diversification, and commodity price levels. A downgrade in our credit ratings, particularly to non-investment grade levels, could limit our ability to access the debt capital markets or refinance our existing debt or cause us to refinance or issue debt with less favorable terms and conditions. Moreover, our revolving credit agreement includes an increase in interest rates if the ratings for our debt are downgraded, which could have an adverse effect on our results of operations. An increase in the level of our indebtedness and related interest costs may increase our vulnerability to adverse general economic and industry conditions and may affect our ability to obtain additional financing, as well as have a material adverse effect on our business, financial condition, or results of operations.</w:t>
      </w:r>
    </w:p>
    <w:p>
      <w:pPr>
        <w:spacing w:after="0" w:line="13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Uninsured claims and litigation against us, including intellectual property litigation, could adversely impact our financial condition, results of operations, or cash flows.</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could be impacted by the outcome of pending litigation, as well as unexpected litigation or proceedings. We have insurance coverage against operating hazards, including product liability claims and personal injury claims related to our products or operating environments in which our employees operate, to the extent deemed prudent by our management and to the extent insurance is available. However, our insurance policies are subject to exclusions, limitations, and other conditions and may not apply in all cases, for example where willful wrongdoing on our part is alleged. Additionally, the nature and amount of that insurance may not be sufficient to fully indemnify us against liabilities arising out of pending and future claims and litigation. Additionally, in individual circumstances, certain proceedings or cases may also lead to our formal or informal exclusion from tenders or the revocation or loss of business licenses or permits. Our financial condition, results of operations, or cash flows could be adversely affected by unexpected claims not covered by insurance.</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the tools, techniques, methodologies, programs, and components we use to provide our services may infringe upon the intellectual property rights of others. Infringement claims generally result in significant legal and other costs. The resolution of these claims could require us to enter into license agreements or develop alternative technologies. The development of these technologies or the payment of royalties under licenses from third parties, if available, would increase our costs. If a license were not available, or we are not able to develop alternative technologies, we might not be able to continue providing a particular service or product, which could adversely affect our financial condition,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could adversely affect our financial condition, results of operations, or cash flows.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 operations around the world in many different currencies. Because a significant portion of our revenue is denominated in currencies other than our reporting currency, the U.S. dollar, changes in exchange rates will produce fluctuations in our revenue, costs, and earnings, and may also affect the book value of our assets and liabilities and related equity. We hedge transaction impacts on margins and earnings where a transaction is not in the functional currency of the business unit, but we do not hedge translation impacts on earnings. Our efforts to minimize our currency exposure through such hedging transactions may not be successful depending on market and business conditions. Moreover, certain currencies in which we conduct operations, specifically currencies in countries such as Angola and Nigeria, do not actively trade in the global foreign exchange markets and may subject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1" w:right="239" w:bottom="1440" w:gutter="0" w:footer="0" w:header="0"/>
        </w:sectPr>
      </w:pPr>
    </w:p>
    <w:bookmarkStart w:id="30" w:name="page31"/>
    <w:bookmarkEnd w:id="30"/>
    <w:p>
      <w:pPr>
        <w:ind w:right="480"/>
        <w:spacing w:after="0" w:line="262" w:lineRule="auto"/>
        <w:rPr>
          <w:sz w:val="20"/>
          <w:szCs w:val="20"/>
          <w:color w:val="auto"/>
        </w:rPr>
      </w:pPr>
      <w:r>
        <w:rPr>
          <w:rFonts w:ascii="Arial" w:cs="Arial" w:eastAsia="Arial" w:hAnsi="Arial"/>
          <w:sz w:val="18"/>
          <w:szCs w:val="18"/>
          <w:color w:val="auto"/>
        </w:rPr>
        <w:t>us to increased foreign currency exposures. As a result, fluctuations in foreign currency exchange rates may adversely affect our financial condition,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and divestiture activities involve substantial risks.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made and expect to continue to pursue acquisitions, dispositions, or other investments that may strategically fit our business and/or growth objectives. We cannot provide assurances that we will be able to locate suitable acquisitions, dispositions, or investments, or that we will be able to consummate any such transactions on terms and conditions acceptable to us. Even if we do successfully execute such transactions, they may not result in anticipated benefits, which could have a material adverse effect on our financial results. If we are unable to successfully integrate and develop acquired businesses, we could fail to achieve anticipated synergies and cost savings, including any expected increases in revenues and operating results. We may not be able to successfully cause a buyer of a divested business to assume the liabilities of that business or, even if such liabilities are assumed, we may have difficulties enforcing our rights, contractual or otherwise, against the buyer. We may invest in companies or businesses that fail, causing a loss of all or part of our investment. In addition, if we determine that an other-than-temporary decline in the fair value exists for a company in which we have invested, we may have to write down that investment to its fair value and recognize the related write-down as an investment loss.</w:t>
      </w:r>
    </w:p>
    <w:p>
      <w:pPr>
        <w:spacing w:after="0" w:line="136"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b w:val="1"/>
          <w:bCs w:val="1"/>
          <w:i w:val="1"/>
          <w:iCs w:val="1"/>
          <w:color w:val="auto"/>
        </w:rPr>
        <w:t>A failure of our IT infrastructure, including as a result of cyber attacks, could adversely impact our business and results of operations.</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efficient operation of our business is dependent on our IT systems. Accordingly, we rely upon the capacity, reliability, and security of our IT hardware and software infrastructure and our ability to expand and update this infrastructure in response to changing needs. We have been subject to cyber attacks in the past, including phishing, malware, and ransomware. No such attack has had a material adverse effect on our business, however this may not be the case with future attacks. Our systems may be vulnerable to damages from such attacks, as well as from natural disasters, failures in hardware or software, power fluctuations, unauthorized access to data and systems, loss or destruction of data (including confidential customer information), human error, and other similar disruptions, and we cannot give assurance that any security measures we have implemented or may in the future implement will be sufficient to identify and prevent or mitigate such disruptions.</w:t>
      </w:r>
    </w:p>
    <w:p>
      <w:pPr>
        <w:spacing w:after="0" w:line="15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rely on third parties to support the operation of our IT hardware, software infrastructure, and cloud services, and in certain instances, utilize web-based and software-as-a-service applications. The security and privacy measures implemented by such third parties, as well as the measures implemented by any entities we acquire or with whom we do business, may not be sufficient to identify or prevent cyber attacks, and any such attacks may have a material adverse effect on our business. While our IT vendor agreements typically contain provisions that seek to eliminate or limit our exposure to liability for damages from a cyber attack, we cannot ensure such provisions will withstand legal challenges or cover all or any such damages.</w:t>
      </w:r>
    </w:p>
    <w:p>
      <w:pPr>
        <w:spacing w:after="0" w:line="15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Threats to our IT systems arise from numerous sources, not all of which are within our control, including fraud or malice on the part of third parties, accidental technological failure, electrical or telecommunication outages, failures of computer servers or other damage to our property or assets, outbreaks of hostilities, or terrorist acts. The failure of our IT systems or those of our vendors to perform as anticipated for any reason or any significant breach of security could disrupt our business and result in numerous adverse consequences, including reduced effectiveness and efficiency of operations, inappropriate disclosure of confidential and proprietary information, reputational harm, increased overhead costs, and loss of important information, which could have a material adverse effect on our business and results of operations. In addition, we may be required to incur significant costs to protect against damage caused by these disruptions or security breaches in the future. Our insurance coverage may not cover all of the costs and liabilities we incur as the result of any disruptions or security breaches, and if our business continuity and/or disaster recovery plans do not effectively and timely resolve issues resulting from a cyber attack, we may suffer material adverse effects on our business.</w:t>
      </w:r>
    </w:p>
    <w:p>
      <w:pPr>
        <w:spacing w:after="0" w:line="136"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and data security. Our actual or perceived failure to comply with such obligations could harm our business.</w:t>
      </w:r>
    </w:p>
    <w:p>
      <w:pPr>
        <w:spacing w:after="0" w:line="12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We are subject to international data protection laws, such as the General Data Protection Regulation, or GDPR, in the European Economic Area, or EEA. The GDPR imposes several stringent requirements for controllers and processors of personal data which have increased our obligations, including, for example, by requiring more robust disclosures to individuals, notifications, in some cases, of data breaches to regulators and data subjects, and a record of processing and other policies and procedures to be maintained to adhere to the accountability principle. In addition, we are subject to the GDPR’s rules on transferring personal data outside of the EEA (including to the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71" w:right="239" w:bottom="1440" w:gutter="0" w:footer="0" w:header="0"/>
        </w:sectPr>
      </w:pPr>
    </w:p>
    <w:bookmarkStart w:id="31" w:name="page32"/>
    <w:bookmarkEnd w:id="31"/>
    <w:p>
      <w:pPr>
        <w:ind w:right="60"/>
        <w:spacing w:after="0" w:line="252" w:lineRule="auto"/>
        <w:rPr>
          <w:sz w:val="20"/>
          <w:szCs w:val="20"/>
          <w:color w:val="auto"/>
        </w:rPr>
      </w:pPr>
      <w:r>
        <w:rPr>
          <w:rFonts w:ascii="Arial" w:cs="Arial" w:eastAsia="Arial" w:hAnsi="Arial"/>
          <w:sz w:val="18"/>
          <w:szCs w:val="18"/>
          <w:color w:val="auto"/>
        </w:rPr>
        <w:t>United States), and some of these rules are currently being challenged in the courts. Failure to comply with the requirements of GDPR and the local laws implementing or supplementing the GDPR could result in fines of up to €20,000,000 or up to 4% of the total worldwide annual turnover of the preceding financial year, whichever is higher, as well as other administrative penalties. We are likely to be required to expend significant capital and other resources to ensure ongoing compliance with the GDPR and other applicable data protection legislation, and we may be required to put in place additional control mechanisms which could be onerous and adversely affect our business, financial condition, results of operations, or cash flows.</w:t>
      </w:r>
    </w:p>
    <w:p>
      <w:pPr>
        <w:spacing w:after="0" w:line="13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The IRS may not agree that we should be treated as a foreign corporation for U.S. federal tax purposes and may seek to impose an excise tax on gains recognized by certain individuals.</w:t>
      </w:r>
    </w:p>
    <w:p>
      <w:pPr>
        <w:spacing w:after="0" w:line="1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Although we are incorporated in the United Kingdom, the U.S. Internal Revenue Service (the “IRS”) may assert that we should be treated as a U.S. “domestic” corporation (and, therefore, a U.S. tax resident) for U.S. federal income tax purposes pursuant to Section 7874 of the U.S. Internal Revenue Code of 1986, as amended (the “Code”). For U.S. federal income tax purposes, a corporation (i) is generally considered a “domestic” corporation (or U.S. tax resident) if it is organized in the United States or of any state or political subdivision therein, and (ii) is generally considered a “foreign” corporation (or non-U.S. tax resident) if it is not considered a domestic corporation. Because we are a U.K. incorporated entity, we would be considered a foreign corporation (and, therefore, a non-U.S. tax resident) under these rules. Section 7874 of the Code (“Section 7874”) provides an exception under which a foreign incorporated entity may, in certain circumstances, be treated as a domestic corporation for U.S. federal income tax purposes.</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do not believe this exception applies. However, the Section 7874 rules are complex and subject to detailed regulations, the application of which is uncertain in various respects. It is possible that the IRS will not agree with our position. Should the IRS successfully challenge our position, it is also possible that an excise tax under Section 4985 of the Code (the “Section 4985 Excise Tax”) may be assessed against certain “disqualified individuals” (including former officers and directors of FMC Technologies, Inc.) on certain stock-based compensation held thereby. We may, if we determine that it is appropriate, provide disqualified individuals with a payment with respect to the Section 4985 Excise Tax, so that, on a net after-tax basis, they would be in the same position as if no such Section 4985 Excise Tax had been applied.</w:t>
      </w:r>
    </w:p>
    <w:p>
      <w:pPr>
        <w:spacing w:after="0" w:line="15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addition, there can be no assurance that there will not be a change in law or interpretation, including with retroactive effect, that might cause us to be treated as a domestic corporation for U.S. federal income tax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laws and/or guidance could affect our ability to engage in certain acquisition strategies and certain internal restructurings.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Even if we are treated as a foreign corporation for U.S. federal income tax purposes, Section 7874, U.S. Treasury regulations, and other guidance promulgated thereunder may adversely affect our ability to engage in certain future acquisitions of U.S. businesses or to restructure the non-U.S. members of our group. These limitations, if applicable, may affect the tax efficiencies that otherwise might be achieved in such potential future transactions or restructurings.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the IRS and the U.S. Treasury have issued final and temporary regulations providing that, even if we are treated as a foreign corporation for U.S. federal income tax purposes, certain intercompany debt instruments issued on or after April 4, 2016 will be treated as equity for U.S. federal income tax purposes, therefore limiting U.S. tax benefits and resulting in possible U.S. withholding taxes. Although recent guidance from the U.S. Treasury removes certain documentation requirements that would otherwise be imposed with respect to covered debt instruments, announces an intention to further modify and possibly withdraw certain classification rules relating to covered debt instruments, and further indicates that these rules generally are the subject of continuing study and may be further materially modified, the current regulations may adversely affect our future effective tax rate and could also impact our ability to engage in future restructurings if such transactions cause an existing intercompany debt instrument to be treated as reissued for U.S. federal income tax purposes.</w:t>
      </w:r>
    </w:p>
    <w:p>
      <w:pPr>
        <w:spacing w:after="0" w:line="13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are subject to the tax laws of numerous jurisdictions; challenges to the interpretation of, or future changes to, such laws could adversely affect us.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and our subsidiaries are subject to tax laws and regulations in the United Kingdom, the United States, France, and numerous other jurisdictions in which we and our subsidiaries operate. These laws and regulations are inherently complex, and we are, and will continue to be, obligated to make judgments and interpretations about the application of these laws and regulations to our operations and businesses. The interpretation and application of</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71" w:right="279" w:bottom="1440" w:gutter="0" w:footer="0" w:header="0"/>
        </w:sectPr>
      </w:pPr>
    </w:p>
    <w:bookmarkStart w:id="32" w:name="page33"/>
    <w:bookmarkEnd w:id="32"/>
    <w:p>
      <w:pPr>
        <w:ind w:right="660"/>
        <w:spacing w:after="0" w:line="262" w:lineRule="auto"/>
        <w:rPr>
          <w:sz w:val="20"/>
          <w:szCs w:val="20"/>
          <w:color w:val="auto"/>
        </w:rPr>
      </w:pPr>
      <w:r>
        <w:rPr>
          <w:rFonts w:ascii="Arial" w:cs="Arial" w:eastAsia="Arial" w:hAnsi="Arial"/>
          <w:sz w:val="18"/>
          <w:szCs w:val="18"/>
          <w:color w:val="auto"/>
        </w:rPr>
        <w:t>these laws and regulations could be challenged by the relevant governmental authorities, which could result in administrative or judicial procedures, actions, or sanctions, which could be material.</w:t>
      </w:r>
    </w:p>
    <w:p>
      <w:pPr>
        <w:spacing w:after="0" w:line="14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On December 22, 2017, the Tax Cuts and Jobs Act was signed into law in the United States, which made extensive changes to the U.S. taxation of multinational companies, and is subject to future regulatory and possible legislative changes. In addition, the U.S. Congress, the U.K. Government, the European Union, the Organization for Economic Co-operation and Development (the “OECD”), and other government agencies in jurisdictions where we and our affiliates do business have had an extended focus on issues related to the taxation of multinational corporations. New tax initiatives, directives, and rules, such as the U.S. Tax Cuts and Jobs Act, the OECD’s Base Erosion and Profit Shifting initiative, and the European Union’s Anti-Tax Avoidance Directives, may increase our tax burden and require additional compliance-related expenditures. As a result, our financial condition, results of operations, or cash flows may be adversely affected. Further changes, including with retroactive effect, in the tax laws of the United States, the United Kingdom, the European Union, or other countries in which we and our affiliates do business could also adversely affect us.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for benefits under tax treaties entered into between the United Kingdom and other countries.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operate in a manner such that we believe we are eligible for benefits under tax treaties between the United Kingdom and other countries. However, our ability to qualify for such benefits will depend on whether we are treated as a U.K. tax resident, the requirements contained in each treaty and applicable domestic laws, on the facts and circumstances surrounding our operations and management, and on the relevant interpretation of the tax authorities and courts. For example, because of Brexit, we may lose some or all of the benefits of tax treaties between the United States and the remaining members of the European Union, and face higher tax liabilities, which may be significant. Another example is the Multilateral Convention to Implement Tax Treaty Related Measures to Prevent Base Erosion and Profit Shifting (the “MLI”), which entered into force for participating jurisdictions on July 1, 2018. The MLI recommends that countries adopt a “limitation-on-benefit” rule and/or a “principle purposes test” rule with regards to their tax treaties. The scope and interpretation of these rules as adopted pursuant to the MLI are presently under development, but the application of either rule might deny us tax treaty benefits that were previously available.</w:t>
      </w:r>
    </w:p>
    <w:p>
      <w:pPr>
        <w:spacing w:after="0" w:line="15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failure by us or our subsidiaries to qualify for benefits under tax treaties entered into between the United Kingdom and other countries could result in adverse tax consequences to us (including an increased tax burden and increased filing obligations) and could result in certain tax consequences of owning and disposing of our shares.</w:t>
      </w:r>
    </w:p>
    <w:p>
      <w:pPr>
        <w:spacing w:after="0" w:line="12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We intend to be treated exclusively as a resident of the United Kingdom for tax purposes, but French or other tax authorities may seek to treat us as a tax resident of another jurisdiction.</w:t>
      </w:r>
    </w:p>
    <w:p>
      <w:pPr>
        <w:spacing w:after="0" w:line="12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are incorporated in the United Kingdom. English law currently provides that we will be regarded as a U.K. resident for tax purposes from incorporation and shall remain so unless (i) we are concurrently a resident in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this regard, we have a permanent establishment in France to satisfy certain French tax requirements imposed by the French Tax Code with respect to the Merger. Although it is intended that we will be treated as having our exclusive place of tax residence in the United Kingdom, the French tax authorities may claim that we are a tax resident of France if we were to fail to maintain our “place of effective management” in the United Kingdom. Any such claim would be settled between the French and U.K. tax authorities pursuant to the mutual assistance procedure provided for by the tax treaty concluded between France and the United Kingdom. There is no assurance that these authorities would reach an agreement that we will remain exclusively a U.K. tax resident; an adverse determination could materially and adversely affect our business, financial condition, results of operations, or cash flows. A failure to maintain exclusive tax residency in the United Kingdom could result in adverse tax consequences to us and our subsidiaries and could result in certain adverse changes in the tax consequences of owning and disposing of our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Pirates endanger our maritime employees and assets.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face material piracy risks in the Gulf of Guinea, the Somali Basin, and the Gulf of Aden, and, to a lesser extent, in Southeast Asia, Malacca, and the Singapore Straits. Piracy represents a risk for both our projects and our vessels, which operate and transport through sensitive maritime areas. Such risks have the potential to significantly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71" w:right="259" w:bottom="1440" w:gutter="0" w:footer="0" w:header="0"/>
        </w:sectPr>
      </w:pPr>
    </w:p>
    <w:bookmarkStart w:id="33" w:name="page34"/>
    <w:bookmarkEnd w:id="33"/>
    <w:p>
      <w:pPr>
        <w:spacing w:after="0" w:line="256" w:lineRule="auto"/>
        <w:rPr>
          <w:sz w:val="20"/>
          <w:szCs w:val="20"/>
          <w:color w:val="auto"/>
        </w:rPr>
      </w:pPr>
      <w:r>
        <w:rPr>
          <w:rFonts w:ascii="Arial" w:cs="Arial" w:eastAsia="Arial" w:hAnsi="Arial"/>
          <w:sz w:val="18"/>
          <w:szCs w:val="18"/>
          <w:color w:val="auto"/>
        </w:rPr>
        <w:t>harm our crews and to negatively impact the execution schedule for our projects. If our maritime employees or assets are endangered, additional time may be required to find an alternative solution, which may delay project realization and negatively impact our business,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Separation Transaction</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The proposed separation transaction announced on August 26, 2019 is contingent upon the satisfaction of a number of conditions, may require significant time and attention of our management, and may not achieve the intended results.</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previously disclosed, our Board of Directors unanimously approved a plan to separate into two independent, publicly traded companies. For more information, please refer to Note 3 to our consolidated financial statements of this Annual Report on Form 10-K. The completion of the transaction, which is expected to be structured as a separation of our Onshore/Offshore segment including Genesis, a leader in front-end engineering and design, as well as Loading Systems, a leader in cryogenic material transfer products, and Cybernetix, a technology leader in process automation, is contingent upon the final approval of our Board of Directors as well as market conditions and the receipt of regulatory approvals, which are beyond our control, as well as consultation of employee representatives, where applicable. We may also choose to abandon the separation at any time. For these and other reasons, the separation may not be completed in the expected timeframe or at all. Additionally, the execution of the proposed separation will likely continue to require significant time and attention of our management, which could impact other strategic initiatives. Our employees may also be uncertain about their future roles within the separate companies pending the completion of the separation, which could lead to departures.</w:t>
      </w:r>
    </w:p>
    <w:p>
      <w:pPr>
        <w:spacing w:after="0" w:line="212"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Also, in connection with the separation, we will indemnify Technip Energies for certain liabilities and Technip Energies will indemnify us for certain liabilities. If we are required to act on these indemnities to Technip Energies, our financial results could be negatively impacted. Additionally, any indemnity from Technip Energies may not be sufficient to insure us against the full amount of liabilities for which we are responsible and Technip Energies may not be able to satisfy its indemnification obligations in the future.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such difficulties could have an adverse effect on our business, financial condition, or results of operations, and cause the combined market value of us and Technip Energies after the separation to fall short of the market value of our shares prior to the separation. Substantial sales of our shares may also occur in connection with the separation, which could cause our share price to decline.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71"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PROPERTIES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corporate headquarters is in London, England. We also maintain corporate offices in Houston, Texas and Paris, France, where significant worldwide global support activity occurs. In addition, we own or lease numerous properties throughout the world.</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our properties and facilities are suitable for their present and intended purposes and are operating at a level consistent with the requirements of the industry in which we operate. We also believe that our leases are at competitive or market rates and do not anticipate any difficulty in leasing suitable additional space upon expiration of our current lease terms.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principal properties by reporting segment at December 31, 2019:</w:t>
      </w:r>
    </w:p>
    <w:p>
      <w:pPr>
        <w:sectPr>
          <w:pgSz w:w="11900" w:h="16838" w:orient="portrait"/>
          <w:cols w:equalWidth="0" w:num="1">
            <w:col w:w="11280"/>
          </w:cols>
          <w:pgMar w:left="240" w:top="549" w:right="379" w:bottom="1440" w:gutter="0" w:footer="0" w:header="0"/>
        </w:sectPr>
      </w:pPr>
    </w:p>
    <w:p>
      <w:pPr>
        <w:spacing w:after="0" w:line="375"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Africa</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Dande, Angola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Hassi-Messaoud, Algeria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Lagos, Nigeria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Lobito, Angola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Luanda, Angola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Malabo, Equatorial Guinea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Port Harcourt, Nigeria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Takoradi, Ghana</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Chennai, India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Dahej,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Hyderabad, India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Jakarta, Indonesia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Johor, Malaysia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Kuala Lumpur, 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Mumbai, India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New Delhi,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Noida, India</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Nusajaya, 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Singapore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Henderson, Australia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Perth,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Europe</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Aberdeen,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Aktau, Kazakhstan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Atyrau, Kazakhstan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Arnhem, The Netherlands</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Barcelona,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Bergen, Norway</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Compiegne,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Courbevoie (Paris - La Défense), France</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Dunfermline,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Ellerbek, Germany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Evanton,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Horten, Norway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Kongsberg, 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shd w:val="clear" w:color="auto" w:fill="CCEEFF"/>
        </w:rPr>
        <w:t>Krakow, Poland</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La Garenne Colombes,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 Trait, France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Segment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Onshore/Offshore,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Onshore/Offshore,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 Onshore/Offshore</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Onshore/Offshore</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200" w:lineRule="exact"/>
        <w:rPr>
          <w:sz w:val="20"/>
          <w:szCs w:val="20"/>
          <w:color w:val="auto"/>
        </w:rPr>
      </w:pPr>
    </w:p>
    <w:p>
      <w:pPr>
        <w:sectPr>
          <w:pgSz w:w="11900" w:h="16838" w:orient="portrait"/>
          <w:cols w:equalWidth="0" w:num="2">
            <w:col w:w="7080" w:space="720"/>
            <w:col w:w="3480"/>
          </w:cols>
          <w:pgMar w:left="240" w:top="549" w:right="379" w:bottom="1440" w:gutter="0" w:footer="0" w:header="0"/>
          <w:type w:val="continuous"/>
        </w:sect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80"/>
          </w:cols>
          <w:pgMar w:left="240" w:top="549" w:right="37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72"/>
        </w:trPr>
        <w:tc>
          <w:tcPr>
            <w:tcW w:w="5440" w:type="dxa"/>
            <w:vAlign w:val="bottom"/>
          </w:tcPr>
          <w:p>
            <w:pPr>
              <w:ind w:left="380"/>
              <w:spacing w:after="0"/>
              <w:rPr>
                <w:sz w:val="20"/>
                <w:szCs w:val="20"/>
                <w:color w:val="auto"/>
              </w:rPr>
            </w:pPr>
            <w:r>
              <w:rPr>
                <w:rFonts w:ascii="Arial" w:cs="Arial" w:eastAsia="Arial" w:hAnsi="Arial"/>
                <w:sz w:val="14"/>
                <w:szCs w:val="14"/>
                <w:color w:val="auto"/>
              </w:rPr>
              <w:t>Lisbon, Portugal</w:t>
            </w:r>
          </w:p>
        </w:tc>
        <w:tc>
          <w:tcPr>
            <w:tcW w:w="5980" w:type="dxa"/>
            <w:vAlign w:val="bottom"/>
            <w:vMerge w:val="restart"/>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60"/>
        </w:trPr>
        <w:tc>
          <w:tcPr>
            <w:tcW w:w="5440" w:type="dxa"/>
            <w:vAlign w:val="bottom"/>
          </w:tcPr>
          <w:p>
            <w:pPr>
              <w:spacing w:after="0"/>
              <w:rPr>
                <w:sz w:val="5"/>
                <w:szCs w:val="5"/>
                <w:color w:val="auto"/>
              </w:rPr>
            </w:pPr>
          </w:p>
        </w:tc>
        <w:tc>
          <w:tcPr>
            <w:tcW w:w="5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London, United Kingdom</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Subsea, Onshore/Offshore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Lyon, France</w:t>
            </w:r>
          </w:p>
        </w:tc>
        <w:tc>
          <w:tcPr>
            <w:tcW w:w="5980" w:type="dxa"/>
            <w:vAlign w:val="bottom"/>
          </w:tcPr>
          <w:p>
            <w:pPr>
              <w:ind w:left="2360"/>
              <w:spacing w:after="0"/>
              <w:rPr>
                <w:sz w:val="20"/>
                <w:szCs w:val="20"/>
                <w:color w:val="auto"/>
              </w:rPr>
            </w:pPr>
            <w:r>
              <w:rPr>
                <w:rFonts w:ascii="Arial" w:cs="Arial" w:eastAsia="Arial" w:hAnsi="Arial"/>
                <w:sz w:val="14"/>
                <w:szCs w:val="14"/>
                <w:color w:val="auto"/>
              </w:rPr>
              <w:t>Onshore/Offshore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Moscow, Russia</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Subsea, Onshore/Offshore, 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Newcastle, United Kingdom</w:t>
            </w:r>
          </w:p>
        </w:tc>
        <w:tc>
          <w:tcPr>
            <w:tcW w:w="5980" w:type="dxa"/>
            <w:vAlign w:val="bottom"/>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Lysaker, Norway</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Subsea, Onshore/Offshore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Orkanger, Norway</w:t>
            </w:r>
          </w:p>
        </w:tc>
        <w:tc>
          <w:tcPr>
            <w:tcW w:w="5980" w:type="dxa"/>
            <w:vAlign w:val="bottom"/>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Rome, Italy</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Onshore/Offshore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Schoonebeek, Netherlands</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Sens, France</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04"/>
        </w:trPr>
        <w:tc>
          <w:tcPr>
            <w:tcW w:w="5440" w:type="dxa"/>
            <w:vAlign w:val="bottom"/>
          </w:tcPr>
          <w:p>
            <w:pPr>
              <w:ind w:left="380"/>
              <w:spacing w:after="0"/>
              <w:rPr>
                <w:sz w:val="20"/>
                <w:szCs w:val="20"/>
                <w:color w:val="auto"/>
              </w:rPr>
            </w:pPr>
            <w:r>
              <w:rPr>
                <w:rFonts w:ascii="Arial" w:cs="Arial" w:eastAsia="Arial" w:hAnsi="Arial"/>
                <w:sz w:val="14"/>
                <w:szCs w:val="14"/>
                <w:color w:val="auto"/>
              </w:rPr>
              <w:t>St. Petersburg, Russia</w:t>
            </w:r>
          </w:p>
        </w:tc>
        <w:tc>
          <w:tcPr>
            <w:tcW w:w="5980" w:type="dxa"/>
            <w:vAlign w:val="bottom"/>
            <w:vMerge w:val="restart"/>
          </w:tcPr>
          <w:p>
            <w:pPr>
              <w:ind w:left="2360"/>
              <w:spacing w:after="0"/>
              <w:rPr>
                <w:sz w:val="20"/>
                <w:szCs w:val="20"/>
                <w:color w:val="auto"/>
              </w:rPr>
            </w:pPr>
            <w:r>
              <w:rPr>
                <w:rFonts w:ascii="Arial" w:cs="Arial" w:eastAsia="Arial" w:hAnsi="Arial"/>
                <w:sz w:val="14"/>
                <w:szCs w:val="14"/>
                <w:color w:val="auto"/>
              </w:rPr>
              <w:t>Subsea, Onshore/Offshore</w:t>
            </w:r>
          </w:p>
        </w:tc>
        <w:tc>
          <w:tcPr>
            <w:tcW w:w="0" w:type="dxa"/>
            <w:vAlign w:val="bottom"/>
          </w:tcPr>
          <w:p>
            <w:pPr>
              <w:spacing w:after="0"/>
              <w:rPr>
                <w:sz w:val="1"/>
                <w:szCs w:val="1"/>
                <w:color w:val="auto"/>
              </w:rPr>
            </w:pPr>
          </w:p>
        </w:tc>
      </w:tr>
      <w:tr>
        <w:trPr>
          <w:trHeight w:val="60"/>
        </w:trPr>
        <w:tc>
          <w:tcPr>
            <w:tcW w:w="5440" w:type="dxa"/>
            <w:vAlign w:val="bottom"/>
          </w:tcPr>
          <w:p>
            <w:pPr>
              <w:spacing w:after="0"/>
              <w:rPr>
                <w:sz w:val="5"/>
                <w:szCs w:val="5"/>
                <w:color w:val="auto"/>
              </w:rPr>
            </w:pPr>
          </w:p>
        </w:tc>
        <w:tc>
          <w:tcPr>
            <w:tcW w:w="5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Stavanger, Norway</w:t>
            </w:r>
          </w:p>
        </w:tc>
        <w:tc>
          <w:tcPr>
            <w:tcW w:w="5980" w:type="dxa"/>
            <w:vAlign w:val="bottom"/>
            <w:vMerge w:val="restart"/>
            <w:shd w:val="clear" w:color="auto" w:fill="CCEEFF"/>
          </w:tcPr>
          <w:p>
            <w:pPr>
              <w:ind w:left="2360"/>
              <w:spacing w:after="0"/>
              <w:rPr>
                <w:sz w:val="20"/>
                <w:szCs w:val="20"/>
                <w:color w:val="auto"/>
              </w:rPr>
            </w:pPr>
            <w:r>
              <w:rPr>
                <w:rFonts w:ascii="Arial" w:cs="Arial" w:eastAsia="Arial" w:hAnsi="Arial"/>
                <w:sz w:val="14"/>
                <w:szCs w:val="14"/>
                <w:color w:val="auto"/>
              </w:rPr>
              <w:t>Subsea, Surface</w:t>
            </w:r>
          </w:p>
        </w:tc>
        <w:tc>
          <w:tcPr>
            <w:tcW w:w="0" w:type="dxa"/>
            <w:vAlign w:val="bottom"/>
          </w:tcPr>
          <w:p>
            <w:pPr>
              <w:spacing w:after="0"/>
              <w:rPr>
                <w:sz w:val="1"/>
                <w:szCs w:val="1"/>
                <w:color w:val="auto"/>
              </w:rPr>
            </w:pPr>
          </w:p>
        </w:tc>
      </w:tr>
      <w:tr>
        <w:trPr>
          <w:trHeight w:val="66"/>
        </w:trPr>
        <w:tc>
          <w:tcPr>
            <w:tcW w:w="5440" w:type="dxa"/>
            <w:vAlign w:val="bottom"/>
            <w:shd w:val="clear" w:color="auto" w:fill="CCEEFF"/>
          </w:tcPr>
          <w:p>
            <w:pPr>
              <w:spacing w:after="0"/>
              <w:rPr>
                <w:sz w:val="5"/>
                <w:szCs w:val="5"/>
                <w:color w:val="auto"/>
              </w:rPr>
            </w:pPr>
          </w:p>
        </w:tc>
        <w:tc>
          <w:tcPr>
            <w:tcW w:w="5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40" w:type="dxa"/>
            <w:vAlign w:val="bottom"/>
          </w:tcPr>
          <w:p>
            <w:pPr>
              <w:ind w:left="380"/>
              <w:spacing w:after="0"/>
              <w:rPr>
                <w:sz w:val="20"/>
                <w:szCs w:val="20"/>
                <w:color w:val="auto"/>
              </w:rPr>
            </w:pPr>
            <w:r>
              <w:rPr>
                <w:rFonts w:ascii="Arial" w:cs="Arial" w:eastAsia="Arial" w:hAnsi="Arial"/>
                <w:sz w:val="14"/>
                <w:szCs w:val="14"/>
                <w:color w:val="auto"/>
              </w:rPr>
              <w:t>Zoetermeer, Netherlands</w:t>
            </w:r>
          </w:p>
        </w:tc>
        <w:tc>
          <w:tcPr>
            <w:tcW w:w="5980" w:type="dxa"/>
            <w:vAlign w:val="bottom"/>
            <w:vMerge w:val="restart"/>
          </w:tcPr>
          <w:p>
            <w:pPr>
              <w:ind w:left="2360"/>
              <w:spacing w:after="0"/>
              <w:rPr>
                <w:sz w:val="20"/>
                <w:szCs w:val="20"/>
                <w:color w:val="auto"/>
              </w:rPr>
            </w:pPr>
            <w:r>
              <w:rPr>
                <w:rFonts w:ascii="Arial" w:cs="Arial" w:eastAsia="Arial" w:hAnsi="Arial"/>
                <w:sz w:val="14"/>
                <w:szCs w:val="14"/>
                <w:color w:val="auto"/>
              </w:rPr>
              <w:t>Onshore/Offshore</w:t>
            </w:r>
          </w:p>
        </w:tc>
        <w:tc>
          <w:tcPr>
            <w:tcW w:w="0" w:type="dxa"/>
            <w:vAlign w:val="bottom"/>
          </w:tcPr>
          <w:p>
            <w:pPr>
              <w:spacing w:after="0"/>
              <w:rPr>
                <w:sz w:val="1"/>
                <w:szCs w:val="1"/>
                <w:color w:val="auto"/>
              </w:rPr>
            </w:pPr>
          </w:p>
        </w:tc>
      </w:tr>
      <w:tr>
        <w:trPr>
          <w:trHeight w:val="60"/>
        </w:trPr>
        <w:tc>
          <w:tcPr>
            <w:tcW w:w="5440" w:type="dxa"/>
            <w:vAlign w:val="bottom"/>
          </w:tcPr>
          <w:p>
            <w:pPr>
              <w:spacing w:after="0"/>
              <w:rPr>
                <w:sz w:val="5"/>
                <w:szCs w:val="5"/>
                <w:color w:val="auto"/>
              </w:rPr>
            </w:pPr>
          </w:p>
        </w:tc>
        <w:tc>
          <w:tcPr>
            <w:tcW w:w="5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Middle East</w:t>
            </w:r>
          </w:p>
        </w:tc>
        <w:tc>
          <w:tcPr>
            <w:tcW w:w="5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Abu Dhabi, United Arab Emirates</w:t>
            </w:r>
          </w:p>
        </w:tc>
        <w:tc>
          <w:tcPr>
            <w:tcW w:w="5980" w:type="dxa"/>
            <w:vAlign w:val="bottom"/>
          </w:tcPr>
          <w:p>
            <w:pPr>
              <w:ind w:left="2360"/>
              <w:spacing w:after="0"/>
              <w:rPr>
                <w:sz w:val="20"/>
                <w:szCs w:val="20"/>
                <w:color w:val="auto"/>
              </w:rPr>
            </w:pPr>
            <w:r>
              <w:rPr>
                <w:rFonts w:ascii="Arial" w:cs="Arial" w:eastAsia="Arial" w:hAnsi="Arial"/>
                <w:sz w:val="14"/>
                <w:szCs w:val="14"/>
                <w:color w:val="auto"/>
              </w:rPr>
              <w:t>Onshore/Offshore, 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Dammam, Saudi Arabia</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64"/>
        </w:trPr>
        <w:tc>
          <w:tcPr>
            <w:tcW w:w="5440" w:type="dxa"/>
            <w:vAlign w:val="bottom"/>
          </w:tcPr>
          <w:p>
            <w:pPr>
              <w:ind w:left="40"/>
              <w:spacing w:after="0"/>
              <w:rPr>
                <w:sz w:val="20"/>
                <w:szCs w:val="20"/>
                <w:color w:val="auto"/>
              </w:rPr>
            </w:pPr>
            <w:r>
              <w:rPr>
                <w:rFonts w:ascii="Arial" w:cs="Arial" w:eastAsia="Arial" w:hAnsi="Arial"/>
                <w:sz w:val="14"/>
                <w:szCs w:val="14"/>
                <w:b w:val="1"/>
                <w:bCs w:val="1"/>
                <w:color w:val="auto"/>
              </w:rPr>
              <w:t>North America</w:t>
            </w:r>
          </w:p>
        </w:tc>
        <w:tc>
          <w:tcPr>
            <w:tcW w:w="5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Brighton (Colorado), United States</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Calgary (Alberta), Canada</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Corpus Christi (Texas), United States</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Davis (California), United States</w:t>
            </w:r>
          </w:p>
        </w:tc>
        <w:tc>
          <w:tcPr>
            <w:tcW w:w="5980" w:type="dxa"/>
            <w:vAlign w:val="bottom"/>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Houston (Texas), United States</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Subsea, Onshore/Offshore, 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Edmonton (Alberta), Canada</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Erie (Pennsylvania), United States</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Odessa (Texas), United States</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Oklahoma City (Oklahoma), United States</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San Antonio (Texas), United States</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Stephenville (Texas), United States</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St. John’s (Newfoundland), Canada</w:t>
            </w:r>
          </w:p>
        </w:tc>
        <w:tc>
          <w:tcPr>
            <w:tcW w:w="5980" w:type="dxa"/>
            <w:vAlign w:val="bottom"/>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Theodore (Alabama), United States</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264"/>
        </w:trPr>
        <w:tc>
          <w:tcPr>
            <w:tcW w:w="5440" w:type="dxa"/>
            <w:vAlign w:val="bottom"/>
          </w:tcPr>
          <w:p>
            <w:pPr>
              <w:ind w:left="40"/>
              <w:spacing w:after="0"/>
              <w:rPr>
                <w:sz w:val="20"/>
                <w:szCs w:val="20"/>
                <w:color w:val="auto"/>
              </w:rPr>
            </w:pPr>
            <w:r>
              <w:rPr>
                <w:rFonts w:ascii="Arial" w:cs="Arial" w:eastAsia="Arial" w:hAnsi="Arial"/>
                <w:sz w:val="14"/>
                <w:szCs w:val="14"/>
                <w:b w:val="1"/>
                <w:bCs w:val="1"/>
                <w:color w:val="auto"/>
              </w:rPr>
              <w:t>South America</w:t>
            </w:r>
          </w:p>
        </w:tc>
        <w:tc>
          <w:tcPr>
            <w:tcW w:w="5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Bogota, Colombia</w:t>
            </w:r>
          </w:p>
        </w:tc>
        <w:tc>
          <w:tcPr>
            <w:tcW w:w="5980" w:type="dxa"/>
            <w:vAlign w:val="bottom"/>
            <w:vMerge w:val="restart"/>
            <w:shd w:val="clear" w:color="auto" w:fill="CCEEFF"/>
          </w:tcPr>
          <w:p>
            <w:pPr>
              <w:ind w:left="2360"/>
              <w:spacing w:after="0"/>
              <w:rPr>
                <w:sz w:val="20"/>
                <w:szCs w:val="20"/>
                <w:color w:val="auto"/>
              </w:rPr>
            </w:pPr>
            <w:r>
              <w:rPr>
                <w:rFonts w:ascii="Arial" w:cs="Arial" w:eastAsia="Arial" w:hAnsi="Arial"/>
                <w:sz w:val="14"/>
                <w:szCs w:val="14"/>
                <w:color w:val="auto"/>
              </w:rPr>
              <w:t>Onshore/Offshore</w:t>
            </w:r>
          </w:p>
        </w:tc>
        <w:tc>
          <w:tcPr>
            <w:tcW w:w="0" w:type="dxa"/>
            <w:vAlign w:val="bottom"/>
          </w:tcPr>
          <w:p>
            <w:pPr>
              <w:spacing w:after="0"/>
              <w:rPr>
                <w:sz w:val="1"/>
                <w:szCs w:val="1"/>
                <w:color w:val="auto"/>
              </w:rPr>
            </w:pPr>
          </w:p>
        </w:tc>
      </w:tr>
      <w:tr>
        <w:trPr>
          <w:trHeight w:val="66"/>
        </w:trPr>
        <w:tc>
          <w:tcPr>
            <w:tcW w:w="5440" w:type="dxa"/>
            <w:vAlign w:val="bottom"/>
            <w:shd w:val="clear" w:color="auto" w:fill="CCEEFF"/>
          </w:tcPr>
          <w:p>
            <w:pPr>
              <w:spacing w:after="0"/>
              <w:rPr>
                <w:sz w:val="5"/>
                <w:szCs w:val="5"/>
                <w:color w:val="auto"/>
              </w:rPr>
            </w:pPr>
          </w:p>
        </w:tc>
        <w:tc>
          <w:tcPr>
            <w:tcW w:w="5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40" w:type="dxa"/>
            <w:vAlign w:val="bottom"/>
          </w:tcPr>
          <w:p>
            <w:pPr>
              <w:ind w:left="380"/>
              <w:spacing w:after="0"/>
              <w:rPr>
                <w:sz w:val="20"/>
                <w:szCs w:val="20"/>
                <w:color w:val="auto"/>
              </w:rPr>
            </w:pPr>
            <w:r>
              <w:rPr>
                <w:rFonts w:ascii="Arial" w:cs="Arial" w:eastAsia="Arial" w:hAnsi="Arial"/>
                <w:sz w:val="14"/>
                <w:szCs w:val="14"/>
                <w:color w:val="auto"/>
              </w:rPr>
              <w:t>Macaé, Brazil</w:t>
            </w:r>
          </w:p>
        </w:tc>
        <w:tc>
          <w:tcPr>
            <w:tcW w:w="5980" w:type="dxa"/>
            <w:vAlign w:val="bottom"/>
            <w:vMerge w:val="restart"/>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60"/>
        </w:trPr>
        <w:tc>
          <w:tcPr>
            <w:tcW w:w="5440" w:type="dxa"/>
            <w:vAlign w:val="bottom"/>
          </w:tcPr>
          <w:p>
            <w:pPr>
              <w:spacing w:after="0"/>
              <w:rPr>
                <w:sz w:val="5"/>
                <w:szCs w:val="5"/>
                <w:color w:val="auto"/>
              </w:rPr>
            </w:pPr>
          </w:p>
        </w:tc>
        <w:tc>
          <w:tcPr>
            <w:tcW w:w="5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Neuquén, Argentina</w:t>
            </w:r>
          </w:p>
        </w:tc>
        <w:tc>
          <w:tcPr>
            <w:tcW w:w="5980" w:type="dxa"/>
            <w:vAlign w:val="bottom"/>
            <w:vMerge w:val="restart"/>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66"/>
        </w:trPr>
        <w:tc>
          <w:tcPr>
            <w:tcW w:w="5440" w:type="dxa"/>
            <w:vAlign w:val="bottom"/>
            <w:shd w:val="clear" w:color="auto" w:fill="CCEEFF"/>
          </w:tcPr>
          <w:p>
            <w:pPr>
              <w:spacing w:after="0"/>
              <w:rPr>
                <w:sz w:val="5"/>
                <w:szCs w:val="5"/>
                <w:color w:val="auto"/>
              </w:rPr>
            </w:pPr>
          </w:p>
        </w:tc>
        <w:tc>
          <w:tcPr>
            <w:tcW w:w="5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40" w:type="dxa"/>
            <w:vAlign w:val="bottom"/>
          </w:tcPr>
          <w:p>
            <w:pPr>
              <w:ind w:left="380"/>
              <w:spacing w:after="0"/>
              <w:rPr>
                <w:sz w:val="20"/>
                <w:szCs w:val="20"/>
                <w:color w:val="auto"/>
              </w:rPr>
            </w:pPr>
            <w:r>
              <w:rPr>
                <w:rFonts w:ascii="Arial" w:cs="Arial" w:eastAsia="Arial" w:hAnsi="Arial"/>
                <w:sz w:val="14"/>
                <w:szCs w:val="14"/>
                <w:color w:val="auto"/>
              </w:rPr>
              <w:t>Rio de Janeiro, Brazil</w:t>
            </w:r>
          </w:p>
        </w:tc>
        <w:tc>
          <w:tcPr>
            <w:tcW w:w="5980" w:type="dxa"/>
            <w:vAlign w:val="bottom"/>
            <w:vMerge w:val="restart"/>
          </w:tcPr>
          <w:p>
            <w:pPr>
              <w:ind w:left="2360"/>
              <w:spacing w:after="0"/>
              <w:rPr>
                <w:sz w:val="20"/>
                <w:szCs w:val="20"/>
                <w:color w:val="auto"/>
              </w:rPr>
            </w:pPr>
            <w:r>
              <w:rPr>
                <w:rFonts w:ascii="Arial" w:cs="Arial" w:eastAsia="Arial" w:hAnsi="Arial"/>
                <w:sz w:val="14"/>
                <w:szCs w:val="14"/>
                <w:color w:val="auto"/>
              </w:rPr>
              <w:t>Subsea, Surface</w:t>
            </w:r>
          </w:p>
        </w:tc>
        <w:tc>
          <w:tcPr>
            <w:tcW w:w="0" w:type="dxa"/>
            <w:vAlign w:val="bottom"/>
          </w:tcPr>
          <w:p>
            <w:pPr>
              <w:spacing w:after="0"/>
              <w:rPr>
                <w:sz w:val="1"/>
                <w:szCs w:val="1"/>
                <w:color w:val="auto"/>
              </w:rPr>
            </w:pPr>
          </w:p>
        </w:tc>
      </w:tr>
      <w:tr>
        <w:trPr>
          <w:trHeight w:val="60"/>
        </w:trPr>
        <w:tc>
          <w:tcPr>
            <w:tcW w:w="5440" w:type="dxa"/>
            <w:vAlign w:val="bottom"/>
          </w:tcPr>
          <w:p>
            <w:pPr>
              <w:spacing w:after="0"/>
              <w:rPr>
                <w:sz w:val="5"/>
                <w:szCs w:val="5"/>
                <w:color w:val="auto"/>
              </w:rPr>
            </w:pPr>
          </w:p>
        </w:tc>
        <w:tc>
          <w:tcPr>
            <w:tcW w:w="5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São João da Barra, Brazil</w:t>
            </w:r>
          </w:p>
        </w:tc>
        <w:tc>
          <w:tcPr>
            <w:tcW w:w="5980" w:type="dxa"/>
            <w:vAlign w:val="bottom"/>
            <w:vMerge w:val="restart"/>
            <w:shd w:val="clear" w:color="auto" w:fill="CCEEFF"/>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66"/>
        </w:trPr>
        <w:tc>
          <w:tcPr>
            <w:tcW w:w="5440" w:type="dxa"/>
            <w:vAlign w:val="bottom"/>
            <w:shd w:val="clear" w:color="auto" w:fill="CCEEFF"/>
          </w:tcPr>
          <w:p>
            <w:pPr>
              <w:spacing w:after="0"/>
              <w:rPr>
                <w:sz w:val="5"/>
                <w:szCs w:val="5"/>
                <w:color w:val="auto"/>
              </w:rPr>
            </w:pPr>
          </w:p>
        </w:tc>
        <w:tc>
          <w:tcPr>
            <w:tcW w:w="5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40" w:type="dxa"/>
            <w:vAlign w:val="bottom"/>
          </w:tcPr>
          <w:p>
            <w:pPr>
              <w:ind w:left="380"/>
              <w:spacing w:after="0"/>
              <w:rPr>
                <w:sz w:val="20"/>
                <w:szCs w:val="20"/>
                <w:color w:val="auto"/>
              </w:rPr>
            </w:pPr>
            <w:r>
              <w:rPr>
                <w:rFonts w:ascii="Arial" w:cs="Arial" w:eastAsia="Arial" w:hAnsi="Arial"/>
                <w:sz w:val="14"/>
                <w:szCs w:val="14"/>
                <w:color w:val="auto"/>
              </w:rPr>
              <w:t>Vitória, Brazil</w:t>
            </w:r>
          </w:p>
        </w:tc>
        <w:tc>
          <w:tcPr>
            <w:tcW w:w="5980" w:type="dxa"/>
            <w:vAlign w:val="bottom"/>
            <w:vMerge w:val="restart"/>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60"/>
        </w:trPr>
        <w:tc>
          <w:tcPr>
            <w:tcW w:w="5440" w:type="dxa"/>
            <w:vAlign w:val="bottom"/>
          </w:tcPr>
          <w:p>
            <w:pPr>
              <w:spacing w:after="0"/>
              <w:rPr>
                <w:sz w:val="5"/>
                <w:szCs w:val="5"/>
                <w:color w:val="auto"/>
              </w:rPr>
            </w:pPr>
          </w:p>
        </w:tc>
        <w:tc>
          <w:tcPr>
            <w:tcW w:w="5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Yopal, Columbia</w:t>
            </w:r>
          </w:p>
        </w:tc>
        <w:tc>
          <w:tcPr>
            <w:tcW w:w="5980" w:type="dxa"/>
            <w:vAlign w:val="bottom"/>
            <w:vMerge w:val="restart"/>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66"/>
        </w:trPr>
        <w:tc>
          <w:tcPr>
            <w:tcW w:w="5440" w:type="dxa"/>
            <w:vAlign w:val="bottom"/>
            <w:shd w:val="clear" w:color="auto" w:fill="CCEEFF"/>
          </w:tcPr>
          <w:p>
            <w:pPr>
              <w:spacing w:after="0"/>
              <w:rPr>
                <w:sz w:val="5"/>
                <w:szCs w:val="5"/>
                <w:color w:val="auto"/>
              </w:rPr>
            </w:pPr>
          </w:p>
        </w:tc>
        <w:tc>
          <w:tcPr>
            <w:tcW w:w="5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3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following table shows marine vessels in which we held an interest or operated as of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Vessel Name</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Vessel Type</w:t>
            </w:r>
          </w:p>
        </w:tc>
        <w:tc>
          <w:tcPr>
            <w:tcW w:w="100" w:type="dxa"/>
            <w:vAlign w:val="bottom"/>
            <w:tcBorders>
              <w:bottom w:val="single" w:sz="8" w:color="CCEEFF"/>
            </w:tcBorders>
          </w:tcPr>
          <w:p>
            <w:pPr>
              <w:spacing w:after="0"/>
              <w:rPr>
                <w:sz w:val="17"/>
                <w:szCs w:val="17"/>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Special Equipment</w:t>
            </w:r>
          </w:p>
        </w:tc>
      </w:tr>
      <w:tr>
        <w:trPr>
          <w:trHeight w:val="25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Deep Blue</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Reeled pipelay/flexible pipelay/umbilical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Deep Energy</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240" w:type="dxa"/>
            <w:vAlign w:val="bottom"/>
          </w:tcPr>
          <w:p>
            <w:pPr>
              <w:ind w:left="20"/>
              <w:spacing w:after="0"/>
              <w:rPr>
                <w:sz w:val="20"/>
                <w:szCs w:val="20"/>
                <w:color w:val="auto"/>
              </w:rPr>
            </w:pPr>
            <w:r>
              <w:rPr>
                <w:rFonts w:ascii="Arial" w:cs="Arial" w:eastAsia="Arial" w:hAnsi="Arial"/>
                <w:sz w:val="14"/>
                <w:szCs w:val="14"/>
                <w:color w:val="auto"/>
              </w:rPr>
              <w:t>Reeled pipelay/flexible pipelay/umbilical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Apache II</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Reeled pipelay/umbilical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Global 1200</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PLSV/HCV</w:t>
            </w:r>
          </w:p>
        </w:tc>
        <w:tc>
          <w:tcPr>
            <w:tcW w:w="5240" w:type="dxa"/>
            <w:vAlign w:val="bottom"/>
          </w:tcPr>
          <w:p>
            <w:pPr>
              <w:ind w:left="20"/>
              <w:spacing w:after="0"/>
              <w:rPr>
                <w:sz w:val="20"/>
                <w:szCs w:val="20"/>
                <w:color w:val="auto"/>
              </w:rPr>
            </w:pPr>
            <w:r>
              <w:rPr>
                <w:rFonts w:ascii="Arial" w:cs="Arial" w:eastAsia="Arial" w:hAnsi="Arial"/>
                <w:sz w:val="14"/>
                <w:szCs w:val="14"/>
                <w:color w:val="auto"/>
              </w:rPr>
              <w:t>Conventional pipelay/Heavy handling operations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Deep Orient</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HCV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Construction/installation systems</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 xml:space="preserve">North Sea Atlantic </w:t>
            </w:r>
            <w:r>
              <w:rPr>
                <w:rFonts w:ascii="Arial" w:cs="Arial" w:eastAsia="Arial" w:hAnsi="Arial"/>
                <w:sz w:val="17"/>
                <w:szCs w:val="17"/>
                <w:color w:val="auto"/>
                <w:vertAlign w:val="superscript"/>
              </w:rPr>
              <w:t>(a)</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HCV</w:t>
            </w:r>
          </w:p>
        </w:tc>
        <w:tc>
          <w:tcPr>
            <w:tcW w:w="5240" w:type="dxa"/>
            <w:vAlign w:val="bottom"/>
          </w:tcPr>
          <w:p>
            <w:pPr>
              <w:ind w:left="20"/>
              <w:spacing w:after="0"/>
              <w:rPr>
                <w:sz w:val="20"/>
                <w:szCs w:val="20"/>
                <w:color w:val="auto"/>
              </w:rPr>
            </w:pPr>
            <w:r>
              <w:rPr>
                <w:rFonts w:ascii="Arial" w:cs="Arial" w:eastAsia="Arial" w:hAnsi="Arial"/>
                <w:sz w:val="14"/>
                <w:szCs w:val="14"/>
                <w:color w:val="auto"/>
              </w:rPr>
              <w:t>Construction/installation systems</w:t>
            </w: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Skandi Africa </w:t>
            </w:r>
            <w:r>
              <w:rPr>
                <w:rFonts w:ascii="Arial" w:cs="Arial" w:eastAsia="Arial" w:hAnsi="Arial"/>
                <w:sz w:val="17"/>
                <w:szCs w:val="17"/>
                <w:color w:val="auto"/>
                <w:vertAlign w:val="superscript"/>
              </w:rPr>
              <w:t>(a)</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HCV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Construction/installation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Deep Arctic</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DSV/HCV</w:t>
            </w:r>
          </w:p>
        </w:tc>
        <w:tc>
          <w:tcPr>
            <w:tcW w:w="5240" w:type="dxa"/>
            <w:vAlign w:val="bottom"/>
          </w:tcPr>
          <w:p>
            <w:pPr>
              <w:ind w:left="20"/>
              <w:spacing w:after="0"/>
              <w:rPr>
                <w:sz w:val="20"/>
                <w:szCs w:val="20"/>
                <w:color w:val="auto"/>
              </w:rPr>
            </w:pPr>
            <w:r>
              <w:rPr>
                <w:rFonts w:ascii="Arial" w:cs="Arial" w:eastAsia="Arial" w:hAnsi="Arial"/>
                <w:sz w:val="14"/>
                <w:szCs w:val="14"/>
                <w:color w:val="auto"/>
              </w:rPr>
              <w:t>Diver support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Deep Discoverer</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DSV/HCV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Diver support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Deep Explorer</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DSV/HCV</w:t>
            </w:r>
          </w:p>
        </w:tc>
        <w:tc>
          <w:tcPr>
            <w:tcW w:w="5240" w:type="dxa"/>
            <w:vAlign w:val="bottom"/>
          </w:tcPr>
          <w:p>
            <w:pPr>
              <w:ind w:left="20"/>
              <w:spacing w:after="0"/>
              <w:rPr>
                <w:sz w:val="20"/>
                <w:szCs w:val="20"/>
                <w:color w:val="auto"/>
              </w:rPr>
            </w:pPr>
            <w:r>
              <w:rPr>
                <w:rFonts w:ascii="Arial" w:cs="Arial" w:eastAsia="Arial" w:hAnsi="Arial"/>
                <w:sz w:val="14"/>
                <w:szCs w:val="14"/>
                <w:color w:val="auto"/>
              </w:rPr>
              <w:t>Diver support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Skandi Vitória</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Skandi Niterói</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24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Coral do Atlantico</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Deep Star (previously Estrela do Mar)</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24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Skandi Açu</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Skandi Búzios</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24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Skandi Olinda</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58"/>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Skandi Recife</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24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351"/>
        </w:trPr>
        <w:tc>
          <w:tcPr>
            <w:tcW w:w="4820" w:type="dxa"/>
            <w:vAlign w:val="bottom"/>
            <w:gridSpan w:val="2"/>
          </w:tcPr>
          <w:p>
            <w:pPr>
              <w:spacing w:after="0"/>
              <w:rPr>
                <w:sz w:val="20"/>
                <w:szCs w:val="20"/>
                <w:color w:val="auto"/>
              </w:rPr>
            </w:pPr>
            <w:r>
              <w:rPr>
                <w:rFonts w:ascii="Arial" w:cs="Arial" w:eastAsia="Arial" w:hAnsi="Arial"/>
                <w:sz w:val="14"/>
                <w:szCs w:val="14"/>
                <w:color w:val="auto"/>
              </w:rPr>
              <w:t>(a)  Vessels under long term charter.</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14"/>
        </w:trPr>
        <w:tc>
          <w:tcPr>
            <w:tcW w:w="4820" w:type="dxa"/>
            <w:vAlign w:val="bottom"/>
            <w:gridSpan w:val="2"/>
          </w:tcPr>
          <w:p>
            <w:pPr>
              <w:spacing w:after="0"/>
              <w:rPr>
                <w:sz w:val="20"/>
                <w:szCs w:val="20"/>
                <w:color w:val="auto"/>
              </w:rPr>
            </w:pPr>
            <w:r>
              <w:rPr>
                <w:rFonts w:ascii="Arial" w:cs="Arial" w:eastAsia="Arial" w:hAnsi="Arial"/>
                <w:sz w:val="14"/>
                <w:szCs w:val="14"/>
                <w:color w:val="auto"/>
              </w:rPr>
              <w:t>PLSV: Pipelay Support Vessel</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62"/>
        </w:trPr>
        <w:tc>
          <w:tcPr>
            <w:tcW w:w="4820" w:type="dxa"/>
            <w:vAlign w:val="bottom"/>
            <w:gridSpan w:val="2"/>
          </w:tcPr>
          <w:p>
            <w:pPr>
              <w:spacing w:after="0"/>
              <w:rPr>
                <w:sz w:val="20"/>
                <w:szCs w:val="20"/>
                <w:color w:val="auto"/>
              </w:rPr>
            </w:pPr>
            <w:r>
              <w:rPr>
                <w:rFonts w:ascii="Arial" w:cs="Arial" w:eastAsia="Arial" w:hAnsi="Arial"/>
                <w:sz w:val="14"/>
                <w:szCs w:val="14"/>
                <w:color w:val="auto"/>
              </w:rPr>
              <w:t>HCV: Heavy Duty Construction Vessel</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172"/>
        </w:trPr>
        <w:tc>
          <w:tcPr>
            <w:tcW w:w="4820" w:type="dxa"/>
            <w:vAlign w:val="bottom"/>
            <w:gridSpan w:val="2"/>
          </w:tcPr>
          <w:p>
            <w:pPr>
              <w:spacing w:after="0"/>
              <w:rPr>
                <w:sz w:val="20"/>
                <w:szCs w:val="20"/>
                <w:color w:val="auto"/>
              </w:rPr>
            </w:pPr>
            <w:r>
              <w:rPr>
                <w:rFonts w:ascii="Arial" w:cs="Arial" w:eastAsia="Arial" w:hAnsi="Arial"/>
                <w:sz w:val="14"/>
                <w:szCs w:val="14"/>
                <w:color w:val="auto"/>
              </w:rPr>
              <w:t>DSV: Diving Support Vessel</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spacing w:after="0"/>
              <w:rPr>
                <w:sz w:val="14"/>
                <w:szCs w:val="14"/>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against the Company and certain current and former officers and employees of the Company. The suit alleged violations of the federal securities laws in connection with the Company's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A remaining claim for alleged violation of Section 11 of the Securities Act in connection with the reporting of certain financial results in the Company’s Form S-4 Registration Statement filed in 2016 is pending and seeks unspecified damages. The Company is vigorously contesting the litigation and cannot predict its duration or outcome.</w:t>
      </w:r>
    </w:p>
    <w:p>
      <w:pPr>
        <w:spacing w:after="0" w:line="1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to the above-referenced matters, we are involved in various other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ordinary shares are listed on the NYSE and the regulated market of Euronext Paris, in each case trading under the “FTI” symbol.</w:t>
      </w:r>
    </w:p>
    <w:p>
      <w:pPr>
        <w:spacing w:after="0" w:line="171"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For information about dividends, see Item 6 “Selected Financial Data” and Note 18 “Stockholders’ Equity” to the Consolidated Financial Statements in Item 8.</w:t>
      </w:r>
    </w:p>
    <w:p>
      <w:pPr>
        <w:spacing w:after="0" w:line="14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As of February 25, 2020, according to data provided by our transfer agent, there were 83 shareholders of record. However, many of our shareholders hold their shares in "street name" by a nominee of Depository Trust Company, which is a single shareholder of record. We estimate that there were approximately 22,400 shareholders whose shares were held in “street name” by banks, brokers, or other financial institutions at February 25,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year ended December 31,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left="248"/>
              <w:spacing w:after="0"/>
              <w:rPr>
                <w:sz w:val="20"/>
                <w:szCs w:val="20"/>
                <w:color w:val="auto"/>
              </w:rPr>
            </w:pPr>
            <w:r>
              <w:rPr>
                <w:rFonts w:ascii="Arial" w:cs="Arial" w:eastAsia="Arial" w:hAnsi="Arial"/>
                <w:sz w:val="14"/>
                <w:szCs w:val="14"/>
                <w:b w:val="1"/>
                <w:bCs w:val="1"/>
                <w:color w:val="auto"/>
              </w:rPr>
              <w:t>Total 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left="208"/>
              <w:spacing w:after="0"/>
              <w:rPr>
                <w:sz w:val="20"/>
                <w:szCs w:val="20"/>
                <w:color w:val="auto"/>
              </w:rPr>
            </w:pPr>
            <w:r>
              <w:rPr>
                <w:rFonts w:ascii="Arial" w:cs="Arial" w:eastAsia="Arial" w:hAnsi="Arial"/>
                <w:sz w:val="14"/>
                <w:szCs w:val="14"/>
                <w:b w:val="1"/>
                <w:bCs w:val="1"/>
                <w:color w:val="auto"/>
              </w:rPr>
              <w:t>Shares Purchased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That May Yet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left="248"/>
              <w:spacing w:after="0"/>
              <w:rPr>
                <w:sz w:val="20"/>
                <w:szCs w:val="20"/>
                <w:color w:val="auto"/>
              </w:rPr>
            </w:pPr>
            <w:r>
              <w:rPr>
                <w:rFonts w:ascii="Arial" w:cs="Arial" w:eastAsia="Arial" w:hAnsi="Arial"/>
                <w:sz w:val="14"/>
                <w:szCs w:val="14"/>
                <w:b w:val="1"/>
                <w:bCs w:val="1"/>
                <w:color w:val="auto"/>
              </w:rPr>
              <w:t>as Part of Publicly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Be Purchased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Arial" w:cs="Arial" w:eastAsia="Arial" w:hAnsi="Arial"/>
                <w:sz w:val="14"/>
                <w:szCs w:val="14"/>
                <w:b w:val="1"/>
                <w:bCs w:val="1"/>
                <w:color w:val="auto"/>
              </w:rPr>
              <w:t>Average Price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left="208"/>
              <w:spacing w:after="0"/>
              <w:rPr>
                <w:sz w:val="20"/>
                <w:szCs w:val="20"/>
                <w:color w:val="auto"/>
              </w:rPr>
            </w:pPr>
            <w:r>
              <w:rPr>
                <w:rFonts w:ascii="Arial" w:cs="Arial" w:eastAsia="Arial" w:hAnsi="Arial"/>
                <w:sz w:val="14"/>
                <w:szCs w:val="14"/>
                <w:b w:val="1"/>
                <w:bCs w:val="1"/>
                <w:color w:val="auto"/>
              </w:rPr>
              <w:t>Announced Plans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Under the Plans</w:t>
            </w:r>
          </w:p>
        </w:tc>
        <w:tc>
          <w:tcPr>
            <w:tcW w:w="0" w:type="dxa"/>
            <w:vAlign w:val="bottom"/>
          </w:tcPr>
          <w:p>
            <w:pPr>
              <w:spacing w:after="0"/>
              <w:rPr>
                <w:sz w:val="1"/>
                <w:szCs w:val="1"/>
                <w:color w:val="auto"/>
              </w:rPr>
            </w:pPr>
          </w:p>
        </w:tc>
      </w:tr>
      <w:tr>
        <w:trPr>
          <w:trHeight w:val="162"/>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600" w:type="dxa"/>
            <w:vAlign w:val="bottom"/>
            <w:gridSpan w:val="3"/>
          </w:tcPr>
          <w:p>
            <w:pPr>
              <w:ind w:left="240"/>
              <w:spacing w:after="0"/>
              <w:rPr>
                <w:sz w:val="20"/>
                <w:szCs w:val="20"/>
                <w:color w:val="auto"/>
              </w:rPr>
            </w:pPr>
            <w:r>
              <w:rPr>
                <w:rFonts w:ascii="Arial" w:cs="Arial" w:eastAsia="Arial" w:hAnsi="Arial"/>
                <w:sz w:val="14"/>
                <w:szCs w:val="14"/>
                <w:b w:val="1"/>
                <w:bCs w:val="1"/>
                <w:color w:val="auto"/>
              </w:rPr>
              <w:t>Paid per Share</w:t>
            </w:r>
          </w:p>
        </w:tc>
        <w:tc>
          <w:tcPr>
            <w:tcW w:w="1720" w:type="dxa"/>
            <w:vAlign w:val="bottom"/>
          </w:tcPr>
          <w:p>
            <w:pPr>
              <w:jc w:val="center"/>
              <w:ind w:left="248"/>
              <w:spacing w:after="0"/>
              <w:rPr>
                <w:sz w:val="20"/>
                <w:szCs w:val="20"/>
                <w:color w:val="auto"/>
              </w:rPr>
            </w:pPr>
            <w:r>
              <w:rPr>
                <w:rFonts w:ascii="Arial" w:cs="Arial" w:eastAsia="Arial" w:hAnsi="Arial"/>
                <w:sz w:val="14"/>
                <w:szCs w:val="14"/>
                <w:b w:val="1"/>
                <w:bCs w:val="1"/>
                <w:color w:val="auto"/>
              </w:rPr>
              <w:t>or Programs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(a)</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October 1, 2019 – October 31, 2019</w:t>
            </w:r>
          </w:p>
        </w:tc>
        <w:tc>
          <w:tcPr>
            <w:tcW w:w="1500" w:type="dxa"/>
            <w:vAlign w:val="bottom"/>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340" w:type="dxa"/>
            <w:vAlign w:val="bottom"/>
            <w:gridSpan w:val="2"/>
            <w:vMerge w:val="continue"/>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00" w:type="dxa"/>
            <w:vAlign w:val="bottom"/>
            <w:gridSpan w:val="3"/>
          </w:tcPr>
          <w:p>
            <w:pPr>
              <w:ind w:left="40"/>
              <w:spacing w:after="0"/>
              <w:rPr>
                <w:sz w:val="20"/>
                <w:szCs w:val="20"/>
                <w:color w:val="auto"/>
              </w:rPr>
            </w:pPr>
            <w:r>
              <w:rPr>
                <w:rFonts w:ascii="Arial" w:cs="Arial" w:eastAsia="Arial" w:hAnsi="Arial"/>
                <w:sz w:val="14"/>
                <w:szCs w:val="14"/>
                <w:color w:val="auto"/>
              </w:rPr>
              <w:t>November 1, 2019 – November 30, 2019</w:t>
            </w:r>
          </w:p>
        </w:tc>
        <w:tc>
          <w:tcPr>
            <w:tcW w:w="1500" w:type="dxa"/>
            <w:vAlign w:val="bottom"/>
            <w:vMerge w:val="restart"/>
          </w:tcPr>
          <w:p>
            <w:pPr>
              <w:ind w:left="1240"/>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tcPr>
          <w:p>
            <w:pPr>
              <w:jc w:val="right"/>
              <w:ind w:right="1028"/>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720" w:type="dxa"/>
            <w:vAlign w:val="bottom"/>
          </w:tcPr>
          <w:p>
            <w:pPr>
              <w:spacing w:after="0"/>
              <w:rPr>
                <w:sz w:val="17"/>
                <w:szCs w:val="17"/>
                <w:color w:val="auto"/>
              </w:rPr>
            </w:pPr>
          </w:p>
        </w:tc>
        <w:tc>
          <w:tcPr>
            <w:tcW w:w="32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5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7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December 1, 2019 – December 31, 2019</w:t>
            </w:r>
          </w:p>
        </w:tc>
        <w:tc>
          <w:tcPr>
            <w:tcW w:w="1500" w:type="dxa"/>
            <w:vAlign w:val="bottom"/>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gridSpan w:val="2"/>
            <w:vMerge w:val="continue"/>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720" w:type="dxa"/>
            <w:vAlign w:val="bottom"/>
            <w:tcBorders>
              <w:bottom w:val="single" w:sz="8" w:color="auto"/>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4"/>
                <w:szCs w:val="14"/>
                <w:color w:val="auto"/>
              </w:rPr>
              <w:t>Total</w:t>
            </w:r>
          </w:p>
        </w:tc>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December 2018, our Board of Directors authorized an extension of our share repurchase program for $300 million for the purchase of ordinary shares.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1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graph below compares the cumulative total shareholder return on our ordinary shares for the period from January 17, 2017 to December 31, 2019 with the Standard &amp; Poor’s 500 Index (“S&amp;P 500 Index”) and PHLX Oil Services Index. The comparison assumes $100 was invested, including reinvestment of dividends, if any, in our ordinary shares on January 17, 2017 and in both of the indexes on the same date. The results shown in the graph below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5866130" cy="3232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6130"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TechnipFMC plc</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62.63</w:t>
            </w:r>
          </w:p>
        </w:tc>
      </w:tr>
      <w:tr>
        <w:trPr>
          <w:trHeight w:val="264"/>
        </w:trPr>
        <w:tc>
          <w:tcPr>
            <w:tcW w:w="670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119.82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114.56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150.62</w:t>
            </w:r>
          </w:p>
        </w:tc>
      </w:tr>
      <w:tr>
        <w:trPr>
          <w:trHeight w:val="27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PHLX Oil Services Index</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44.68</w:t>
            </w:r>
          </w:p>
        </w:tc>
      </w:tr>
    </w:tbl>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300" w:top="549"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tables set forth selected financial data of the Company for each of the five years in the period ended December 31, 2019. This information should be read in conjunction with Part I, Item 1 “Business,” Part II, Item 7 “Management’s Discussion and Analysis of Financial Condition and Results of Operations” and the audited consolidated financial statements and notes thereto included in Part II, Item 8 of this Annual Report on Form 10-K.</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00" w:type="dxa"/>
            <w:vAlign w:val="bottom"/>
          </w:tcPr>
          <w:p>
            <w:pPr>
              <w:spacing w:after="0"/>
              <w:rPr>
                <w:sz w:val="23"/>
                <w:szCs w:val="23"/>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7"/>
                <w:szCs w:val="17"/>
                <w:b w:val="1"/>
                <w:bCs w:val="1"/>
                <w:color w:val="auto"/>
                <w:vertAlign w:val="superscript"/>
              </w:rPr>
              <w:t>(a)</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7"/>
                <w:szCs w:val="17"/>
                <w:b w:val="1"/>
                <w:bCs w:val="1"/>
                <w:color w:val="auto"/>
                <w:vertAlign w:val="superscript"/>
              </w:rPr>
              <w:t>(a)</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7"/>
                <w:szCs w:val="17"/>
                <w:b w:val="1"/>
                <w:bCs w:val="1"/>
                <w:color w:val="auto"/>
                <w:vertAlign w:val="superscript"/>
              </w:rPr>
              <w:t>(b)</w:t>
            </w:r>
          </w:p>
        </w:tc>
        <w:tc>
          <w:tcPr>
            <w:tcW w:w="280" w:type="dxa"/>
            <w:vAlign w:val="bottom"/>
          </w:tcPr>
          <w:p>
            <w:pPr>
              <w:spacing w:after="0"/>
              <w:rPr>
                <w:sz w:val="23"/>
                <w:szCs w:val="23"/>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Statement of income data</w:t>
            </w:r>
          </w:p>
        </w:tc>
        <w:tc>
          <w:tcPr>
            <w:tcW w:w="2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2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13,409.1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12,552.9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15,056.9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9,199.6</w:t>
            </w:r>
          </w:p>
        </w:tc>
        <w:tc>
          <w:tcPr>
            <w:tcW w:w="100" w:type="dxa"/>
            <w:vAlign w:val="bottom"/>
          </w:tcPr>
          <w:p>
            <w:pPr>
              <w:spacing w:after="0"/>
              <w:rPr>
                <w:sz w:val="22"/>
                <w:szCs w:val="22"/>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11,471.9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and expenses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14,935.8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13,470.5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14,091.7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8,743.6</w:t>
            </w: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11,198.3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(2,412.1)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(1,910.8)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134.2</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371.1</w:t>
            </w:r>
          </w:p>
        </w:tc>
        <w:tc>
          <w:tcPr>
            <w:tcW w:w="100" w:type="dxa"/>
            <w:vAlign w:val="bottom"/>
          </w:tcPr>
          <w:p>
            <w:pPr>
              <w:spacing w:after="0"/>
              <w:rPr>
                <w:sz w:val="22"/>
                <w:szCs w:val="22"/>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TechnipFMC plc</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(2,415.2)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(1,921.6)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393.3</w:t>
            </w: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Earnings (loss) per share from continuing operations attributable to TechnipFMC plc</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20" w:type="dxa"/>
            <w:vAlign w:val="bottom"/>
          </w:tcPr>
          <w:p>
            <w:pPr>
              <w:ind w:left="40"/>
              <w:spacing w:after="0"/>
              <w:rPr>
                <w:sz w:val="20"/>
                <w:szCs w:val="20"/>
                <w:color w:val="auto"/>
              </w:rPr>
            </w:pPr>
            <w:r>
              <w:rPr>
                <w:rFonts w:ascii="Arial" w:cs="Arial" w:eastAsia="Arial" w:hAnsi="Arial"/>
                <w:sz w:val="14"/>
                <w:szCs w:val="14"/>
                <w:color w:val="auto"/>
              </w:rPr>
              <w:t>Basic earnings (loss) per share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2"/>
                <w:szCs w:val="22"/>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(loss) per share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3"/>
                <w:szCs w:val="23"/>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7"/>
                <w:szCs w:val="17"/>
                <w:b w:val="1"/>
                <w:bCs w:val="1"/>
                <w:color w:val="auto"/>
                <w:vertAlign w:val="superscript"/>
              </w:rPr>
              <w:t>(a)</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7"/>
                <w:szCs w:val="17"/>
                <w:b w:val="1"/>
                <w:bCs w:val="1"/>
                <w:color w:val="auto"/>
                <w:vertAlign w:val="superscript"/>
              </w:rPr>
              <w:t>(a)</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7"/>
                <w:szCs w:val="17"/>
                <w:b w:val="1"/>
                <w:bCs w:val="1"/>
                <w:color w:val="auto"/>
                <w:vertAlign w:val="superscript"/>
              </w:rPr>
              <w:t>(b)</w:t>
            </w:r>
          </w:p>
        </w:tc>
        <w:tc>
          <w:tcPr>
            <w:tcW w:w="280" w:type="dxa"/>
            <w:vAlign w:val="bottom"/>
          </w:tcPr>
          <w:p>
            <w:pPr>
              <w:spacing w:after="0"/>
              <w:rPr>
                <w:sz w:val="23"/>
                <w:szCs w:val="23"/>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Balance sheet data</w:t>
            </w: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23,518.8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24,784.5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28,263.7</w:t>
            </w:r>
          </w:p>
        </w:tc>
        <w:tc>
          <w:tcPr>
            <w:tcW w:w="120" w:type="dxa"/>
            <w:vAlign w:val="bottom"/>
          </w:tcPr>
          <w:p>
            <w:pPr>
              <w:spacing w:after="0"/>
              <w:rPr>
                <w:sz w:val="17"/>
                <w:szCs w:val="17"/>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18,679.3</w:t>
            </w:r>
          </w:p>
        </w:tc>
        <w:tc>
          <w:tcPr>
            <w:tcW w:w="100" w:type="dxa"/>
            <w:vAlign w:val="bottom"/>
          </w:tcPr>
          <w:p>
            <w:pPr>
              <w:spacing w:after="0"/>
              <w:rPr>
                <w:sz w:val="17"/>
                <w:szCs w:val="17"/>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14,953.6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8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portion</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3,980.0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4,124.3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3,777.9</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1,869.3</w:t>
            </w:r>
          </w:p>
        </w:tc>
        <w:tc>
          <w:tcPr>
            <w:tcW w:w="100" w:type="dxa"/>
            <w:vAlign w:val="bottom"/>
            <w:shd w:val="clear" w:color="auto" w:fill="CCEEFF"/>
          </w:tcPr>
          <w:p>
            <w:pPr>
              <w:spacing w:after="0"/>
              <w:rPr>
                <w:sz w:val="18"/>
                <w:szCs w:val="18"/>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8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40"/>
              <w:spacing w:after="0"/>
              <w:rPr>
                <w:sz w:val="20"/>
                <w:szCs w:val="20"/>
                <w:color w:val="auto"/>
              </w:rPr>
            </w:pPr>
            <w:r>
              <w:rPr>
                <w:rFonts w:ascii="Arial" w:cs="Arial" w:eastAsia="Arial" w:hAnsi="Arial"/>
                <w:sz w:val="14"/>
                <w:szCs w:val="14"/>
                <w:color w:val="auto"/>
              </w:rPr>
              <w:t>Total TechnipFMC plc stockholders’ equity</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7,659.3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10,357.6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13,345.9</w:t>
            </w:r>
          </w:p>
        </w:tc>
        <w:tc>
          <w:tcPr>
            <w:tcW w:w="120" w:type="dxa"/>
            <w:vAlign w:val="bottom"/>
          </w:tcPr>
          <w:p>
            <w:pPr>
              <w:spacing w:after="0"/>
              <w:rPr>
                <w:sz w:val="17"/>
                <w:szCs w:val="17"/>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5,013.8</w:t>
            </w:r>
          </w:p>
        </w:tc>
        <w:tc>
          <w:tcPr>
            <w:tcW w:w="100" w:type="dxa"/>
            <w:vAlign w:val="bottom"/>
          </w:tcPr>
          <w:p>
            <w:pPr>
              <w:spacing w:after="0"/>
              <w:rPr>
                <w:sz w:val="17"/>
                <w:szCs w:val="17"/>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4,947.2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3"/>
        </w:trPr>
        <w:tc>
          <w:tcPr>
            <w:tcW w:w="5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3"/>
                <w:szCs w:val="23"/>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7"/>
                <w:szCs w:val="17"/>
                <w:b w:val="1"/>
                <w:bCs w:val="1"/>
                <w:color w:val="auto"/>
                <w:vertAlign w:val="superscript"/>
              </w:rPr>
              <w:t>(b)</w:t>
            </w:r>
          </w:p>
        </w:tc>
        <w:tc>
          <w:tcPr>
            <w:tcW w:w="280" w:type="dxa"/>
            <w:vAlign w:val="bottom"/>
          </w:tcPr>
          <w:p>
            <w:pPr>
              <w:spacing w:after="0"/>
              <w:rPr>
                <w:sz w:val="23"/>
                <w:szCs w:val="23"/>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Other financial information</w:t>
            </w: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454.4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368.1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255.7</w:t>
            </w:r>
          </w:p>
        </w:tc>
        <w:tc>
          <w:tcPr>
            <w:tcW w:w="120" w:type="dxa"/>
            <w:vAlign w:val="bottom"/>
          </w:tcPr>
          <w:p>
            <w:pPr>
              <w:spacing w:after="0"/>
              <w:rPr>
                <w:sz w:val="17"/>
                <w:szCs w:val="17"/>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312.9</w:t>
            </w:r>
          </w:p>
        </w:tc>
        <w:tc>
          <w:tcPr>
            <w:tcW w:w="100" w:type="dxa"/>
            <w:vAlign w:val="bottom"/>
          </w:tcPr>
          <w:p>
            <w:pPr>
              <w:spacing w:after="0"/>
              <w:rPr>
                <w:sz w:val="17"/>
                <w:szCs w:val="17"/>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8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provided (required) by operating activities</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210.7</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493.8</w:t>
            </w:r>
          </w:p>
        </w:tc>
        <w:tc>
          <w:tcPr>
            <w:tcW w:w="100" w:type="dxa"/>
            <w:vAlign w:val="bottom"/>
            <w:shd w:val="clear" w:color="auto" w:fill="CCEEFF"/>
          </w:tcPr>
          <w:p>
            <w:pPr>
              <w:spacing w:after="0"/>
              <w:rPr>
                <w:sz w:val="18"/>
                <w:szCs w:val="18"/>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8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0"/>
              <w:spacing w:after="0"/>
              <w:rPr>
                <w:sz w:val="20"/>
                <w:szCs w:val="20"/>
                <w:color w:val="auto"/>
              </w:rPr>
            </w:pPr>
            <w:r>
              <w:rPr>
                <w:rFonts w:ascii="Arial" w:cs="Arial" w:eastAsia="Arial" w:hAnsi="Arial"/>
                <w:sz w:val="14"/>
                <w:szCs w:val="14"/>
                <w:color w:val="auto"/>
              </w:rPr>
              <w:t xml:space="preserve">Net cash </w:t>
            </w:r>
            <w:r>
              <w:rPr>
                <w:rFonts w:ascii="Arial" w:cs="Arial" w:eastAsia="Arial" w:hAnsi="Arial"/>
                <w:sz w:val="17"/>
                <w:szCs w:val="17"/>
                <w:color w:val="auto"/>
                <w:vertAlign w:val="superscript"/>
              </w:rPr>
              <w:t>(c)</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714.8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1,348.3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2,882.4</w:t>
            </w:r>
          </w:p>
        </w:tc>
        <w:tc>
          <w:tcPr>
            <w:tcW w:w="120" w:type="dxa"/>
            <w:vAlign w:val="bottom"/>
          </w:tcPr>
          <w:p>
            <w:pPr>
              <w:spacing w:after="0"/>
              <w:rPr>
                <w:sz w:val="18"/>
                <w:szCs w:val="18"/>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3,716.4</w:t>
            </w:r>
          </w:p>
        </w:tc>
        <w:tc>
          <w:tcPr>
            <w:tcW w:w="100" w:type="dxa"/>
            <w:vAlign w:val="bottom"/>
          </w:tcPr>
          <w:p>
            <w:pPr>
              <w:spacing w:after="0"/>
              <w:rPr>
                <w:sz w:val="18"/>
                <w:szCs w:val="18"/>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58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Order backlog </w:t>
            </w:r>
            <w:r>
              <w:rPr>
                <w:rFonts w:ascii="Arial" w:cs="Arial" w:eastAsia="Arial" w:hAnsi="Arial"/>
                <w:sz w:val="17"/>
                <w:szCs w:val="17"/>
                <w:color w:val="auto"/>
                <w:vertAlign w:val="superscript"/>
              </w:rPr>
              <w:t>(d)</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24,251.1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14,560.0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12,982.8</w:t>
            </w:r>
          </w:p>
        </w:tc>
        <w:tc>
          <w:tcPr>
            <w:tcW w:w="12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15,002.0</w:t>
            </w:r>
          </w:p>
        </w:tc>
        <w:tc>
          <w:tcPr>
            <w:tcW w:w="100" w:type="dxa"/>
            <w:vAlign w:val="bottom"/>
            <w:shd w:val="clear" w:color="auto" w:fill="CCEEFF"/>
          </w:tcPr>
          <w:p>
            <w:pPr>
              <w:spacing w:after="0"/>
              <w:rPr>
                <w:sz w:val="19"/>
                <w:szCs w:val="19"/>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18,475.5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82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84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84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78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right="100" w:hanging="332"/>
        <w:spacing w:after="0" w:line="247"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results of our operations for the year ended December 31, 2019 includes goodwill and long-lived asset impairment charges of $1,988.7 million and $495.4 million. The results of our operations for the year ended December 31, 2018 includes goodwill and vessels impairment charges of $1,383.0 million and $372.9 million, respectively, and a legal provision of $280.0 million. Refer to Note 20 and Note 21 to our consolidated financial statements included in Part II, Item 8 of this Annual Report on Form 10-K for additional information on the impairments and legal provision, respectively.</w:t>
      </w:r>
    </w:p>
    <w:p>
      <w:pPr>
        <w:spacing w:after="0" w:line="147" w:lineRule="exact"/>
        <w:rPr>
          <w:rFonts w:ascii="Arial" w:cs="Arial" w:eastAsia="Arial" w:hAnsi="Arial"/>
          <w:sz w:val="14"/>
          <w:szCs w:val="14"/>
          <w:color w:val="auto"/>
        </w:rPr>
      </w:pPr>
    </w:p>
    <w:p>
      <w:pPr>
        <w:ind w:left="340" w:hanging="332"/>
        <w:spacing w:after="0" w:line="247"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results of our operations for the year ended December 31, 2017 consist of the combined results of operations of Technip and FMC Technologies. Due to the Merger, FMC Technologies’ results of operations have been included in our financial statements for periods subsequent to the consummation of the merger on January 16, 2017 and as result data presented for the year December 31, 2017 is not comparable to actual results presented in prior periods. Since Technip was identified as the accounting acquiree for the Merger, our actual results for the years ended December 31, 2016 and 2015 represent Technip only.</w:t>
      </w:r>
    </w:p>
    <w:p>
      <w:pPr>
        <w:spacing w:after="0" w:line="147"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Refer to Note 2 to our consolidated financial statements included in Part II, Item 8 of this Annual Report on Form 10-K for further information related to the Merger.</w:t>
      </w:r>
    </w:p>
    <w:p>
      <w:pPr>
        <w:spacing w:after="0" w:line="163" w:lineRule="exact"/>
        <w:rPr>
          <w:rFonts w:ascii="Arial" w:cs="Arial" w:eastAsia="Arial" w:hAnsi="Arial"/>
          <w:sz w:val="14"/>
          <w:szCs w:val="14"/>
          <w:color w:val="auto"/>
        </w:rPr>
      </w:pPr>
    </w:p>
    <w:p>
      <w:pPr>
        <w:jc w:val="both"/>
        <w:ind w:left="340" w:right="40" w:hanging="332"/>
        <w:spacing w:after="0" w:line="250"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(debt) cash consists of cash and cash equivalents less short-term debt, long-term debt and the current portion of long-term debt. Net (debt) cash is a non-GAAP measure that management uses to evaluate our capital structure and financial leverage. See “Liquidity and Capital Resources” in Part II, Item 7 of this Annual Report on Form 10-K for additional discussion and reconciliations of net (debt) cash.</w:t>
      </w:r>
    </w:p>
    <w:p>
      <w:pPr>
        <w:spacing w:after="0" w:line="145"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49"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9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are a global leader in energy projects, technologies, systems and services. We have manufacturing operations worldwide, strategically located to facilitate efficient delivery of these products, technologies, systems and services to our customers. We report our results of operations in the following segments: Subsea, Onshore/Offshore and Surface Technologies. Management’s determination of the Company’s reporting segments was made on the basis of our strategic priorities and corresponds to the manner in which our Chief Executive Officer reviews and evaluates operating performance to make decisions about resource allocations to each segment.</w:t>
      </w:r>
    </w:p>
    <w:p>
      <w:pPr>
        <w:spacing w:after="0" w:line="1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 description of our products and services and annual financial data for each segment can be found in Part I, Item 1, “Business” and Note 7 to our consolidated financial statements in Part II, Item 8 of this Annual Report on Form 10-K.</w:t>
      </w:r>
    </w:p>
    <w:p>
      <w:pPr>
        <w:spacing w:after="0" w:line="14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focus on economic- and industry-specific drivers and key risk factors affecting our business segments as we formulate our strategic plans and make decisions related to allocating capital and human resources. The results of our segments are primarily driven by changes in capital spending by oil and gas companies, which largely depend upon current and anticipated future crude oil and natural gas demand, production volumes, and consequently, commodity prices. We use crude oil and natural gas prices as an indicator of demand. Additionally, we use both onshore and offshore rig count as an indicator of demand, which consequently influences the level of worldwide production activity and spending decisions. We also focus on key risk factors when determining our overall strategy and making decisions for capital allocation. These factors include risks associated with the global economic outlook, product obsolescence and the competitive environment. We address these risks in our business strategies, which incorporate continuing development of leading edge technologies and cultivating strong customer relationships.</w:t>
      </w:r>
    </w:p>
    <w:p>
      <w:pPr>
        <w:spacing w:after="0" w:line="15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Subsea segment is affected by changes in commodity prices and trends in deepwater oil and natural gas production. Our Onshore/Offshore segment is impacted by change in commodity prices, population growth and demand for natural gas, although the onshore market is typically more resilient to these changes impacting the segment. Our Subsea and Onshore/Offshore segments both benefit from the current market fundamentals supporting the demand for new liquefied natural gas facilities. Onshore/Offshore also benefits from the construction of petrochemical and fertilizer plants.</w:t>
      </w:r>
    </w:p>
    <w:p>
      <w:pPr>
        <w:spacing w:after="0" w:line="15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Surface Technologies segment is primarily affected by changes in commodity prices and trends in land-based and shallow water oil and natural gas production. We have developed close working relationships with our customers. Our results reflect our ability to build long-term alliances with oil and natural gas companies and to provide solutions for their needs in a timely and cost-effective manner. We believe that by closely working with our customers, we enhance our competitive advantage, improve our operating results and strengthen our market positions.</w:t>
      </w:r>
    </w:p>
    <w:p>
      <w:pPr>
        <w:spacing w:after="0" w:line="1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we evaluate our operating results, we consider business segment performance indicators like segment revenue, operating profit and capital employed, in addition to the level of inbound orders and order backlog. A significant proportion of our revenue is recognized under the percentage of completion method of accounting. Cash receipts from such arrangements typically occur at milestones achieved under stated contract terms. Consequently, the timing of revenue recognition is not always correlated with the timing of customer payments. We aim to structure our contracts to receive advance payments that we typically use to fund engineering efforts and inventory purchases. Working capital (excluding cash) and net (debt) cash are therefore key performance indicators of cash flows.</w:t>
      </w:r>
    </w:p>
    <w:p>
      <w:pPr>
        <w:spacing w:after="0" w:line="15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each of our segments, we serve customers from around the world. During 2019, approximately 78 percent of our total sales were recognized outside of the United States. We evaluate international markets and pursue opportunities that fit our technological capabilities and strategies.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7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 xml:space="preserve">Overall Outlook - </w:t>
      </w:r>
      <w:r>
        <w:rPr>
          <w:rFonts w:ascii="Arial" w:cs="Arial" w:eastAsia="Arial" w:hAnsi="Arial"/>
          <w:sz w:val="18"/>
          <w:szCs w:val="18"/>
          <w:color w:val="auto"/>
        </w:rPr>
        <w:t>The price of crude oil remains volatile but continued to trade throughout 2019 well above the cyclical trough experienced in</w:t>
      </w:r>
      <w:r>
        <w:rPr>
          <w:rFonts w:ascii="Arial" w:cs="Arial" w:eastAsia="Arial" w:hAnsi="Arial"/>
          <w:sz w:val="18"/>
          <w:szCs w:val="18"/>
          <w:i w:val="1"/>
          <w:iCs w:val="1"/>
          <w:color w:val="auto"/>
        </w:rPr>
        <w:t xml:space="preserve"> </w:t>
      </w:r>
      <w:r>
        <w:rPr>
          <w:rFonts w:ascii="Arial" w:cs="Arial" w:eastAsia="Arial" w:hAnsi="Arial"/>
          <w:sz w:val="18"/>
          <w:szCs w:val="18"/>
          <w:color w:val="auto"/>
        </w:rPr>
        <w:t>early 2016. The continued sustainability of the price recovery and business activity levels is dependent on several variables, including geopolitical stability, OPEC’s actions to regulate its production capacity, changes in demand patterns, and international sanctions and tariffs. However, as long-term demand is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711" w:right="279" w:bottom="1440" w:gutter="0" w:footer="0" w:header="0"/>
        </w:sectPr>
      </w:pPr>
    </w:p>
    <w:bookmarkStart w:id="41" w:name="page42"/>
    <w:bookmarkEnd w:id="41"/>
    <w:p>
      <w:pPr>
        <w:jc w:val="both"/>
        <w:ind w:right="300"/>
        <w:spacing w:after="0" w:line="256" w:lineRule="auto"/>
        <w:rPr>
          <w:sz w:val="20"/>
          <w:szCs w:val="20"/>
          <w:color w:val="auto"/>
        </w:rPr>
      </w:pPr>
      <w:r>
        <w:rPr>
          <w:rFonts w:ascii="Arial" w:cs="Arial" w:eastAsia="Arial" w:hAnsi="Arial"/>
          <w:sz w:val="18"/>
          <w:szCs w:val="18"/>
          <w:color w:val="auto"/>
        </w:rPr>
        <w:t>forecast to rise and base production continues to naturally decline, we believe the macroeconomic backdrop will provide our customers with greater confidence to increase their investments in new sources of oil and natural gas production. We continue to believe that offshore and deepwater developments will remain a significant part of our customers’ portfolios in the long-term.</w:t>
      </w:r>
    </w:p>
    <w:p>
      <w:pPr>
        <w:spacing w:after="0" w:line="13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The impact of the low crude oil price environment has led many of our customers to reduce their capital spending plans and defer</w:t>
      </w:r>
      <w:r>
        <w:rPr>
          <w:rFonts w:ascii="Arial" w:cs="Arial" w:eastAsia="Arial" w:hAnsi="Arial"/>
          <w:sz w:val="18"/>
          <w:szCs w:val="18"/>
          <w:i w:val="1"/>
          <w:iCs w:val="1"/>
          <w:color w:val="auto"/>
        </w:rPr>
        <w:t xml:space="preserve"> </w:t>
      </w:r>
      <w:r>
        <w:rPr>
          <w:rFonts w:ascii="Arial" w:cs="Arial" w:eastAsia="Arial" w:hAnsi="Arial"/>
          <w:sz w:val="18"/>
          <w:szCs w:val="18"/>
          <w:color w:val="auto"/>
        </w:rPr>
        <w:t>new offshore projects. In response to these actions, we have lowered our cost base through reductions in workforce as well as in manufacturing. This has helped align our operations with the lower activity levels in order to mitigate some of the negative impact to our operating profit. We have taken additional actions in 2019, but we have balanced further reductions with the need to preserve our capacity in order to deliver current projects in backlog and ensure we are prepared for increased market activity and higher order inbound as industry activity moves higher.</w:t>
      </w:r>
    </w:p>
    <w:p>
      <w:pPr>
        <w:spacing w:after="0" w:line="14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Continued rationalization of our global footprint will further leverage the benefits of our integrated offering, providing us with the ability to respond to increased order activity despite reductions in both personnel and manufacturing capacity. These actions are particularly important as the subsea industry continues to have both underutilized manufacturing and vessel capacity, which may lead to continued pricing pressure throughout 2020. We also recognize the need to further develop and invest in our people to ensure we have the core competencies and capabilities necessary for continued success.</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lowered cost base combined with the aggressive cost reductions taken by our customers has led to an improvement in project economics. Many current and future offshore projects are deemed to be economic at prices below those experienced in 2019. We continue to work closely with our customers through early engagement in iFEED™ and the use of iEPCI™ to allow more project final investment decisions through the cycle. iEPCI™ can support clients’ initiatives to improve subsea project economics by helping to reduce cost and accelerate time to first oil. Our integrated commercial model now accounts for a significant portion of our business and going forward will serve as our standard approach to new business.</w:t>
      </w:r>
    </w:p>
    <w:p>
      <w:pPr>
        <w:spacing w:after="0" w:line="13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 market activity continues to provide a tangible set of opportunities, particularly for natural gas monetization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as natural gas and renewables continue to take a larger share of global energy demand. Despite more recent softness in the spot price for LNG, the long-term outlook continues to remain strong, given the role of natural gas as a critical energy transition fuel. The market experienced a record level of new capacity final investment decisions in 2019, significantly benefitting our Company. We are confident that new LNG investments will continue in the near and intermediate term.</w:t>
      </w:r>
    </w:p>
    <w:p>
      <w:pPr>
        <w:spacing w:after="0" w:line="14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an industry leader, we are well positioned for the growth in new liquefaction and regasification capacity as well as opportunities in biofuels, green chemistry, and other energy alternatives. We are actively engaged in several LNG FEED studies across multiple geographies. These FEED studies provide a platform for early engagement with clients and can significantly de-risk project execution while also supporting our pursuit of the EPC contract. Additionally, we continue to selectively pursue refining, petrochemical, fertilizer and renewables project opportunities in the Middle East, Africa, Asia, and North American markets.</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Offshore market activity is expected to benefit in the near-term as macro conditions continue to support the international growth cycle, resulting in increased activity in offshore and deepwater exploration and development. Recent discoveries of offshore fields with reserves in regions such as Brazil, Australia, and East Africa are expected to become drivers of increased investment. In the long-term, gas is expected to become a bigger portion of the global energy mix, requiring new investments in the upstream industry.</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Surface Technologies - North American activity continued to decline in the fourth quarter of 2019 in both drilling and completions-related activities impacted negatively volume and prices. Operators have adjusted their spending downward. In that context, we took actions to reduce inventory levels, and our cost structure in terms of workforce and facility capacity. These actions will extend into 2020.</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initiatives launched to propose new commercial offerings will drive market share gain and give us access to new markets which will help us to improve volume and margins.</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Activity outside North America is resilient and has continued to increase in fourth quarter. We expect that activity to continue to grow in 2020 for both onshore and shallow water offshore.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71"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section of this Form 10-K generally discusses 2019 and 2018 items and year-to-year comparisons between 2019 and 2018. Discussions of 2017 items and year-to-year comparisons between 2018 and 2017 that are not included in this Form 10-K can be found in “Management’s Discussion and Analysis of Financial Condition and Results of Operations” in Part II, Item 7 of the Company’s Annual Report on Form 10-K for the year ended December 31,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Pr>
          <w:p>
            <w:pPr>
              <w:spacing w:after="0"/>
              <w:rPr>
                <w:sz w:val="22"/>
                <w:szCs w:val="22"/>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gridSpan w:val="4"/>
          </w:tcPr>
          <w:p>
            <w:pPr>
              <w:ind w:left="340"/>
              <w:spacing w:after="0"/>
              <w:rPr>
                <w:sz w:val="20"/>
                <w:szCs w:val="20"/>
                <w:color w:val="auto"/>
              </w:rPr>
            </w:pPr>
            <w:r>
              <w:rPr>
                <w:rFonts w:ascii="Arial" w:cs="Arial" w:eastAsia="Arial" w:hAnsi="Arial"/>
                <w:sz w:val="14"/>
                <w:szCs w:val="14"/>
                <w:b w:val="1"/>
                <w:bCs w:val="1"/>
                <w:color w:val="auto"/>
              </w:rPr>
              <w:t>2019 vs. 2018</w:t>
            </w:r>
          </w:p>
        </w:tc>
        <w:tc>
          <w:tcPr>
            <w:tcW w:w="240" w:type="dxa"/>
            <w:vAlign w:val="bottom"/>
          </w:tcPr>
          <w:p>
            <w:pPr>
              <w:spacing w:after="0"/>
              <w:rPr>
                <w:sz w:val="22"/>
                <w:szCs w:val="22"/>
                <w:color w:val="auto"/>
              </w:rPr>
            </w:pPr>
          </w:p>
        </w:tc>
        <w:tc>
          <w:tcPr>
            <w:tcW w:w="178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2018 vs. 2017</w:t>
            </w:r>
          </w:p>
        </w:tc>
      </w:tr>
      <w:tr>
        <w:trPr>
          <w:trHeight w:val="270"/>
        </w:trPr>
        <w:tc>
          <w:tcPr>
            <w:tcW w:w="4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13,409.1</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12,552.9</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15,056.9</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856.2</w:t>
            </w:r>
          </w:p>
        </w:tc>
        <w:tc>
          <w:tcPr>
            <w:tcW w:w="1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(2,504.0)</w:t>
            </w:r>
          </w:p>
        </w:tc>
        <w:tc>
          <w:tcPr>
            <w:tcW w:w="1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284"/>
        </w:trPr>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4280" w:type="dxa"/>
            <w:vAlign w:val="bottom"/>
          </w:tcPr>
          <w:p>
            <w:pPr>
              <w:ind w:left="280"/>
              <w:spacing w:after="0"/>
              <w:rPr>
                <w:sz w:val="20"/>
                <w:szCs w:val="20"/>
                <w:color w:val="auto"/>
              </w:rPr>
            </w:pPr>
            <w:r>
              <w:rPr>
                <w:rFonts w:ascii="Arial" w:cs="Arial" w:eastAsia="Arial" w:hAnsi="Arial"/>
                <w:sz w:val="14"/>
                <w:szCs w:val="14"/>
                <w:color w:val="auto"/>
              </w:rPr>
              <w:t>Cost of sales</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10,950.7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10,273.0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12,524.6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677.7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(2,251.6)</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76"/>
        </w:trPr>
        <w:tc>
          <w:tcPr>
            <w:tcW w:w="4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r>
      <w:tr>
        <w:trPr>
          <w:trHeight w:val="264"/>
        </w:trPr>
        <w:tc>
          <w:tcPr>
            <w:tcW w:w="428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76"/>
        </w:trPr>
        <w:tc>
          <w:tcPr>
            <w:tcW w:w="4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856.2 %</w:t>
            </w:r>
          </w:p>
        </w:tc>
      </w:tr>
      <w:tr>
        <w:trPr>
          <w:trHeight w:val="264"/>
        </w:trPr>
        <w:tc>
          <w:tcPr>
            <w:tcW w:w="4280" w:type="dxa"/>
            <w:vAlign w:val="bottom"/>
          </w:tcPr>
          <w:p>
            <w:pPr>
              <w:ind w:left="280"/>
              <w:spacing w:after="0"/>
              <w:rPr>
                <w:sz w:val="20"/>
                <w:szCs w:val="20"/>
                <w:color w:val="auto"/>
              </w:rPr>
            </w:pPr>
            <w:r>
              <w:rPr>
                <w:rFonts w:ascii="Arial" w:cs="Arial" w:eastAsia="Arial" w:hAnsi="Arial"/>
                <w:sz w:val="14"/>
                <w:szCs w:val="14"/>
                <w:color w:val="auto"/>
              </w:rPr>
              <w:t>Separation costs</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22"/>
                <w:szCs w:val="22"/>
                <w:color w:val="auto"/>
              </w:rPr>
            </w:pPr>
          </w:p>
        </w:tc>
        <w:tc>
          <w:tcPr>
            <w:tcW w:w="1120" w:type="dxa"/>
            <w:vAlign w:val="bottom"/>
            <w:gridSpan w:val="2"/>
          </w:tcPr>
          <w:p>
            <w:pPr>
              <w:ind w:left="60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4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Merger transaction and integration costs </w:t>
            </w:r>
            <w:r>
              <w:rPr>
                <w:rFonts w:ascii="Arial" w:cs="Arial" w:eastAsia="Arial" w:hAnsi="Arial"/>
                <w:sz w:val="17"/>
                <w:szCs w:val="17"/>
                <w:color w:val="auto"/>
                <w:vertAlign w:val="superscript"/>
              </w:rPr>
              <w:t>(a)</w:t>
            </w: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w:t>
            </w:r>
          </w:p>
        </w:tc>
      </w:tr>
      <w:tr>
        <w:trPr>
          <w:trHeight w:val="244"/>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18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14,935.8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13,470.5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14,091.7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1,465.3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(621.2)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0"/>
        </w:trPr>
        <w:tc>
          <w:tcPr>
            <w:tcW w:w="4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4280" w:type="dxa"/>
            <w:vAlign w:val="bottom"/>
          </w:tcPr>
          <w:p>
            <w:pPr>
              <w:ind w:left="280"/>
              <w:spacing w:after="0"/>
              <w:rPr>
                <w:sz w:val="20"/>
                <w:szCs w:val="20"/>
                <w:color w:val="auto"/>
              </w:rPr>
            </w:pPr>
            <w:r>
              <w:rPr>
                <w:rFonts w:ascii="Arial" w:cs="Arial" w:eastAsia="Arial" w:hAnsi="Arial"/>
                <w:sz w:val="14"/>
                <w:szCs w:val="14"/>
                <w:color w:val="auto"/>
              </w:rPr>
              <w:t>Other income (expense), net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(298.0)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(1,150.6)%</w:t>
            </w:r>
          </w:p>
        </w:tc>
      </w:tr>
      <w:tr>
        <w:trPr>
          <w:trHeight w:val="276"/>
        </w:trPr>
        <w:tc>
          <w:tcPr>
            <w:tcW w:w="4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from equity affiliates</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105.6 %</w:t>
            </w:r>
          </w:p>
        </w:tc>
      </w:tr>
      <w:tr>
        <w:trPr>
          <w:trHeight w:val="264"/>
        </w:trPr>
        <w:tc>
          <w:tcPr>
            <w:tcW w:w="42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interest expense</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r>
      <w:tr>
        <w:trPr>
          <w:trHeight w:val="25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w:t>
            </w:r>
          </w:p>
        </w:tc>
      </w:tr>
      <w:tr>
        <w:trPr>
          <w:trHeight w:val="264"/>
        </w:trPr>
        <w:tc>
          <w:tcPr>
            <w:tcW w:w="42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r>
      <w:tr>
        <w:trPr>
          <w:trHeight w:val="250"/>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(1,910.8)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(501.3)</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(2,045.0)</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(1,523.8)%</w:t>
            </w:r>
          </w:p>
        </w:tc>
      </w:tr>
      <w:tr>
        <w:trPr>
          <w:trHeight w:val="250"/>
        </w:trPr>
        <w:tc>
          <w:tcPr>
            <w:tcW w:w="42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 attributable to noncontrolling interests</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71.3 %</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48.3 %</w:t>
            </w: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(1,796.0)%</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 Merger transaction costs are incurred in the first half of 2019.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Compared With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Revenue increased $856.2 million in 2019 compared to the prior-year period, primarily as a result of improved project activity. Subsea revenue increased year-over-year with higher project-related activity, including increased revenue from integrated project execution (iEPCI) and increased demand in subsea services. Onshore/Offshore revenue was stable as a decrease in revenues from projects progressing towards completion, primarily Yamal LNG, was largely offset by increased project activity in the Middle East and Asia Pacific regions. Surface Technologies revenue increased primarily as a result of improving order backlog from international markets, primarily in the Middle East and Asia Pacific regions.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Gross profit (revenue less cost of sales) as a percentage of sales increased marginally to 18.3% in 2019 and 18.2% in the prior-year period. Strong project execution and completion of Yamal LNG milestones improved gross profits in Onshore/Offshore offset by lower gross profit due to a more competitively priced Subsea backlog and weaker demand in North America for Surface Technologies products and services due to a challenged shale market.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4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Selling, general and administrative expense increased $87.5 million year-over-year primarily as a result of increased corporate expense driven largely by accelerated IT spending as well as additional performance incentive compensation awards.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9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incurred $ 2.5 billion of restructuring, impairment and other expenses in 2019, primarily driven by $2.0 billion of goodwill impairment and $495.4 million of long-lived asset impairment. See Note 20 for further details.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costs</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incurred $72.1 million associated with the preparation of the separation during 2019. Refer to Note 3 for further information regarding the planned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incurred merger transaction and integration costs of $31.2 million during the first half of 2019, before the announcement of the planned separation transaction due to the continuation of the integration activities pertaining to combining the two legacy companies.</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Refer to Note 2 to our consolidated financial statements included in Part II, Item 8 of this Annual Report on Form 10-K for additional information related to the Merger.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income (expense), net, primarily reflects foreign currency gains and losses, non-recurring expenses and results of disposals of assets. In 2019, we recognized $146.9 million of net foreign exchange losses, compared with $116.5 million of net foreign exchange loss in the prior year period, mainly due to the devaluation of the Angolan kwanza, for which there is no active forwards market, while in 2018 a $280 million legal provision was made.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interest expense increased $90.4 million in 2019 compared to 2018, primarily due to the change in the fair value of the redeemable financial liability. We revalued the mandatorily redeemable financial liability to reflect current expectations about the obligation and recognized a charge of $423.1 million. See Note 25 for further information regarding the fair value measurement assumptions of the mandatorily redeemable financial liability and related changes in its fair value. Net interest expense in 2019, excluding the fair value measurement of the mandatorily redeemable financial liability, decreased by $10.4 million on a net basis compared to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income tax provisions for 2019 and 2018 reflected effective tax rates of (12.9)% and (28.4)%, respectively. The year-over-year change in the effective tax rate was primarily due to a decrease in the amount of tax expense associated with movements in valuation allowances, the release of contingent tax accruals due to the favorable resolution of income tax audits, and a favorable change in actual country mix of earnings, offset in part by the impact of nondeductible goodwill impairments.</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which may change based on changes in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49" w:right="2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OPERATING RESULTS OF BUSINESS SEGMENTS</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section of this Form 10-K generally discusses 2019 and 2018 items and year-to-year comparisons between 2019 and 2018. Discussions of 2017 items and year-to-year comparisons between 2018 and 2017 that are not included in this Form 10-K can be found in “Management’s Discussion and Analysis of Financial Condition and Results of Operations” in Part II, Item 7 of the Company’s Annual Report on Form 10-K for the year ended December 31, 2018.</w:t>
      </w:r>
    </w:p>
    <w:p>
      <w:pPr>
        <w:spacing w:after="0" w:line="15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Refer to Note 7 to our consolidated financial statements included in Part II, Item 8 of this Annual Report on Form 10-K for further information.</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report our results of operations in U.S. dollars; however, our earnings are generated in various currencies worldwide. In order to provide worldwide consolidated results, the earnings of subsidiaries functioning in their local currencies are translated into U.S. dollars based upon the average exchange rate during the period. While the U.S. dollar results reported reflect the actual economics of the period reported upon, the variances from prior periods include the impact of translating earnings at different rates.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Favorable/(Unfavorable)</w:t>
            </w:r>
          </w:p>
        </w:tc>
        <w:tc>
          <w:tcPr>
            <w:tcW w:w="1380" w:type="dxa"/>
            <w:vAlign w:val="bottom"/>
            <w:tcBorders>
              <w:bottom w:val="single" w:sz="8" w:color="auto"/>
            </w:tcBorders>
          </w:tcPr>
          <w:p>
            <w:pPr>
              <w:spacing w:after="0"/>
              <w:rPr>
                <w:sz w:val="17"/>
                <w:szCs w:val="17"/>
                <w:color w:val="auto"/>
              </w:rPr>
            </w:pPr>
          </w:p>
        </w:tc>
      </w:tr>
      <w:tr>
        <w:trPr>
          <w:trHeight w:val="175"/>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2019 vs.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80" w:type="dxa"/>
            <w:vAlign w:val="bottom"/>
          </w:tcPr>
          <w:p>
            <w:pPr>
              <w:jc w:val="center"/>
              <w:ind w:right="668"/>
              <w:spacing w:after="0"/>
              <w:rPr>
                <w:sz w:val="20"/>
                <w:szCs w:val="20"/>
                <w:color w:val="auto"/>
              </w:rPr>
            </w:pPr>
            <w:r>
              <w:rPr>
                <w:rFonts w:ascii="Arial" w:cs="Arial" w:eastAsia="Arial" w:hAnsi="Arial"/>
                <w:sz w:val="14"/>
                <w:szCs w:val="14"/>
                <w:b w:val="1"/>
                <w:bCs w:val="1"/>
                <w:color w:val="auto"/>
              </w:rPr>
              <w:t>2018 vs.</w:t>
            </w:r>
          </w:p>
        </w:tc>
      </w:tr>
      <w:tr>
        <w:trPr>
          <w:trHeight w:val="202"/>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2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7"/>
                <w:szCs w:val="17"/>
                <w:b w:val="1"/>
                <w:bCs w:val="1"/>
                <w:color w:val="auto"/>
                <w:vertAlign w:val="superscript"/>
              </w:rPr>
              <w:t>(a)</w:t>
            </w: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jc w:val="right"/>
              <w:ind w:right="828"/>
              <w:spacing w:after="0"/>
              <w:rPr>
                <w:sz w:val="20"/>
                <w:szCs w:val="20"/>
                <w:color w:val="auto"/>
              </w:rPr>
            </w:pPr>
            <w:r>
              <w:rPr>
                <w:rFonts w:ascii="Arial" w:cs="Arial" w:eastAsia="Arial" w:hAnsi="Arial"/>
                <w:sz w:val="14"/>
                <w:szCs w:val="14"/>
                <w:b w:val="1"/>
                <w:bCs w:val="1"/>
                <w:color w:val="auto"/>
              </w:rPr>
              <w:t>2017</w:t>
            </w:r>
          </w:p>
        </w:tc>
      </w:tr>
      <w:tr>
        <w:trPr>
          <w:trHeight w:val="264"/>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5,523.0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4,840.0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5,877.4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683.0</w:t>
            </w:r>
          </w:p>
        </w:tc>
        <w:tc>
          <w:tcPr>
            <w:tcW w:w="86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$(1,037.4)</w:t>
            </w:r>
          </w:p>
        </w:tc>
        <w:tc>
          <w:tcPr>
            <w:tcW w:w="1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(18)%</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profit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(1,447.7)</w:t>
            </w:r>
          </w:p>
        </w:tc>
        <w:tc>
          <w:tcPr>
            <w:tcW w:w="10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$(1,529.5)</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460.5</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81.8</w:t>
            </w:r>
          </w:p>
        </w:tc>
        <w:tc>
          <w:tcPr>
            <w:tcW w:w="860" w:type="dxa"/>
            <w:vAlign w:val="bottom"/>
          </w:tcPr>
          <w:p>
            <w:pPr>
              <w:jc w:val="right"/>
              <w:ind w:right="4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$(1,990.0)</w:t>
            </w: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(432)%</w:t>
            </w:r>
          </w:p>
        </w:tc>
      </w:tr>
      <w:tr>
        <w:trPr>
          <w:trHeight w:val="290"/>
        </w:trPr>
        <w:tc>
          <w:tcPr>
            <w:tcW w:w="3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8"/>
        </w:trPr>
        <w:tc>
          <w:tcPr>
            <w:tcW w:w="3340" w:type="dxa"/>
            <w:vAlign w:val="bottom"/>
          </w:tcPr>
          <w:p>
            <w:pPr>
              <w:ind w:left="40"/>
              <w:spacing w:after="0"/>
              <w:rPr>
                <w:sz w:val="20"/>
                <w:szCs w:val="20"/>
                <w:color w:val="auto"/>
              </w:rPr>
            </w:pPr>
            <w:r>
              <w:rPr>
                <w:rFonts w:ascii="Arial" w:cs="Arial" w:eastAsia="Arial" w:hAnsi="Arial"/>
                <w:sz w:val="14"/>
                <w:szCs w:val="14"/>
                <w:color w:val="auto"/>
              </w:rPr>
              <w:t>Operating profit (loss) as a percent of revenue</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gridSpan w:val="2"/>
          </w:tcPr>
          <w:p>
            <w:pPr>
              <w:ind w:left="340"/>
              <w:spacing w:after="0"/>
              <w:rPr>
                <w:sz w:val="20"/>
                <w:szCs w:val="20"/>
                <w:color w:val="auto"/>
              </w:rPr>
            </w:pPr>
            <w:r>
              <w:rPr>
                <w:rFonts w:ascii="Arial" w:cs="Arial" w:eastAsia="Arial" w:hAnsi="Arial"/>
                <w:sz w:val="14"/>
                <w:szCs w:val="14"/>
                <w:color w:val="auto"/>
              </w:rPr>
              <w:t>5.4 pts.</w:t>
            </w:r>
          </w:p>
        </w:tc>
        <w:tc>
          <w:tcPr>
            <w:tcW w:w="740" w:type="dxa"/>
            <w:vAlign w:val="bottom"/>
          </w:tcPr>
          <w:p>
            <w:pPr>
              <w:spacing w:after="0"/>
              <w:rPr>
                <w:sz w:val="22"/>
                <w:szCs w:val="22"/>
                <w:color w:val="auto"/>
              </w:rPr>
            </w:pPr>
          </w:p>
        </w:tc>
        <w:tc>
          <w:tcPr>
            <w:tcW w:w="1380" w:type="dxa"/>
            <w:vAlign w:val="bottom"/>
          </w:tcPr>
          <w:p>
            <w:pPr>
              <w:ind w:left="1160"/>
              <w:spacing w:after="0"/>
              <w:rPr>
                <w:sz w:val="20"/>
                <w:szCs w:val="20"/>
                <w:color w:val="auto"/>
              </w:rPr>
            </w:pPr>
            <w:r>
              <w:rPr>
                <w:rFonts w:ascii="Arial" w:cs="Arial" w:eastAsia="Arial" w:hAnsi="Arial"/>
                <w:sz w:val="14"/>
                <w:szCs w:val="14"/>
                <w:color w:val="auto"/>
              </w:rPr>
              <w:t>n/a</w:t>
            </w:r>
          </w:p>
        </w:tc>
      </w:tr>
    </w:tbl>
    <w:p>
      <w:pPr>
        <w:spacing w:after="0" w:line="179" w:lineRule="exact"/>
        <w:rPr>
          <w:sz w:val="20"/>
          <w:szCs w:val="20"/>
          <w:color w:val="auto"/>
        </w:rPr>
      </w:pPr>
    </w:p>
    <w:p>
      <w:pPr>
        <w:ind w:left="340" w:hanging="332"/>
        <w:spacing w:after="0" w:line="258"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Due to the Merger, there were 11.5 months included in the year ended 2017 for legacy FMC Technologies. Refer to Note 2 to our consolidated financial statements included in Part II, Item 8 of this Annual Report on Form 10-K for further information related to the Merger.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19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Subsea revenue increased $683.0 million year-over-year, primarily due to increased project revenue from iEPCI, particularly projects in Asia, the North Sea and the Mediterranean that progressed towards completion, partially offset by decreased activity in Australia. The increase of Subsea Services activity across the globe further added to the year-over-year growth in revenue.</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Subsea operating loss improved primarily due to a more competitively priced backlog being executed. This operating loss included $1,798.6 million of asset impairment charges primarily related to the impairment of goodwill and long-lived assets compared to $1,784.2 million in 2018. Refer to Note 20 to our consolidated financial statements included in Part II, Item 8 of this Annual Report on Form 10-K for additional information related to these asset impairments.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4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Favorable/(Unfavorable)</w:t>
            </w:r>
          </w:p>
        </w:tc>
        <w:tc>
          <w:tcPr>
            <w:tcW w:w="820" w:type="dxa"/>
            <w:vAlign w:val="bottom"/>
            <w:tcBorders>
              <w:bottom w:val="single" w:sz="8" w:color="auto"/>
            </w:tcBorders>
          </w:tcPr>
          <w:p>
            <w:pPr>
              <w:spacing w:after="0"/>
              <w:rPr>
                <w:sz w:val="17"/>
                <w:szCs w:val="17"/>
                <w:color w:val="auto"/>
              </w:rPr>
            </w:pPr>
          </w:p>
        </w:tc>
      </w:tr>
      <w:tr>
        <w:trPr>
          <w:trHeight w:val="175"/>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2019 vs.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center"/>
              <w:ind w:left="428"/>
              <w:spacing w:after="0"/>
              <w:rPr>
                <w:sz w:val="20"/>
                <w:szCs w:val="20"/>
                <w:color w:val="auto"/>
              </w:rPr>
            </w:pPr>
            <w:r>
              <w:rPr>
                <w:rFonts w:ascii="Arial" w:cs="Arial" w:eastAsia="Arial" w:hAnsi="Arial"/>
                <w:sz w:val="14"/>
                <w:szCs w:val="14"/>
                <w:b w:val="1"/>
                <w:bCs w:val="1"/>
                <w:color w:val="auto"/>
              </w:rPr>
              <w:t>2018 vs.</w:t>
            </w:r>
          </w:p>
        </w:tc>
        <w:tc>
          <w:tcPr>
            <w:tcW w:w="820" w:type="dxa"/>
            <w:vAlign w:val="bottom"/>
          </w:tcPr>
          <w:p>
            <w:pPr>
              <w:spacing w:after="0"/>
              <w:rPr>
                <w:sz w:val="15"/>
                <w:szCs w:val="15"/>
                <w:color w:val="auto"/>
              </w:rPr>
            </w:pPr>
          </w:p>
        </w:tc>
      </w:tr>
      <w:tr>
        <w:trPr>
          <w:trHeight w:val="196"/>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7"/>
                <w:szCs w:val="17"/>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6,268.8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6,120.7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7,904.5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148.1</w:t>
            </w:r>
          </w:p>
        </w:tc>
        <w:tc>
          <w:tcPr>
            <w:tcW w:w="8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$(1,783.8)</w:t>
            </w:r>
          </w:p>
        </w:tc>
        <w:tc>
          <w:tcPr>
            <w:tcW w:w="8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(23)%</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959.6</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824.0</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810.9</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08"/>
              <w:spacing w:after="0"/>
              <w:rPr>
                <w:sz w:val="20"/>
                <w:szCs w:val="20"/>
                <w:color w:val="auto"/>
              </w:rPr>
            </w:pPr>
            <w:r>
              <w:rPr>
                <w:rFonts w:ascii="Arial" w:cs="Arial" w:eastAsia="Arial" w:hAnsi="Arial"/>
                <w:sz w:val="14"/>
                <w:szCs w:val="14"/>
                <w:color w:val="auto"/>
              </w:rPr>
              <w:t>135.6</w:t>
            </w:r>
          </w:p>
        </w:tc>
        <w:tc>
          <w:tcPr>
            <w:tcW w:w="800" w:type="dxa"/>
            <w:vAlign w:val="bottom"/>
          </w:tcPr>
          <w:p>
            <w:pPr>
              <w:jc w:val="right"/>
              <w:ind w:right="3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8"/>
              <w:spacing w:after="0"/>
              <w:rPr>
                <w:sz w:val="20"/>
                <w:szCs w:val="20"/>
                <w:color w:val="auto"/>
              </w:rPr>
            </w:pPr>
            <w:r>
              <w:rPr>
                <w:rFonts w:ascii="Arial" w:cs="Arial" w:eastAsia="Arial" w:hAnsi="Arial"/>
                <w:sz w:val="14"/>
                <w:szCs w:val="14"/>
                <w:color w:val="auto"/>
              </w:rPr>
              <w:t>13.1</w:t>
            </w:r>
          </w:p>
        </w:tc>
        <w:tc>
          <w:tcPr>
            <w:tcW w:w="820" w:type="dxa"/>
            <w:vAlign w:val="bottom"/>
          </w:tcPr>
          <w:p>
            <w:pPr>
              <w:jc w:val="right"/>
              <w:ind w:right="408"/>
              <w:spacing w:after="0"/>
              <w:rPr>
                <w:sz w:val="20"/>
                <w:szCs w:val="20"/>
                <w:color w:val="auto"/>
              </w:rPr>
            </w:pPr>
            <w:r>
              <w:rPr>
                <w:rFonts w:ascii="Arial" w:cs="Arial" w:eastAsia="Arial" w:hAnsi="Arial"/>
                <w:sz w:val="14"/>
                <w:szCs w:val="14"/>
                <w:color w:val="auto"/>
              </w:rPr>
              <w:t>2%</w:t>
            </w:r>
          </w:p>
        </w:tc>
      </w:tr>
      <w:tr>
        <w:trPr>
          <w:trHeight w:val="222"/>
        </w:trPr>
        <w:tc>
          <w:tcPr>
            <w:tcW w:w="3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8"/>
        </w:trPr>
        <w:tc>
          <w:tcPr>
            <w:tcW w:w="3280" w:type="dxa"/>
            <w:vAlign w:val="bottom"/>
          </w:tcPr>
          <w:p>
            <w:pPr>
              <w:ind w:left="40"/>
              <w:spacing w:after="0"/>
              <w:rPr>
                <w:sz w:val="20"/>
                <w:szCs w:val="20"/>
                <w:color w:val="auto"/>
              </w:rPr>
            </w:pPr>
            <w:r>
              <w:rPr>
                <w:rFonts w:ascii="Arial" w:cs="Arial" w:eastAsia="Arial" w:hAnsi="Arial"/>
                <w:sz w:val="14"/>
                <w:szCs w:val="14"/>
                <w:color w:val="auto"/>
              </w:rPr>
              <w:t>Operating profit as a percent of revenue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gridSpan w:val="2"/>
          </w:tcPr>
          <w:p>
            <w:pPr>
              <w:ind w:left="300"/>
              <w:spacing w:after="0"/>
              <w:rPr>
                <w:sz w:val="20"/>
                <w:szCs w:val="20"/>
                <w:color w:val="auto"/>
              </w:rPr>
            </w:pPr>
            <w:r>
              <w:rPr>
                <w:rFonts w:ascii="Arial" w:cs="Arial" w:eastAsia="Arial" w:hAnsi="Arial"/>
                <w:sz w:val="14"/>
                <w:szCs w:val="14"/>
                <w:color w:val="auto"/>
              </w:rPr>
              <w:t>1.8 pts.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3.2 pts.</w:t>
            </w:r>
          </w:p>
        </w:tc>
      </w:tr>
      <w:tr>
        <w:trPr>
          <w:trHeight w:val="390"/>
        </w:trPr>
        <w:tc>
          <w:tcPr>
            <w:tcW w:w="3280" w:type="dxa"/>
            <w:vAlign w:val="bottom"/>
          </w:tcPr>
          <w:p>
            <w:pPr>
              <w:spacing w:after="0"/>
              <w:rPr>
                <w:sz w:val="20"/>
                <w:szCs w:val="20"/>
                <w:color w:val="auto"/>
              </w:rPr>
            </w:pPr>
            <w:r>
              <w:rPr>
                <w:rFonts w:ascii="Arial" w:cs="Arial" w:eastAsia="Arial" w:hAnsi="Arial"/>
                <w:sz w:val="18"/>
                <w:szCs w:val="18"/>
                <w:b w:val="1"/>
                <w:bCs w:val="1"/>
                <w:i w:val="1"/>
                <w:iCs w:val="1"/>
                <w:color w:val="auto"/>
              </w:rPr>
              <w:t>2019 Compared With 2018</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6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Onshore/Offshore revenue increased $148.1 million year-over-year. The increase was primarily driven by higher activity Europe, Middle East, Africa and North American regions as well as our Process and Technology business. The increase was partially offset by lower activity on Yamal LNG as the project nears completion.</w:t>
      </w:r>
    </w:p>
    <w:p>
      <w:pPr>
        <w:spacing w:after="0" w:line="14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Operating profit year-over-year was favorably impacted by reduced costs, strong project execution and bonus achievements on Yamal LNG due to completion of key milestones ahead of schedule. Additionally, 2019 included $17.0 million in restructuring and other expenses.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Onshore/Offshore operating profit as a percentage of revenue increased to 15.3% compared to 13.5% in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Favorable/(Unfavorable)</w:t>
            </w:r>
          </w:p>
        </w:tc>
        <w:tc>
          <w:tcPr>
            <w:tcW w:w="800" w:type="dxa"/>
            <w:vAlign w:val="bottom"/>
            <w:tcBorders>
              <w:bottom w:val="single" w:sz="8" w:color="auto"/>
            </w:tcBorders>
          </w:tcPr>
          <w:p>
            <w:pPr>
              <w:spacing w:after="0"/>
              <w:rPr>
                <w:sz w:val="17"/>
                <w:szCs w:val="17"/>
                <w:color w:val="auto"/>
              </w:rPr>
            </w:pPr>
          </w:p>
        </w:tc>
      </w:tr>
      <w:tr>
        <w:trPr>
          <w:trHeight w:val="175"/>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2019 vs.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2018 vs.</w:t>
            </w:r>
          </w:p>
        </w:tc>
        <w:tc>
          <w:tcPr>
            <w:tcW w:w="800" w:type="dxa"/>
            <w:vAlign w:val="bottom"/>
          </w:tcPr>
          <w:p>
            <w:pPr>
              <w:spacing w:after="0"/>
              <w:rPr>
                <w:sz w:val="15"/>
                <w:szCs w:val="15"/>
                <w:color w:val="auto"/>
              </w:rPr>
            </w:pPr>
          </w:p>
        </w:tc>
      </w:tr>
      <w:tr>
        <w:trPr>
          <w:trHeight w:val="202"/>
        </w:trPr>
        <w:tc>
          <w:tcPr>
            <w:tcW w:w="32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4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7"/>
                <w:szCs w:val="17"/>
                <w:b w:val="1"/>
                <w:bCs w:val="1"/>
                <w:color w:val="auto"/>
                <w:vertAlign w:val="superscript"/>
              </w:rPr>
              <w:t>(a)</w:t>
            </w:r>
          </w:p>
        </w:tc>
        <w:tc>
          <w:tcPr>
            <w:tcW w:w="28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7"/>
                <w:szCs w:val="17"/>
                <w:color w:val="auto"/>
              </w:rPr>
            </w:pPr>
          </w:p>
        </w:tc>
      </w:tr>
      <w:tr>
        <w:trPr>
          <w:trHeight w:val="264"/>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1,617.3</w:t>
            </w: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1,592.2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1,274.6</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25.1</w:t>
            </w:r>
          </w:p>
        </w:tc>
        <w:tc>
          <w:tcPr>
            <w:tcW w:w="82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317.6</w:t>
            </w:r>
          </w:p>
        </w:tc>
        <w:tc>
          <w:tcPr>
            <w:tcW w:w="80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25%</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Operating profit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(656.1)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(828.9)</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8"/>
              <w:spacing w:after="0"/>
              <w:rPr>
                <w:sz w:val="20"/>
                <w:szCs w:val="20"/>
                <w:color w:val="auto"/>
              </w:rPr>
            </w:pPr>
            <w:r>
              <w:rPr>
                <w:rFonts w:ascii="Arial" w:cs="Arial" w:eastAsia="Arial" w:hAnsi="Arial"/>
                <w:sz w:val="14"/>
                <w:szCs w:val="14"/>
                <w:color w:val="auto"/>
              </w:rPr>
              <w:t>90.1</w:t>
            </w:r>
          </w:p>
        </w:tc>
        <w:tc>
          <w:tcPr>
            <w:tcW w:w="800" w:type="dxa"/>
            <w:vAlign w:val="bottom"/>
          </w:tcPr>
          <w:p>
            <w:pPr>
              <w:jc w:val="right"/>
              <w:ind w:right="328"/>
              <w:spacing w:after="0"/>
              <w:rPr>
                <w:sz w:val="20"/>
                <w:szCs w:val="20"/>
                <w:color w:val="auto"/>
              </w:rPr>
            </w:pPr>
            <w:r>
              <w:rPr>
                <w:rFonts w:ascii="Arial" w:cs="Arial" w:eastAsia="Arial" w:hAnsi="Arial"/>
                <w:sz w:val="14"/>
                <w:szCs w:val="14"/>
                <w:color w:val="auto"/>
              </w:rPr>
              <w:t>109%</w:t>
            </w:r>
          </w:p>
        </w:tc>
      </w:tr>
      <w:tr>
        <w:trPr>
          <w:trHeight w:val="222"/>
        </w:trPr>
        <w:tc>
          <w:tcPr>
            <w:tcW w:w="3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9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2"/>
        </w:trPr>
        <w:tc>
          <w:tcPr>
            <w:tcW w:w="3280" w:type="dxa"/>
            <w:vAlign w:val="bottom"/>
          </w:tcPr>
          <w:p>
            <w:pPr>
              <w:ind w:left="40"/>
              <w:spacing w:after="0"/>
              <w:rPr>
                <w:sz w:val="20"/>
                <w:szCs w:val="20"/>
                <w:color w:val="auto"/>
              </w:rPr>
            </w:pPr>
            <w:r>
              <w:rPr>
                <w:rFonts w:ascii="Arial" w:cs="Arial" w:eastAsia="Arial" w:hAnsi="Arial"/>
                <w:sz w:val="14"/>
                <w:szCs w:val="14"/>
                <w:color w:val="auto"/>
              </w:rPr>
              <w:t>Operating profit (loss) as a percent of revenue</w:t>
            </w: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(40.6)%</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color w:val="auto"/>
              </w:rPr>
              <w:t>(51.5pts.</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ind w:left="280"/>
              <w:spacing w:after="0"/>
              <w:rPr>
                <w:sz w:val="20"/>
                <w:szCs w:val="20"/>
                <w:color w:val="auto"/>
              </w:rPr>
            </w:pPr>
            <w:r>
              <w:rPr>
                <w:rFonts w:ascii="Arial" w:cs="Arial" w:eastAsia="Arial" w:hAnsi="Arial"/>
                <w:sz w:val="14"/>
                <w:szCs w:val="14"/>
                <w:color w:val="auto"/>
              </w:rPr>
              <w:t>4.4 pts.</w:t>
            </w:r>
          </w:p>
        </w:tc>
      </w:tr>
    </w:tbl>
    <w:p>
      <w:pPr>
        <w:spacing w:after="0" w:line="179" w:lineRule="exact"/>
        <w:rPr>
          <w:sz w:val="20"/>
          <w:szCs w:val="20"/>
          <w:color w:val="auto"/>
        </w:rPr>
      </w:pPr>
    </w:p>
    <w:p>
      <w:pPr>
        <w:ind w:left="340" w:hanging="332"/>
        <w:spacing w:after="0" w:line="258"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Due to the Merger, there were 11.5 months included in the year ended 2017 for legacy FMC Technologies. Refer to Note 2 to our consolidated financial statements included in Part II, Item 8 of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Surface Technologies revenue increased $25.1 million year-over-year primarily driven by increased activity in the Middle East &amp; Asia Pacific markets primarily driven by increased demand for drilling &amp; completion and pressure control equipment and services, offset by negative drilling and completions market activity in North America as customers curbed capital spending.</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Surface Technologies operating profit as a percent of revenue decreased significantly year-over-year. The decrease was primarily due to a $704.2 million charge for impairment and restructuring and other charges, in particular related to goodwill. This compared to a $13.8 million charge in the prior year. Refer to Note 20 to our consolidated financial statements included in Part II, Item 8 of this Annual Report on Form 10-K for additional information related to these impairments. Operating profit was also negatively impacted by reduced demand for flowline, hydraulic fracturing services, wellhead systems and pressure control equipment in North America, partially offset by increased demand for products and services in the Middle East and Asia Pacific.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Surface Technologies operating profit as a percentage of revenue decreased to (40.6)% compared to 10.9% in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Favorable/(Unfavorable)</w:t>
            </w:r>
          </w:p>
        </w:tc>
        <w:tc>
          <w:tcPr>
            <w:tcW w:w="74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center"/>
              <w:ind w:left="328"/>
              <w:spacing w:after="0"/>
              <w:rPr>
                <w:sz w:val="20"/>
                <w:szCs w:val="20"/>
                <w:color w:val="auto"/>
              </w:rPr>
            </w:pPr>
            <w:r>
              <w:rPr>
                <w:rFonts w:ascii="Arial" w:cs="Arial" w:eastAsia="Arial" w:hAnsi="Arial"/>
                <w:sz w:val="14"/>
                <w:szCs w:val="14"/>
                <w:b w:val="1"/>
                <w:bCs w:val="1"/>
                <w:color w:val="auto"/>
              </w:rPr>
              <w:t>2019 vs.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center"/>
              <w:ind w:left="388"/>
              <w:spacing w:after="0"/>
              <w:rPr>
                <w:sz w:val="20"/>
                <w:szCs w:val="20"/>
                <w:color w:val="auto"/>
              </w:rPr>
            </w:pPr>
            <w:r>
              <w:rPr>
                <w:rFonts w:ascii="Arial" w:cs="Arial" w:eastAsia="Arial" w:hAnsi="Arial"/>
                <w:sz w:val="14"/>
                <w:szCs w:val="14"/>
                <w:b w:val="1"/>
                <w:bCs w:val="1"/>
                <w:color w:val="auto"/>
              </w:rPr>
              <w:t>2018 vs.</w:t>
            </w:r>
          </w:p>
        </w:tc>
        <w:tc>
          <w:tcPr>
            <w:tcW w:w="740" w:type="dxa"/>
            <w:vAlign w:val="bottom"/>
          </w:tcPr>
          <w:p>
            <w:pPr>
              <w:spacing w:after="0"/>
              <w:rPr>
                <w:sz w:val="15"/>
                <w:szCs w:val="15"/>
                <w:color w:val="auto"/>
              </w:rPr>
            </w:pPr>
          </w:p>
        </w:tc>
      </w:tr>
      <w:tr>
        <w:trPr>
          <w:trHeight w:val="196"/>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7"/>
                <w:szCs w:val="17"/>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(540.3)</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(594.5)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54.2</w:t>
            </w:r>
          </w:p>
        </w:tc>
        <w:tc>
          <w:tcPr>
            <w:tcW w:w="7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(235.3)</w:t>
            </w:r>
          </w:p>
        </w:tc>
        <w:tc>
          <w:tcPr>
            <w:tcW w:w="7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(66)%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47" w:lineRule="exact"/>
        <w:rPr>
          <w:sz w:val="20"/>
          <w:szCs w:val="20"/>
          <w:color w:val="auto"/>
        </w:rPr>
      </w:pPr>
    </w:p>
    <w:p>
      <w:pPr>
        <w:ind w:right="200"/>
        <w:spacing w:after="0" w:line="371" w:lineRule="auto"/>
        <w:rPr>
          <w:sz w:val="20"/>
          <w:szCs w:val="20"/>
          <w:color w:val="auto"/>
        </w:rPr>
      </w:pPr>
      <w:r>
        <w:rPr>
          <w:rFonts w:ascii="Arial" w:cs="Arial" w:eastAsia="Arial" w:hAnsi="Arial"/>
          <w:sz w:val="18"/>
          <w:szCs w:val="18"/>
          <w:color w:val="auto"/>
        </w:rPr>
        <w:t>Corporate expenses excluding foreign exchange losses and charges and credits increased by $66.1million as shown in the below non-GAAP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520065</wp:posOffset>
            </wp:positionV>
            <wp:extent cx="14662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6"/>
                <w:szCs w:val="16"/>
                <w:color w:val="auto"/>
              </w:rPr>
            </w:pPr>
          </w:p>
        </w:tc>
      </w:tr>
      <w:tr>
        <w:trPr>
          <w:trHeight w:val="270"/>
        </w:trPr>
        <w:tc>
          <w:tcPr>
            <w:tcW w:w="8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6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December 31,</w:t>
            </w:r>
          </w:p>
        </w:tc>
      </w:tr>
      <w:tr>
        <w:trPr>
          <w:trHeight w:val="39"/>
        </w:trPr>
        <w:tc>
          <w:tcPr>
            <w:tcW w:w="86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58"/>
        </w:trPr>
        <w:tc>
          <w:tcPr>
            <w:tcW w:w="86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r>
      <w:tr>
        <w:trPr>
          <w:trHeight w:val="25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 reported</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594.5</w:t>
            </w:r>
          </w:p>
        </w:tc>
      </w:tr>
      <w:tr>
        <w:trPr>
          <w:trHeight w:val="264"/>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charges and (credits)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335.2</w:t>
            </w:r>
          </w:p>
        </w:tc>
      </w:tr>
      <w:tr>
        <w:trPr>
          <w:trHeight w:val="25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 adjusted</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259.3</w:t>
            </w:r>
          </w:p>
        </w:tc>
      </w:tr>
      <w:tr>
        <w:trPr>
          <w:trHeight w:val="264"/>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foreign exchange losses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116.5</w:t>
            </w:r>
          </w:p>
        </w:tc>
      </w:tr>
      <w:tr>
        <w:trPr>
          <w:trHeight w:val="24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expense, adjusted and before foreign exchange losses</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142.8</w:t>
            </w: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4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9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14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income, excluding charges and credits, as well as measures derived from it (including diluted earnings (loss) per share,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49" w:right="2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8"/>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80"/>
        </w:trPr>
        <w:tc>
          <w:tcPr>
            <w:tcW w:w="2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3"/>
                <w:szCs w:val="13"/>
                <w:b w:val="1"/>
                <w:bCs w:val="1"/>
                <w:color w:val="auto"/>
                <w:w w:val="95"/>
              </w:rPr>
              <w:t>December 31, 2019</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40"/>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expense, income</w:t>
            </w: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Net income (loss)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before net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620" w:type="dxa"/>
            <w:vAlign w:val="bottom"/>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Net income (loss)</w:t>
            </w: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interest expense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depreciation and</w:t>
            </w: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Provision for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Net interest</w:t>
            </w:r>
          </w:p>
        </w:tc>
        <w:tc>
          <w:tcPr>
            <w:tcW w:w="12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and income taxes</w:t>
            </w:r>
          </w:p>
        </w:tc>
        <w:tc>
          <w:tcPr>
            <w:tcW w:w="124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5"/>
              </w:rPr>
              <w:t>amortization</w:t>
            </w:r>
          </w:p>
        </w:tc>
      </w:tr>
      <w:tr>
        <w:trPr>
          <w:trHeight w:val="178"/>
        </w:trPr>
        <w:tc>
          <w:tcPr>
            <w:tcW w:w="2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9"/>
              </w:rPr>
              <w:t>income taxes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4"/>
              </w:rPr>
              <w:t>(EBITDA)</w:t>
            </w:r>
          </w:p>
        </w:tc>
      </w:tr>
      <w:tr>
        <w:trPr>
          <w:trHeight w:val="25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276.3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(1,174.9)</w:t>
            </w:r>
          </w:p>
        </w:tc>
      </w:tr>
      <w:tr>
        <w:trPr>
          <w:trHeight w:val="270"/>
        </w:trPr>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2"/>
        </w:trPr>
        <w:tc>
          <w:tcPr>
            <w:tcW w:w="2620" w:type="dxa"/>
            <w:vAlign w:val="bottom"/>
          </w:tcPr>
          <w:p>
            <w:pPr>
              <w:ind w:left="26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2,364.2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119.9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2,484.1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2,484.1</w:t>
            </w:r>
          </w:p>
        </w:tc>
      </w:tr>
      <w:tr>
        <w:trPr>
          <w:trHeight w:val="278"/>
        </w:trPr>
        <w:tc>
          <w:tcPr>
            <w:tcW w:w="2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37.0</w:t>
            </w:r>
          </w:p>
        </w:tc>
      </w:tr>
      <w:tr>
        <w:trPr>
          <w:trHeight w:val="156"/>
        </w:trPr>
        <w:tc>
          <w:tcPr>
            <w:tcW w:w="2620" w:type="dxa"/>
            <w:vAlign w:val="bottom"/>
          </w:tcPr>
          <w:p>
            <w:pPr>
              <w:ind w:left="260"/>
              <w:spacing w:after="0"/>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20" w:type="dxa"/>
            <w:vAlign w:val="bottom"/>
          </w:tcPr>
          <w:p>
            <w:pPr>
              <w:ind w:left="26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8.1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31.2</w:t>
            </w:r>
          </w:p>
        </w:tc>
      </w:tr>
      <w:tr>
        <w:trPr>
          <w:trHeight w:val="278"/>
        </w:trPr>
        <w:tc>
          <w:tcPr>
            <w:tcW w:w="2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Separation costs</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17.9</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72.1</w:t>
            </w:r>
          </w:p>
        </w:tc>
      </w:tr>
      <w:tr>
        <w:trPr>
          <w:trHeight w:val="262"/>
        </w:trPr>
        <w:tc>
          <w:tcPr>
            <w:tcW w:w="2620" w:type="dxa"/>
            <w:vAlign w:val="bottom"/>
          </w:tcPr>
          <w:p>
            <w:pPr>
              <w:ind w:left="260"/>
              <w:spacing w:after="0"/>
              <w:rPr>
                <w:sz w:val="20"/>
                <w:szCs w:val="20"/>
                <w:color w:val="auto"/>
              </w:rPr>
            </w:pPr>
            <w:r>
              <w:rPr>
                <w:rFonts w:ascii="Arial" w:cs="Arial" w:eastAsia="Arial" w:hAnsi="Arial"/>
                <w:sz w:val="13"/>
                <w:szCs w:val="13"/>
                <w:color w:val="auto"/>
              </w:rPr>
              <w:t>Reorganization</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8.1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25.3</w:t>
            </w:r>
          </w:p>
        </w:tc>
      </w:tr>
      <w:tr>
        <w:trPr>
          <w:trHeight w:val="278"/>
        </w:trPr>
        <w:tc>
          <w:tcPr>
            <w:tcW w:w="2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Legal provision, net</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54.6</w:t>
            </w:r>
          </w:p>
        </w:tc>
      </w:tr>
      <w:tr>
        <w:trPr>
          <w:trHeight w:val="262"/>
        </w:trPr>
        <w:tc>
          <w:tcPr>
            <w:tcW w:w="2620" w:type="dxa"/>
            <w:vAlign w:val="bottom"/>
          </w:tcPr>
          <w:p>
            <w:pPr>
              <w:ind w:left="26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8.0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2"/>
        </w:trPr>
        <w:tc>
          <w:tcPr>
            <w:tcW w:w="2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187.0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(187.0)</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282"/>
        </w:trPr>
        <w:tc>
          <w:tcPr>
            <w:tcW w:w="2620" w:type="dxa"/>
            <w:vAlign w:val="bottom"/>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330.5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268.9</w:t>
            </w: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451.3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1,053.8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475.6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1,529.4</w:t>
            </w:r>
          </w:p>
        </w:tc>
      </w:tr>
      <w:tr>
        <w:trPr>
          <w:trHeight w:val="211"/>
        </w:trPr>
        <w:tc>
          <w:tcPr>
            <w:tcW w:w="2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156"/>
        </w:trPr>
        <w:tc>
          <w:tcPr>
            <w:tcW w:w="2620" w:type="dxa"/>
            <w:vAlign w:val="bottom"/>
          </w:tcPr>
          <w:p>
            <w:pPr>
              <w:ind w:left="20"/>
              <w:spacing w:after="0"/>
              <w:rPr>
                <w:sz w:val="20"/>
                <w:szCs w:val="20"/>
                <w:color w:val="auto"/>
              </w:rPr>
            </w:pPr>
            <w:r>
              <w:rPr>
                <w:rFonts w:ascii="Arial" w:cs="Arial" w:eastAsia="Arial" w:hAnsi="Arial"/>
                <w:sz w:val="13"/>
                <w:szCs w:val="13"/>
                <w:color w:val="auto"/>
              </w:rPr>
              <w:t>Diluted earnings (loss) per share attributable</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3"/>
                <w:szCs w:val="13"/>
                <w:color w:val="auto"/>
              </w:rPr>
              <w:t>to TechnipFMC plc, as reported</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(5.39)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diluted earnings per share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 TechnipFMC plc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0.74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1838325</wp:posOffset>
            </wp:positionH>
            <wp:positionV relativeFrom="page">
              <wp:posOffset>448945</wp:posOffset>
            </wp:positionV>
            <wp:extent cx="55486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668655</wp:posOffset>
            </wp:positionV>
            <wp:extent cx="55486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80"/>
        </w:trPr>
        <w:tc>
          <w:tcPr>
            <w:tcW w:w="2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3"/>
                <w:szCs w:val="13"/>
                <w:b w:val="1"/>
                <w:bCs w:val="1"/>
                <w:color w:val="auto"/>
                <w:w w:val="95"/>
              </w:rPr>
              <w:t>December 31, 2018</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40"/>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expense, income</w:t>
            </w: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Net income (loss)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before net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620" w:type="dxa"/>
            <w:vAlign w:val="bottom"/>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Net income (loss)</w:t>
            </w: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interest expense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depreciation and</w:t>
            </w: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Provision for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Net interest</w:t>
            </w:r>
          </w:p>
        </w:tc>
        <w:tc>
          <w:tcPr>
            <w:tcW w:w="12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and income taxes</w:t>
            </w:r>
          </w:p>
        </w:tc>
        <w:tc>
          <w:tcPr>
            <w:tcW w:w="124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5"/>
              </w:rPr>
              <w:t>amortization</w:t>
            </w:r>
          </w:p>
        </w:tc>
      </w:tr>
      <w:tr>
        <w:trPr>
          <w:trHeight w:val="178"/>
        </w:trPr>
        <w:tc>
          <w:tcPr>
            <w:tcW w:w="2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9"/>
              </w:rPr>
              <w:t>income taxes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4"/>
              </w:rPr>
              <w:t>(EBITDA)</w:t>
            </w:r>
          </w:p>
        </w:tc>
      </w:tr>
      <w:tr>
        <w:trPr>
          <w:trHeight w:val="257"/>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(1,921.6)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422.7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(576.8)</w:t>
            </w:r>
          </w:p>
        </w:tc>
      </w:tr>
      <w:tr>
        <w:trPr>
          <w:trHeight w:val="270"/>
        </w:trPr>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2"/>
        </w:trPr>
        <w:tc>
          <w:tcPr>
            <w:tcW w:w="2620" w:type="dxa"/>
            <w:vAlign w:val="bottom"/>
          </w:tcPr>
          <w:p>
            <w:pPr>
              <w:ind w:left="26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1,698.2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94.4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1,792.6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1,792.6</w:t>
            </w:r>
          </w:p>
        </w:tc>
      </w:tr>
      <w:tr>
        <w:trPr>
          <w:trHeight w:val="164"/>
        </w:trPr>
        <w:tc>
          <w:tcPr>
            <w:tcW w:w="2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Restructuring and other severance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charges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w:t>
            </w:r>
          </w:p>
        </w:tc>
      </w:tr>
      <w:tr>
        <w:trPr>
          <w:trHeight w:val="156"/>
        </w:trPr>
        <w:tc>
          <w:tcPr>
            <w:tcW w:w="2620" w:type="dxa"/>
            <w:vAlign w:val="bottom"/>
          </w:tcPr>
          <w:p>
            <w:pPr>
              <w:ind w:left="260"/>
              <w:spacing w:after="0"/>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20" w:type="dxa"/>
            <w:vAlign w:val="bottom"/>
          </w:tcPr>
          <w:p>
            <w:pPr>
              <w:ind w:left="26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13.9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36.5</w:t>
            </w:r>
          </w:p>
        </w:tc>
      </w:tr>
      <w:tr>
        <w:trPr>
          <w:trHeight w:val="278"/>
        </w:trPr>
        <w:tc>
          <w:tcPr>
            <w:tcW w:w="2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Legal provision</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280.0</w:t>
            </w:r>
          </w:p>
        </w:tc>
      </w:tr>
      <w:tr>
        <w:trPr>
          <w:trHeight w:val="262"/>
        </w:trPr>
        <w:tc>
          <w:tcPr>
            <w:tcW w:w="2620" w:type="dxa"/>
            <w:vAlign w:val="bottom"/>
          </w:tcPr>
          <w:p>
            <w:pPr>
              <w:ind w:left="260"/>
              <w:spacing w:after="0"/>
              <w:rPr>
                <w:sz w:val="20"/>
                <w:szCs w:val="20"/>
                <w:color w:val="auto"/>
              </w:rPr>
            </w:pPr>
            <w:r>
              <w:rPr>
                <w:rFonts w:ascii="Arial" w:cs="Arial" w:eastAsia="Arial" w:hAnsi="Arial"/>
                <w:sz w:val="13"/>
                <w:szCs w:val="13"/>
                <w:color w:val="auto"/>
              </w:rPr>
              <w:t>Gain on divestitures</w:t>
            </w:r>
          </w:p>
        </w:tc>
        <w:tc>
          <w:tcPr>
            <w:tcW w:w="10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(31.6)</w:t>
            </w:r>
          </w:p>
        </w:tc>
      </w:tr>
      <w:tr>
        <w:trPr>
          <w:trHeight w:val="278"/>
        </w:trPr>
        <w:tc>
          <w:tcPr>
            <w:tcW w:w="2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20.9</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w:t>
            </w:r>
          </w:p>
        </w:tc>
      </w:tr>
      <w:tr>
        <w:trPr>
          <w:trHeight w:val="262"/>
        </w:trPr>
        <w:tc>
          <w:tcPr>
            <w:tcW w:w="2620" w:type="dxa"/>
            <w:vAlign w:val="bottom"/>
          </w:tcPr>
          <w:p>
            <w:pPr>
              <w:ind w:left="260"/>
              <w:spacing w:after="0"/>
              <w:rPr>
                <w:sz w:val="20"/>
                <w:szCs w:val="20"/>
                <w:color w:val="auto"/>
              </w:rPr>
            </w:pPr>
            <w:r>
              <w:rPr>
                <w:rFonts w:ascii="Arial" w:cs="Arial" w:eastAsia="Arial" w:hAnsi="Arial"/>
                <w:sz w:val="13"/>
                <w:szCs w:val="13"/>
                <w:color w:val="auto"/>
              </w:rPr>
              <w:t>Tax reform</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2"/>
        </w:trPr>
        <w:tc>
          <w:tcPr>
            <w:tcW w:w="2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213.8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(213.8)</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282"/>
        </w:trPr>
        <w:tc>
          <w:tcPr>
            <w:tcW w:w="2620" w:type="dxa"/>
            <w:vAlign w:val="bottom"/>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377.1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328.9</w:t>
            </w: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360.9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1,077.7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459.1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1,536.8</w:t>
            </w:r>
          </w:p>
        </w:tc>
      </w:tr>
      <w:tr>
        <w:trPr>
          <w:trHeight w:val="211"/>
        </w:trPr>
        <w:tc>
          <w:tcPr>
            <w:tcW w:w="2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156"/>
        </w:trPr>
        <w:tc>
          <w:tcPr>
            <w:tcW w:w="2620" w:type="dxa"/>
            <w:vAlign w:val="bottom"/>
          </w:tcPr>
          <w:p>
            <w:pPr>
              <w:ind w:left="20"/>
              <w:spacing w:after="0"/>
              <w:rPr>
                <w:sz w:val="20"/>
                <w:szCs w:val="20"/>
                <w:color w:val="auto"/>
              </w:rPr>
            </w:pPr>
            <w:r>
              <w:rPr>
                <w:rFonts w:ascii="Arial" w:cs="Arial" w:eastAsia="Arial" w:hAnsi="Arial"/>
                <w:sz w:val="13"/>
                <w:szCs w:val="13"/>
                <w:color w:val="auto"/>
              </w:rPr>
              <w:t>Diluted earnings per share attributable to</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(4.20)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diluted earnings per share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 TechnipFMC plc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0.82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80" w:top="793" w:right="259" w:bottom="1440" w:gutter="0" w:footer="0" w:header="0"/>
        </w:sectPr>
      </w:pPr>
    </w:p>
    <w:bookmarkStart w:id="49" w:name="page50"/>
    <w:bookmarkEnd w:id="49"/>
    <w:tbl>
      <w:tblPr>
        <w:tblLayout w:type="fixed"/>
        <w:tblInd w:w="1140" w:type="dxa"/>
        <w:tblCellMar>
          <w:top w:w="0" w:type="dxa"/>
          <w:left w:w="0" w:type="dxa"/>
          <w:bottom w:w="0" w:type="dxa"/>
          <w:right w:w="0" w:type="dxa"/>
        </w:tblCellMar>
      </w:tblPr>
      <w:tr>
        <w:trPr>
          <w:trHeight w:val="168"/>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80"/>
        </w:trPr>
        <w:tc>
          <w:tcPr>
            <w:tcW w:w="3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5"/>
              </w:rPr>
              <w:t>December 31, 2019</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40"/>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37"/>
              <w:spacing w:after="0" w:line="140" w:lineRule="exact"/>
              <w:rPr>
                <w:sz w:val="20"/>
                <w:szCs w:val="20"/>
                <w:color w:val="auto"/>
              </w:rPr>
            </w:pPr>
            <w:r>
              <w:rPr>
                <w:rFonts w:ascii="Arial" w:cs="Arial" w:eastAsia="Arial" w:hAnsi="Arial"/>
                <w:sz w:val="13"/>
                <w:szCs w:val="13"/>
                <w:b w:val="1"/>
                <w:bCs w:val="1"/>
                <w:color w:val="auto"/>
              </w:rPr>
              <w:t>Onshore/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6"/>
              </w:rPr>
              <w:t>Surface</w:t>
            </w:r>
          </w:p>
        </w:tc>
        <w:tc>
          <w:tcPr>
            <w:tcW w:w="120" w:type="dxa"/>
            <w:vAlign w:val="bottom"/>
          </w:tcPr>
          <w:p>
            <w:pPr>
              <w:spacing w:after="0"/>
              <w:rPr>
                <w:sz w:val="12"/>
                <w:szCs w:val="12"/>
                <w:color w:val="auto"/>
              </w:rPr>
            </w:pPr>
          </w:p>
        </w:tc>
        <w:tc>
          <w:tcPr>
            <w:tcW w:w="9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8"/>
        </w:trPr>
        <w:tc>
          <w:tcPr>
            <w:tcW w:w="3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Subsea</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Offshore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and Other</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Total</w:t>
            </w: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5,523.0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6,268.8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1,617.3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13,409.1</w:t>
            </w:r>
          </w:p>
        </w:tc>
      </w:tr>
      <w:tr>
        <w:trPr>
          <w:trHeight w:val="270"/>
        </w:trPr>
        <w:tc>
          <w:tcPr>
            <w:tcW w:w="3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(1,447.7)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959.6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(656.1)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(1,684.5)</w:t>
            </w:r>
          </w:p>
        </w:tc>
      </w:tr>
      <w:tr>
        <w:trPr>
          <w:trHeight w:val="270"/>
        </w:trPr>
        <w:tc>
          <w:tcPr>
            <w:tcW w:w="3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3980" w:type="dxa"/>
            <w:vAlign w:val="bottom"/>
          </w:tcPr>
          <w:p>
            <w:pPr>
              <w:ind w:left="26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2"/>
                <w:szCs w:val="22"/>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1,798.6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685.5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2,484.1</w:t>
            </w:r>
          </w:p>
        </w:tc>
      </w:tr>
      <w:tr>
        <w:trPr>
          <w:trHeight w:val="276"/>
        </w:trPr>
        <w:tc>
          <w:tcPr>
            <w:tcW w:w="3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Restructuring and other charges*</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37.0</w:t>
            </w:r>
          </w:p>
        </w:tc>
      </w:tr>
      <w:tr>
        <w:trPr>
          <w:trHeight w:val="264"/>
        </w:trPr>
        <w:tc>
          <w:tcPr>
            <w:tcW w:w="3980" w:type="dxa"/>
            <w:vAlign w:val="bottom"/>
          </w:tcPr>
          <w:p>
            <w:pPr>
              <w:ind w:left="26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31.2</w:t>
            </w:r>
          </w:p>
        </w:tc>
      </w:tr>
      <w:tr>
        <w:trPr>
          <w:trHeight w:val="276"/>
        </w:trPr>
        <w:tc>
          <w:tcPr>
            <w:tcW w:w="3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Separation costs</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72.1</w:t>
            </w:r>
          </w:p>
        </w:tc>
      </w:tr>
      <w:tr>
        <w:trPr>
          <w:trHeight w:val="264"/>
        </w:trPr>
        <w:tc>
          <w:tcPr>
            <w:tcW w:w="3980" w:type="dxa"/>
            <w:vAlign w:val="bottom"/>
          </w:tcPr>
          <w:p>
            <w:pPr>
              <w:ind w:left="260"/>
              <w:spacing w:after="0"/>
              <w:rPr>
                <w:sz w:val="20"/>
                <w:szCs w:val="20"/>
                <w:color w:val="auto"/>
              </w:rPr>
            </w:pPr>
            <w:r>
              <w:rPr>
                <w:rFonts w:ascii="Arial" w:cs="Arial" w:eastAsia="Arial" w:hAnsi="Arial"/>
                <w:sz w:val="14"/>
                <w:szCs w:val="14"/>
                <w:color w:val="auto"/>
              </w:rPr>
              <w:t>Reorganization</w:t>
            </w:r>
          </w:p>
        </w:tc>
        <w:tc>
          <w:tcPr>
            <w:tcW w:w="18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25.3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25.3</w:t>
            </w:r>
          </w:p>
        </w:tc>
      </w:tr>
      <w:tr>
        <w:trPr>
          <w:trHeight w:val="276"/>
        </w:trPr>
        <w:tc>
          <w:tcPr>
            <w:tcW w:w="3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Legal provision, net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54.6</w:t>
            </w:r>
          </w:p>
        </w:tc>
      </w:tr>
      <w:tr>
        <w:trPr>
          <w:trHeight w:val="264"/>
        </w:trPr>
        <w:tc>
          <w:tcPr>
            <w:tcW w:w="3980" w:type="dxa"/>
            <w:vAlign w:val="bottom"/>
          </w:tcPr>
          <w:p>
            <w:pPr>
              <w:ind w:left="260"/>
              <w:spacing w:after="0"/>
              <w:rPr>
                <w:sz w:val="20"/>
                <w:szCs w:val="20"/>
                <w:color w:val="auto"/>
              </w:rPr>
            </w:pPr>
            <w:r>
              <w:rPr>
                <w:rFonts w:ascii="Arial" w:cs="Arial" w:eastAsia="Arial" w:hAnsi="Arial"/>
                <w:sz w:val="14"/>
                <w:szCs w:val="14"/>
                <w:color w:val="auto"/>
              </w:rPr>
              <w:t>Purchase price accounting adjustments</w:t>
            </w:r>
          </w:p>
        </w:tc>
        <w:tc>
          <w:tcPr>
            <w:tcW w:w="180" w:type="dxa"/>
            <w:vAlign w:val="bottom"/>
          </w:tcPr>
          <w:p>
            <w:pPr>
              <w:spacing w:after="0"/>
              <w:rPr>
                <w:sz w:val="22"/>
                <w:szCs w:val="22"/>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34.0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34.0</w:t>
            </w:r>
          </w:p>
        </w:tc>
      </w:tr>
      <w:tr>
        <w:trPr>
          <w:trHeight w:val="216"/>
        </w:trPr>
        <w:tc>
          <w:tcPr>
            <w:tcW w:w="39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1,786.2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42.3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725.3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184.5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2,738.3</w:t>
            </w:r>
          </w:p>
        </w:tc>
      </w:tr>
      <w:tr>
        <w:trPr>
          <w:trHeight w:val="270"/>
        </w:trPr>
        <w:tc>
          <w:tcPr>
            <w:tcW w:w="39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r>
      <w:tr>
        <w:trPr>
          <w:trHeight w:val="244"/>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338.5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1,001.9</w:t>
            </w:r>
          </w:p>
        </w:tc>
        <w:tc>
          <w:tcPr>
            <w:tcW w:w="1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69.2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1,053.8</w:t>
            </w:r>
          </w:p>
        </w:tc>
      </w:tr>
      <w:tr>
        <w:trPr>
          <w:trHeight w:val="270"/>
        </w:trPr>
        <w:tc>
          <w:tcPr>
            <w:tcW w:w="3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311.6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107.9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475.6</w:t>
            </w:r>
          </w:p>
        </w:tc>
      </w:tr>
      <w:tr>
        <w:trPr>
          <w:trHeight w:val="270"/>
        </w:trPr>
        <w:tc>
          <w:tcPr>
            <w:tcW w:w="39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r>
      <w:tr>
        <w:trPr>
          <w:trHeight w:val="237"/>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650.1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1,040.6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177.1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1,529.4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r>
      <w:tr>
        <w:trPr>
          <w:trHeight w:val="270"/>
        </w:trPr>
        <w:tc>
          <w:tcPr>
            <w:tcW w:w="3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7.9 %</w:t>
            </w:r>
          </w:p>
        </w:tc>
      </w:tr>
      <w:tr>
        <w:trPr>
          <w:trHeight w:val="270"/>
        </w:trPr>
        <w:tc>
          <w:tcPr>
            <w:tcW w:w="3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11.4 %</w:t>
            </w: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3408045</wp:posOffset>
            </wp:positionH>
            <wp:positionV relativeFrom="page">
              <wp:posOffset>688975</wp:posOffset>
            </wp:positionV>
            <wp:extent cx="32848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jc w:val="both"/>
        <w:spacing w:after="0" w:line="250" w:lineRule="auto"/>
        <w:rPr>
          <w:sz w:val="20"/>
          <w:szCs w:val="20"/>
          <w:color w:val="auto"/>
        </w:rPr>
      </w:pPr>
      <w:r>
        <w:rPr>
          <w:rFonts w:ascii="Arial" w:cs="Arial" w:eastAsia="Arial" w:hAnsi="Arial"/>
          <w:sz w:val="14"/>
          <w:szCs w:val="14"/>
          <w:color w:val="auto"/>
        </w:rPr>
        <w:t>*On December 30, 2019, the Company completed the acquisition of the remaining 50 percent of Technip Odebrecht PLSV CV, which resulted in a net loss of $0.9 million that was recorded in the Subsea segment. The net loss is comprised of an impairment charge of $84.2 million included within impairment and other charges and a bargain purchase gain of $83.3 million included within restructuring and other charges.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171" w:right="2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Year Ended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80"/>
        </w:trPr>
        <w:tc>
          <w:tcPr>
            <w:tcW w:w="3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97"/>
              </w:rPr>
              <w:t>December 31, 2018</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40"/>
        </w:trPr>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57"/>
              <w:spacing w:after="0" w:line="140" w:lineRule="exact"/>
              <w:rPr>
                <w:sz w:val="20"/>
                <w:szCs w:val="20"/>
                <w:color w:val="auto"/>
              </w:rPr>
            </w:pPr>
            <w:r>
              <w:rPr>
                <w:rFonts w:ascii="Arial" w:cs="Arial" w:eastAsia="Arial" w:hAnsi="Arial"/>
                <w:sz w:val="13"/>
                <w:szCs w:val="13"/>
                <w:b w:val="1"/>
                <w:bCs w:val="1"/>
                <w:color w:val="auto"/>
              </w:rPr>
              <w:t>Onshore/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6"/>
              </w:rPr>
              <w:t>Surface</w:t>
            </w:r>
          </w:p>
        </w:tc>
        <w:tc>
          <w:tcPr>
            <w:tcW w:w="104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Corporate and</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8"/>
        </w:trPr>
        <w:tc>
          <w:tcPr>
            <w:tcW w:w="3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Subsea</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Offshore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Total</w:t>
            </w:r>
          </w:p>
        </w:tc>
      </w:tr>
      <w:tr>
        <w:trPr>
          <w:trHeight w:val="257"/>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4,840.0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6,120.7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1,592.2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12,552.9</w:t>
            </w:r>
          </w:p>
        </w:tc>
      </w:tr>
      <w:tr>
        <w:trPr>
          <w:trHeight w:val="270"/>
        </w:trPr>
        <w:tc>
          <w:tcPr>
            <w:tcW w:w="3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(1,529.5)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824.0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172.8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(1,127.2)</w:t>
            </w:r>
          </w:p>
        </w:tc>
      </w:tr>
      <w:tr>
        <w:trPr>
          <w:trHeight w:val="270"/>
        </w:trPr>
        <w:tc>
          <w:tcPr>
            <w:tcW w:w="3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3820" w:type="dxa"/>
            <w:vAlign w:val="bottom"/>
          </w:tcPr>
          <w:p>
            <w:pPr>
              <w:ind w:left="26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2"/>
                <w:szCs w:val="22"/>
                <w:color w:val="auto"/>
              </w:rPr>
            </w:pP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1,784.2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1,792.6</w:t>
            </w:r>
          </w:p>
        </w:tc>
      </w:tr>
      <w:tr>
        <w:trPr>
          <w:trHeight w:val="276"/>
        </w:trPr>
        <w:tc>
          <w:tcPr>
            <w:tcW w:w="3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38.6</w:t>
            </w:r>
          </w:p>
        </w:tc>
      </w:tr>
      <w:tr>
        <w:trPr>
          <w:trHeight w:val="194"/>
        </w:trPr>
        <w:tc>
          <w:tcPr>
            <w:tcW w:w="3820" w:type="dxa"/>
            <w:vAlign w:val="bottom"/>
          </w:tcPr>
          <w:p>
            <w:pPr>
              <w:ind w:left="260"/>
              <w:spacing w:after="0"/>
              <w:rPr>
                <w:sz w:val="20"/>
                <w:szCs w:val="20"/>
                <w:color w:val="auto"/>
              </w:rPr>
            </w:pPr>
            <w:r>
              <w:rPr>
                <w:rFonts w:ascii="Arial" w:cs="Arial" w:eastAsia="Arial" w:hAnsi="Arial"/>
                <w:sz w:val="14"/>
                <w:szCs w:val="14"/>
                <w:color w:val="auto"/>
              </w:rPr>
              <w:t>Business combination transaction and integration</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8"/>
        </w:trPr>
        <w:tc>
          <w:tcPr>
            <w:tcW w:w="3820" w:type="dxa"/>
            <w:vAlign w:val="bottom"/>
          </w:tcPr>
          <w:p>
            <w:pPr>
              <w:ind w:left="260"/>
              <w:spacing w:after="0"/>
              <w:rPr>
                <w:sz w:val="20"/>
                <w:szCs w:val="20"/>
                <w:color w:val="auto"/>
              </w:rPr>
            </w:pPr>
            <w:r>
              <w:rPr>
                <w:rFonts w:ascii="Arial" w:cs="Arial" w:eastAsia="Arial" w:hAnsi="Arial"/>
                <w:sz w:val="14"/>
                <w:szCs w:val="14"/>
                <w:color w:val="auto"/>
              </w:rPr>
              <w:t>costs</w:t>
            </w:r>
          </w:p>
        </w:tc>
        <w:tc>
          <w:tcPr>
            <w:tcW w:w="18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36.5</w:t>
            </w:r>
          </w:p>
        </w:tc>
      </w:tr>
      <w:tr>
        <w:trPr>
          <w:trHeight w:val="276"/>
        </w:trPr>
        <w:tc>
          <w:tcPr>
            <w:tcW w:w="3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Legal provision</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280.0</w:t>
            </w:r>
          </w:p>
        </w:tc>
      </w:tr>
      <w:tr>
        <w:trPr>
          <w:trHeight w:val="264"/>
        </w:trPr>
        <w:tc>
          <w:tcPr>
            <w:tcW w:w="3820" w:type="dxa"/>
            <w:vAlign w:val="bottom"/>
          </w:tcPr>
          <w:p>
            <w:pPr>
              <w:ind w:left="260"/>
              <w:spacing w:after="0"/>
              <w:rPr>
                <w:sz w:val="20"/>
                <w:szCs w:val="20"/>
                <w:color w:val="auto"/>
              </w:rPr>
            </w:pPr>
            <w:r>
              <w:rPr>
                <w:rFonts w:ascii="Arial" w:cs="Arial" w:eastAsia="Arial" w:hAnsi="Arial"/>
                <w:sz w:val="14"/>
                <w:szCs w:val="14"/>
                <w:color w:val="auto"/>
              </w:rPr>
              <w:t>Gain on divestitures</w:t>
            </w:r>
          </w:p>
        </w:tc>
        <w:tc>
          <w:tcPr>
            <w:tcW w:w="18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(31.6)</w:t>
            </w:r>
          </w:p>
        </w:tc>
      </w:tr>
      <w:tr>
        <w:trPr>
          <w:trHeight w:val="200"/>
        </w:trPr>
        <w:tc>
          <w:tcPr>
            <w:tcW w:w="3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price accounting adjustments - non-</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84"/>
        </w:trPr>
        <w:tc>
          <w:tcPr>
            <w:tcW w:w="3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related</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w:t>
            </w:r>
          </w:p>
        </w:tc>
      </w:tr>
      <w:tr>
        <w:trPr>
          <w:trHeight w:val="194"/>
        </w:trPr>
        <w:tc>
          <w:tcPr>
            <w:tcW w:w="3820" w:type="dxa"/>
            <w:vAlign w:val="bottom"/>
          </w:tcPr>
          <w:p>
            <w:pPr>
              <w:ind w:left="260"/>
              <w:spacing w:after="0"/>
              <w:rPr>
                <w:sz w:val="20"/>
                <w:szCs w:val="20"/>
                <w:color w:val="auto"/>
              </w:rPr>
            </w:pPr>
            <w:r>
              <w:rPr>
                <w:rFonts w:ascii="Arial" w:cs="Arial" w:eastAsia="Arial" w:hAnsi="Arial"/>
                <w:sz w:val="14"/>
                <w:szCs w:val="14"/>
                <w:color w:val="auto"/>
              </w:rPr>
              <w:t>Purchase price accounting adjustments - amortization</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8"/>
        </w:trPr>
        <w:tc>
          <w:tcPr>
            <w:tcW w:w="3820" w:type="dxa"/>
            <w:vAlign w:val="bottom"/>
          </w:tcPr>
          <w:p>
            <w:pPr>
              <w:ind w:left="260"/>
              <w:spacing w:after="0"/>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5"/>
                <w:szCs w:val="15"/>
                <w:color w:val="auto"/>
              </w:rPr>
            </w:pP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91.3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91.3</w:t>
            </w:r>
          </w:p>
        </w:tc>
      </w:tr>
      <w:tr>
        <w:trPr>
          <w:trHeight w:val="256"/>
        </w:trPr>
        <w:tc>
          <w:tcPr>
            <w:tcW w:w="38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1,880.5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20.9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335.2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2,204.9</w:t>
            </w:r>
          </w:p>
        </w:tc>
      </w:tr>
      <w:tr>
        <w:trPr>
          <w:trHeight w:val="270"/>
        </w:trPr>
        <w:tc>
          <w:tcPr>
            <w:tcW w:w="38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r>
      <w:tr>
        <w:trPr>
          <w:trHeight w:val="204"/>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351.0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792.3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193.7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(259.3)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1,077.7</w:t>
            </w:r>
          </w:p>
        </w:tc>
      </w:tr>
      <w:tr>
        <w:trPr>
          <w:trHeight w:val="270"/>
        </w:trPr>
        <w:tc>
          <w:tcPr>
            <w:tcW w:w="3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349.2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459.1</w:t>
            </w:r>
          </w:p>
        </w:tc>
      </w:tr>
      <w:tr>
        <w:trPr>
          <w:trHeight w:val="270"/>
        </w:trPr>
        <w:tc>
          <w:tcPr>
            <w:tcW w:w="38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700.2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830.4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1,536.8</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r>
      <w:tr>
        <w:trPr>
          <w:trHeight w:val="270"/>
        </w:trPr>
        <w:tc>
          <w:tcPr>
            <w:tcW w:w="3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r>
      <w:tr>
        <w:trPr>
          <w:trHeight w:val="270"/>
        </w:trPr>
        <w:tc>
          <w:tcPr>
            <w:tcW w:w="3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12.2 %</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3296285</wp:posOffset>
            </wp:positionH>
            <wp:positionV relativeFrom="page">
              <wp:posOffset>448945</wp:posOffset>
            </wp:positionV>
            <wp:extent cx="3395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9160"/>
          </w:cols>
          <w:pgMar w:left="1380" w:top="793" w:right="1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940" w:type="dxa"/>
            <w:vAlign w:val="bottom"/>
          </w:tcPr>
          <w:p>
            <w:pPr>
              <w:spacing w:after="0"/>
              <w:rPr>
                <w:sz w:val="14"/>
                <w:szCs w:val="14"/>
                <w:color w:val="auto"/>
              </w:rPr>
            </w:pPr>
          </w:p>
        </w:tc>
      </w:t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7,992.6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5,178.5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13,080.5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7,425.9</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1,619.9</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1,686.6</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inbound orders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22,693.0</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14,291.0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 See</w:t>
      </w:r>
      <w:r>
        <w:rPr>
          <w:rFonts w:ascii="Arial" w:cs="Arial" w:eastAsia="Arial" w:hAnsi="Arial"/>
          <w:sz w:val="18"/>
          <w:szCs w:val="18"/>
          <w:i w:val="1"/>
          <w:iCs w:val="1"/>
          <w:color w:val="auto"/>
        </w:rPr>
        <w:t xml:space="preserve"> “Transaction Price Allocated to the Remaining Unsatisfied Performance Obligations” </w:t>
      </w:r>
      <w:r>
        <w:rPr>
          <w:rFonts w:ascii="Arial" w:cs="Arial" w:eastAsia="Arial" w:hAnsi="Arial"/>
          <w:sz w:val="18"/>
          <w:szCs w:val="18"/>
          <w:color w:val="auto"/>
        </w:rPr>
        <w:t>in Note 6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II, Item 8 of this Annual Report on Form 10-K for more information on order backlog.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Order Backlog</w:t>
            </w:r>
          </w:p>
        </w:tc>
        <w:tc>
          <w:tcPr>
            <w:tcW w:w="960" w:type="dxa"/>
            <w:vAlign w:val="bottom"/>
          </w:tcPr>
          <w:p>
            <w:pPr>
              <w:spacing w:after="0"/>
              <w:rPr>
                <w:sz w:val="14"/>
                <w:szCs w:val="14"/>
                <w:color w:val="auto"/>
              </w:rPr>
            </w:pPr>
          </w:p>
        </w:tc>
      </w:t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8,479.8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5,999.6</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15,298.1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8,090.5</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473.2</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469.9</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24,251.1</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14,560.0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at December 31, 2019, increased by $2.5 billion from December 31, 2018. Subsea backlog of $ 8.5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at December 31, 2019, was composed of various subsea projects, including Total Golfinho; Eni Coral and Merakes; Petrobras Mero I; Energean Karish; ExxonMobil Liza Phase 2; Neptune Duva &amp; Giøa P1 and Seagull; Reliance MJ1; Lundin Edvard Grieg; BP Thunderhorse South Extension 2; Equinor Johan Sverdrup Phase 2 ; Woodside Pyxis, and Husky West White Rose.</w:t>
      </w:r>
    </w:p>
    <w:p>
      <w:pPr>
        <w:spacing w:after="0" w:line="12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Onshore/Offshore order backlog at December 31, 2019, increased by $7.2 billion compared to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Onshore/Offshore backlog of $15.3 billion was composed of various projects,including Arctic LNG 2, Yamal LNG; Midor refinery expansion; BP Tortue FPSO; Long Son Petrochemicals; ExxonMobil Beaumont refinery expansion; HURL fertilizer plants;Petronas Kasawari; Energean Karish; Neste bio-diesel expansion; and Motor Oil Hellas New Naphta Complex.</w:t>
      </w:r>
    </w:p>
    <w:p>
      <w:pPr>
        <w:spacing w:after="0" w:line="12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at December 31, 2019, increased by $3.3 million compared to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Given the short-cycle nature of the business, most orders are quickly converted into sales revenue; longer contracts are typically converted within twelve months.</w:t>
      </w:r>
    </w:p>
    <w:p>
      <w:pPr>
        <w:spacing w:after="0" w:line="122"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Non-consolidated backlog reflects the proportional share of backlog related to joint ventures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due to our minority ownership position.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28"/>
              <w:spacing w:after="0"/>
              <w:rPr>
                <w:sz w:val="20"/>
                <w:szCs w:val="20"/>
                <w:color w:val="auto"/>
              </w:rPr>
            </w:pPr>
            <w:r>
              <w:rPr>
                <w:rFonts w:ascii="Arial" w:cs="Arial" w:eastAsia="Arial" w:hAnsi="Arial"/>
                <w:sz w:val="14"/>
                <w:szCs w:val="14"/>
                <w:b w:val="1"/>
                <w:bCs w:val="1"/>
                <w:color w:val="auto"/>
              </w:rPr>
              <w:t>Non-consolidated</w:t>
            </w:r>
          </w:p>
        </w:tc>
      </w:tr>
      <w:tr>
        <w:trPr>
          <w:trHeight w:val="196"/>
        </w:trPr>
        <w:tc>
          <w:tcPr>
            <w:tcW w:w="9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backlog</w:t>
            </w:r>
          </w:p>
        </w:tc>
      </w:tr>
      <w:tr>
        <w:trPr>
          <w:trHeight w:val="175"/>
        </w:trPr>
        <w:tc>
          <w:tcPr>
            <w:tcW w:w="9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2019</w:t>
            </w: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Subsea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799.2</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2,976.0</w:t>
            </w: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3,775.2</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4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Most of our cash is managed centrally and flowed through centralized bank accounts controlled and maintained by TechnipFMC in the US and in other jurisdictions to best meet the liquidity needs of our global operations.</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our commercial paper programs, and our existing revolving credit facility.</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4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consolidated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5,190.2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5,540.0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(495.4)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(67.4)</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portion</w:t>
            </w:r>
          </w:p>
        </w:tc>
        <w:tc>
          <w:tcPr>
            <w:tcW w:w="1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(3,980.0)</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(4,124.3)</w:t>
            </w:r>
          </w:p>
        </w:tc>
      </w:tr>
      <w:tr>
        <w:trPr>
          <w:trHeight w:val="237"/>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cash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714.8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1,348.3</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each of the years in the three-year period ended December 31, 2019,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(required) by operating activities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848.5</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210.7</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Cash provided (required) by investing activities</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(419.8)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1,250.0</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required by financing activities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(1,054.8)</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62.2</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Increase (decrease) in cash and cash equivalents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(725.2)</w:t>
            </w:r>
          </w:p>
        </w:tc>
      </w:tr>
    </w:tbl>
    <w:p>
      <w:pPr>
        <w:spacing w:after="0" w:line="143"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color w:val="auto"/>
        </w:rPr>
        <w:t xml:space="preserve">Operating cash flows - </w:t>
      </w:r>
      <w:r>
        <w:rPr>
          <w:rFonts w:ascii="Arial" w:cs="Arial" w:eastAsia="Arial" w:hAnsi="Arial"/>
          <w:sz w:val="18"/>
          <w:szCs w:val="18"/>
          <w:color w:val="auto"/>
        </w:rPr>
        <w:t>During 2019, we generated $848.5 million in cash flows from operating activities as compared to $185.4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consumed in 2018, resulting in a $1,033.9 million increase compared to 2018. 65.9% of the annual operating cash flow was generated in the fourth quarter, primarily due to timing differences on project milestones and vendor payments.</w:t>
      </w:r>
    </w:p>
    <w:p>
      <w:pPr>
        <w:spacing w:after="0" w:line="12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Investing cash flows - </w:t>
      </w:r>
      <w:r>
        <w:rPr>
          <w:rFonts w:ascii="Arial" w:cs="Arial" w:eastAsia="Arial" w:hAnsi="Arial"/>
          <w:sz w:val="18"/>
          <w:szCs w:val="18"/>
          <w:color w:val="auto"/>
        </w:rPr>
        <w:t>Investing activities used $ 419.8 million and $460.2 million of cash in 2019 and 2018, respectively. The decrease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by investing activities was primarily due to proceeds from repayment of advance to joint venture of $62.0 million, decrease in cash used for acquisitions, partially offset by increased capital expenditures and payment to acquire debt securities in 2019. In 2019, we purchased a deepwater dive support vessel, Deep Discoverer, that was subsequently funded through a sale-leaseback transaction.</w:t>
      </w:r>
    </w:p>
    <w:p>
      <w:pPr>
        <w:spacing w:after="0" w:line="126" w:lineRule="exact"/>
        <w:rPr>
          <w:sz w:val="20"/>
          <w:szCs w:val="20"/>
          <w:color w:val="auto"/>
        </w:rPr>
      </w:pPr>
    </w:p>
    <w:p>
      <w:pPr>
        <w:jc w:val="both"/>
        <w:ind w:right="520"/>
        <w:spacing w:after="0" w:line="266" w:lineRule="auto"/>
        <w:rPr>
          <w:sz w:val="20"/>
          <w:szCs w:val="20"/>
          <w:color w:val="auto"/>
        </w:rPr>
      </w:pPr>
      <w:r>
        <w:rPr>
          <w:rFonts w:ascii="Arial" w:cs="Arial" w:eastAsia="Arial" w:hAnsi="Arial"/>
          <w:sz w:val="18"/>
          <w:szCs w:val="18"/>
          <w:i w:val="1"/>
          <w:iCs w:val="1"/>
          <w:color w:val="auto"/>
        </w:rPr>
        <w:t xml:space="preserve">Financing cash flows - </w:t>
      </w:r>
      <w:r>
        <w:rPr>
          <w:rFonts w:ascii="Arial" w:cs="Arial" w:eastAsia="Arial" w:hAnsi="Arial"/>
          <w:sz w:val="18"/>
          <w:szCs w:val="18"/>
          <w:color w:val="auto"/>
        </w:rPr>
        <w:t>Financing activities used $784.4 million and $444.8 million in 2019 and 2018, respectively. The increase of $339.6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cash required for financing activities was primarily due to increased settlement of mandatorily redeemable financial liability and decreased borrowings of commercial paper, partially offset by decreased purchases of treasury stock in 2019.</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4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Total borrowings at December 31, 2019 and 2018, comprised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1,916.1</w:t>
            </w:r>
          </w:p>
        </w:tc>
      </w:tr>
      <w:tr>
        <w:trPr>
          <w:trHeight w:val="264"/>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Synthetic bonds due 2021</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492.9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490.9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5.00%</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2020</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224.6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229.0</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2022</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171.8</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2023</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148.9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2023</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143.1</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2027</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2032</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3.75%</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2033</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114.5</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265.2</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Other</w:t>
            </w:r>
          </w:p>
        </w:tc>
        <w:tc>
          <w:tcPr>
            <w:tcW w:w="7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23.2</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debt issuance costs and discounts</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borrowings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4,475.4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4,191.7</w:t>
            </w: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revolving credit facility at December 31,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Paper</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68"/>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Letters</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Unused</w:t>
            </w: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center"/>
              <w:ind w:left="18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4"/>
                <w:szCs w:val="14"/>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of Credit</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Capacity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0"/>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Five-year revolving credit facility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2023</w:t>
            </w:r>
          </w:p>
        </w:tc>
      </w:tr>
    </w:tbl>
    <w:p>
      <w:pPr>
        <w:spacing w:after="0" w:line="167" w:lineRule="exact"/>
        <w:rPr>
          <w:sz w:val="20"/>
          <w:szCs w:val="20"/>
          <w:color w:val="auto"/>
        </w:rPr>
      </w:pPr>
    </w:p>
    <w:p>
      <w:pPr>
        <w:ind w:left="340" w:right="500" w:hanging="251"/>
        <w:spacing w:after="0" w:line="258"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$ 1,967.0 million of commercial paper issued under our facilities at December 31, 2019. As we had both the ability and intent to refinance these obligations on a long-term basis, our commercial paper borrowings were classified as long-term debt in the accompanying consolidated balance sheets at December 31, 2019.</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revolving credit facility contains customary covenants as defined by the credit facility agreement which includes a financial covenant requiring that our total capitalization ratio not exceed 60% at the end of any financial quarter. The facility agreement also contains covenants restricting our ability and our subsidiaries ability to incur additional liens and indebtedness, enter into asset sales, make certain investments. As of December 31, 2019, we were in compliance with all restrictive covenants under our revolving credit facility.</w:t>
      </w:r>
    </w:p>
    <w:p>
      <w:pPr>
        <w:spacing w:after="0" w:line="1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Refer to Note 16 and Note 17 to our consolidated financial statements included in Part II, Item 8 of this Annual Report on Form 10-K for further information related to our credit facility and our mandatorily redeemable liability,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4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mitigating the effect of the changes in exchange rates, we hold derivative financial instruments.</w:t>
      </w:r>
    </w:p>
    <w:p>
      <w:pPr>
        <w:spacing w:after="0" w:line="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Valuations of derivative assets and liabilities reflect the fair value of the instruments, including the values associated with counterparty risk. These values must also take into account our credit standing, thus including in the valuation of the derivative instrument and the value of the net credit differential between the counterparties to the derivative contract. Adjustments to our derivative assets and liabilities related to credit risk were not material for any period presented.</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use the income approach as the valuation technique to measure the fair value of foreign currency 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At this time, we have no credit-risk-related contingent features in our agreements with the financial institutions that would require us to post collateral for derivative positions in a liability position.</w:t>
      </w:r>
    </w:p>
    <w:p>
      <w:pPr>
        <w:spacing w:after="0" w:line="142"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Additional information about credit risk is incorporated herein by reference to Note 24 and Note 25 to our consolidated financial statements included in Part II, Item 8 of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Historically, we have generated our liquidity and capital resources primarily through operations and, when needed, through our credit facility. We have $533.0 million of capacity available under our revolving credit facility that we expect to utilize if working capital needs temporarily increase. The volatility in credit, equity and commodity markets creates some uncertainty for our business. Any payment deferrals or discounts on pricing granted to clients in prior years may adversely affect our results of operations and cash flows in 2020 and beyond.</w:t>
      </w:r>
    </w:p>
    <w:p>
      <w:pPr>
        <w:spacing w:after="0" w:line="150"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We project spending approximately $450 million in 2020 for capital expenditures. However, projected capital expenditures for 2020 do not include any contingent capital that may be needed to respond to a contract award.</w:t>
      </w:r>
    </w:p>
    <w:p>
      <w:pPr>
        <w:spacing w:after="0" w:line="14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During 2020, we expect to make contributions of approximately $6.9 million to our international pension plans, representing primarily the Netherlands and the U.K. pension plans. Actual contribution amounts are dependent upon plan investment returns, changes in pension obligations, regulatory environments and other economic factors. We update our pension estimates annually during the fourth quarter or more frequently upon the occurrence of significant events. We do not expect to make any contributions to our U.S. Qualified Pension Plan and our U.S. Non-Qualified Defined Benefit Pension Plan in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contractual obligations at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6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After 5</w:t>
            </w:r>
          </w:p>
        </w:tc>
      </w:tr>
      <w:tr>
        <w:trPr>
          <w:trHeight w:val="196"/>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years</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Debt </w:t>
            </w:r>
            <w:r>
              <w:rPr>
                <w:rFonts w:ascii="Arial" w:cs="Arial" w:eastAsia="Arial" w:hAnsi="Arial"/>
                <w:sz w:val="17"/>
                <w:szCs w:val="17"/>
                <w:color w:val="auto"/>
                <w:vertAlign w:val="superscript"/>
              </w:rPr>
              <w:t>(a)</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3,392.4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w:t>
            </w:r>
          </w:p>
        </w:tc>
      </w:tr>
      <w:tr>
        <w:trPr>
          <w:trHeight w:val="270"/>
        </w:trPr>
        <w:tc>
          <w:tcPr>
            <w:tcW w:w="3540" w:type="dxa"/>
            <w:vAlign w:val="bottom"/>
          </w:tcPr>
          <w:p>
            <w:pPr>
              <w:ind w:left="40"/>
              <w:spacing w:after="0"/>
              <w:rPr>
                <w:sz w:val="20"/>
                <w:szCs w:val="20"/>
                <w:color w:val="auto"/>
              </w:rPr>
            </w:pPr>
            <w:r>
              <w:rPr>
                <w:rFonts w:ascii="Arial" w:cs="Arial" w:eastAsia="Arial" w:hAnsi="Arial"/>
                <w:sz w:val="14"/>
                <w:szCs w:val="14"/>
                <w:color w:val="auto"/>
              </w:rPr>
              <w:t xml:space="preserve">Interest on debt </w:t>
            </w:r>
            <w:r>
              <w:rPr>
                <w:rFonts w:ascii="Arial" w:cs="Arial" w:eastAsia="Arial" w:hAnsi="Arial"/>
                <w:sz w:val="17"/>
                <w:szCs w:val="17"/>
                <w:color w:val="auto"/>
                <w:vertAlign w:val="superscript"/>
              </w:rPr>
              <w:t>(a)</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77.8</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Operating leases </w:t>
            </w:r>
            <w:r>
              <w:rPr>
                <w:rFonts w:ascii="Arial" w:cs="Arial" w:eastAsia="Arial" w:hAnsi="Arial"/>
                <w:sz w:val="17"/>
                <w:szCs w:val="17"/>
                <w:color w:val="auto"/>
                <w:vertAlign w:val="superscript"/>
              </w:rPr>
              <w:t>(b)</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956.8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231.5</w:t>
            </w:r>
          </w:p>
        </w:tc>
      </w:tr>
      <w:tr>
        <w:trPr>
          <w:trHeight w:val="270"/>
        </w:trPr>
        <w:tc>
          <w:tcPr>
            <w:tcW w:w="3540" w:type="dxa"/>
            <w:vAlign w:val="bottom"/>
          </w:tcPr>
          <w:p>
            <w:pPr>
              <w:ind w:left="40"/>
              <w:spacing w:after="0"/>
              <w:rPr>
                <w:sz w:val="20"/>
                <w:szCs w:val="20"/>
                <w:color w:val="auto"/>
              </w:rPr>
            </w:pPr>
            <w:r>
              <w:rPr>
                <w:rFonts w:ascii="Arial" w:cs="Arial" w:eastAsia="Arial" w:hAnsi="Arial"/>
                <w:sz w:val="14"/>
                <w:szCs w:val="14"/>
                <w:color w:val="auto"/>
              </w:rPr>
              <w:t xml:space="preserve">Purchase obligations </w:t>
            </w:r>
            <w:r>
              <w:rPr>
                <w:rFonts w:ascii="Arial" w:cs="Arial" w:eastAsia="Arial" w:hAnsi="Arial"/>
                <w:sz w:val="17"/>
                <w:szCs w:val="17"/>
                <w:color w:val="auto"/>
                <w:vertAlign w:val="superscript"/>
              </w:rPr>
              <w:t>(c)</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6,025.9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3,872.0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1,995.7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33.1</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Pension and other post-retirement benefits </w:t>
            </w:r>
            <w:r>
              <w:rPr>
                <w:rFonts w:ascii="Arial" w:cs="Arial" w:eastAsia="Arial" w:hAnsi="Arial"/>
                <w:sz w:val="17"/>
                <w:szCs w:val="17"/>
                <w:color w:val="auto"/>
                <w:vertAlign w:val="superscript"/>
              </w:rPr>
              <w:t>(d)</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540" w:type="dxa"/>
            <w:vAlign w:val="bottom"/>
          </w:tcPr>
          <w:p>
            <w:pPr>
              <w:ind w:left="40"/>
              <w:spacing w:after="0"/>
              <w:rPr>
                <w:sz w:val="20"/>
                <w:szCs w:val="20"/>
                <w:color w:val="auto"/>
              </w:rPr>
            </w:pPr>
            <w:r>
              <w:rPr>
                <w:rFonts w:ascii="Arial" w:cs="Arial" w:eastAsia="Arial" w:hAnsi="Arial"/>
                <w:sz w:val="14"/>
                <w:szCs w:val="14"/>
                <w:color w:val="auto"/>
              </w:rPr>
              <w:t xml:space="preserve">Unrecognized tax benefits </w:t>
            </w:r>
            <w:r>
              <w:rPr>
                <w:rFonts w:ascii="Arial" w:cs="Arial" w:eastAsia="Arial" w:hAnsi="Arial"/>
                <w:sz w:val="17"/>
                <w:szCs w:val="17"/>
                <w:color w:val="auto"/>
                <w:vertAlign w:val="superscript"/>
              </w:rPr>
              <w:t>(e)</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contractual obligations </w:t>
            </w:r>
            <w:r>
              <w:rPr>
                <w:rFonts w:ascii="Arial" w:cs="Arial" w:eastAsia="Arial" w:hAnsi="Arial"/>
                <w:sz w:val="17"/>
                <w:szCs w:val="17"/>
                <w:color w:val="auto"/>
                <w:vertAlign w:val="superscript"/>
              </w:rPr>
              <w:t>(f)</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Total contractual obligations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12,041.0</w:t>
            </w:r>
          </w:p>
        </w:tc>
        <w:tc>
          <w:tcPr>
            <w:tcW w:w="120" w:type="dxa"/>
            <w:vAlign w:val="bottom"/>
          </w:tcPr>
          <w:p>
            <w:pPr>
              <w:spacing w:after="0"/>
              <w:rPr>
                <w:sz w:val="20"/>
                <w:szCs w:val="20"/>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4,863.5</w:t>
            </w:r>
          </w:p>
        </w:tc>
        <w:tc>
          <w:tcPr>
            <w:tcW w:w="5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5,857.3</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675.8</w:t>
            </w:r>
          </w:p>
        </w:tc>
        <w:tc>
          <w:tcPr>
            <w:tcW w:w="10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644.4</w:t>
            </w:r>
          </w:p>
        </w:tc>
      </w:tr>
      <w:tr>
        <w:trPr>
          <w:trHeight w:val="20"/>
        </w:trPr>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400" w:hanging="332"/>
        <w:spacing w:after="0" w:line="250"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available debt is dependent upon our compliance with covenants, including negative covenants related to liens and our total capitalization ratio. Any violation of covenants or other events of default, which are not waived or cured, or changes in our credit rating could have a material impact on our ability to maintain our committed financing arrangements.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49" w:right="239" w:bottom="1440" w:gutter="0" w:footer="0" w:header="0"/>
        </w:sectPr>
      </w:pPr>
    </w:p>
    <w:bookmarkStart w:id="55" w:name="page56"/>
    <w:bookmarkEnd w:id="55"/>
    <w:p>
      <w:pPr>
        <w:ind w:left="340" w:right="220"/>
        <w:spacing w:after="0" w:line="258" w:lineRule="auto"/>
        <w:rPr>
          <w:sz w:val="20"/>
          <w:szCs w:val="20"/>
          <w:color w:val="auto"/>
        </w:rPr>
      </w:pPr>
      <w:r>
        <w:rPr>
          <w:rFonts w:ascii="Arial" w:cs="Arial" w:eastAsia="Arial" w:hAnsi="Arial"/>
          <w:sz w:val="14"/>
          <w:szCs w:val="14"/>
          <w:color w:val="auto"/>
        </w:rPr>
        <w:t>Due to our intent and ability to refinance commercial paper obligations on a long-term basis under our revolving credit facility and the variable interest rates associated with these debt instruments, only interest on our Senior Notes is included in the table. During 2019, we paid $109.4 million for interest charges, net of interest capitalized.</w:t>
      </w:r>
    </w:p>
    <w:p>
      <w:pPr>
        <w:spacing w:after="0" w:line="140" w:lineRule="exact"/>
        <w:rPr>
          <w:sz w:val="20"/>
          <w:szCs w:val="20"/>
          <w:color w:val="auto"/>
        </w:rPr>
      </w:pPr>
    </w:p>
    <w:p>
      <w:pPr>
        <w:ind w:left="340" w:right="40" w:hanging="332"/>
        <w:spacing w:after="0" w:line="245"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lease office space, manufacturing facilities and various types of manufacturing and data processing equipment. Leases of real estate generally provide for payment of property taxes, insurance and repairs by us. Substantially all of our leases are classified as operating leases. In addition, in 2014 we entered into construction and operating lease agreements to finance the construction of manufacturing and office facilities located in the USA. In January 2016, construction of the facilities was completed and the operating lease commenced. Upon expiration of the lease term in September 2021, we have the option to renew the lease, purchase the facilities or re-market the facilities on behalf of the lessor, including certain guarantees of residual value under the re-marketing option.</w:t>
      </w:r>
    </w:p>
    <w:p>
      <w:pPr>
        <w:spacing w:after="0" w:line="150" w:lineRule="exact"/>
        <w:rPr>
          <w:rFonts w:ascii="Arial" w:cs="Arial" w:eastAsia="Arial" w:hAnsi="Arial"/>
          <w:sz w:val="14"/>
          <w:szCs w:val="14"/>
          <w:color w:val="auto"/>
        </w:rPr>
      </w:pPr>
    </w:p>
    <w:p>
      <w:pPr>
        <w:ind w:left="340" w:right="160" w:hanging="332"/>
        <w:spacing w:after="0" w:line="247"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the normal course of business, we enter into agreements with our suppliers to purchase raw materials or services. These agreements include a requirement that our supplier provide products or services to our specifications and require us to make a firm purchase commitment to our supplier. As substantially all of these commitments are associated with purchases made to fulfill our customers’ orders, the costs associated with these agreements will ultimately be reflected in cost of sales on our consolidated statements of income.</w:t>
      </w:r>
    </w:p>
    <w:p>
      <w:pPr>
        <w:spacing w:after="0" w:line="147" w:lineRule="exact"/>
        <w:rPr>
          <w:rFonts w:ascii="Arial" w:cs="Arial" w:eastAsia="Arial" w:hAnsi="Arial"/>
          <w:sz w:val="14"/>
          <w:szCs w:val="14"/>
          <w:color w:val="auto"/>
        </w:rPr>
      </w:pPr>
    </w:p>
    <w:p>
      <w:pPr>
        <w:jc w:val="both"/>
        <w:ind w:left="340" w:right="240" w:hanging="332"/>
        <w:spacing w:after="0" w:line="250"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expect to contribute approximately $6.9 million to our international pension plans during 2020. Required contributions for future years depend on factors that cannot be determined at this time. Additionally, we expect to pay directly to beneficiaries approximately $13.3 million for international unfunded pension plan and $5.5 million for U.S. Non-Qualified unfunded pension plan during 2019.</w:t>
      </w:r>
    </w:p>
    <w:p>
      <w:pPr>
        <w:spacing w:after="0" w:line="145" w:lineRule="exact"/>
        <w:rPr>
          <w:rFonts w:ascii="Arial" w:cs="Arial" w:eastAsia="Arial" w:hAnsi="Arial"/>
          <w:sz w:val="14"/>
          <w:szCs w:val="14"/>
          <w:color w:val="auto"/>
        </w:rPr>
      </w:pPr>
    </w:p>
    <w:p>
      <w:pPr>
        <w:ind w:left="340" w:right="340" w:hanging="332"/>
        <w:spacing w:after="0" w:line="250"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It is reasonably possible that $2.1 million of liabilities for unrecognized tax benefits will be settled during 2020, and this amount is reflected in income taxes payable in our consolidated balance sheet as of December 31, 2019. Although unrecognized tax benefits are not contractual obligations, they are presented in this table because they represent demands on our liquidity.</w:t>
      </w:r>
    </w:p>
    <w:p>
      <w:pPr>
        <w:spacing w:after="0" w:line="145" w:lineRule="exact"/>
        <w:rPr>
          <w:rFonts w:ascii="Arial" w:cs="Arial" w:eastAsia="Arial" w:hAnsi="Arial"/>
          <w:sz w:val="14"/>
          <w:szCs w:val="14"/>
          <w:color w:val="auto"/>
        </w:rPr>
      </w:pPr>
    </w:p>
    <w:p>
      <w:pPr>
        <w:ind w:left="340" w:right="180" w:hanging="332"/>
        <w:spacing w:after="0" w:line="244"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 contractual obligations represents our share of the mandatorily redeemable financial liability. In the fourth quarter of 2016, we obtained voting control interests in legal onshore/offshore contract entities which own and account for the design, engineering and construction of the Yamal LNG plant. Prior to the amendments of the contractual terms that provided us with voting interest control, we accounted for these entities under the equity method of accounting based on our previously held interests in each of these entities. A mandatorily redeemable financial liability of $174.8 million was recognized as of December 31, 2016 to account for the fair value of the non-controlling interests. During the year ended December 31, 2019 we revalued the liability to reflect current expectations about the obligation. Refer to Note 25 for further information regarding the fair value measurement assumptions of the mandatorily redeemable financial liability and related changes in its fair value.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off-balance sheet arrangements at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Amount of Commitment Expiration per Period</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Less than</w:t>
            </w:r>
          </w:p>
        </w:tc>
        <w:tc>
          <w:tcPr>
            <w:tcW w:w="340" w:type="dxa"/>
            <w:vAlign w:val="bottom"/>
          </w:tcPr>
          <w:p>
            <w:pPr>
              <w:spacing w:after="0"/>
              <w:rPr>
                <w:sz w:val="15"/>
                <w:szCs w:val="15"/>
                <w:color w:val="auto"/>
              </w:rPr>
            </w:pPr>
          </w:p>
        </w:tc>
        <w:tc>
          <w:tcPr>
            <w:tcW w:w="1160" w:type="dxa"/>
            <w:vAlign w:val="bottom"/>
          </w:tcPr>
          <w:p>
            <w:pPr>
              <w:jc w:val="right"/>
              <w:ind w:right="56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6"/>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1 year</w:t>
            </w:r>
          </w:p>
        </w:tc>
        <w:tc>
          <w:tcPr>
            <w:tcW w:w="34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7"/>
                <w:szCs w:val="17"/>
                <w:color w:val="auto"/>
              </w:rPr>
            </w:pPr>
          </w:p>
        </w:tc>
        <w:tc>
          <w:tcPr>
            <w:tcW w:w="1160" w:type="dxa"/>
            <w:vAlign w:val="bottom"/>
          </w:tcPr>
          <w:p>
            <w:pPr>
              <w:jc w:val="right"/>
              <w:ind w:right="46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36"/>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Letters of credit and bank guarantees </w:t>
            </w:r>
            <w:r>
              <w:rPr>
                <w:rFonts w:ascii="Arial" w:cs="Arial" w:eastAsia="Arial" w:hAnsi="Arial"/>
                <w:sz w:val="17"/>
                <w:szCs w:val="17"/>
                <w:color w:val="auto"/>
                <w:vertAlign w:val="superscript"/>
              </w:rPr>
              <w:t>(a)</w:t>
            </w: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5,857.5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Arial" w:cs="Arial" w:eastAsia="Arial" w:hAnsi="Arial"/>
                <w:sz w:val="14"/>
                <w:szCs w:val="14"/>
                <w:color w:val="auto"/>
              </w:rPr>
              <w:t xml:space="preserve">Surety bonds </w:t>
            </w:r>
            <w:r>
              <w:rPr>
                <w:rFonts w:ascii="Arial" w:cs="Arial" w:eastAsia="Arial" w:hAnsi="Arial"/>
                <w:sz w:val="17"/>
                <w:szCs w:val="17"/>
                <w:color w:val="auto"/>
                <w:vertAlign w:val="superscript"/>
              </w:rPr>
              <w:t>(a)</w:t>
            </w:r>
          </w:p>
        </w:tc>
        <w:tc>
          <w:tcPr>
            <w:tcW w:w="300" w:type="dxa"/>
            <w:vAlign w:val="bottom"/>
          </w:tcPr>
          <w:p>
            <w:pPr>
              <w:spacing w:after="0"/>
              <w:rPr>
                <w:sz w:val="18"/>
                <w:szCs w:val="18"/>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48"/>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off-balance sheet arrangements</w:t>
            </w: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5,861.5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571.6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80" w:hanging="332"/>
        <w:spacing w:after="0" w:line="245"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collateral for our performance on certain sales contracts or as part of our agreements with insurance companies, we are liable under letters of credit, surety bonds and other bank guarantees. Our ability to generate revenue from certain contracts is dependent upon our ability to obtain these off-balance sheet financial instruments. These off-balance sheet financial instruments may be renewed, revised or released based on changes in the underlying commitment. Historically, our commercial commitments have not been drawn upon to a material extent; consequently, management believes it is not reasonably likely there will be material claims against these commitments. However, should these financial instruments become unavailable to us, our operations and liquidity could be negatively impacted.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 See Note 1 to our consolidated financial statements included in Part II, Item 8 of this Annual Report on Form 10-K for a description of our significant accounting policies.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7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majority of our revenue is derived from long-term contracts that can span several years. We account for revenue in accordance with Accounting Standard Codification (“ASC”) Topic 606, Revenues from Contracts with Customers. The unit of account in ASC Topic 606 is a performance obligation. A contract’s transaction price is allocated to each distinct performance obligation and recognized as revenue when, or as, the performance obligation is satisfied. Our performance obligations are satisfied over time as work progresses or at a point in time.</w:t>
      </w:r>
    </w:p>
    <w:p>
      <w:pPr>
        <w:spacing w:after="0" w:line="15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 significant portion of our total revenue recognized over time relates to our Onshore/Offshore and Subsea segments, primarily for the entire range of onshore facilities, fixed and floating offshore oil and gas facilities, and subsea exploration and production equipment projects that involve the design, engineering, manufacturing, construction, and assembly of complex, customer-specific systems. 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it best depicts the transfer of control to the customer that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w:t>
      </w:r>
    </w:p>
    <w:p>
      <w:pPr>
        <w:spacing w:after="0" w:line="15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Due to the nature of the work required to be performed on many of our performance obligations, the estimation of total revenue and cost at completion is complex, subject to many variables, and requires significant judgment. It is common for our long-term contracts to contain award fees, incentive fees, or other provisions that can either increase or decrease the transaction price. We include estimated amounts in the transaction price when we believe we have an enforceable right to the modification, the amount can be estimated reliably, and its realization is probable. The estimated amounts are included in the transaction price to the extent it is probable that a significant reversal of cumulative revenue recognized will not occur when the uncertainty associated with the variable consideration is resolved.</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execute contracts with our customers that clearly describe the equipment, systems, and/or services.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long-term contracts is such that refinements of the estimating process for changing conditions and new developments are continuous and characteristic of the process. Consequently, the amount of revenue recognized over time is sensitive to changes in our estimates of total contract costs. There are many factors, including, but not limited to, the ability to properly execute the engineering and design phases consistent with our customers’ expectations, the availability and costs of labor and material resources, productivity, and weather, all of which can affect the accuracy of our cost estimates, and ultimately, our future profitability.</w:t>
      </w:r>
    </w:p>
    <w:p>
      <w:pPr>
        <w:spacing w:after="0" w:line="15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operating loss for the year ended December 31, 2019 was positively impacted by approximately $1,114.3 million, as a result of changes in contract estimates related to projects that were in progress at December 31, 2018. During the year ended December 31, 2019, we recognized changes in our estimates that had an impact on our margin in the amounts of $797.2 million, $ 324.7 million and $ (7.6) million in our Onshore/Offshore, Subsea and Surface Technologies segments, respectively. The changes in contract estimates are attributed to better than expected performance throughout our execution of our projects.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549" w:right="279" w:bottom="1440" w:gutter="0" w:footer="0" w:header="0"/>
        </w:sectPr>
      </w:pPr>
    </w:p>
    <w:bookmarkStart w:id="57" w:name="page58"/>
    <w:bookmarkEnd w:id="57"/>
    <w:p>
      <w:pPr>
        <w:ind w:right="140"/>
        <w:spacing w:after="0" w:line="253" w:lineRule="auto"/>
        <w:rPr>
          <w:sz w:val="20"/>
          <w:szCs w:val="20"/>
          <w:color w:val="auto"/>
        </w:rPr>
      </w:pPr>
      <w:r>
        <w:rPr>
          <w:rFonts w:ascii="Arial" w:cs="Arial" w:eastAsia="Arial" w:hAnsi="Arial"/>
          <w:sz w:val="18"/>
          <w:szCs w:val="18"/>
          <w:color w:val="auto"/>
        </w:rPr>
        <w:t>Our operating profit for the year ended December 31, 2018 was positively impacted by approximately $553.4 million, as a result of changes in contract estimates related to projects that were in progress at December 31, 2017. During the year ended December 31, 2018, we recognized changes in our estimates that had an impact on our margin in the amounts of $379.2 million, $169.9 million and $4.3 million in our Onshore/Offshore, Subsea and Surface technologies segments, respectively. The changes in contract estimates are attributed to better than expected performance throughout our execution of our projects.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income tax expense, deferred tax assets and liabilities, and reserves for uncertain tax positions reflect management’s best assessment of estimated future taxes to be paid. We are subject to income taxes in the United Kingdom and numerous foreign jurisdictions. Significant judgments and estimates are required in determining our consolidated income tax expense.</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determining our current income tax provision, we assess temporary differences resulting from differing treatments of items for tax and accounting purposes. These differences result in deferred tax assets and liabilities, which are recorded in our consolidated balance sheets. When we maintain deferred tax assets, we must assess the likelihood that these assets will be recovered through adjustments to future taxable income. To the extent, we believe recovery is not likely, we establish a valuation allowance. We record a valuation allowance to reduce the asset to a value we believe will be recoverable based on our expectation of future taxable income. We believe the accounting estimate related to the valuation allowance is a critical accounting estimate because it is highly susceptible to change from period to period, requires management to make assumptions about our future income over the lives of the deferred tax assets, and finally, the impact of increasing or decreasing the valuation allowance is potentially material to our results of operations.</w:t>
      </w:r>
    </w:p>
    <w:p>
      <w:pPr>
        <w:spacing w:after="0" w:line="15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Forecasting future income requires us to use a significant amount of judgment. In estimating future income, we use our internal operating budgets and long-range planning projections. We develop our budgets and long-range projections based on recent results, trends, economic and industry forecasts influencing our segments’ performance, our backlog, planned timing of new product launches and customer sales commitments. Significant changes in our judgment related to the expected realizability of a deferred tax asset results in an adjustment to the associated valuation allowance.</w:t>
      </w:r>
    </w:p>
    <w:p>
      <w:pPr>
        <w:spacing w:after="0" w:line="1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December 31, 2019, we have provided a valuation allowance against the related deferred tax assets where we believe it is not more likely than not that we will generate future taxable income sufficient to realize such assets.</w:t>
      </w:r>
    </w:p>
    <w:p>
      <w:pPr>
        <w:spacing w:after="0" w:line="14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calculation of our income tax expense involves dealing with uncertainties in the application of complex tax laws and regulations in numerous jurisdictions in which we operate. We recognize tax benefits related to uncertain tax positions when, in our judgment, it is more likely than not that such positions will be sustained on examination, including resolutions of any related appeals or litigation, based on the technical merits. We adjust our liabilities for uncertain tax positions when our judgment changes as a result of new information previously unavailable. Due to the complexity of some of these uncertainties, their ultimate resolution may result in payments that are materially different from our current estimates. Any such differences will be reflected as adjustments to income tax expense in the periods in which they are determined.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Pension and Other Post-retirement Benefit Plans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determination of the projected benefit obligations of our pension and other post-retirement benefit plans are important to the recorded amounts of such obligations on our consolidated balance sheet and to the amount of pension expense in our consolidated statements of income. In order to measure the obligations and expense associated with our pension benefits, management must make a variety of estimates, including discount rates used to value certain liabilities, expected return on plan assets set aside to fund these costs, rate of compensation increase, employee turnover rates, retirement rates, mortality rates and other factors. We update these estimates on an annual basis or more frequently upon the occurrence of significant events. These accounting estimates bear the risk of change due to the uncertainty and difficulty in estimating these measures. Different estimates used by management could result in our recognition of different amounts of expense over different periods of time.</w:t>
      </w:r>
    </w:p>
    <w:p>
      <w:pPr>
        <w:spacing w:after="0" w:line="1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Due to the specialized and statistical nature of these calculations which attempt to anticipate future events, we engage third-party specialists to assist management in evaluating our assumptions as well as appropriately measuring the costs and obligations associated with these pension benefits. The discount rate and expected long-term rate of return on plan assets are primarily based on investment yields available and the historical performance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71" w:right="239" w:bottom="1440" w:gutter="0" w:footer="0" w:header="0"/>
        </w:sectPr>
      </w:pPr>
    </w:p>
    <w:bookmarkStart w:id="58" w:name="page59"/>
    <w:bookmarkEnd w:id="58"/>
    <w:p>
      <w:pPr>
        <w:ind w:right="280"/>
        <w:spacing w:after="0" w:line="262" w:lineRule="auto"/>
        <w:rPr>
          <w:sz w:val="20"/>
          <w:szCs w:val="20"/>
          <w:color w:val="auto"/>
        </w:rPr>
      </w:pPr>
      <w:r>
        <w:rPr>
          <w:rFonts w:ascii="Arial" w:cs="Arial" w:eastAsia="Arial" w:hAnsi="Arial"/>
          <w:sz w:val="18"/>
          <w:szCs w:val="18"/>
          <w:color w:val="auto"/>
        </w:rPr>
        <w:t>of our plan assets, respectively. These measures are critical accounting estimates because they are subject to management’s judgment and can materially affect net income.</w:t>
      </w:r>
    </w:p>
    <w:p>
      <w:pPr>
        <w:spacing w:after="0" w:line="14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actuarial assumptions and estimates made by management in determining our pension benefit obligations may materially differ from actual results as a result of changing market and economic conditions and changes in plan participant assumptions. While we believe the assumptions and estimates used are appropriate, differences in actual experience or changes in plan participant assumptions may materially affect our financial position or results of operations.</w:t>
      </w:r>
    </w:p>
    <w:p>
      <w:pPr>
        <w:spacing w:after="0" w:line="1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 illustrates the sensitivity of changes in the discount rate and expected long-term return on plan assets on pension expense and the projected benefit obligation: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Increase (Decrease)</w:t>
            </w:r>
          </w:p>
        </w:tc>
      </w:tr>
      <w:tr>
        <w:trPr>
          <w:trHeight w:val="162"/>
        </w:trPr>
        <w:tc>
          <w:tcPr>
            <w:tcW w:w="6480" w:type="dxa"/>
            <w:vAlign w:val="bottom"/>
          </w:tcPr>
          <w:p>
            <w:pPr>
              <w:spacing w:after="0"/>
              <w:rPr>
                <w:sz w:val="14"/>
                <w:szCs w:val="14"/>
                <w:color w:val="auto"/>
              </w:rPr>
            </w:pPr>
          </w:p>
        </w:tc>
        <w:tc>
          <w:tcPr>
            <w:tcW w:w="3300" w:type="dxa"/>
            <w:vAlign w:val="bottom"/>
            <w:gridSpan w:val="2"/>
          </w:tcPr>
          <w:p>
            <w:pPr>
              <w:ind w:left="1680"/>
              <w:spacing w:after="0"/>
              <w:rPr>
                <w:sz w:val="20"/>
                <w:szCs w:val="20"/>
                <w:color w:val="auto"/>
              </w:rPr>
            </w:pPr>
            <w:r>
              <w:rPr>
                <w:rFonts w:ascii="Arial" w:cs="Arial" w:eastAsia="Arial" w:hAnsi="Arial"/>
                <w:sz w:val="14"/>
                <w:szCs w:val="14"/>
                <w:b w:val="1"/>
                <w:bCs w:val="1"/>
                <w:color w:val="auto"/>
              </w:rPr>
              <w:t>Increase (Decrease) in</w:t>
            </w:r>
          </w:p>
        </w:tc>
        <w:tc>
          <w:tcPr>
            <w:tcW w:w="16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in Projected Benefit</w:t>
            </w:r>
          </w:p>
        </w:tc>
      </w:tr>
      <w:tr>
        <w:trPr>
          <w:trHeight w:val="162"/>
        </w:trPr>
        <w:tc>
          <w:tcPr>
            <w:tcW w:w="6480" w:type="dxa"/>
            <w:vAlign w:val="bottom"/>
          </w:tcPr>
          <w:p>
            <w:pPr>
              <w:spacing w:after="0"/>
              <w:rPr>
                <w:sz w:val="14"/>
                <w:szCs w:val="14"/>
                <w:color w:val="auto"/>
              </w:rPr>
            </w:pPr>
          </w:p>
        </w:tc>
        <w:tc>
          <w:tcPr>
            <w:tcW w:w="3300" w:type="dxa"/>
            <w:vAlign w:val="bottom"/>
            <w:gridSpan w:val="2"/>
          </w:tcPr>
          <w:p>
            <w:pPr>
              <w:ind w:left="1660"/>
              <w:spacing w:after="0"/>
              <w:rPr>
                <w:sz w:val="20"/>
                <w:szCs w:val="20"/>
                <w:color w:val="auto"/>
              </w:rPr>
            </w:pPr>
            <w:r>
              <w:rPr>
                <w:rFonts w:ascii="Arial" w:cs="Arial" w:eastAsia="Arial" w:hAnsi="Arial"/>
                <w:sz w:val="14"/>
                <w:szCs w:val="14"/>
                <w:b w:val="1"/>
                <w:bCs w:val="1"/>
                <w:color w:val="auto"/>
              </w:rPr>
              <w:t>2019 Pension Expense</w:t>
            </w:r>
          </w:p>
        </w:tc>
        <w:tc>
          <w:tcPr>
            <w:tcW w:w="160" w:type="dxa"/>
            <w:vAlign w:val="bottom"/>
          </w:tcPr>
          <w:p>
            <w:pPr>
              <w:spacing w:after="0"/>
              <w:rPr>
                <w:sz w:val="14"/>
                <w:szCs w:val="14"/>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Obligation at</w:t>
            </w:r>
          </w:p>
        </w:tc>
      </w:tr>
      <w:tr>
        <w:trPr>
          <w:trHeight w:val="196"/>
        </w:trPr>
        <w:tc>
          <w:tcPr>
            <w:tcW w:w="64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basis points)</w:t>
            </w:r>
          </w:p>
        </w:tc>
        <w:tc>
          <w:tcPr>
            <w:tcW w:w="3300" w:type="dxa"/>
            <w:vAlign w:val="bottom"/>
            <w:gridSpan w:val="2"/>
          </w:tcPr>
          <w:p>
            <w:pPr>
              <w:ind w:left="17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2019</w:t>
            </w:r>
          </w:p>
        </w:tc>
      </w:tr>
      <w:tr>
        <w:trPr>
          <w:trHeight w:val="276"/>
        </w:trPr>
        <w:tc>
          <w:tcPr>
            <w:tcW w:w="6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 basis point decrease in discount rate</w:t>
            </w:r>
          </w:p>
        </w:tc>
        <w:tc>
          <w:tcPr>
            <w:tcW w:w="2320" w:type="dxa"/>
            <w:vAlign w:val="bottom"/>
            <w:shd w:val="clear" w:color="auto" w:fill="CCEEFF"/>
          </w:tcPr>
          <w:p>
            <w:pPr>
              <w:ind w:left="16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r>
      <w:tr>
        <w:trPr>
          <w:trHeight w:val="264"/>
        </w:trPr>
        <w:tc>
          <w:tcPr>
            <w:tcW w:w="6480" w:type="dxa"/>
            <w:vAlign w:val="bottom"/>
          </w:tcPr>
          <w:p>
            <w:pPr>
              <w:ind w:left="40"/>
              <w:spacing w:after="0"/>
              <w:rPr>
                <w:sz w:val="20"/>
                <w:szCs w:val="20"/>
                <w:color w:val="auto"/>
              </w:rPr>
            </w:pPr>
            <w:r>
              <w:rPr>
                <w:rFonts w:ascii="Arial" w:cs="Arial" w:eastAsia="Arial" w:hAnsi="Arial"/>
                <w:sz w:val="14"/>
                <w:szCs w:val="14"/>
                <w:color w:val="auto"/>
              </w:rPr>
              <w:t>25 basis point increase in discount rate</w:t>
            </w:r>
          </w:p>
        </w:tc>
        <w:tc>
          <w:tcPr>
            <w:tcW w:w="2320" w:type="dxa"/>
            <w:vAlign w:val="bottom"/>
          </w:tcPr>
          <w:p>
            <w:pPr>
              <w:ind w:left="16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(55.8)</w:t>
            </w:r>
          </w:p>
        </w:tc>
      </w:tr>
      <w:tr>
        <w:trPr>
          <w:trHeight w:val="276"/>
        </w:trPr>
        <w:tc>
          <w:tcPr>
            <w:tcW w:w="6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 basis point decrease in expected long-term rate of return on plan assets</w:t>
            </w:r>
          </w:p>
        </w:tc>
        <w:tc>
          <w:tcPr>
            <w:tcW w:w="2320" w:type="dxa"/>
            <w:vAlign w:val="bottom"/>
            <w:shd w:val="clear" w:color="auto" w:fill="CCEEFF"/>
          </w:tcPr>
          <w:p>
            <w:pPr>
              <w:ind w:left="16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N/A</w:t>
            </w:r>
          </w:p>
        </w:tc>
      </w:tr>
      <w:tr>
        <w:trPr>
          <w:trHeight w:val="258"/>
        </w:trPr>
        <w:tc>
          <w:tcPr>
            <w:tcW w:w="6480" w:type="dxa"/>
            <w:vAlign w:val="bottom"/>
          </w:tcPr>
          <w:p>
            <w:pPr>
              <w:ind w:left="40"/>
              <w:spacing w:after="0"/>
              <w:rPr>
                <w:sz w:val="20"/>
                <w:szCs w:val="20"/>
                <w:color w:val="auto"/>
              </w:rPr>
            </w:pPr>
            <w:r>
              <w:rPr>
                <w:rFonts w:ascii="Arial" w:cs="Arial" w:eastAsia="Arial" w:hAnsi="Arial"/>
                <w:sz w:val="14"/>
                <w:szCs w:val="14"/>
                <w:color w:val="auto"/>
              </w:rPr>
              <w:t>25 basis point increase in expected long-term rate of return on plan assets</w:t>
            </w:r>
          </w:p>
        </w:tc>
        <w:tc>
          <w:tcPr>
            <w:tcW w:w="2320" w:type="dxa"/>
            <w:vAlign w:val="bottom"/>
          </w:tcPr>
          <w:p>
            <w:pPr>
              <w:ind w:left="16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N/A</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 in Business Combinations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Accounting for the acquisition of a business requires the allocation of the purchase price to the various assets acquired and liabilities assumed at their respective fair values. The determination of fair value requires the use of significant estimates and assumptions, and in making these determinations, management uses all available information. If necessary, we have up to one year after the acquisition closing date to finalize these fair value determinations. For tangible and identifiable intangible assets acquired in a business combination, the determination of fair value utilizes several valuation methodologies including discounted cash flows which has assumptions with respect to the timing and amount of future revenue and expenses associated with an asset. The assumptions made in performing these valuations include, but are not limited to, discount rates, future revenues and operating costs, projections of capital costs, and other assumptions believed to be consistent with those used by principal market participants. Due to the specialized nature of these calculations, we engage third-party specialists to assist management in evaluating our assumptions as well as appropriately measuring the fair value of assets acquired and liabilities assumed. Business combinations are described in Note 2 to our consolidated financial statements included in Part II, Item 8 of this Annual Report on Form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Intangible Assets</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Long-lived assets, including vessels, property, plant and equipment, identifiable intangible assets being amortized and capitalized software costs are reviewed for impairment whenever events or changes in circumstances indicate the carrying amount of the long-lived asset may not be recoverable. The carrying amount of a long-lived asset is not recoverable if it exceeds the sum of the undiscounted cash flows expected to result from the use and eventual disposition of the asset. If it is determined that an impairment loss has occurred, the loss is measured as the amount by which the carrying amount of the long-lived asset exceeds its fair value. The determination of future cash flows as well as the estimated fair value of long-lived assets involves significant estimates on the part of management. Because there usually is a lack of quoted market prices for long-lived assets, fair value of impaired assets is typically determined based on the present values of expected future cash flows using discount rates believed to be consistent with those used by principal market participants, or based on a multiple of operating cash flow validated with historical market transactions of similar assets where possible. The expected future cash flows used for impairment reviews and related fair value calculations are based on judgmental assessments of future productivity of the asset, operating costs and capital decisions and all available information at the date of review. If future market conditions deteriorate beyond our current expectations and assumptions, impairments of long-lived assets may be identified if we conclude that the carrying amounts are no longer recoverable.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7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Goodwill represents the excess of cost over the fair market value of net assets acquired in business combinations. Goodwill is not subject to amortization but is tested for impairment on an annual basis at a reporting level unit, or more frequently if impairment indicators arise. We have established October 31 as the date of our annual test for impairment of goodwill. We identify a potential impairment by comparing the fair value of the applicable reporting unit to its net book value, including goodwill. If the net book value exceeds the fair value of the reporting unit, we measure the impairment by comparing the carrying value of the reporting unit to its fair value. Reporting units with goodwill are tested for impairment using a quantitative impairment test.</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When using the quantitative impairment test, determining the fair value of a reporting unit is judgmental in nature and involves the use of significant estimates and assumptions. We estimate the fair value of our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Our estimates are based upon assumptions believed to be reasonable, but which are inherently uncertain and unpredictable and do not reflect unanticipated events and circumstances that may occur.</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 based on internal forecasts of revenues and expenses over a specified period plus a terminal value (the income approach). When assessing triggering factors, on a quarterly and also on an annual basis, we also analyze the relationship between our market capitalization and our consolidated book value of equity.</w:t>
      </w:r>
    </w:p>
    <w:p>
      <w:pPr>
        <w:spacing w:after="0" w:line="15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income approach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We believe this approach is an appropriate valuation method. Under the market multiple approach, we determine the estimated fair value of each of our reporting units by applying transaction multiples to each reporting unit’s projected EBITDA and then averaging that estimate with similar historical calculations using either a one, two or three year average. Our reporting unit valuations were determined primarily by utilizing the income approach, with a lesser weighting attributed the market multiple approach.</w:t>
      </w:r>
    </w:p>
    <w:p>
      <w:pPr>
        <w:spacing w:after="0" w:line="1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Late in the fourth quarter of 2019, oil prices fell dramatically and our market capitalization declined significantly, together with other companies in the oil service industry. This event is not expected to have significant negative impact on our performance and it is not changing materially our medium-term and long-term cash flow projections.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year ended December 31, 2019, we recorded $1,321.9 million and $666.8 million of goodwill impairment charges in our Subsea and Surface Technologies reporting units, respectively. During the year ended December 31, 2018, we recorded $ 1,383.0 million of goodwill impairment charges in our Subsea reporting unit. Refer to Note 20 to these consolidated financial statements for additional disclosure related to impairment of goodwill during the year ended December 31, 2019 and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over carrying amount for our Onshore/Offshore reporting unit was in excess of 400% of its carrying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estimates used by management in determining the fair values of our reporting units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r>
      <w:tr>
        <w:trPr>
          <w:trHeight w:val="216"/>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 of cash flows before terminal value</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r>
      <w:tr>
        <w:trPr>
          <w:trHeight w:val="210"/>
        </w:trPr>
        <w:tc>
          <w:tcPr>
            <w:tcW w:w="9780" w:type="dxa"/>
            <w:vAlign w:val="bottom"/>
          </w:tcPr>
          <w:p>
            <w:pPr>
              <w:ind w:left="40"/>
              <w:spacing w:after="0"/>
              <w:rPr>
                <w:sz w:val="20"/>
                <w:szCs w:val="20"/>
                <w:color w:val="auto"/>
              </w:rPr>
            </w:pPr>
            <w:r>
              <w:rPr>
                <w:rFonts w:ascii="Arial" w:cs="Arial" w:eastAsia="Arial" w:hAnsi="Arial"/>
                <w:sz w:val="14"/>
                <w:szCs w:val="14"/>
                <w:color w:val="auto"/>
              </w:rPr>
              <w:t>Discount rates</w:t>
            </w:r>
          </w:p>
        </w:tc>
        <w:tc>
          <w:tcPr>
            <w:tcW w:w="1580" w:type="dxa"/>
            <w:vAlign w:val="bottom"/>
          </w:tcPr>
          <w:p>
            <w:pPr>
              <w:ind w:left="280"/>
              <w:spacing w:after="0"/>
              <w:rPr>
                <w:sz w:val="20"/>
                <w:szCs w:val="20"/>
                <w:color w:val="auto"/>
              </w:rPr>
            </w:pPr>
            <w:r>
              <w:rPr>
                <w:rFonts w:ascii="Arial" w:cs="Arial" w:eastAsia="Arial" w:hAnsi="Arial"/>
                <w:sz w:val="14"/>
                <w:szCs w:val="14"/>
                <w:color w:val="auto"/>
              </w:rPr>
              <w:t>12.5% to 15.0%</w:t>
            </w:r>
          </w:p>
        </w:tc>
      </w:tr>
      <w:tr>
        <w:trPr>
          <w:trHeight w:val="195"/>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EBITDA multiples</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shd w:val="clear" w:color="auto" w:fill="CCEEFF"/>
              </w:rPr>
              <w:t>6.0 - 8.5x</w:t>
            </w:r>
          </w:p>
        </w:tc>
      </w:tr>
      <w:tr>
        <w:trPr>
          <w:trHeight w:val="27"/>
        </w:trPr>
        <w:tc>
          <w:tcPr>
            <w:tcW w:w="97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49" w:right="239" w:bottom="1440" w:gutter="0" w:footer="0" w:header="0"/>
        </w:sectPr>
      </w:pPr>
    </w:p>
    <w:bookmarkStart w:id="60" w:name="page61"/>
    <w:bookmarkEnd w:id="60"/>
    <w:p>
      <w:pPr>
        <w:ind w:right="860"/>
        <w:spacing w:after="0" w:line="262" w:lineRule="auto"/>
        <w:rPr>
          <w:sz w:val="20"/>
          <w:szCs w:val="20"/>
          <w:color w:val="auto"/>
        </w:rPr>
      </w:pPr>
      <w:r>
        <w:rPr>
          <w:rFonts w:ascii="Arial" w:cs="Arial" w:eastAsia="Arial" w:hAnsi="Arial"/>
          <w:sz w:val="18"/>
          <w:szCs w:val="18"/>
          <w:color w:val="auto"/>
        </w:rPr>
        <w:t>Refer to Note 15 to our consolidated financial statements included in Part II, Item 8 of this Annual Report on Form 10-K for additional information related to goodwill impairment testing during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about these existing matters.</w:t>
      </w:r>
    </w:p>
    <w:p>
      <w:pPr>
        <w:spacing w:after="0" w:line="15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2" w:lineRule="exact"/>
        <w:rPr>
          <w:sz w:val="20"/>
          <w:szCs w:val="20"/>
          <w:color w:val="auto"/>
        </w:rPr>
      </w:pPr>
    </w:p>
    <w:p>
      <w:pPr>
        <w:jc w:val="both"/>
        <w:ind w:right="66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to our consolidated financial statements included in Part II, Item 8 of this Annual Report on Form 10-K.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71"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subject to financial market risks, including fluctuations in foreign currency exchange rates and interest rates. In order to manage and mitigate our exposure to these risks, we may use derivative financial instruments in accordance with established policies and procedures. We do not use derivative financial instruments where the objective is to generate profits solely from trading activities. At December 31, 2019 and December 31, 2018, substantially all of our derivative holdings consisted of foreign currency forward contracts and foreign currency instruments embedded in purchase and sale contracts.</w:t>
      </w:r>
    </w:p>
    <w:p>
      <w:pPr>
        <w:spacing w:after="0" w:line="1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These forward-looking disclosures only address potential impacts from market risks as they affect our financial instruments and do not include other potential effects that could impact our business as a result of changes in foreign currency exchange rates, interest rates, commodity prices or equity prices.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conduct operations around the world in a number of different currencies. Many of our significant foreign subsidiaries have designated the local currency as their functional currency. Our earnings are therefore subject to change due to fluctuations in foreign currency exchange rates when the earnings in foreign currencies are translated into U.S. dollars. We do not hedge this translation impact on earnings. A 10% increase or decrease in the average exchange rates of all foreign currencies at December 31, 2019, would have changed our revenue and income before income taxes attributable to TechnipFMC by approximately $140.6 million and $5.5 million, respectively.</w:t>
      </w:r>
    </w:p>
    <w:p>
      <w:pPr>
        <w:spacing w:after="0" w:line="15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When transactions are denominated in currencies other than our subsidiaries’ respective functional currencies, we manage these exposures through the use of derivative instruments. We primarily use foreign currency forward contracts to hedge the foreign currency fluctuation associated with firmly committed and forecasted foreign currency denominated payments and receipts. The derivative instruments associated with these anticipated transactions are usually designated and qualify as cash flow hedges, and as such the gains and losses associated with these instruments are recorded in other comprehensive income until such time that the underlying transactions are recognized. Unless these cash flow contracts are deemed to be ineffective or are not designated as cash flow hedges at inception, changes in the derivative fair value will not have an immediate impact on our results of operations since the gains and losses associated with these instruments are recorded in other comprehensive income. When the anticipated transactions occur, these changes in value of derivative instrument positions will be offset against changes in the value of the underlying transaction. When an anticipated transaction in a currency other than the functional currency of an entity is recognized as an asset or liability on the balance sheet, we also hedge the foreign currency fluctuation of these assets and liabilities with derivative instruments after netting our exposures worldwide. These derivative instruments do not qualify as cash flow hedges.</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Occasionally, we enter into contracts or other arrangements containing terms and conditions that qualify as embedded derivative instruments and are subject to fluctuations in foreign exchange rates. In those situations, we enter into derivative foreign exchange contracts that hedge the price or cost fluctuations due to movements in the foreign exchange rates. These derivative instruments are not designated as cash flow hedges.</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our foreign currency forward contracts hedging anticipated transactions that are accounted for as cash flow hedges, a 10% increase in the value of the U.S. dollar would have resulted in an additional loss of $83.8 million in the net fair value of cash flow hedges reflected in our consolidated balance sheet at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At December 31, 2019, we had commercial paper of approximately $2.0 billion with a weighted average interest rate of 1.41%. Using sensitivity analysis to measure the impact of a 10% adverse movement in the interest rate, or eighteen basis points, would result in an increase to interest expense of $2.8 million.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49" w:right="239" w:bottom="1440" w:gutter="0" w:footer="0" w:header="0"/>
        </w:sectPr>
      </w:pPr>
    </w:p>
    <w:bookmarkStart w:id="62" w:name="page63"/>
    <w:bookmarkEnd w:id="62"/>
    <w:p>
      <w:pPr>
        <w:spacing w:after="0" w:line="251" w:lineRule="auto"/>
        <w:rPr>
          <w:sz w:val="20"/>
          <w:szCs w:val="20"/>
          <w:color w:val="auto"/>
        </w:rPr>
      </w:pPr>
      <w:r>
        <w:rPr>
          <w:rFonts w:ascii="Arial" w:cs="Arial" w:eastAsia="Arial" w:hAnsi="Arial"/>
          <w:sz w:val="18"/>
          <w:szCs w:val="18"/>
          <w:color w:val="auto"/>
        </w:rPr>
        <w:t>We assess effectiveness of forward foreign currency contracts designated as cash flow hedges based on changes in fair value attributable to changes in spot rates. We exclude the impact attributable to changes in the difference between the spot rate and the forward rate for the assessment of hedge effectiveness and recognize the change in fair value of this component immediately in earnings. Considering that the difference between the spot rate and the forward rate is proportional to the differences in the interest rates of the countries of the currencies being traded, we have exposure in the unrealized valuation of our forward foreign currency contracts to relative changes in interest rates between countries in our results of operations. To the extent any one interest rate increases by 10% across all tenors and other countries’ interest rates remain fixed, and assuming no change in discount rates, we would expect to recognize a decrease of $0.5 million in unrealized earnings in the period of change. Based on our portfolio as of December 31, 2019, we have material positions with exposure to interest rates in the United States, Canada, Australia, Brazil, the United Kingdom, Singapore, the European Community, and Norway.</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571"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TechnipFMC plc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TechnipFMC plc and its subsidiaries (the “Company”) as of December 31, 2019 and 2018, and the related consolidated statements of income, comprehensive income, changes in stockholders’ equity and cash flows for each of the three years in the period ended December 31, 2019, including the related notes and schedule of valuation and qualifying accounts for each of the three years in the period ended December 31, 2019 appearing under Item 15(a)(2)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Change in Accounting Principle</w:t>
      </w:r>
    </w:p>
    <w:p>
      <w:pPr>
        <w:spacing w:after="0" w:line="243" w:lineRule="exact"/>
        <w:rPr>
          <w:sz w:val="20"/>
          <w:szCs w:val="20"/>
          <w:color w:val="auto"/>
        </w:rPr>
      </w:pPr>
    </w:p>
    <w:p>
      <w:pPr>
        <w:ind w:right="380"/>
        <w:spacing w:after="0" w:line="454"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the manner in which it accounts for leases in 2019. </w:t>
      </w:r>
      <w:r>
        <w:rPr>
          <w:rFonts w:ascii="Arial" w:cs="Arial" w:eastAsia="Arial" w:hAnsi="Arial"/>
          <w:sz w:val="18"/>
          <w:szCs w:val="18"/>
          <w:b w:val="1"/>
          <w:bCs w:val="1"/>
          <w:i w:val="1"/>
          <w:iCs w:val="1"/>
          <w:color w:val="auto"/>
        </w:rPr>
        <w:t>Basis for Opinions</w:t>
      </w:r>
    </w:p>
    <w:p>
      <w:pPr>
        <w:ind w:right="12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49" w:right="239" w:bottom="1440" w:gutter="0" w:footer="0" w:header="0"/>
        </w:sectPr>
      </w:pPr>
    </w:p>
    <w:bookmarkStart w:id="64" w:name="page65"/>
    <w:bookmarkEnd w:id="64"/>
    <w:p>
      <w:pPr>
        <w:spacing w:after="0" w:line="252" w:lineRule="auto"/>
        <w:rPr>
          <w:sz w:val="20"/>
          <w:szCs w:val="20"/>
          <w:color w:val="auto"/>
        </w:rPr>
      </w:pPr>
      <w:r>
        <w:rPr>
          <w:rFonts w:ascii="Arial" w:cs="Arial" w:eastAsia="Arial" w:hAnsi="Arial"/>
          <w:sz w:val="18"/>
          <w:szCs w:val="18"/>
          <w:color w:val="auto"/>
        </w:rPr>
        <w:t>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4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Determination of Estimated Costs to Complete for Long-Term Contracts</w:t>
      </w:r>
    </w:p>
    <w:p>
      <w:pPr>
        <w:spacing w:after="0" w:line="2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described in Note 6 to the consolidated financial statements, approximately 82% of the total revenue of $13 billion for the year ended December 31, 2019 is generated from long-term contracts. As disclosed by management, for the Company’s long-term contracts, 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it best depicts the transfer of control to the customer which occurs as the Company incurs costs on the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Due to the nature of the work required to be performed on many of the performance obligations, management’s estimation of total revenue and cost at completion is complex, subject to many variables and requires significant judgment. There are many factors, including, but not limited to, the ability to properly execute the engineering and design phases consistent with customers’ expectations, the availability and costs of labor and materials resources, productivity and weather, all of which can affect the accuracy of cost estimates, and ultimately, future profitability.</w:t>
      </w:r>
    </w:p>
    <w:p>
      <w:pPr>
        <w:spacing w:after="0" w:line="21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 determination of estimated costs to complete for long-term contracts is a critical audit matter are there was significant judgment by management when developing the estimated costs to complete for long-term contracts. This in turn led to a high degree of auditor judgment, subjectivity and effort in performing procedures and evaluating audit evidence related to the estimates of costs to complete.</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costs to complete for long-term contracts. These procedures also included, among others, evaluating and testing management’s process for determining estimates of costs to complete for a sample of contracts by obtaining executed purchase orders and agreements and evaluating the reasonableness of significant assumptions used by management. Evaluating the reasonableness of significant assumptions used involved assessing management’s ability to reasonably estimate costs to complete long-term contracts by (i) performing a comparison of the estimated and actual costs incurred related to completed similar contracts, (ii) evaluating the timely identification of circumstances which may warrant a modification to a previous cost estimate, (iii) testing management’s process to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46" w:right="239" w:bottom="1440" w:gutter="0" w:footer="0" w:header="0"/>
        </w:sectPr>
      </w:pPr>
    </w:p>
    <w:bookmarkStart w:id="65" w:name="page66"/>
    <w:bookmarkEnd w:id="65"/>
    <w:p>
      <w:pPr>
        <w:ind w:right="220"/>
        <w:spacing w:after="0" w:line="262" w:lineRule="auto"/>
        <w:rPr>
          <w:sz w:val="20"/>
          <w:szCs w:val="20"/>
          <w:color w:val="auto"/>
        </w:rPr>
      </w:pPr>
      <w:r>
        <w:rPr>
          <w:rFonts w:ascii="Arial" w:cs="Arial" w:eastAsia="Arial" w:hAnsi="Arial"/>
          <w:sz w:val="18"/>
          <w:szCs w:val="18"/>
          <w:color w:val="auto"/>
        </w:rPr>
        <w:t>evaluate contract contingencies relative to the contractual terms and actual progress of contracts, and (iv) performing a look-back analysis to assess variances between actual and estimated costs to complete.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 Subsea and Surface Technologies Segments</w:t>
      </w:r>
    </w:p>
    <w:p>
      <w:pPr>
        <w:spacing w:after="0" w:line="24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As described in Notes 1, 15 and 20 to the consolidated financial statements, the Company’s consolidated goodwill balance was $5.6 billion as of December 31, 2019, and the goodwill associated with the Subsea and Surface Technologies segments was $2.8 billion and 0.4 billion, respectively. For the year ended December 31, 2019, the Company recorded an impairment charge in relation to goodwill associated with the Subsea and Surface Technologies segments in the amount of $1.3 billion and $0.7 billion, respectively. As disclosed by management, the Company conducts an impairment test as of October 31 of each year, or more frequently if events or circumstances indicate that the carrying value of goodwill may be impaired. Potential impairment is identified by comparing the fair value of a reporting unit to its net book value, including goodwill. Management estimates the fair value of the reporting units using the income approach, which estimates fair value by discounting the reporting units’ estimated future cash flows using a weighted-average cost of capital that reflects current market conditions and the risk profile of the respective reporting unit. To arrive at its future cash flows, management uses estimates of economic and market assumptions, including growth rates in revenues, costs, estimates of future expected changes in operating margins, tax rates and cash expenditures.</w:t>
      </w:r>
    </w:p>
    <w:p>
      <w:pPr>
        <w:spacing w:after="0" w:line="212"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test for the Subsea and Surface Technologies segments is a critical audit matter are there was significant judgment by management when developing the fair value measurement of the underlying reporting units. This in turn led to a high degree of auditor judgment, subjectivity and effort in performing procedures and evaluating audit evidence related to management’s discounted cash flow models and significant assumptions, including the weighted-average cost of capital, revenue growth rates, and projected operating margins. In addition, the audit effort involved the use of professionals with specialized skill and knowledge to assist in performing these procedures and evaluating audit evidence obtained.</w:t>
      </w:r>
    </w:p>
    <w:p>
      <w:pPr>
        <w:spacing w:after="0" w:line="20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test, including controls over the determination of the fair value of the Company’s reporting units. These procedures also included, among others, evaluating the appropriateness of the discounted cash flow models and the reasonableness of significant assumptions related to the weighted-average cost of capital, revenue growth rates, and projected operating margins used by management in determining the fair values of the reporting units in the Subsea and Surface Technologies segments. Evaluating management’s assumptions related to revenue growth rates and projected operating margins involved evaluating whether the assumptions used by management were reasonable considering</w:t>
      </w:r>
    </w:p>
    <w:p>
      <w:pPr>
        <w:spacing w:after="0" w:line="3" w:lineRule="exact"/>
        <w:rPr>
          <w:sz w:val="20"/>
          <w:szCs w:val="20"/>
          <w:color w:val="auto"/>
        </w:rPr>
      </w:pPr>
    </w:p>
    <w:p>
      <w:pPr>
        <w:jc w:val="both"/>
        <w:ind w:right="100" w:firstLine="8"/>
        <w:spacing w:after="0" w:line="254"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current and past performance of the reporting units, (ii) contractually secured order intake and industry forecasts, and (iii) whether these assumptions were consistent with evidence obtained in other areas of the audit. Professionals with specialized skill and knowledge were used to assist in the evaluation of the Company’s discounted cash flow model and certain significant assumptions, including the weighted-average cost of capital.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Impairments - Certain Flexible Pipe and Umbilical Manufacturing Facilities</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described in Notes 1, 20 and 25 to the consolidated financial statements, the Company’s consolidated net property, plant and equipment was $3.2 billion as of December 31, 2019. For the year ended December 31, 2019, the Company recorded an impairment charge in relation to certain flexible pipe and umbilical manufacturing facilities in the amount of $168.9 million. Management conducts impairment tests on long-lived assets whenever events or changes in circumstances indicate the carrying value may not be recoverable. The carrying value of a long-lived asset is not recoverable if it exceeds the sum of the undiscounted cash flows expected to result from the use and eventual disposition over the asset’s remaining useful life. The prolonged downturn in the energy market and its corresponding impact on the Company’s business outlook led management to conclude the carrying amount of the flexible pipe and umbilical manufacturing facilities exceeded their fair value. For the fair value assessment performed as of December 31, 2019, management measured fair value by estimating the amount and timing of net future cash flows and discounting them using a risk-adjusted rate of interest.</w:t>
      </w:r>
    </w:p>
    <w:p>
      <w:pPr>
        <w:spacing w:after="0" w:line="2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principal considerations for our determination that performing procedures relating to the long-lived asset impairments - certain flexible pipe and umbilical manufacturing facilities is a critical audit matter are there was significant judgment by management when estimating the future cash flows of the assets. This in turn led to a high</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571" w:right="259" w:bottom="1440" w:gutter="0" w:footer="0" w:header="0"/>
        </w:sectPr>
      </w:pPr>
    </w:p>
    <w:bookmarkStart w:id="66" w:name="page67"/>
    <w:bookmarkEnd w:id="66"/>
    <w:p>
      <w:pPr>
        <w:ind w:right="200"/>
        <w:spacing w:after="0" w:line="262" w:lineRule="auto"/>
        <w:rPr>
          <w:sz w:val="20"/>
          <w:szCs w:val="20"/>
          <w:color w:val="auto"/>
        </w:rPr>
      </w:pPr>
      <w:r>
        <w:rPr>
          <w:rFonts w:ascii="Arial" w:cs="Arial" w:eastAsia="Arial" w:hAnsi="Arial"/>
          <w:sz w:val="18"/>
          <w:szCs w:val="18"/>
          <w:color w:val="auto"/>
        </w:rPr>
        <w:t>degree of auditor judgment, subjectivity and effort in performing procedures and evaluating audit evidence obtained related to management’s significant assumptions, including the amount and timing of net future cash flows.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long-lived assets impairments, including controls over management’s development of assumptions used in the estimated future cash flows. These procedures also included, among others, evaluating the appropriateness of the method used; testing the completeness and accuracy of the underlying data used in estimating the cash flows; and evaluating the reasonableness of significant assumptions used by management in developing the amount and timing of net future cash flows. Evaluating management’s significant assumptions, including the amount and timing of net future cash flows, involved evaluating whether the significant assumptions used by management were reasonable considering the current and past performance of the business associated with the assets and considering whether they were consistent with evidence obtained in other areas of the audit.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571" w:right="25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7"/>
          <w:szCs w:val="17"/>
          <w:b w:val="1"/>
          <w:bCs w:val="1"/>
          <w:color w:val="auto"/>
        </w:rPr>
        <w:t>TECHNIPFMC PLC AND CONSOLIDATED SUBSIDIARIES</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ectPr>
          <w:pgSz w:w="11900" w:h="16838" w:orient="portrait"/>
          <w:cols w:equalWidth="0" w:num="1">
            <w:col w:w="11380"/>
          </w:cols>
          <w:pgMar w:left="280" w:top="549"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data)</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Service revenue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Product revenue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Lease revenue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revenue</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Costs and expenses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Cost of service revenue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Cost of product revenue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Cost of lease revenue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Selling, general and administrative expense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Research and development expense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Impairment, restructuring and other expense (Note 20)</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Separation costs (Note 3)</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Merger transaction and integration costs (Note 2)</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costs and expenses</w:t>
      </w:r>
    </w:p>
    <w:p>
      <w:pPr>
        <w:spacing w:after="0" w:line="200" w:lineRule="exact"/>
        <w:rPr>
          <w:sz w:val="20"/>
          <w:szCs w:val="20"/>
          <w:color w:val="auto"/>
        </w:rPr>
      </w:pPr>
    </w:p>
    <w:p>
      <w:pPr>
        <w:spacing w:after="0" w:line="21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Income from equity affiliates (Note 12)</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(loss) before interest income, interest expense and income taxes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expense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(loss) before income taxes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Provision for income taxes (Note 22)</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(loss)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profit attributable to noncontrolling interests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(loss) attributable to TechnipFMC plc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Earnings (loss) per share attributable to TechnipFMC plc (Note 8)</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Diluted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Weighted average shares outstanding (Note 8)</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2967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528"/>
        </w:trPr>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9,789.7</w:t>
            </w:r>
          </w:p>
        </w:tc>
        <w:tc>
          <w:tcPr>
            <w:tcW w:w="120" w:type="dxa"/>
            <w:vAlign w:val="bottom"/>
          </w:tcPr>
          <w:p>
            <w:pPr>
              <w:spacing w:after="0"/>
              <w:rPr>
                <w:sz w:val="24"/>
                <w:szCs w:val="24"/>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9,057.6</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11,445.9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3,352.9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3,272.6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3,416.4</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266.5</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194.6</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13,409.1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12,552.9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15,056.9</w:t>
            </w:r>
          </w:p>
        </w:tc>
      </w:tr>
      <w:tr>
        <w:trPr>
          <w:trHeight w:val="824"/>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7,767.2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7,452.7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9,433.1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3,015.6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2,676.9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2,954.3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167.9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137.2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1,228.1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1,140.6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1,060.9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162.9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212.9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2,490.8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1,831.2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101.8</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14,935.8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14,091.7</w:t>
            </w:r>
          </w:p>
        </w:tc>
      </w:tr>
      <w:tr>
        <w:trPr>
          <w:trHeight w:val="554"/>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(220.7)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(25.9)</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w:t>
            </w:r>
          </w:p>
        </w:tc>
      </w:tr>
      <w:tr>
        <w:trPr>
          <w:trHeight w:val="244"/>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(1,684.5)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994.9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116.5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140.8</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(567.8)</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(456.0)</w:t>
            </w:r>
          </w:p>
        </w:tc>
      </w:tr>
      <w:tr>
        <w:trPr>
          <w:trHeight w:val="244"/>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(2,135.8)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679.7</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276.3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422.7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545.5</w:t>
            </w:r>
          </w:p>
        </w:tc>
      </w:tr>
      <w:tr>
        <w:trPr>
          <w:trHeight w:val="244"/>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(2,412.1)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134.2</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r>
      <w:tr>
        <w:trPr>
          <w:trHeight w:val="237"/>
        </w:trPr>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(2,415.2)</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39"/>
        </w:trPr>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24"/>
                <w:szCs w:val="24"/>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0.24</w:t>
            </w:r>
          </w:p>
        </w:tc>
      </w:tr>
      <w:tr>
        <w:trPr>
          <w:trHeight w:val="270"/>
        </w:trPr>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23"/>
                <w:szCs w:val="23"/>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0.24</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448.0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466.7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448.0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-5900420</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-5548630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-5205730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-4853940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-4511040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-4168140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-3825240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-3482340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-3138805</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-2787650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-2444115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-2101215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-1758315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-1415415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-1021080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-677545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-334645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5980" w:space="720"/>
            <w:col w:w="4680"/>
          </w:cols>
          <w:pgMar w:left="280" w:top="549" w:right="239" w:bottom="1440" w:gutter="0" w:footer="0" w:header="0"/>
          <w:type w:val="continuous"/>
        </w:sect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80" w:top="549"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(loss)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Foreign currency translation adjustments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gain (losses) arising during the period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Reclassification adjustment for net gains included in net income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Foreign currency translation adjustments</w:t>
      </w:r>
      <w:r>
        <w:rPr>
          <w:rFonts w:ascii="Arial" w:cs="Arial" w:eastAsia="Arial" w:hAnsi="Arial"/>
          <w:sz w:val="17"/>
          <w:szCs w:val="17"/>
          <w:b w:val="1"/>
          <w:bCs w:val="1"/>
          <w:color w:val="auto"/>
          <w:vertAlign w:val="superscript"/>
        </w:rPr>
        <w:t>(a)</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Net gains (losses) on hedging instruments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29673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44"/>
        </w:trPr>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(2,412.1)</w:t>
            </w:r>
          </w:p>
        </w:tc>
        <w:tc>
          <w:tcPr>
            <w:tcW w:w="120" w:type="dxa"/>
            <w:vAlign w:val="bottom"/>
          </w:tcPr>
          <w:p>
            <w:pPr>
              <w:spacing w:after="0"/>
              <w:rPr>
                <w:sz w:val="21"/>
                <w:szCs w:val="21"/>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(1,910.8)</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134.2</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(183.3)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(87.2)</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-849630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-506095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-163195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97" w:lineRule="exact"/>
        <w:rPr>
          <w:sz w:val="20"/>
          <w:szCs w:val="20"/>
          <w:color w:val="auto"/>
        </w:rPr>
      </w:pPr>
    </w:p>
    <w:p>
      <w:pPr>
        <w:sectPr>
          <w:pgSz w:w="11900" w:h="16838" w:orient="portrait"/>
          <w:cols w:equalWidth="0" w:num="2">
            <w:col w:w="6020" w:space="720"/>
            <w:col w:w="4680"/>
          </w:cols>
          <w:pgMar w:left="240" w:top="549" w:right="2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6740" w:type="dxa"/>
            <w:vAlign w:val="bottom"/>
          </w:tcPr>
          <w:p>
            <w:pPr>
              <w:ind w:left="280"/>
              <w:spacing w:after="0"/>
              <w:rPr>
                <w:sz w:val="20"/>
                <w:szCs w:val="20"/>
                <w:color w:val="auto"/>
              </w:rPr>
            </w:pPr>
            <w:r>
              <w:rPr>
                <w:rFonts w:ascii="Arial" w:cs="Arial" w:eastAsia="Arial" w:hAnsi="Arial"/>
                <w:sz w:val="14"/>
                <w:szCs w:val="14"/>
                <w:color w:val="auto"/>
              </w:rPr>
              <w:t>Net gains (losses) arising during the period</w:t>
            </w:r>
          </w:p>
        </w:tc>
        <w:tc>
          <w:tcPr>
            <w:tcW w:w="480" w:type="dxa"/>
            <w:vAlign w:val="bottom"/>
          </w:tcPr>
          <w:p>
            <w:pPr>
              <w:spacing w:after="0"/>
              <w:rPr>
                <w:sz w:val="14"/>
                <w:szCs w:val="14"/>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net losses (gains) included in net income</w:t>
            </w: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 xml:space="preserve">Net gains (losses) on hedging instruments </w:t>
            </w:r>
            <w:r>
              <w:rPr>
                <w:rFonts w:ascii="Arial" w:cs="Arial" w:eastAsia="Arial" w:hAnsi="Arial"/>
                <w:sz w:val="17"/>
                <w:szCs w:val="17"/>
                <w:b w:val="1"/>
                <w:bCs w:val="1"/>
                <w:color w:val="auto"/>
                <w:vertAlign w:val="superscript"/>
              </w:rPr>
              <w:t>(b)</w:t>
            </w:r>
          </w:p>
        </w:tc>
        <w:tc>
          <w:tcPr>
            <w:tcW w:w="480" w:type="dxa"/>
            <w:vAlign w:val="bottom"/>
          </w:tcPr>
          <w:p>
            <w:pPr>
              <w:spacing w:after="0"/>
              <w:rPr>
                <w:sz w:val="17"/>
                <w:szCs w:val="17"/>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48"/>
        </w:trPr>
        <w:tc>
          <w:tcPr>
            <w:tcW w:w="6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67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gains (losses) arising during the period</w:t>
            </w:r>
          </w:p>
        </w:tc>
        <w:tc>
          <w:tcPr>
            <w:tcW w:w="4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280"/>
              <w:spacing w:after="0"/>
              <w:rPr>
                <w:sz w:val="20"/>
                <w:szCs w:val="20"/>
                <w:color w:val="auto"/>
              </w:rPr>
            </w:pPr>
            <w:r>
              <w:rPr>
                <w:rFonts w:ascii="Arial" w:cs="Arial" w:eastAsia="Arial" w:hAnsi="Arial"/>
                <w:sz w:val="14"/>
                <w:szCs w:val="14"/>
                <w:color w:val="auto"/>
              </w:rPr>
              <w:t>Prior service cost arising during the period</w:t>
            </w:r>
          </w:p>
        </w:tc>
        <w:tc>
          <w:tcPr>
            <w:tcW w:w="4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settlement losses (gains) included in net income</w:t>
            </w: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280"/>
              <w:spacing w:after="0"/>
              <w:rPr>
                <w:sz w:val="20"/>
                <w:szCs w:val="20"/>
                <w:color w:val="auto"/>
              </w:rPr>
            </w:pPr>
            <w:r>
              <w:rPr>
                <w:rFonts w:ascii="Arial" w:cs="Arial" w:eastAsia="Arial" w:hAnsi="Arial"/>
                <w:sz w:val="14"/>
                <w:szCs w:val="14"/>
                <w:color w:val="auto"/>
              </w:rPr>
              <w:t>Reclassification adjustment for amortization of prior service cost included in net income</w:t>
            </w:r>
          </w:p>
        </w:tc>
        <w:tc>
          <w:tcPr>
            <w:tcW w:w="480" w:type="dxa"/>
            <w:vAlign w:val="bottom"/>
          </w:tcPr>
          <w:p>
            <w:pPr>
              <w:spacing w:after="0"/>
              <w:rPr>
                <w:sz w:val="17"/>
                <w:szCs w:val="17"/>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amortization of net actuarial loss included in net income</w:t>
            </w: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 xml:space="preserve">Net pension and other post-retirement benefits </w:t>
            </w:r>
            <w:r>
              <w:rPr>
                <w:rFonts w:ascii="Arial" w:cs="Arial" w:eastAsia="Arial" w:hAnsi="Arial"/>
                <w:sz w:val="17"/>
                <w:szCs w:val="17"/>
                <w:b w:val="1"/>
                <w:bCs w:val="1"/>
                <w:color w:val="auto"/>
                <w:vertAlign w:val="superscript"/>
              </w:rPr>
              <w:t>(c)</w:t>
            </w:r>
          </w:p>
        </w:tc>
        <w:tc>
          <w:tcPr>
            <w:tcW w:w="4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48"/>
        </w:trPr>
        <w:tc>
          <w:tcPr>
            <w:tcW w:w="67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(loss), net of tax</w:t>
            </w:r>
          </w:p>
        </w:tc>
        <w:tc>
          <w:tcPr>
            <w:tcW w:w="4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(360.6)</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4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(2,460.6)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(2,271.4)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income attributable to noncontrolling interest</w:t>
            </w: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(2,463.0)</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(2,277.6)</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Net of income tax (expense) benefit of $7.9, $3.6 and $(11.5) for the years ended December 31, 2019, 2018 and 2017,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Net of income tax (expense) benefit of $(6.9), $16.6 and $(52.5) for the years ended December 31, 2019, 2018 and 2017,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Net of income tax (expense) benefit of $20.3, $15.5 and $(11.7) for the years ended December 31, 2019, 2018 and 2017,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49"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 except par value data)</w:t>
            </w: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December 31,</w:t>
            </w:r>
          </w:p>
        </w:tc>
        <w:tc>
          <w:tcPr>
            <w:tcW w:w="1000" w:type="dxa"/>
            <w:vAlign w:val="bottom"/>
            <w:tcBorders>
              <w:bottom w:val="single" w:sz="8" w:color="auto"/>
            </w:tcBorders>
          </w:tcPr>
          <w:p>
            <w:pPr>
              <w:spacing w:after="0"/>
              <w:rPr>
                <w:sz w:val="15"/>
                <w:szCs w:val="15"/>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Assets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3"/>
                <w:szCs w:val="13"/>
                <w:b w:val="1"/>
                <w:bCs w:val="1"/>
                <w:color w:val="auto"/>
              </w:rPr>
              <w:t>2019</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3"/>
                <w:szCs w:val="13"/>
                <w:b w:val="1"/>
                <w:bCs w:val="1"/>
                <w:color w:val="auto"/>
              </w:rPr>
              <w:t>2018</w:t>
            </w:r>
          </w:p>
        </w:tc>
      </w:tr>
      <w:tr>
        <w:trPr>
          <w:trHeight w:val="249"/>
        </w:trPr>
        <w:tc>
          <w:tcPr>
            <w:tcW w:w="8340" w:type="dxa"/>
            <w:vAlign w:val="bottom"/>
          </w:tcPr>
          <w:p>
            <w:pPr>
              <w:ind w:left="280"/>
              <w:spacing w:after="0"/>
              <w:rPr>
                <w:sz w:val="20"/>
                <w:szCs w:val="20"/>
                <w:color w:val="auto"/>
              </w:rPr>
            </w:pPr>
            <w:r>
              <w:rPr>
                <w:rFonts w:ascii="Arial" w:cs="Arial" w:eastAsia="Arial" w:hAnsi="Arial"/>
                <w:sz w:val="13"/>
                <w:szCs w:val="13"/>
                <w:color w:val="auto"/>
              </w:rPr>
              <w:t>Cash and cash equivalents</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5,190.2</w:t>
            </w:r>
          </w:p>
        </w:tc>
        <w:tc>
          <w:tcPr>
            <w:tcW w:w="120" w:type="dxa"/>
            <w:vAlign w:val="bottom"/>
          </w:tcPr>
          <w:p>
            <w:pPr>
              <w:spacing w:after="0"/>
              <w:rPr>
                <w:sz w:val="21"/>
                <w:szCs w:val="21"/>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5,540.0</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Trade receivables, net of allowances of $95.4 in 2019 and $119.6 in 2018</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2,287.1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2,469.7</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Contract assets</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1,520.0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1,295.0</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Inventories, net (Note 9)</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1,416.0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1,251.2</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Derivative financial instruments (Note 24)</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101.9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95.7</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taxes receivable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284.3</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Advances paid to suppliers</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242.9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189.7</w:t>
            </w:r>
          </w:p>
        </w:tc>
      </w:tr>
      <w:tr>
        <w:trPr>
          <w:trHeight w:val="272"/>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assets (Note 10)</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863.7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655.6</w:t>
            </w:r>
          </w:p>
        </w:tc>
      </w:tr>
      <w:tr>
        <w:trPr>
          <w:trHeight w:val="249"/>
        </w:trPr>
        <w:tc>
          <w:tcPr>
            <w:tcW w:w="834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360" w:type="dxa"/>
            <w:vAlign w:val="bottom"/>
          </w:tcPr>
          <w:p>
            <w:pPr>
              <w:spacing w:after="0"/>
              <w:rPr>
                <w:sz w:val="21"/>
                <w:szCs w:val="21"/>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11,886.4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11,781.2</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Investments in equity affiliates (Note 12)</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300.4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394.5</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Property, plant and equipment, net (Note 14)</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3,162.0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3,259.8</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Operating lease right-of-use assets (Note 5)</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892.6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Goodwill (Note 15)</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5,598.3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7,607.6</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Intangible assets, net (Note 15)</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1,086.6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1,176.7</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Deferred income taxes (Note 22)</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260.5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232.4</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 financial instruments (Note 24)</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18.3</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assets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292.5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314.0</w:t>
            </w:r>
          </w:p>
        </w:tc>
      </w:tr>
      <w:tr>
        <w:trPr>
          <w:trHeight w:val="24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assets</w:t>
            </w: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23,518.8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24,784.5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65"/>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Liabilities and equity</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Short-term debt and current portion of long-term debt (Note 16)</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495.4</w:t>
            </w:r>
          </w:p>
        </w:tc>
        <w:tc>
          <w:tcPr>
            <w:tcW w:w="120" w:type="dxa"/>
            <w:vAlign w:val="bottom"/>
          </w:tcPr>
          <w:p>
            <w:pPr>
              <w:spacing w:after="0"/>
              <w:rPr>
                <w:sz w:val="22"/>
                <w:szCs w:val="22"/>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67.4</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Operating lease liabilities (Note 5)</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275.1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Accounts payable, trade</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2,659.8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2,600.3</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Contract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4,585.1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4,085.1</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Accrued payroll</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411.5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394.7</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 financial instruments (Note 24)</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138.4</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Income taxes payable</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75.7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81.9</w:t>
            </w:r>
          </w:p>
        </w:tc>
      </w:tr>
      <w:tr>
        <w:trPr>
          <w:trHeight w:val="272"/>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liabilities (Note 10)</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1,494.5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1,771.6</w:t>
            </w:r>
          </w:p>
        </w:tc>
      </w:tr>
      <w:tr>
        <w:trPr>
          <w:trHeight w:val="249"/>
        </w:trPr>
        <w:tc>
          <w:tcPr>
            <w:tcW w:w="8340" w:type="dxa"/>
            <w:vAlign w:val="bottom"/>
          </w:tcPr>
          <w:p>
            <w:pPr>
              <w:ind w:left="380"/>
              <w:spacing w:after="0"/>
              <w:rPr>
                <w:sz w:val="20"/>
                <w:szCs w:val="20"/>
                <w:color w:val="auto"/>
              </w:rPr>
            </w:pPr>
            <w:r>
              <w:rPr>
                <w:rFonts w:ascii="Arial" w:cs="Arial" w:eastAsia="Arial" w:hAnsi="Arial"/>
                <w:sz w:val="13"/>
                <w:szCs w:val="13"/>
                <w:color w:val="auto"/>
              </w:rPr>
              <w:t>Total current liabilities</w:t>
            </w:r>
          </w:p>
        </w:tc>
        <w:tc>
          <w:tcPr>
            <w:tcW w:w="360" w:type="dxa"/>
            <w:vAlign w:val="bottom"/>
          </w:tcPr>
          <w:p>
            <w:pPr>
              <w:spacing w:after="0"/>
              <w:rPr>
                <w:sz w:val="21"/>
                <w:szCs w:val="21"/>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10,138.4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9,139.4</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Long-term debt, less current portion (Note 16)</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3,980.0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4,124.3</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Operating lease liabilities (Note 5)</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681.7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 (Note 22)</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209.2</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Accrued pension and other post-retirement benefits, less current portion (Note 23)</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368.6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298.9</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 financial instruments (Note 24)</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44.9</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430.0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540.4</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15,789.6</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14,357.1</w:t>
            </w:r>
          </w:p>
        </w:tc>
      </w:tr>
      <w:tr>
        <w:trPr>
          <w:trHeight w:val="242"/>
        </w:trPr>
        <w:tc>
          <w:tcPr>
            <w:tcW w:w="8340" w:type="dxa"/>
            <w:vAlign w:val="bottom"/>
          </w:tcPr>
          <w:p>
            <w:pPr>
              <w:ind w:left="280"/>
              <w:spacing w:after="0"/>
              <w:rPr>
                <w:sz w:val="20"/>
                <w:szCs w:val="20"/>
                <w:color w:val="auto"/>
              </w:rPr>
            </w:pPr>
            <w:r>
              <w:rPr>
                <w:rFonts w:ascii="Arial" w:cs="Arial" w:eastAsia="Arial" w:hAnsi="Arial"/>
                <w:sz w:val="13"/>
                <w:szCs w:val="13"/>
                <w:color w:val="auto"/>
              </w:rPr>
              <w:t>Commitments and contingent liabilities (Note 21)</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2"/>
        </w:trPr>
        <w:tc>
          <w:tcPr>
            <w:tcW w:w="83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Mezzanine equity</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Redeemable noncontrolling interest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41.1</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Stockholders’ equity (Note 18)</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156"/>
        </w:trPr>
        <w:tc>
          <w:tcPr>
            <w:tcW w:w="8340" w:type="dxa"/>
            <w:vAlign w:val="bottom"/>
          </w:tcPr>
          <w:p>
            <w:pPr>
              <w:ind w:left="280"/>
              <w:spacing w:after="0"/>
              <w:rPr>
                <w:sz w:val="20"/>
                <w:szCs w:val="20"/>
                <w:color w:val="auto"/>
              </w:rPr>
            </w:pPr>
            <w:r>
              <w:rPr>
                <w:rFonts w:ascii="Arial" w:cs="Arial" w:eastAsia="Arial" w:hAnsi="Arial"/>
                <w:sz w:val="13"/>
                <w:szCs w:val="13"/>
                <w:color w:val="auto"/>
                <w:w w:val="99"/>
              </w:rPr>
              <w:t>Ordinary shares, $1.00 par value; 618.3 shares and 618.3 shares authorized in 2019 and 2018, respectively; 447.1 shares and 450.5 shares</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0"/>
        </w:trPr>
        <w:tc>
          <w:tcPr>
            <w:tcW w:w="8340" w:type="dxa"/>
            <w:vAlign w:val="bottom"/>
          </w:tcPr>
          <w:p>
            <w:pPr>
              <w:ind w:left="280"/>
              <w:spacing w:after="0"/>
              <w:rPr>
                <w:sz w:val="20"/>
                <w:szCs w:val="20"/>
                <w:color w:val="auto"/>
              </w:rPr>
            </w:pPr>
            <w:r>
              <w:rPr>
                <w:rFonts w:ascii="Arial" w:cs="Arial" w:eastAsia="Arial" w:hAnsi="Arial"/>
                <w:sz w:val="13"/>
                <w:szCs w:val="13"/>
                <w:color w:val="auto"/>
              </w:rPr>
              <w:t>issued and outstanding in 2019 and 2018, respectively; 4.0 and 14.8 shares canceled in 2019 and 2018, respectively</w:t>
            </w:r>
          </w:p>
        </w:tc>
        <w:tc>
          <w:tcPr>
            <w:tcW w:w="36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447.1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450.5</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Ordinary shares held in employee benefit trust, at cost; nil and 0.1 shares in 2019 and 2018, respectively</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262"/>
        </w:trPr>
        <w:tc>
          <w:tcPr>
            <w:tcW w:w="8340" w:type="dxa"/>
            <w:vAlign w:val="bottom"/>
          </w:tcPr>
          <w:p>
            <w:pPr>
              <w:ind w:left="280"/>
              <w:spacing w:after="0"/>
              <w:rPr>
                <w:sz w:val="20"/>
                <w:szCs w:val="20"/>
                <w:color w:val="auto"/>
              </w:rPr>
            </w:pPr>
            <w:r>
              <w:rPr>
                <w:rFonts w:ascii="Arial" w:cs="Arial" w:eastAsia="Arial" w:hAnsi="Arial"/>
                <w:sz w:val="13"/>
                <w:szCs w:val="13"/>
                <w:color w:val="auto"/>
              </w:rPr>
              <w:t>Capital in excess of par value of ordinary shares</w:t>
            </w:r>
          </w:p>
        </w:tc>
        <w:tc>
          <w:tcPr>
            <w:tcW w:w="3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10,182.8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10,197.0</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deficit) retained earnings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(1,563.1)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1,072.2</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Accumulated other comprehensive loss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(1,407.5)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(1,359.7)</w:t>
            </w: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TechnipFMC plc stockholders’ equity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7,659.3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10,357.6</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Noncontrolling interests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31.3</w:t>
            </w: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equity</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7,688.1</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10,388.9</w:t>
            </w:r>
          </w:p>
        </w:tc>
      </w:tr>
      <w:tr>
        <w:trPr>
          <w:trHeight w:val="235"/>
        </w:trPr>
        <w:tc>
          <w:tcPr>
            <w:tcW w:w="8340" w:type="dxa"/>
            <w:vAlign w:val="bottom"/>
          </w:tcPr>
          <w:p>
            <w:pPr>
              <w:ind w:left="40"/>
              <w:spacing w:after="0"/>
              <w:rPr>
                <w:sz w:val="20"/>
                <w:szCs w:val="20"/>
                <w:color w:val="auto"/>
              </w:rPr>
            </w:pPr>
            <w:r>
              <w:rPr>
                <w:rFonts w:ascii="Arial" w:cs="Arial" w:eastAsia="Arial" w:hAnsi="Arial"/>
                <w:sz w:val="13"/>
                <w:szCs w:val="13"/>
                <w:b w:val="1"/>
                <w:bCs w:val="1"/>
                <w:color w:val="auto"/>
              </w:rPr>
              <w:t>Total liabilities and equity</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23,518.8</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24,784.5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420"/>
          </w:cols>
          <w:pgMar w:left="240" w:top="684" w:right="239" w:bottom="314"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684" w:right="239" w:bottom="314"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(2,412.1)</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(1,910.8)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134.2</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Adjustments to reconcile net income to cash provided (required) by operating activities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383.5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367.8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370.2</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244.5</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Impairments (Note 20)</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2,484.1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1,792.6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34.3</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Employee benefit plan and share-based compensation costs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Deferred income tax provision (benefit), net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141.6</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loss (gain) on derivative instruments and foreign exchange</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Income from equity affiliates, net of dividends received</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364.4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 and contract assets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286.8</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Inventories, net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(339.4)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130.9</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trade</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520.1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762.7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(1,111.4)</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 (receivable), net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Other current assets and liabilities, net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(431.8)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921.2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646.5</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noncurrent assets and liabilities, net</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848.5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210.7</w:t>
            </w:r>
          </w:p>
        </w:tc>
      </w:tr>
      <w:tr>
        <w:trPr>
          <w:trHeight w:val="283"/>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Cash provided (required) by investing activities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expenditures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Cash acquired in merger of FMC Technologies, Inc. and Technip S.A. (Note 2)</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1,479.2</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to acquire debt securities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Proceeds from sale of debt securities</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 net of cash acquired</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Cash divested from deconsolidation</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of assets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Proceeds from repayment of advance to joint venture</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62.0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investing activities</w:t>
            </w:r>
          </w:p>
        </w:tc>
        <w:tc>
          <w:tcPr>
            <w:tcW w:w="3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(419.8)</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(460.2)</w:t>
            </w: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1,250.0</w:t>
            </w:r>
          </w:p>
        </w:tc>
      </w:tr>
      <w:tr>
        <w:trPr>
          <w:trHeight w:val="283"/>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Cash provided (required) by financing activities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decrease in short-term debt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Net increase in commercial paper</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57.3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496.6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234.9</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Repayments of long-term debt</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(888.0)</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ordinary shares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Dividends paid</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(232.8)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(60.6)</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related to taxes withheld on share-based compensation</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Settlements of mandatorily redeemable financial liability</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(562.8)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(156.5)</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financing activities</w:t>
            </w:r>
          </w:p>
        </w:tc>
        <w:tc>
          <w:tcPr>
            <w:tcW w:w="3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(784.4)</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(444.8)</w:t>
            </w: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(1,054.8)</w:t>
            </w: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r>
      <w:tr>
        <w:trPr>
          <w:trHeight w:val="250"/>
        </w:trPr>
        <w:tc>
          <w:tcPr>
            <w:tcW w:w="6740" w:type="dxa"/>
            <w:vAlign w:val="bottom"/>
          </w:tcPr>
          <w:p>
            <w:pPr>
              <w:ind w:left="180"/>
              <w:spacing w:after="0"/>
              <w:rPr>
                <w:sz w:val="20"/>
                <w:szCs w:val="20"/>
                <w:color w:val="auto"/>
              </w:rPr>
            </w:pPr>
            <w:r>
              <w:rPr>
                <w:rFonts w:ascii="Arial" w:cs="Arial" w:eastAsia="Arial" w:hAnsi="Arial"/>
                <w:sz w:val="14"/>
                <w:szCs w:val="14"/>
                <w:color w:val="auto"/>
              </w:rPr>
              <w:t>Increase (decrease) in cash and cash equivalents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(349.8)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468.1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5,540.0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6,737.4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6,269.3</w:t>
            </w:r>
          </w:p>
        </w:tc>
      </w:tr>
      <w:tr>
        <w:trPr>
          <w:trHeight w:val="243"/>
        </w:trPr>
        <w:tc>
          <w:tcPr>
            <w:tcW w:w="6740" w:type="dxa"/>
            <w:vAlign w:val="bottom"/>
          </w:tcPr>
          <w:p>
            <w:pPr>
              <w:ind w:left="40"/>
              <w:spacing w:after="0"/>
              <w:rPr>
                <w:sz w:val="20"/>
                <w:szCs w:val="20"/>
                <w:color w:val="auto"/>
              </w:rPr>
            </w:pPr>
            <w:r>
              <w:rPr>
                <w:rFonts w:ascii="Arial" w:cs="Arial" w:eastAsia="Arial" w:hAnsi="Arial"/>
                <w:sz w:val="14"/>
                <w:szCs w:val="14"/>
                <w:color w:val="auto"/>
              </w:rPr>
              <w:t>Cash and cash equivalents, end of year</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5,190.2</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5,540.0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6,737.4</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549" w:right="2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Supplemental disclosures of cash flow information</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280"/>
              <w:spacing w:after="0"/>
              <w:rPr>
                <w:sz w:val="20"/>
                <w:szCs w:val="20"/>
                <w:color w:val="auto"/>
              </w:rPr>
            </w:pPr>
            <w:r>
              <w:rPr>
                <w:rFonts w:ascii="Arial" w:cs="Arial" w:eastAsia="Arial" w:hAnsi="Arial"/>
                <w:sz w:val="14"/>
                <w:szCs w:val="14"/>
                <w:color w:val="auto"/>
              </w:rPr>
              <w:t>Cash paid for interest (net of interest capitalized)</w:t>
            </w:r>
          </w:p>
        </w:tc>
        <w:tc>
          <w:tcPr>
            <w:tcW w:w="3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109.4</w:t>
            </w:r>
          </w:p>
        </w:tc>
        <w:tc>
          <w:tcPr>
            <w:tcW w:w="54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income taxes (net of refunds received)</w:t>
            </w:r>
          </w:p>
        </w:tc>
        <w:tc>
          <w:tcPr>
            <w:tcW w:w="3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5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424.7</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540" w:type="dxa"/>
            <w:vAlign w:val="bottom"/>
            <w:gridSpan w:val="3"/>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9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Ordinary</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Shares Held in</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Treasury and</w:t>
            </w: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Capital in</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Employee</w:t>
            </w: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Excess of Par</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1"/>
                <w:szCs w:val="11"/>
                <w:color w:val="auto"/>
              </w:rPr>
            </w:pPr>
          </w:p>
        </w:tc>
        <w:tc>
          <w:tcPr>
            <w:tcW w:w="10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Ordinary</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Benefit</w:t>
            </w: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Value of</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20" w:type="dxa"/>
            <w:vAlign w:val="bottom"/>
          </w:tcPr>
          <w:p>
            <w:pPr>
              <w:spacing w:after="0"/>
              <w:rPr>
                <w:sz w:val="11"/>
                <w:szCs w:val="11"/>
                <w:color w:val="auto"/>
              </w:rPr>
            </w:pPr>
          </w:p>
        </w:tc>
        <w:tc>
          <w:tcPr>
            <w:tcW w:w="10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Trust</w:t>
            </w: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Ordinary Shares</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57"/>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December 31, 2016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114.7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(44.5)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2,683.1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3,362.1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(1,101.6)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5,002.1</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6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00" w:type="dxa"/>
            <w:vAlign w:val="bottom"/>
            <w:vMerge w:val="restart"/>
          </w:tcPr>
          <w:p>
            <w:pPr>
              <w:jc w:val="right"/>
              <w:ind w:right="57"/>
              <w:spacing w:after="0"/>
              <w:rPr>
                <w:sz w:val="20"/>
                <w:szCs w:val="20"/>
                <w:color w:val="auto"/>
              </w:rPr>
            </w:pPr>
            <w:r>
              <w:rPr>
                <w:rFonts w:ascii="Arial" w:cs="Arial" w:eastAsia="Arial" w:hAnsi="Arial"/>
                <w:sz w:val="13"/>
                <w:szCs w:val="13"/>
                <w:color w:val="auto"/>
              </w:rPr>
              <w:t>113.3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134.2</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98.3</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40"/>
              <w:spacing w:after="0"/>
              <w:rPr>
                <w:sz w:val="20"/>
                <w:szCs w:val="20"/>
                <w:color w:val="auto"/>
              </w:rPr>
            </w:pPr>
            <w:r>
              <w:rPr>
                <w:rFonts w:ascii="Arial" w:cs="Arial" w:eastAsia="Arial" w:hAnsi="Arial"/>
                <w:sz w:val="13"/>
                <w:szCs w:val="13"/>
                <w:color w:val="auto"/>
              </w:rPr>
              <w:t>Issuance of ordinary shares due to the</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40"/>
              <w:spacing w:after="0"/>
              <w:rPr>
                <w:sz w:val="20"/>
                <w:szCs w:val="20"/>
                <w:color w:val="auto"/>
              </w:rPr>
            </w:pPr>
            <w:r>
              <w:rPr>
                <w:rFonts w:ascii="Arial" w:cs="Arial" w:eastAsia="Arial" w:hAnsi="Arial"/>
                <w:sz w:val="13"/>
                <w:szCs w:val="13"/>
                <w:color w:val="auto"/>
              </w:rPr>
              <w:t>merger of FMC Technologies and Technip</w:t>
            </w:r>
          </w:p>
        </w:tc>
        <w:tc>
          <w:tcPr>
            <w:tcW w:w="16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351.9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7,825.4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8,170.7</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Cancellation of treasury shares due to the</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merger of FMC Technologies and Technip</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3"/>
                <w:szCs w:val="13"/>
                <w:color w:val="auto"/>
              </w:rPr>
              <w:t>Cancellation treasury shares (Note 18)</w:t>
            </w:r>
          </w:p>
        </w:tc>
        <w:tc>
          <w:tcPr>
            <w:tcW w:w="16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vMerge w:val="restart"/>
          </w:tcPr>
          <w:p>
            <w:pPr>
              <w:jc w:val="right"/>
              <w:ind w:right="17"/>
              <w:spacing w:after="0"/>
              <w:rPr>
                <w:sz w:val="20"/>
                <w:szCs w:val="20"/>
                <w:color w:val="auto"/>
              </w:rPr>
            </w:pPr>
            <w:r>
              <w:rPr>
                <w:rFonts w:ascii="Arial" w:cs="Arial" w:eastAsia="Arial" w:hAnsi="Arial"/>
                <w:sz w:val="13"/>
                <w:szCs w:val="13"/>
                <w:color w:val="auto"/>
              </w:rPr>
              <w:t>(47.6)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ind w:right="17"/>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of ordinary shares for employee</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benefit trust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3"/>
                <w:szCs w:val="13"/>
                <w:color w:val="auto"/>
              </w:rPr>
              <w:t>Issuance of ordinary shares</w:t>
            </w:r>
          </w:p>
        </w:tc>
        <w:tc>
          <w:tcPr>
            <w:tcW w:w="16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vMerge w:val="restart"/>
          </w:tcPr>
          <w:p>
            <w:pPr>
              <w:jc w:val="right"/>
              <w:ind w:right="5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($0.13 per share) (Note 18)</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3"/>
                <w:szCs w:val="13"/>
                <w:color w:val="auto"/>
              </w:rPr>
              <w:t>Share-based compensation (Note 19)</w:t>
            </w:r>
          </w:p>
        </w:tc>
        <w:tc>
          <w:tcPr>
            <w:tcW w:w="16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vMerge w:val="restart"/>
          </w:tcPr>
          <w:p>
            <w:pPr>
              <w:jc w:val="right"/>
              <w:ind w:right="57"/>
              <w:spacing w:after="0"/>
              <w:rPr>
                <w:sz w:val="20"/>
                <w:szCs w:val="20"/>
                <w:color w:val="auto"/>
              </w:rPr>
            </w:pPr>
            <w:r>
              <w:rPr>
                <w:rFonts w:ascii="Arial" w:cs="Arial" w:eastAsia="Arial" w:hAnsi="Arial"/>
                <w:sz w:val="13"/>
                <w:szCs w:val="13"/>
                <w:color w:val="auto"/>
              </w:rPr>
              <w:t>44.4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Balance as of December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465.1</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(4.8)</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10,483.3</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3,406.0</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(1,003.7)</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13,367.4</w:t>
            </w: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Adoption of accounting standards (Note 6)</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(91.5)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(91.4)</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6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00" w:type="dxa"/>
            <w:vAlign w:val="bottom"/>
            <w:vMerge w:val="restart"/>
          </w:tcPr>
          <w:p>
            <w:pPr>
              <w:jc w:val="right"/>
              <w:ind w:right="17"/>
              <w:spacing w:after="0"/>
              <w:rPr>
                <w:sz w:val="20"/>
                <w:szCs w:val="20"/>
                <w:color w:val="auto"/>
              </w:rPr>
            </w:pPr>
            <w:r>
              <w:rPr>
                <w:rFonts w:ascii="Arial" w:cs="Arial" w:eastAsia="Arial" w:hAnsi="Arial"/>
                <w:sz w:val="13"/>
                <w:szCs w:val="13"/>
                <w:color w:val="auto"/>
              </w:rPr>
              <w:t>(1,921.6)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(1,910.8)</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(356.0)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(360.6)</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3"/>
                <w:szCs w:val="13"/>
                <w:color w:val="auto"/>
              </w:rPr>
              <w:t>Cancellation of treasury shares (Note 18)</w:t>
            </w:r>
          </w:p>
        </w:tc>
        <w:tc>
          <w:tcPr>
            <w:tcW w:w="16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vMerge w:val="restart"/>
          </w:tcPr>
          <w:p>
            <w:pPr>
              <w:jc w:val="right"/>
              <w:ind w:right="17"/>
              <w:spacing w:after="0"/>
              <w:rPr>
                <w:sz w:val="20"/>
                <w:szCs w:val="20"/>
                <w:color w:val="auto"/>
              </w:rPr>
            </w:pPr>
            <w:r>
              <w:rPr>
                <w:rFonts w:ascii="Arial" w:cs="Arial" w:eastAsia="Arial" w:hAnsi="Arial"/>
                <w:sz w:val="13"/>
                <w:szCs w:val="13"/>
                <w:color w:val="auto"/>
              </w:rPr>
              <w:t>(333.5)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ind w:right="17"/>
              <w:spacing w:after="0"/>
              <w:rPr>
                <w:sz w:val="20"/>
                <w:szCs w:val="20"/>
                <w:color w:val="auto"/>
              </w:rPr>
            </w:pPr>
            <w:r>
              <w:rPr>
                <w:rFonts w:ascii="Arial" w:cs="Arial" w:eastAsia="Arial" w:hAnsi="Arial"/>
                <w:sz w:val="13"/>
                <w:szCs w:val="13"/>
                <w:color w:val="auto"/>
              </w:rPr>
              <w:t>(94.5)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(442.8)</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ordinary shares</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40"/>
              <w:spacing w:after="0"/>
              <w:rPr>
                <w:sz w:val="20"/>
                <w:szCs w:val="20"/>
                <w:color w:val="auto"/>
              </w:rPr>
            </w:pPr>
            <w:r>
              <w:rPr>
                <w:rFonts w:ascii="Arial" w:cs="Arial" w:eastAsia="Arial" w:hAnsi="Arial"/>
                <w:sz w:val="13"/>
                <w:szCs w:val="13"/>
                <w:color w:val="auto"/>
              </w:rPr>
              <w:t>Net sales of ordinary shares for employee</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40"/>
              <w:spacing w:after="0"/>
              <w:rPr>
                <w:sz w:val="20"/>
                <w:szCs w:val="20"/>
                <w:color w:val="auto"/>
              </w:rPr>
            </w:pPr>
            <w:r>
              <w:rPr>
                <w:rFonts w:ascii="Arial" w:cs="Arial" w:eastAsia="Arial" w:hAnsi="Arial"/>
                <w:sz w:val="13"/>
                <w:szCs w:val="13"/>
                <w:color w:val="auto"/>
              </w:rPr>
              <w:t>benefit trust</w:t>
            </w:r>
          </w:p>
        </w:tc>
        <w:tc>
          <w:tcPr>
            <w:tcW w:w="16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($0.52 per share) (Note 18)</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(238.1)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(238.1)</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3"/>
                <w:szCs w:val="13"/>
                <w:color w:val="auto"/>
              </w:rPr>
              <w:t>Share-based compensation (Note 19)</w:t>
            </w:r>
          </w:p>
        </w:tc>
        <w:tc>
          <w:tcPr>
            <w:tcW w:w="16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vMerge w:val="restart"/>
          </w:tcPr>
          <w:p>
            <w:pPr>
              <w:jc w:val="right"/>
              <w:ind w:right="57"/>
              <w:spacing w:after="0"/>
              <w:rPr>
                <w:sz w:val="20"/>
                <w:szCs w:val="20"/>
                <w:color w:val="auto"/>
              </w:rPr>
            </w:pPr>
            <w:r>
              <w:rPr>
                <w:rFonts w:ascii="Arial" w:cs="Arial" w:eastAsia="Arial" w:hAnsi="Arial"/>
                <w:sz w:val="13"/>
                <w:szCs w:val="13"/>
                <w:color w:val="auto"/>
              </w:rPr>
              <w:t>49.1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Balance as of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450.5</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10,197.0</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1,072.2</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(1,359.7)</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31.3</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10,388.9</w:t>
            </w: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Adoption of accounting standards (Note 5)</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6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00" w:type="dxa"/>
            <w:vAlign w:val="bottom"/>
            <w:vMerge w:val="restart"/>
          </w:tcPr>
          <w:p>
            <w:pPr>
              <w:jc w:val="right"/>
              <w:ind w:right="17"/>
              <w:spacing w:after="0"/>
              <w:rPr>
                <w:sz w:val="20"/>
                <w:szCs w:val="20"/>
                <w:color w:val="auto"/>
              </w:rPr>
            </w:pPr>
            <w:r>
              <w:rPr>
                <w:rFonts w:ascii="Arial" w:cs="Arial" w:eastAsia="Arial" w:hAnsi="Arial"/>
                <w:sz w:val="13"/>
                <w:szCs w:val="13"/>
                <w:color w:val="auto"/>
              </w:rPr>
              <w:t>(2,415.2)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(2,412.1)</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3"/>
                <w:szCs w:val="13"/>
                <w:color w:val="auto"/>
              </w:rPr>
              <w:t>Cancellation of treasury shares (Note 18)</w:t>
            </w:r>
          </w:p>
        </w:tc>
        <w:tc>
          <w:tcPr>
            <w:tcW w:w="16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vMerge w:val="restart"/>
          </w:tcPr>
          <w:p>
            <w:pPr>
              <w:jc w:val="right"/>
              <w:ind w:right="17"/>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ordinary shares</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40"/>
              <w:spacing w:after="0"/>
              <w:rPr>
                <w:sz w:val="20"/>
                <w:szCs w:val="20"/>
                <w:color w:val="auto"/>
              </w:rPr>
            </w:pPr>
            <w:r>
              <w:rPr>
                <w:rFonts w:ascii="Arial" w:cs="Arial" w:eastAsia="Arial" w:hAnsi="Arial"/>
                <w:sz w:val="13"/>
                <w:szCs w:val="13"/>
                <w:color w:val="auto"/>
              </w:rPr>
              <w:t>Net sales of ordinary shares for employee</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40"/>
              <w:spacing w:after="0"/>
              <w:rPr>
                <w:sz w:val="20"/>
                <w:szCs w:val="20"/>
                <w:color w:val="auto"/>
              </w:rPr>
            </w:pPr>
            <w:r>
              <w:rPr>
                <w:rFonts w:ascii="Arial" w:cs="Arial" w:eastAsia="Arial" w:hAnsi="Arial"/>
                <w:sz w:val="13"/>
                <w:szCs w:val="13"/>
                <w:color w:val="auto"/>
              </w:rPr>
              <w:t>benefit trust</w:t>
            </w:r>
          </w:p>
        </w:tc>
        <w:tc>
          <w:tcPr>
            <w:tcW w:w="16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($0.52 per share) (Note 18)</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(232.8)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(232.8)</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3"/>
                <w:szCs w:val="13"/>
                <w:color w:val="auto"/>
              </w:rPr>
              <w:t>Share-based compensation (Note 19)</w:t>
            </w:r>
          </w:p>
        </w:tc>
        <w:tc>
          <w:tcPr>
            <w:tcW w:w="16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vMerge w:val="restart"/>
          </w:tcPr>
          <w:p>
            <w:pPr>
              <w:jc w:val="right"/>
              <w:ind w:right="57"/>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74.5</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1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as of December 31, 2019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447.1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10,182.8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(1,563.1)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(1,407.5)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7,688.1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49"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7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TechnipFMC plc and consolidated subsidiaries (“TechnipFMC,” “we,” “us” or “our”) is a global leader in oil and gas</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technologies, systems and services through our business segments: Subsea, Onshore/Offshore and Surface Technologies. We have manufacturing operations worldwide, strategically located to facilitate delivery of our products, systems and services to our customers.</w:t>
      </w:r>
    </w:p>
    <w:p>
      <w:pPr>
        <w:spacing w:after="0" w:line="12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Our consolidated financial statements were prepared in U.S. dollars and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of America (“GAAP”) and rules and regulations of the Securities and Exchange Commission (“SEC”) pertaining to annual financial information.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this Annual Report on Form 10-K, we are reporting the results of our operations for the year ended December 31, 2019, which consist of the combined results of operations of Technip S.A. (“Technip”) and FMC Technologies, Inc. (“FMC Technologies”). Due to the merger of FMC Technologies and Technip, FMC Technologies’ results of operations have been included in our financial statements for periods subsequent to the consummation of the merger on January 16, 2017. Refer to Note 2 for further information related to the merger of FMC Technologies and Technip.</w:t>
      </w:r>
    </w:p>
    <w:p>
      <w:pPr>
        <w:spacing w:after="0" w:line="134"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Principles of consolidation - </w:t>
      </w:r>
      <w:r>
        <w:rPr>
          <w:rFonts w:ascii="Arial" w:cs="Arial" w:eastAsia="Arial" w:hAnsi="Arial"/>
          <w:sz w:val="18"/>
          <w:szCs w:val="18"/>
          <w:color w:val="auto"/>
        </w:rPr>
        <w:t>The consolidated financial statements include the accounts of TechnipFMC and its majority-owned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Intercompany accounts and transactions are eliminated in consolidation.</w:t>
      </w:r>
    </w:p>
    <w:p>
      <w:pPr>
        <w:spacing w:after="0" w:line="1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GAAP requires management to make estimates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affect the 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of fair value in business combinations and estimates related to income taxes.</w:t>
      </w:r>
    </w:p>
    <w:p>
      <w:pPr>
        <w:spacing w:after="0" w:line="1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Investments in the common stock of unconsolidated affiliates - </w:t>
      </w:r>
      <w:r>
        <w:rPr>
          <w:rFonts w:ascii="Arial" w:cs="Arial" w:eastAsia="Arial" w:hAnsi="Arial"/>
          <w:sz w:val="18"/>
          <w:szCs w:val="18"/>
          <w:color w:val="auto"/>
        </w:rPr>
        <w:t>The equity method of accounting is used to account for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affiliates where we have the ability to exert significant influence over the affiliates’ operating and financial policies. We measure equity investments not accounted for under the equity method at fair value and recognize any changes in fair value in net income. For certain construction joint ventures, we use the proportionate consolidation method, whereby our proportionate share of each entity’s assets, liabilities, revenues and expenses are included in the appropriate classifications in the accompanying consolidated financial statements. Intercompany balances and transactions have been eliminated in preparing the accompanying consolidated financial statements.</w:t>
      </w:r>
    </w:p>
    <w:p>
      <w:pPr>
        <w:spacing w:after="0" w:line="1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155"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on the consolidated balance sheets. Where no active market exists and where no other valuation method can be used, these financial assets are maintained at cost minus impairment, if any, plus or minus changes resulting from observable price changes in orderly transactions for the identical or a similar investment of the same issuer.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49" w:right="239" w:bottom="1440" w:gutter="0" w:footer="0" w:header="0"/>
        </w:sectPr>
      </w:pPr>
    </w:p>
    <w:bookmarkStart w:id="74" w:name="page75"/>
    <w:bookmarkEnd w:id="74"/>
    <w:p>
      <w:pPr>
        <w:spacing w:after="0" w:line="252" w:lineRule="auto"/>
        <w:rPr>
          <w:sz w:val="20"/>
          <w:szCs w:val="20"/>
          <w:color w:val="auto"/>
        </w:rPr>
      </w:pPr>
      <w:r>
        <w:rPr>
          <w:rFonts w:ascii="Arial" w:cs="Arial" w:eastAsia="Arial" w:hAnsi="Arial"/>
          <w:sz w:val="18"/>
          <w:szCs w:val="18"/>
          <w:color w:val="auto"/>
        </w:rPr>
        <w:t>We determine whether investments involve a variable interest entity (“VIE”) based on the characteristics of the subject entity. If the entity is determined to be a VIE, then management determines if we are the primary beneficiary of the entity and whether or not consolidation of the VIE is required. The primary beneficiary consolidating the VIE must normally have both (i) the power to direct the activities that most significantly affect the VIE’s economic performance and (ii) the obligation to absorb significant losses of or the right to receive significant benefits from the VIE. If we are deemed to be the primary beneficiary, the VIE is consolidated and the other party’s equity interest in the VIE is accounted for as a noncontrolling interest. Our unconsolidated VIEs are accounted for using the equity method of accounting.</w:t>
      </w:r>
    </w:p>
    <w:p>
      <w:pPr>
        <w:spacing w:after="0" w:line="13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Business combinations - </w:t>
      </w:r>
      <w:r>
        <w:rPr>
          <w:rFonts w:ascii="Arial" w:cs="Arial" w:eastAsia="Arial" w:hAnsi="Arial"/>
          <w:sz w:val="18"/>
          <w:szCs w:val="18"/>
          <w:color w:val="auto"/>
        </w:rPr>
        <w:t>Business combinations are accounted for using the acquisition method of accounting. Under the acquisition method,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acquired and liabilities assumed are recorded at their respective fair values as of the acquisition date. Determining the fair value of assets and liabilities involves significant judgment regarding methods and assumptions used to calculate estimated fair values. The purchase price is allocated to the acquired assets, assumed liabilities and identifiable intangible assets based on their estimated fair values. Any excess of the purchase price over the estimated fair values of the net assets acquired is recorded as goodwill. Transaction related costs are expensed as incurred.</w:t>
      </w:r>
    </w:p>
    <w:p>
      <w:pPr>
        <w:spacing w:after="0" w:line="129" w:lineRule="exact"/>
        <w:rPr>
          <w:sz w:val="20"/>
          <w:szCs w:val="20"/>
          <w:color w:val="auto"/>
        </w:rPr>
      </w:pPr>
    </w:p>
    <w:p>
      <w:pPr>
        <w:jc w:val="both"/>
        <w:ind w:right="780"/>
        <w:spacing w:after="0" w:line="266"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The majority of our leases are operating leases. We account for leases in accordance with Accounting Standard Codification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(“ASC”)Topic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we adopted on January 1, 2019 using the modified retrospective method. Refer to Note 5 for further discussion of the adoption, including the impact on our 2019 financial statements.</w:t>
      </w:r>
    </w:p>
    <w:p>
      <w:pPr>
        <w:spacing w:after="0" w:line="12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The majority of our revenue is derived from long-term contracts that can span several years. We account for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we adopted on January 1, 2018, using the modified retrospective method. Refer to Note 6 for further discussion of the adoption, including the impact on our 2018 financial statements.</w:t>
      </w:r>
    </w:p>
    <w:p>
      <w:pPr>
        <w:spacing w:after="0" w:line="12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Contract costs to obtain a contract - </w:t>
      </w:r>
      <w:r>
        <w:rPr>
          <w:rFonts w:ascii="Arial" w:cs="Arial" w:eastAsia="Arial" w:hAnsi="Arial"/>
          <w:sz w:val="18"/>
          <w:szCs w:val="18"/>
          <w:color w:val="auto"/>
        </w:rPr>
        <w:t>Our incremental direct costs of obtaining a contract are deferred and amortized over the period of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or a longer period, generally the estimated life of the customer relationship, if renewals are expected and the renewal commission is not commensurate with the initial commission. We classify deferred commissions as current or noncurrent based on the timing of when we expect to recognize the expense. The current and noncurrent portions of deferred commissions are included in other current assets and other assets</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in our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deferred commissions is included in selling, general and administrative expenses.</w:t>
      </w:r>
    </w:p>
    <w:p>
      <w:pPr>
        <w:spacing w:after="0" w:line="15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Cash equivalents are highly-liquid, short-term instruments with original maturities of generally three months or less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their date of purchase.</w:t>
      </w:r>
    </w:p>
    <w:p>
      <w:pPr>
        <w:spacing w:after="0" w:line="108" w:lineRule="exact"/>
        <w:rPr>
          <w:sz w:val="20"/>
          <w:szCs w:val="20"/>
          <w:color w:val="auto"/>
        </w:rPr>
      </w:pPr>
    </w:p>
    <w:p>
      <w:pPr>
        <w:ind w:right="560"/>
        <w:spacing w:after="0" w:line="313" w:lineRule="auto"/>
        <w:rPr>
          <w:sz w:val="20"/>
          <w:szCs w:val="20"/>
          <w:color w:val="auto"/>
        </w:rPr>
      </w:pPr>
      <w:r>
        <w:rPr>
          <w:rFonts w:ascii="Arial" w:cs="Arial" w:eastAsia="Arial" w:hAnsi="Arial"/>
          <w:sz w:val="17"/>
          <w:szCs w:val="17"/>
          <w:i w:val="1"/>
          <w:iCs w:val="1"/>
          <w:color w:val="auto"/>
        </w:rPr>
        <w:t xml:space="preserve">Trade receivables, net of allowances - </w:t>
      </w:r>
      <w:r>
        <w:rPr>
          <w:rFonts w:ascii="Arial" w:cs="Arial" w:eastAsia="Arial" w:hAnsi="Arial"/>
          <w:sz w:val="17"/>
          <w:szCs w:val="17"/>
          <w:color w:val="auto"/>
        </w:rPr>
        <w:t>An allowance for doubtful accounts is provided on receivables equal to the estimated uncollectible</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This estimate is based on historical collection experience and a specific review of each customer’s receivables balance.</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net realizable value, except as it relates to inventory measured using the last-in, first-out (“LIFO”) method, for which the inventories are stated at the lower of cost or market. Inventory costs include those costs directly attributable to products, including all manufacturing overhead, but excluding costs to distribute. Cost for a significant portion of the U.S. domiciled inventories is determined on the LIFO method. The first-in, first-out (“FIFO”) or weighted average methods are used to determine the cost for the remaining inventories. Write-down on inventories are recorded when the net realizable value of inventories is lower than their net book value.</w:t>
      </w:r>
    </w:p>
    <w:p>
      <w:pPr>
        <w:spacing w:after="0" w:line="12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is recorded at cost. Depreciation is principally provided on the straight-line basis</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estimated useful lives of the assets (vessels - 10 to 30 years; buildings - 10 to 50 years; and machinery and equipment - 3 to 20 years). Gains and losses are realized upon the sale or retirement of assets and are recorded in other income (expense), net on our consolidated statements of income. Maintenance and repair costs are expensed as incurred. Expenditures that extend the useful lives of property, plant and equipment are capitalized and depreciated over the estimated new remaining life of the asset.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71" w:right="239" w:bottom="1440" w:gutter="0" w:footer="0" w:header="0"/>
        </w:sectPr>
      </w:pPr>
    </w:p>
    <w:bookmarkStart w:id="75" w:name="page76"/>
    <w:bookmarkEnd w:id="75"/>
    <w:p>
      <w:pPr>
        <w:ind w:right="60"/>
        <w:spacing w:after="0" w:line="258" w:lineRule="auto"/>
        <w:rPr>
          <w:sz w:val="20"/>
          <w:szCs w:val="20"/>
          <w:color w:val="auto"/>
        </w:rPr>
      </w:pPr>
      <w:r>
        <w:rPr>
          <w:rFonts w:ascii="Arial" w:cs="Arial" w:eastAsia="Arial" w:hAnsi="Arial"/>
          <w:sz w:val="18"/>
          <w:szCs w:val="18"/>
          <w:i w:val="1"/>
          <w:iCs w:val="1"/>
          <w:color w:val="auto"/>
        </w:rPr>
        <w:t xml:space="preserve">Impairment of property, plant and equipment - </w:t>
      </w:r>
      <w:r>
        <w:rPr>
          <w:rFonts w:ascii="Arial" w:cs="Arial" w:eastAsia="Arial" w:hAnsi="Arial"/>
          <w:sz w:val="18"/>
          <w:szCs w:val="18"/>
          <w:color w:val="auto"/>
        </w:rPr>
        <w:t>Property, plant and equipment are reviewed for impairment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 long-lived asset may not be recoverable. The carrying value of an asset group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15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Goodwill is not subject to amortization but is tested for impairment on an annual basis (or more frequently if impairment indicators</w:t>
      </w:r>
      <w:r>
        <w:rPr>
          <w:rFonts w:ascii="Arial" w:cs="Arial" w:eastAsia="Arial" w:hAnsi="Arial"/>
          <w:sz w:val="18"/>
          <w:szCs w:val="18"/>
          <w:i w:val="1"/>
          <w:iCs w:val="1"/>
          <w:color w:val="auto"/>
        </w:rPr>
        <w:t xml:space="preserve"> </w:t>
      </w:r>
      <w:r>
        <w:rPr>
          <w:rFonts w:ascii="Arial" w:cs="Arial" w:eastAsia="Arial" w:hAnsi="Arial"/>
          <w:sz w:val="18"/>
          <w:szCs w:val="18"/>
          <w:color w:val="auto"/>
        </w:rPr>
        <w:t>arise) by comparing the estimated fair value of each reporting unit to its carrying value, including goodwill. A reporting unit is defined as an operating segment or one level below the operating segment. We have established October 31 as the date of our annual test for impairment of goodwill. Reporting units with goodwill are tested for impairment using a quantitative impairment test known as the income approach, which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If the fair value of the reporting unit is less than its carrying amount as a result of this method, then an impairment loss is recorded.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13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Our acquired intangible assets are generally amortized on a straight-line basis over their estimated useful lives,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range from 2 to 20 years. Our acquired intangible assets do not have indefinite lives. Intangible assets are reviewed for impairment whenever events or changes in circumstances indicate the carrying amount of the intangible asset may not be recoverable. The carrying amount of an intangible asset is not recoverable if it exceeds the sum of the undiscounted cash flows expected to result from the use and eventual disposition of the asset. If it is determined that an impairment loss has occurred, the loss is measured as the amount by which the carrying amount of the intangible asset exceeds its fair value.</w:t>
      </w:r>
    </w:p>
    <w:p>
      <w:pPr>
        <w:spacing w:after="0" w:line="1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Capitalized software costs are recorded at cost. Capitalized software costs include purchases of software and internal and external costs incurred during the application development stage of software projects. These costs are amortized on a straight-line basis over the estimated useful lives. For internal use software, the useful lives range from 3 to 10 years. For Internet website costs, the estimated useful lives do not exceed 3 years.</w:t>
      </w:r>
    </w:p>
    <w:p>
      <w:pPr>
        <w:spacing w:after="0" w:line="15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Research and development expense is expensed as incurred. Research and development expense includes improvement of existing products and services, design and development of new products and services and test of new technologies.</w:t>
      </w:r>
    </w:p>
    <w:p>
      <w:pPr>
        <w:spacing w:after="0" w:line="1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Debt instruments - </w:t>
      </w:r>
      <w:r>
        <w:rPr>
          <w:rFonts w:ascii="Arial" w:cs="Arial" w:eastAsia="Arial" w:hAnsi="Arial"/>
          <w:sz w:val="18"/>
          <w:szCs w:val="18"/>
          <w:color w:val="auto"/>
        </w:rPr>
        <w:t>Debt instruments include synthetic bonds, senior and private placement notes and other borrowings. Issuance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premium on debt instruments are included in the cost of debt in the consolidated balance sheets, as an adjustment to the nominal amount of the debt. Loan origination costs for revolving credit facilities are recorded as an asset and amortized over the life of the underlying debt.</w:t>
      </w:r>
    </w:p>
    <w:p>
      <w:pPr>
        <w:spacing w:after="0" w:line="12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i w:val="1"/>
          <w:iCs w:val="1"/>
          <w:color w:val="auto"/>
        </w:rPr>
        <w:t xml:space="preserve">Fair value measurements - </w:t>
      </w:r>
      <w:r>
        <w:rPr>
          <w:rFonts w:ascii="Arial" w:cs="Arial" w:eastAsia="Arial" w:hAnsi="Arial"/>
          <w:sz w:val="18"/>
          <w:szCs w:val="18"/>
          <w:color w:val="auto"/>
        </w:rPr>
        <w:t>Fair value is defined as the price that would be received to sell an asset or paid to transfer a liability (an exit price)</w:t>
      </w:r>
      <w:r>
        <w:rPr>
          <w:rFonts w:ascii="Arial" w:cs="Arial" w:eastAsia="Arial" w:hAnsi="Arial"/>
          <w:sz w:val="18"/>
          <w:szCs w:val="18"/>
          <w:i w:val="1"/>
          <w:iCs w:val="1"/>
          <w:color w:val="auto"/>
        </w:rPr>
        <w:t xml:space="preserve"> </w:t>
      </w:r>
      <w:r>
        <w:rPr>
          <w:rFonts w:ascii="Arial" w:cs="Arial" w:eastAsia="Arial" w:hAnsi="Arial"/>
          <w:sz w:val="18"/>
          <w:szCs w:val="18"/>
          <w:color w:val="auto"/>
        </w:rPr>
        <w:t>in an orderly 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12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171" w:lineRule="exact"/>
        <w:rPr>
          <w:rFonts w:ascii="Arial" w:cs="Arial" w:eastAsia="Arial" w:hAnsi="Arial"/>
          <w:sz w:val="18"/>
          <w:szCs w:val="18"/>
          <w:color w:val="auto"/>
        </w:rPr>
      </w:pPr>
    </w:p>
    <w:p>
      <w:pPr>
        <w:ind w:left="340" w:right="80" w:hanging="332"/>
        <w:spacing w:after="0" w:line="282" w:lineRule="auto"/>
        <w:tabs>
          <w:tab w:leader="none" w:pos="3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or quoted prices for identical assets or liabilities in inactive markets.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553" w:right="259" w:bottom="1440" w:gutter="0" w:footer="0" w:header="0"/>
        </w:sectPr>
      </w:pPr>
    </w:p>
    <w:bookmarkStart w:id="76" w:name="page77"/>
    <w:bookmarkEnd w:id="76"/>
    <w:p>
      <w:pPr>
        <w:ind w:left="340" w:right="240" w:hanging="332"/>
        <w:spacing w:after="0" w:line="282" w:lineRule="auto"/>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Current income taxes are provided on income reported for financial statement purposes, adjusted for transactions that do not</w:t>
      </w:r>
      <w:r>
        <w:rPr>
          <w:rFonts w:ascii="Arial" w:cs="Arial" w:eastAsia="Arial" w:hAnsi="Arial"/>
          <w:sz w:val="18"/>
          <w:szCs w:val="18"/>
          <w:i w:val="1"/>
          <w:iCs w:val="1"/>
          <w:color w:val="auto"/>
        </w:rPr>
        <w:t xml:space="preserve"> </w:t>
      </w:r>
      <w:r>
        <w:rPr>
          <w:rFonts w:ascii="Arial" w:cs="Arial" w:eastAsia="Arial" w:hAnsi="Arial"/>
          <w:sz w:val="18"/>
          <w:szCs w:val="18"/>
          <w:color w:val="auto"/>
        </w:rPr>
        <w:t>enter into the computation of income taxes payable in the same year. Deferred tax assets and liabilities are measured using enacted tax rates for the expected future tax consequences of temporary differences between the carrying amounts and the tax basis of assets and liabilities. A valuation allowance is established whenever management believes that it is more likely than not that deferred tax assets may not be realizable.</w:t>
      </w:r>
    </w:p>
    <w:p>
      <w:pPr>
        <w:spacing w:after="0" w:line="14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Income taxes are not provided on our equity in undistributed earnings of foreign subsidiaries or affiliates to the extent we have determined that the earnings are indefinitely reinvested. Income taxes are provided on such earnings in the period in which we can no longer support that such earnings are indefinitely reinvested.</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Share-based employee compensation - </w:t>
      </w:r>
      <w:r>
        <w:rPr>
          <w:rFonts w:ascii="Arial" w:cs="Arial" w:eastAsia="Arial" w:hAnsi="Arial"/>
          <w:sz w:val="18"/>
          <w:szCs w:val="18"/>
          <w:color w:val="auto"/>
        </w:rPr>
        <w:t>The measurement of share-based compensation expense on restricted share awards and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awards is based on the market price at the grant date and the number of shares awarded. We use Black-Scholes options pricing model to measure the fair value of stock options granted on or after January 1, 2017. The stock-based compensation expense for each award is recognized ratably over the applicable service period or the period beginning at the start of the service period and ending when an employee becomes eligible for retirement, after taking into account estimated forfeitures.</w:t>
      </w:r>
    </w:p>
    <w:p>
      <w:pPr>
        <w:spacing w:after="0" w:line="130"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Ordinary shares held in employee benefit trust - </w:t>
      </w:r>
      <w:r>
        <w:rPr>
          <w:rFonts w:ascii="Arial" w:cs="Arial" w:eastAsia="Arial" w:hAnsi="Arial"/>
          <w:sz w:val="18"/>
          <w:szCs w:val="18"/>
          <w:color w:val="auto"/>
        </w:rPr>
        <w:t>Our ordinary shares are purchased by the plan administrator of the FMC Technologies, Inc.</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Savings and Investment Plan and placed in a trust that we own. Purchased shares are recorded at cost and classified as a reduction of stockholders’ equity on the consolidated balance sheets.</w:t>
      </w:r>
    </w:p>
    <w:p>
      <w:pPr>
        <w:spacing w:after="0" w:line="12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Earnings per ordinary share (“EPS”) - </w:t>
      </w:r>
      <w:r>
        <w:rPr>
          <w:rFonts w:ascii="Arial" w:cs="Arial" w:eastAsia="Arial" w:hAnsi="Arial"/>
          <w:sz w:val="18"/>
          <w:szCs w:val="18"/>
          <w:color w:val="auto"/>
        </w:rPr>
        <w:t>Basic EPS is computed using the weighted-average number of ordinary shares outstanding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We use 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ordinary shares at the average market price during the period.</w:t>
      </w:r>
    </w:p>
    <w:p>
      <w:pPr>
        <w:spacing w:after="0" w:line="13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Foreign currency - </w:t>
      </w:r>
      <w:r>
        <w:rPr>
          <w:rFonts w:ascii="Arial" w:cs="Arial" w:eastAsia="Arial" w:hAnsi="Arial"/>
          <w:sz w:val="18"/>
          <w:szCs w:val="18"/>
          <w:color w:val="auto"/>
        </w:rPr>
        <w:t>Financial statements of operations for which the U.S. dollar is not the functional currency, and which are located in non-highly inflationary 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highly inflationary economies are included in interest income or expense.</w:t>
      </w:r>
    </w:p>
    <w:p>
      <w:pPr>
        <w:spacing w:after="0" w:line="14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certain committed and anticipated future cash flows and recognized assets and liabilities which are denominated in a foreign currency, we may choose to manage our risk against changes in the exchange rates, when compared against the functional currency, through the economic netting of exposures instead of derivative instruments. Cash outflows or liabilities in a foreign currency are matched against cash inflows or assets in the same currency, such that movements in exchange rates will result in offsetting gains or losses. Due to the inherent unpredictability of the timing of cash flows, gains and losses in the current period may be economically offset by gains and losses in a future period. All gains and losses are recorded in our consolidated statements of income in the period in which they are incurred. Gains and losses from the remeasurement of assets and liabilities are recognized in other income (expense), net.</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second half of 2018, Argentina’s three year cumulative inflation rate exceeded 100% based on published inflation data, and effective July 1, 2018, Argentina’s currency is considered highly inflationary. Our local operations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553" w:right="259" w:bottom="1440" w:gutter="0" w:footer="0" w:header="0"/>
        </w:sectPr>
      </w:pPr>
    </w:p>
    <w:bookmarkStart w:id="77" w:name="page78"/>
    <w:bookmarkEnd w:id="77"/>
    <w:p>
      <w:pPr>
        <w:ind w:right="200"/>
        <w:spacing w:after="0" w:line="256" w:lineRule="auto"/>
        <w:rPr>
          <w:sz w:val="20"/>
          <w:szCs w:val="20"/>
          <w:color w:val="auto"/>
        </w:rPr>
      </w:pPr>
      <w:r>
        <w:rPr>
          <w:rFonts w:ascii="Arial" w:cs="Arial" w:eastAsia="Arial" w:hAnsi="Arial"/>
          <w:sz w:val="18"/>
          <w:szCs w:val="18"/>
          <w:color w:val="auto"/>
        </w:rPr>
        <w:t>in Argentina use U.S. dollars as the functional currency and both monetary and non-monetary assets and liabilities denominated in Argentina pesos were remeasured into U.S. dollars with gains and losses resulting from foreign currency transactions included in current results of operations. This event did not have a material impact on the Company’s condensed consolidated financial statements.</w:t>
      </w:r>
    </w:p>
    <w:p>
      <w:pPr>
        <w:spacing w:after="0" w:line="13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Derivative instruments - </w:t>
      </w:r>
      <w:r>
        <w:rPr>
          <w:rFonts w:ascii="Arial" w:cs="Arial" w:eastAsia="Arial" w:hAnsi="Arial"/>
          <w:sz w:val="18"/>
          <w:szCs w:val="18"/>
          <w:color w:val="auto"/>
        </w:rPr>
        <w:t>Derivatives are recognized on the consolidated balance sheets at fair value, with classification as current or non-current based upon 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4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consolidated statements of income, as they occur and offset gains or losses on the remeasurement of the related asset or liability.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prior-year amounts have been reclassified to conform to the current year’s presentation.</w:t>
      </w:r>
    </w:p>
    <w:p>
      <w:pPr>
        <w:spacing w:after="0" w:line="17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Revision of Prior Period Financial Statements - </w:t>
      </w:r>
      <w:r>
        <w:rPr>
          <w:rFonts w:ascii="Arial" w:cs="Arial" w:eastAsia="Arial" w:hAnsi="Arial"/>
          <w:sz w:val="18"/>
          <w:szCs w:val="18"/>
          <w:color w:val="auto"/>
        </w:rPr>
        <w:t>In connection with the preparation of the consolidated financial statements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we identified errors in our previously issued financial statements related to the classification between service revenue, product revenue and the related cost of sales. The correction had no effect on the reported total revenues, consolidated net income (loss) or stockholders’ equity for any periods previously presented.</w:t>
      </w:r>
    </w:p>
    <w:p>
      <w:pPr>
        <w:spacing w:after="0" w:line="12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accordance with Staff Accounting Bulletin (“SAB</w:t>
      </w:r>
      <w:r>
        <w:rPr>
          <w:rFonts w:ascii="Arial" w:cs="Arial" w:eastAsia="Arial" w:hAnsi="Arial"/>
          <w:sz w:val="18"/>
          <w:szCs w:val="18"/>
          <w:i w:val="1"/>
          <w:iCs w:val="1"/>
          <w:color w:val="auto"/>
        </w:rPr>
        <w:t>”) No. 99, Materiality, and SAB No. 108, Considering the Effects of Prior Year Misstatements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when Quantifying Misstatements in Current Year Financial Statements</w:t>
      </w:r>
      <w:r>
        <w:rPr>
          <w:rFonts w:ascii="Arial" w:cs="Arial" w:eastAsia="Arial" w:hAnsi="Arial"/>
          <w:sz w:val="18"/>
          <w:szCs w:val="18"/>
          <w:color w:val="auto"/>
        </w:rPr>
        <w:t>, we evaluated the errors and, based on an analysis of quantitative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qualitative factors, determined that the related impact was not material to our consolidated financial statements for any prior annual or interim period. Therefore, amendments of previously filed reports are not required.</w:t>
      </w:r>
    </w:p>
    <w:p>
      <w:pPr>
        <w:spacing w:after="0" w:line="12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In accordance with ASC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we corrected the errors for the year ended December 31, 2018 and 2017 by revising the consolidated financial statements appearing herein.</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571"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The effects of the revision on our consolidated statements of income for the year ended December 31, 2018 and 2017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As Previously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As Previously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17"/>
                <w:szCs w:val="17"/>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Revised</w:t>
            </w:r>
          </w:p>
        </w:tc>
        <w:tc>
          <w:tcPr>
            <w:tcW w:w="1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7"/>
                <w:szCs w:val="17"/>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b w:val="1"/>
                <w:bCs w:val="1"/>
                <w:color w:val="auto"/>
              </w:rPr>
              <w:t>As Revised</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9,765.0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(707.4)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9,057.6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12,210.5</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(764.6)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11,445.9</w:t>
            </w: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2,565.2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707.4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3,272.6</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2,651.8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764.6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3,416.4</w:t>
            </w:r>
          </w:p>
        </w:tc>
      </w:tr>
      <w:tr>
        <w:trPr>
          <w:trHeight w:val="24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1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12,552.9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12,552.9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15,056.9</w:t>
            </w:r>
          </w:p>
        </w:tc>
      </w:tr>
      <w:tr>
        <w:trPr>
          <w:trHeight w:val="290"/>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Costs and expenses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service revenue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9,433.1</w:t>
            </w:r>
          </w:p>
        </w:tc>
      </w:tr>
      <w:tr>
        <w:trPr>
          <w:trHeight w:val="264"/>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Cost of product revenue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2,234.5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2,676.9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2,403.4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2,954.3</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13,470.5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13,470.5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14,091.7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14,091.7</w:t>
            </w: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TechnipFMC</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plc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(1,921.6)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r>
      <w:tr>
        <w:trPr>
          <w:trHeight w:val="28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Earnings (loss) per share attributable to</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TechnipFMC plc (Note 8)</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Basic</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(4.20)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0.24</w:t>
            </w: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r>
      <w:tr>
        <w:trPr>
          <w:trHeight w:val="28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Weighted average shares outstanding (Note 8)</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458.0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466.7</w:t>
            </w: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468.3</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COMBINATION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merger of FMC Technologies and Technip</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wholly-owned subsidiary of FMC Technologies, and Technip.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1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wholly-owned subsidiaries, were exchanged for 2.0 ordinary shares of TechnipFMC, subject to the terms of the definitive business combination agreement. Immediately following the Technip Merger, a wholly-owned indirect subsidiary of TechnipFMC (“Merger Sub”) merged with and into FMC Technologies, with FMC Technologies continuing as the surviving company and as a wholly-owned indirect subsidiary of TechnipFMC (the “FMCTI Merger”), and each share of common stock of FMC Technologies (the “FMCTI Shares”), other than FMCTI Shares owned by FMC Technologies, TechnipFMC, Merger Sub or their wholly-owned subsidiaries, were exchanged for 1.0 ordinary share of TechnipFMC, subject to the terms of the definitive business combination agreement.</w:t>
      </w:r>
    </w:p>
    <w:p>
      <w:pPr>
        <w:spacing w:after="0" w:line="159"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Under the acquisition method of accounting, Technip was identified as the accounting acquirer and acquired a 100% interest in FMC Technologies.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71" w:right="239" w:bottom="1440" w:gutter="0" w:footer="0" w:header="0"/>
        </w:sectPr>
      </w:pPr>
    </w:p>
    <w:bookmarkStart w:id="79" w:name="page80"/>
    <w:bookmarkEnd w:id="79"/>
    <w:p>
      <w:pPr>
        <w:spacing w:after="0" w:line="253" w:lineRule="auto"/>
        <w:rPr>
          <w:sz w:val="20"/>
          <w:szCs w:val="20"/>
          <w:color w:val="auto"/>
        </w:rPr>
      </w:pPr>
      <w:r>
        <w:rPr>
          <w:rFonts w:ascii="Arial" w:cs="Arial" w:eastAsia="Arial" w:hAnsi="Arial"/>
          <w:sz w:val="18"/>
          <w:szCs w:val="18"/>
          <w:color w:val="auto"/>
        </w:rPr>
        <w:t>The merger of FMC Technologies and Technip (the “Merger”) has created a larger and more diversified company that is better equipped to respond to economic and industry developments and better positioned to develop and build on its offerings in the subsea, surface, and onshore/offshore markets as compared to the former companies on a standalone basis. More importantly, the Merger has brought about the ability of the combined company to (i) standardize its product and service offerings to customers, (ii) reduce costs to customers, and (iii) provide integrated product offerings to the oil and gas industry with the aim to innovate the markets in which the combined company operates.</w:t>
      </w:r>
    </w:p>
    <w:p>
      <w:pPr>
        <w:spacing w:after="0" w:line="15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incurred merger transaction and integration costs of $31.2 million, $36.5 million and $101.8 million during the years ended December 31, 2019, 2018 and 2017, respectively.</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Description of FMC Technologies as Accounting Acquiree - </w:t>
      </w:r>
      <w:r>
        <w:rPr>
          <w:rFonts w:ascii="Arial" w:cs="Arial" w:eastAsia="Arial" w:hAnsi="Arial"/>
          <w:sz w:val="18"/>
          <w:szCs w:val="18"/>
          <w:color w:val="auto"/>
        </w:rPr>
        <w:t>FMC Technologies is a global provider of technology solutions for the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FMC Technologies designs, manufactures and services technologically sophisticated systems and products, including subsea production and processing systems, surface wellhead production systems, high pressure fluid control equipment, measurement solutions and marine loading systems for the energy industry. Subsea systems produced by FMC Technologies are used in the offshore production of crude oil and natural gas and are placed on the seafloor to control the flow of crude oil and natural gas from the reservoir to a host processing facility. Additionally, FMC Technologies provides a full range of drilling, completion and production wellhead systems for both standard and custom-engineered applications. Surface wellhead production systems, or trees, are used to control and regulate the flow of crude oil and natural gas from the well and are used in both onshore and offshore applications.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Consideration Transferred - </w:t>
      </w:r>
      <w:r>
        <w:rPr>
          <w:rFonts w:ascii="Arial" w:cs="Arial" w:eastAsia="Arial" w:hAnsi="Arial"/>
          <w:sz w:val="18"/>
          <w:szCs w:val="18"/>
          <w:color w:val="auto"/>
        </w:rPr>
        <w:t>The acquisition-date fair value of the consideration transferred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1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6"/>
        </w:trPr>
        <w:tc>
          <w:tcPr>
            <w:tcW w:w="10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FMC Technologies, Inc. shares subject to exchange as of January 16, 2017</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228.9</w:t>
            </w:r>
          </w:p>
        </w:tc>
      </w:tr>
      <w:tr>
        <w:trPr>
          <w:trHeight w:val="270"/>
        </w:trPr>
        <w:tc>
          <w:tcPr>
            <w:tcW w:w="10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FMC Technologies, Inc. exchange ratio </w:t>
            </w:r>
            <w:r>
              <w:rPr>
                <w:rFonts w:ascii="Arial" w:cs="Arial" w:eastAsia="Arial" w:hAnsi="Arial"/>
                <w:sz w:val="17"/>
                <w:szCs w:val="17"/>
                <w:color w:val="auto"/>
                <w:vertAlign w:val="superscript"/>
              </w:rPr>
              <w:t>(a)</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50"/>
        </w:trPr>
        <w:tc>
          <w:tcPr>
            <w:tcW w:w="10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of TechnipFMC issued</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114.4</w:t>
            </w:r>
          </w:p>
        </w:tc>
      </w:tr>
      <w:tr>
        <w:trPr>
          <w:trHeight w:val="270"/>
        </w:trPr>
        <w:tc>
          <w:tcPr>
            <w:tcW w:w="10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Value per share of Technip as of January 16, 2017 </w:t>
            </w:r>
            <w:r>
              <w:rPr>
                <w:rFonts w:ascii="Arial" w:cs="Arial" w:eastAsia="Arial" w:hAnsi="Arial"/>
                <w:sz w:val="17"/>
                <w:szCs w:val="17"/>
                <w:color w:val="auto"/>
                <w:vertAlign w:val="superscript"/>
              </w:rPr>
              <w:t>(b)</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w:t>
            </w:r>
          </w:p>
        </w:tc>
      </w:t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purchase consideration</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8,170.7</w:t>
            </w:r>
          </w:p>
        </w:tc>
      </w:tr>
      <w:tr>
        <w:trPr>
          <w:trHeight w:val="20"/>
        </w:trPr>
        <w:tc>
          <w:tcPr>
            <w:tcW w:w="10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100" w:hanging="332"/>
        <w:spacing w:after="0" w:line="247"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the calculation is deemed to reflect a share capital increase of the accounting acquirer, the FMC Technologies exchange ratio (1 share of TechnipFMC for 1 share of FMC Technologies as provided in the business combination agreement) is adjusted by dividing the FMC Technologies exchange ratio by the Technip exchange ratio (2 shares of TechnipFMC for 1 share of Technip as provided in the business combination agreement), i.e., 1 ⁄ 2 = 0.5 in order to reflect the number of shares of Technip that FMC Technologies stockholders would have received if Technip was to have issued its own shares.</w:t>
      </w:r>
    </w:p>
    <w:p>
      <w:pPr>
        <w:spacing w:after="0" w:line="147"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Closing price of Technip’s ordinary shares on Euronext Paris on January 16, 2017 in Euro converted at the Euro to U.S. dollar exchange rate of $1.0594 on January 16, 2017.</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71" w:right="239" w:bottom="1440" w:gutter="0" w:footer="0" w:header="0"/>
        </w:sectPr>
      </w:pPr>
    </w:p>
    <w:bookmarkStart w:id="80" w:name="page81"/>
    <w:bookmarkEnd w:id="80"/>
    <w:p>
      <w:pPr>
        <w:ind w:right="460"/>
        <w:spacing w:after="0" w:line="282" w:lineRule="auto"/>
        <w:rPr>
          <w:sz w:val="20"/>
          <w:szCs w:val="20"/>
          <w:color w:val="auto"/>
        </w:rPr>
      </w:pPr>
      <w:r>
        <w:rPr>
          <w:rFonts w:ascii="Arial" w:cs="Arial" w:eastAsia="Arial" w:hAnsi="Arial"/>
          <w:sz w:val="18"/>
          <w:szCs w:val="18"/>
          <w:i w:val="1"/>
          <w:iCs w:val="1"/>
          <w:color w:val="auto"/>
        </w:rPr>
        <w:t xml:space="preserve">Assets Acquired and Liabilities Assumed - </w:t>
      </w:r>
      <w:r>
        <w:rPr>
          <w:rFonts w:ascii="Arial" w:cs="Arial" w:eastAsia="Arial" w:hAnsi="Arial"/>
          <w:sz w:val="18"/>
          <w:szCs w:val="18"/>
          <w:color w:val="auto"/>
        </w:rPr>
        <w:t>The following table summarizes the final allocation of the fair values of the assets acquired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assumed at the acquisition date: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940" w:type="dxa"/>
            <w:vAlign w:val="bottom"/>
          </w:tcPr>
          <w:p>
            <w:pPr>
              <w:ind w:left="280"/>
              <w:spacing w:after="0"/>
              <w:rPr>
                <w:sz w:val="20"/>
                <w:szCs w:val="20"/>
                <w:color w:val="auto"/>
              </w:rPr>
            </w:pPr>
            <w:r>
              <w:rPr>
                <w:rFonts w:ascii="Arial" w:cs="Arial" w:eastAsia="Arial" w:hAnsi="Arial"/>
                <w:sz w:val="14"/>
                <w:szCs w:val="14"/>
                <w:color w:val="auto"/>
              </w:rPr>
              <w:t>Cash</w:t>
            </w: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1,479.2</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647.8</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Costs and estimated earnings in excess of billings on uncompleted contracts</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599.6</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764.8</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Income taxes receivable</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139.2</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282.2</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Property, plant and equipment</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1,293.3</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1,390.3</w:t>
            </w:r>
          </w:p>
        </w:tc>
      </w:tr>
      <w:tr>
        <w:trPr>
          <w:trHeight w:val="264"/>
        </w:trPr>
        <w:tc>
          <w:tcPr>
            <w:tcW w:w="9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assets</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167.3</w:t>
            </w:r>
          </w:p>
        </w:tc>
      </w:tr>
      <w:tr>
        <w:trPr>
          <w:trHeight w:val="25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identifiable assets acquired</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6,763.7</w:t>
            </w:r>
          </w:p>
        </w:tc>
      </w:tr>
      <w:tr>
        <w:trPr>
          <w:trHeight w:val="264"/>
        </w:trPr>
        <w:tc>
          <w:tcPr>
            <w:tcW w:w="9940" w:type="dxa"/>
            <w:vAlign w:val="bottom"/>
          </w:tcPr>
          <w:p>
            <w:pPr>
              <w:ind w:left="40"/>
              <w:spacing w:after="0"/>
              <w:rPr>
                <w:sz w:val="20"/>
                <w:szCs w:val="20"/>
                <w:color w:val="auto"/>
              </w:rPr>
            </w:pPr>
            <w:r>
              <w:rPr>
                <w:rFonts w:ascii="Arial" w:cs="Arial" w:eastAsia="Arial" w:hAnsi="Arial"/>
                <w:sz w:val="14"/>
                <w:szCs w:val="14"/>
                <w:i w:val="1"/>
                <w:iCs w:val="1"/>
                <w:color w:val="auto"/>
              </w:rPr>
              <w:t>Liabilities</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and current portion of long-term debt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319.5</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Accounts payable, trade</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386.0</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Billings in excess of costs and estimated earnings on uncompleted contracts</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454.0</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92.1</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524.3</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Long-term debt, less current portion</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1,444.2</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pension and other post-retirement benefits, less current portion</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195.5</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219.4</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138.7</w:t>
            </w:r>
          </w:p>
        </w:tc>
      </w:tr>
      <w:tr>
        <w:trPr>
          <w:trHeight w:val="244"/>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liabilities assumed</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3,773.7</w:t>
            </w:r>
          </w:p>
        </w:tc>
      </w:tr>
      <w:tr>
        <w:trPr>
          <w:trHeight w:val="25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identifiable assets acquired</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2,990.0</w:t>
            </w:r>
          </w:p>
        </w:tc>
      </w:tr>
      <w:tr>
        <w:trPr>
          <w:trHeight w:val="264"/>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Goodwill</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5,180.7</w:t>
            </w:r>
          </w:p>
        </w:tc>
      </w:tr>
      <w:tr>
        <w:trPr>
          <w:trHeight w:val="243"/>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assets acquired</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8,170.7</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Segment Allocation of Goodwill - </w:t>
      </w:r>
      <w:r>
        <w:rPr>
          <w:rFonts w:ascii="Arial" w:cs="Arial" w:eastAsia="Arial" w:hAnsi="Arial"/>
          <w:sz w:val="18"/>
          <w:szCs w:val="18"/>
          <w:color w:val="auto"/>
        </w:rPr>
        <w:t>The final allocation of goodwill to the reporting segments based on the final valuation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Allocated Goodwill</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2,527.7</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1,635.5</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1,017.5</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5,180.7</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expected revenue and cost synergies of the combined company, which are further described above. Goodwill recognized as a result of the acquisition is not deductible for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Acquired Identifiable Intangible Assets - </w:t>
      </w:r>
      <w:r>
        <w:rPr>
          <w:rFonts w:ascii="Arial" w:cs="Arial" w:eastAsia="Arial" w:hAnsi="Arial"/>
          <w:sz w:val="18"/>
          <w:szCs w:val="18"/>
          <w:color w:val="auto"/>
        </w:rPr>
        <w:t>The identifiable intangible assets acquired include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estimated useful lives)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Useful Lives</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technology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Backlog</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175.0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Tradenames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635.0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Various</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identifiable intangible assets acquired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1,390.3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553" w:right="239" w:bottom="1440" w:gutter="0" w:footer="0" w:header="0"/>
          <w:type w:val="continuous"/>
        </w:sectPr>
      </w:pPr>
    </w:p>
    <w:bookmarkStart w:id="81" w:name="page82"/>
    <w:bookmarkEnd w:id="81"/>
    <w:p>
      <w:pPr>
        <w:jc w:val="both"/>
        <w:ind w:right="280"/>
        <w:spacing w:after="0" w:line="256" w:lineRule="auto"/>
        <w:rPr>
          <w:sz w:val="20"/>
          <w:szCs w:val="20"/>
          <w:color w:val="auto"/>
        </w:rPr>
      </w:pPr>
      <w:r>
        <w:rPr>
          <w:rFonts w:ascii="Arial" w:cs="Arial" w:eastAsia="Arial" w:hAnsi="Arial"/>
          <w:sz w:val="18"/>
          <w:szCs w:val="18"/>
          <w:color w:val="auto"/>
        </w:rPr>
        <w:t>FMC Technologies’ results of operations have been included in our financial statements for periods subsequent to the consummation of the Merger on January 16, 2017. FMC Technologies contributed revenues and a net loss of $3,441.1 million and $251.2 million, respectively, for the period from January 17, 2017 through December 31, 2017.</w:t>
      </w:r>
    </w:p>
    <w:p>
      <w:pPr>
        <w:spacing w:after="0" w:line="14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As part of the ongoing review of the purchase price allocation, a $19.7 million adjustment to our deferred tax liability balance was recorded during the first quarter of 2018 which increased Surface Technologies goodwill.</w:t>
      </w:r>
    </w:p>
    <w:p>
      <w:pPr>
        <w:spacing w:after="0" w:line="12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Pro Forma Impact of the Merger (unaudited) - </w:t>
      </w:r>
      <w:r>
        <w:rPr>
          <w:rFonts w:ascii="Arial" w:cs="Arial" w:eastAsia="Arial" w:hAnsi="Arial"/>
          <w:sz w:val="18"/>
          <w:szCs w:val="18"/>
          <w:color w:val="auto"/>
        </w:rPr>
        <w:t>The following unaudited supplemental pro forma results present consolidated information as if</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had been completed as of January 1, 2016. The pro forma results do not include any potential synergies, cost savings or other expected benefits of the Merger. Accordingly, the pro forma results should not be considered indicative of the results that would have occurred if the Merger had been consummated as of January 1, 2016, nor are they indicative of future results.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Unaudited</w:t>
            </w:r>
          </w:p>
        </w:tc>
      </w:tr>
      <w:tr>
        <w:trPr>
          <w:trHeight w:val="175"/>
        </w:trPr>
        <w:tc>
          <w:tcPr>
            <w:tcW w:w="9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08"/>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9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9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8"/>
              <w:spacing w:after="0"/>
              <w:rPr>
                <w:sz w:val="20"/>
                <w:szCs w:val="20"/>
                <w:color w:val="auto"/>
              </w:rPr>
            </w:pPr>
            <w:r>
              <w:rPr>
                <w:rFonts w:ascii="Arial" w:cs="Arial" w:eastAsia="Arial" w:hAnsi="Arial"/>
                <w:sz w:val="14"/>
                <w:szCs w:val="14"/>
                <w:b w:val="1"/>
                <w:bCs w:val="1"/>
                <w:color w:val="auto"/>
              </w:rPr>
              <w:t>2017</w:t>
            </w:r>
          </w:p>
        </w:tc>
      </w:t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Pro Forma</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15,169.8</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Net income attributable to TechnipFMC adjusted for dilutive effects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28.5</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December 30, 2019, we completed the acquisition of the remaining 50% interest in Technip Odebrecht PLSV CV (“TOP CV”). TOP CV was formed as a joint venture between Technip SA and Ocyan SA to provide pipeline installation ships to Petroleo Brasileiro SA (“Petrobras”) for their work in oil and gas fields offshore Brazil with results reported in our Subsea segment using the equity method of accounting. Subsequent to this transaction the investment became a fully consolidated entity. In connection with the acquisition, we acquired $ 391.0 million in assets, including two vessels valued at $335.2 million. In addition, we assumed $239.9 million of liabilities, including a $203.1 million term loan. The valuation of these assets and liabilities are preliminary and remain ongoing. As a result of the acquisition, we recorded a loss of $0.9 million, the net results of the impairment charge of $84.2 million and a bargain purchase gain of $83.3 million included within restructuring and other charges.</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February 2018, we signed an agreement with the Island Offshore Group to acquire a 51% stake in Island Offshore’s wholly-owned subsidiary, Island Offshore Subsea AS. Island Offshore Subsea AS provides RLWI project management and engineering services for plug and abandonment (“P&amp;A”), riserless coiled tubing, and well completion operations. In connection with the acquisition of the controlling interest, TechnipFMC and Island Offshore entered into a strategic cooperation agreement to deliver RLWI services on a worldwide basis, which also include TechnipFMC’s RLWI capabilities. Island Offshore Subsea AS has been rebranded to TIOS and is now the operating unit for TechnipFMC’s RLWI activities worldwide. The acquisition was completed on April 18, 2018 for total cash consideration of $42.4 million. As a result of the acquisition, we recorded a redeemable financial liability equal to the fair value of a written put option. Finally, we increased goodwill by $85.0 million.</w:t>
      </w:r>
    </w:p>
    <w:p>
      <w:pPr>
        <w:spacing w:after="0" w:line="15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On July 18, 2018, we entered into a share sale and purchase agreement with POC Holding Oy to sell 100% of the outstanding shares of Technip Offshore Finland Oy. The total gain before tax recognized in the third quarter of 2018 was $27.8 million.</w:t>
      </w:r>
    </w:p>
    <w:p>
      <w:pPr>
        <w:spacing w:after="0" w:line="14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Additional acquisitions, including purchased interests in equity method investments, during the year ended December 31, 2018 totaled $62.5 million in consideration paid.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PLANNED SEPARATION TRANSACTION</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August 26, 2019, we announced that our Board of Directors had unanimously approved a plan to separate our Onshore/Offshore segment and loading systems business into an independent, publicly traded company (“Technip Energies”). The transaction is expected to be tax free to certain shareholders where permissible, including the U.S. We expect to complete the transaction in the second quarter of 2020, subject to general market conditions, regulatory approvals and final approval from our Board of Directors. Upon completion of the separation, the historical results of Technip Energies will be presented as discontinued operations as the separation represents 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71" w:right="239" w:bottom="1440" w:gutter="0" w:footer="0" w:header="0"/>
        </w:sectPr>
      </w:pPr>
    </w:p>
    <w:bookmarkStart w:id="82" w:name="page83"/>
    <w:bookmarkEnd w:id="82"/>
    <w:p>
      <w:pPr>
        <w:ind w:right="300"/>
        <w:spacing w:after="0" w:line="262" w:lineRule="auto"/>
        <w:rPr>
          <w:sz w:val="20"/>
          <w:szCs w:val="20"/>
          <w:color w:val="auto"/>
        </w:rPr>
      </w:pPr>
      <w:r>
        <w:rPr>
          <w:rFonts w:ascii="Arial" w:cs="Arial" w:eastAsia="Arial" w:hAnsi="Arial"/>
          <w:sz w:val="18"/>
          <w:szCs w:val="18"/>
          <w:color w:val="auto"/>
        </w:rPr>
        <w:t>strategic shift in operations with a major impact to our consolidated financial statements. We have incurred $72.1 million of separation costs associated with the planned transaction during the year ended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U.S. GAAP</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Effective January 1, 2019, we adopted (1) Accounting Standards Update (“ASU”) No. </w:t>
      </w:r>
      <w:r>
        <w:rPr>
          <w:rFonts w:ascii="Arial" w:cs="Arial" w:eastAsia="Arial" w:hAnsi="Arial"/>
          <w:sz w:val="17"/>
          <w:szCs w:val="17"/>
          <w:i w:val="1"/>
          <w:iCs w:val="1"/>
          <w:color w:val="auto"/>
        </w:rPr>
        <w:t>“2016-02, Leases (Topic 842).”</w:t>
      </w:r>
      <w:r>
        <w:rPr>
          <w:rFonts w:ascii="Arial" w:cs="Arial" w:eastAsia="Arial" w:hAnsi="Arial"/>
          <w:sz w:val="17"/>
          <w:szCs w:val="17"/>
          <w:color w:val="auto"/>
        </w:rPr>
        <w:t xml:space="preserve">, (2) ASU 2018-01, </w:t>
      </w:r>
      <w:r>
        <w:rPr>
          <w:rFonts w:ascii="Arial" w:cs="Arial" w:eastAsia="Arial" w:hAnsi="Arial"/>
          <w:sz w:val="17"/>
          <w:szCs w:val="17"/>
          <w:i w:val="1"/>
          <w:iCs w:val="1"/>
          <w:color w:val="auto"/>
        </w:rPr>
        <w:t xml:space="preserve">“Leases (Topic 842): Land Easement Practical Expedient for Transition to Topic 842.” (3) </w:t>
      </w:r>
      <w:r>
        <w:rPr>
          <w:rFonts w:ascii="Arial" w:cs="Arial" w:eastAsia="Arial" w:hAnsi="Arial"/>
          <w:sz w:val="17"/>
          <w:szCs w:val="17"/>
          <w:color w:val="auto"/>
        </w:rPr>
        <w:t>ASU 2018-10,</w:t>
      </w:r>
      <w:r>
        <w:rPr>
          <w:rFonts w:ascii="Arial" w:cs="Arial" w:eastAsia="Arial" w:hAnsi="Arial"/>
          <w:sz w:val="17"/>
          <w:szCs w:val="17"/>
          <w:i w:val="1"/>
          <w:iCs w:val="1"/>
          <w:color w:val="auto"/>
        </w:rPr>
        <w:t xml:space="preserve"> “Codification Improvements to Topic 842, Lease.”</w:t>
      </w:r>
      <w:r>
        <w:rPr>
          <w:rFonts w:ascii="Arial" w:cs="Arial" w:eastAsia="Arial" w:hAnsi="Arial"/>
          <w:sz w:val="17"/>
          <w:szCs w:val="17"/>
          <w:color w:val="auto"/>
        </w:rPr>
        <w:t>, (4) ASU 2018-20,</w:t>
      </w:r>
      <w:r>
        <w:rPr>
          <w:rFonts w:ascii="Arial" w:cs="Arial" w:eastAsia="Arial" w:hAnsi="Arial"/>
          <w:sz w:val="17"/>
          <w:szCs w:val="17"/>
          <w:i w:val="1"/>
          <w:iCs w:val="1"/>
          <w:color w:val="auto"/>
        </w:rPr>
        <w:t xml:space="preserve"> “Narrow-scope Improvements for Lessors.”</w:t>
      </w:r>
      <w:r>
        <w:rPr>
          <w:rFonts w:ascii="Arial" w:cs="Arial" w:eastAsia="Arial" w:hAnsi="Arial"/>
          <w:sz w:val="17"/>
          <w:szCs w:val="17"/>
          <w:color w:val="auto"/>
        </w:rPr>
        <w:t>, (5) ASU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w:t>
      </w:r>
    </w:p>
    <w:p>
      <w:pPr>
        <w:spacing w:after="0" w:line="2" w:lineRule="exact"/>
        <w:rPr>
          <w:sz w:val="20"/>
          <w:szCs w:val="20"/>
          <w:color w:val="auto"/>
        </w:rPr>
      </w:pPr>
    </w:p>
    <w:p>
      <w:pPr>
        <w:ind w:right="160" w:firstLine="8"/>
        <w:spacing w:after="0" w:line="256"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ASU No. 2019-01, </w:t>
      </w:r>
      <w:r>
        <w:rPr>
          <w:rFonts w:ascii="Arial" w:cs="Arial" w:eastAsia="Arial" w:hAnsi="Arial"/>
          <w:sz w:val="18"/>
          <w:szCs w:val="18"/>
          <w:i w:val="1"/>
          <w:iCs w:val="1"/>
          <w:color w:val="auto"/>
        </w:rPr>
        <w:t>“Leases (Topic 842) —Codification Improvements.”</w:t>
      </w:r>
      <w:r>
        <w:rPr>
          <w:rFonts w:ascii="Arial" w:cs="Arial" w:eastAsia="Arial" w:hAnsi="Arial"/>
          <w:sz w:val="18"/>
          <w:szCs w:val="18"/>
          <w:color w:val="auto"/>
        </w:rPr>
        <w:t>. These updates require lessees to recognize a right-of-use (“ROU”) asset and a lease liability for virtually all of their leases. See Note 5 to our consolidated financial statements of this Annual Report for more information.</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Effective January 1, 2019, we adopted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This update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For cash flow and net investment hedges as of the adoption date, the guidance requires a modified retrospective approach. The amended presentation and disclosure guidance is required to be adopted prospectively. The adoption of this update did not have an impact on our consolidated financial statements.</w:t>
      </w:r>
    </w:p>
    <w:p>
      <w:pPr>
        <w:spacing w:after="0" w:line="1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Effective January 1, 2019, we adopted ASU No. 2018-02, </w:t>
      </w:r>
      <w:r>
        <w:rPr>
          <w:rFonts w:ascii="Arial" w:cs="Arial" w:eastAsia="Arial" w:hAnsi="Arial"/>
          <w:sz w:val="18"/>
          <w:szCs w:val="18"/>
          <w:i w:val="1"/>
          <w:iCs w:val="1"/>
          <w:color w:val="auto"/>
        </w:rPr>
        <w:t>“Income Statement-Reporting Comprehensive Income (Topic 220): Reclassification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Certain Tax Effects from Accumulated Other Comprehensive Income (AOCI).” </w:t>
      </w:r>
      <w:r>
        <w:rPr>
          <w:rFonts w:ascii="Arial" w:cs="Arial" w:eastAsia="Arial" w:hAnsi="Arial"/>
          <w:sz w:val="18"/>
          <w:szCs w:val="18"/>
          <w:color w:val="auto"/>
        </w:rPr>
        <w:t>This update provides an option to reclassify stranded tax</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effects within AOCI to retained earnings in each period in which the effect of the change in the U.S. federal corporate tax rate in the Tax Cuts and Jobs Act (or portion thereof) is recorded. The ASU requires financial statement disclosures that indicate a description of the accounting policy for releasing income tax effects from AOCI; whether there is an election to reclassify the stranded income tax effects from the Tax Cuts and Jobs Act and information about the other income tax effects are reclassified. These amendments affect any organization that is required to apply the provisions of Topic 220, </w:t>
      </w:r>
      <w:r>
        <w:rPr>
          <w:rFonts w:ascii="Arial" w:cs="Arial" w:eastAsia="Arial" w:hAnsi="Arial"/>
          <w:sz w:val="18"/>
          <w:szCs w:val="18"/>
          <w:i w:val="1"/>
          <w:iCs w:val="1"/>
          <w:color w:val="auto"/>
        </w:rPr>
        <w:t>Income Statement-Reporting Comprehensive Income</w:t>
      </w:r>
      <w:r>
        <w:rPr>
          <w:rFonts w:ascii="Arial" w:cs="Arial" w:eastAsia="Arial" w:hAnsi="Arial"/>
          <w:sz w:val="18"/>
          <w:szCs w:val="18"/>
          <w:color w:val="auto"/>
        </w:rPr>
        <w:t>, and has items of other comprehensive income for which the related tax effects are presented in other comprehensive income as required by GAAP. The adoption of this update did not have an impact on our consolidated financial statements.</w:t>
      </w:r>
    </w:p>
    <w:p>
      <w:pPr>
        <w:spacing w:after="0" w:line="1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Effective January 1, 2019, we adopted ASU No. 2018-07, </w:t>
      </w:r>
      <w:r>
        <w:rPr>
          <w:rFonts w:ascii="Arial" w:cs="Arial" w:eastAsia="Arial" w:hAnsi="Arial"/>
          <w:sz w:val="18"/>
          <w:szCs w:val="18"/>
          <w:i w:val="1"/>
          <w:iCs w:val="1"/>
          <w:color w:val="auto"/>
        </w:rPr>
        <w:t>“Compensation - 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This update expands the scope of Topic 718 to include all share-based payment transactions for acquiring</w:t>
      </w:r>
      <w:r>
        <w:rPr>
          <w:rFonts w:ascii="Arial" w:cs="Arial" w:eastAsia="Arial" w:hAnsi="Arial"/>
          <w:sz w:val="18"/>
          <w:szCs w:val="18"/>
          <w:i w:val="1"/>
          <w:iCs w:val="1"/>
          <w:color w:val="auto"/>
        </w:rPr>
        <w:t xml:space="preserve"> </w:t>
      </w:r>
      <w:r>
        <w:rPr>
          <w:rFonts w:ascii="Arial" w:cs="Arial" w:eastAsia="Arial" w:hAnsi="Arial"/>
          <w:sz w:val="18"/>
          <w:szCs w:val="18"/>
          <w:color w:val="auto"/>
        </w:rPr>
        <w:t>goods and services from nonemployees. The amendments in this update specify that Topic 718 applies to all share-based payment transactions in which the grantor acquires goods and services to be used or consumed in its own operations by issuing share-based payment awards. The amendments in this update also clarify that Topic 718 does not apply to share-based payments used to effectively provide (1) financing to the issuer or (2) awards granted in conjunction with selling goods or services to customers as part of a contract accounted for under ASC Topic 606. The adoption of this update did not have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U.S. GAAP</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June 2016, the Financial Accounting Standard Board (“FASB”) issued ASU No.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This update introduces a new model for recognizing credit losses on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based on an estimate of current expected credit losses. The updated guidance applies to (1) loans, accounts receivable, trade receivables and other financial assets measured at amortized cost, (2) loan commitments and other off-balance sheet credit exposures, (iii) debt securities and other financial assets measured at fair value through other comprehensive income and (iv) beneficial interests in securitized financial assets. In May 2019, the FASB issued a new update ASU No.2019-05, that eases transition to the credit losses standard by providing the option to measure certain types of assets at fair value, allowing an option for preparers to irrevocably elect the fair value option for eligible financial assets measured at amortized cost basis on an instrument-by-instrument basis. In November 2019, the FASB issued ASU No. 2019-11, the amendments in this Update clarify or address stakeholders’ specific issues about certain aspects of this amendments and clarifies guidance around how to report expected recoveries. The amendments in this ASU are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571" w:right="259" w:bottom="1440" w:gutter="0" w:footer="0" w:header="0"/>
        </w:sectPr>
      </w:pPr>
    </w:p>
    <w:bookmarkStart w:id="83" w:name="page84"/>
    <w:bookmarkEnd w:id="83"/>
    <w:p>
      <w:pPr>
        <w:spacing w:after="0" w:line="262" w:lineRule="auto"/>
        <w:rPr>
          <w:sz w:val="20"/>
          <w:szCs w:val="20"/>
          <w:color w:val="auto"/>
        </w:rPr>
      </w:pPr>
      <w:r>
        <w:rPr>
          <w:rFonts w:ascii="Arial" w:cs="Arial" w:eastAsia="Arial" w:hAnsi="Arial"/>
          <w:sz w:val="18"/>
          <w:szCs w:val="18"/>
          <w:color w:val="auto"/>
        </w:rPr>
        <w:t>effective for us on January 1, 2020 and are required to be adopted on a modified retrospective basis. Early adoption is not permitted. We do not anticipate a material impact to our consolidated financial statements as a result of the adoption of this ASU.</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November 2018, the FASB also issued ASU No. 2018-19,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The update amends the transition requirements and scope of the credit losses standard issued in 2016. This update clarifies that receivables arising from operating leases are not within the scope of the credit losses standard, but rather, should be accounted for in accordance with the leases standard. The amendments in this ASU are effective for us on January 1, 2020 and are required to be adopted on a modified retrospective basis. Early adoption is not permitted. We do not anticipate a material impact to our consolidated financial statements as a result of the adoption of this ASU.</w:t>
      </w:r>
    </w:p>
    <w:p>
      <w:pPr>
        <w:spacing w:after="0" w:line="12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This update modifies the disclosure requirement on fair value measurements in Topic 820.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ASU are effective for us January 1, 2020. Early adoption is permitted. The amendments on changes in unrealized gains and losses, the range and weighted average of significant unobservable inputs used to develop Level 3 fair value measurements, and the narrative description of measurement uncertainty should be applied prospectively. All other amendments should be applied retrospectively. The adoption of this update concerns presentation and disclosure only as it relates to our consolidated financial statements.</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The amendments in this ASU are effective for us January 1, 2021. Early adoption is permitted. The amendments in this update are required to be adopted retrospectively. We are currently evaluating the impact of this ASU on our consolidated financial statements.</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(a consensus of the FASB Emerging Issues Task Force).” </w:t>
      </w:r>
      <w:r>
        <w:rPr>
          <w:rFonts w:ascii="Arial" w:cs="Arial" w:eastAsia="Arial" w:hAnsi="Arial"/>
          <w:sz w:val="18"/>
          <w:szCs w:val="18"/>
          <w:color w:val="auto"/>
        </w:rPr>
        <w:t>This update requires that the implementation costs incurred in a cloud computing arrangement that is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are deferred if they would be capitalized based on the requirements for capitalizing implementation costs incurred to develop or obtain internal-use software. The amendments in this ASU are effective for us January 1, 2020. Early adoption is permitted. The amendments in this update are required to be adopted either retrospectively or prospectively. We do not anticipate a material impact to our consolidated financial statements as a result of the adoption of this ASU.</w:t>
      </w:r>
    </w:p>
    <w:p>
      <w:pPr>
        <w:spacing w:after="0" w:line="1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Topic 606.” </w:t>
      </w:r>
      <w:r>
        <w:rPr>
          <w:rFonts w:ascii="Arial" w:cs="Arial" w:eastAsia="Arial" w:hAnsi="Arial"/>
          <w:sz w:val="18"/>
          <w:szCs w:val="18"/>
          <w:color w:val="auto"/>
        </w:rPr>
        <w:t>This update clarifies the interaction between the guidance for certain collaborative arrangements and the 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accounting and reporting standard. The amendments in this ASU are effective for us January 1, 2020. Early adoption is permitted. The amendments in this update are required to be adopted retrospectively to the date of initial application of Topic 606. An entity should recognize the cumulative effect of initially applying the amendments as an adjustment to the opening balance of retained earnings of the later of the earliest annual period presented and the annual period that includes the date of the entity’s initial application of Topic 606. We do not anticipate a material impact to our consolidated financial statements as a result of the adoption of this ASU.</w:t>
      </w:r>
    </w:p>
    <w:p>
      <w:pPr>
        <w:spacing w:after="0" w:line="1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In April 2019, the FASB issued ASU No. 2019-04, </w:t>
      </w:r>
      <w:r>
        <w:rPr>
          <w:rFonts w:ascii="Arial" w:cs="Arial" w:eastAsia="Arial" w:hAnsi="Arial"/>
          <w:sz w:val="18"/>
          <w:szCs w:val="18"/>
          <w:i w:val="1"/>
          <w:iCs w:val="1"/>
          <w:color w:val="auto"/>
        </w:rPr>
        <w:t>“Codification Improvements to Topic 326, Financial Instruments - Credit Losses,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and Topic 825, Financial Instruments</w:t>
      </w:r>
      <w:r>
        <w:rPr>
          <w:rFonts w:ascii="Arial" w:cs="Arial" w:eastAsia="Arial" w:hAnsi="Arial"/>
          <w:sz w:val="18"/>
          <w:szCs w:val="18"/>
          <w:color w:val="auto"/>
        </w:rPr>
        <w:t>.” The update clarifies and improves areas of guidance related to the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issued standards including (1) ASU No. 2016-01, </w:t>
      </w:r>
      <w:r>
        <w:rPr>
          <w:rFonts w:ascii="Arial" w:cs="Arial" w:eastAsia="Arial" w:hAnsi="Arial"/>
          <w:sz w:val="18"/>
          <w:szCs w:val="18"/>
          <w:i w:val="1"/>
          <w:iCs w:val="1"/>
          <w:color w:val="auto"/>
        </w:rPr>
        <w:t>“Financial Instruments—Overall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Assets and Liabilities.”</w:t>
      </w:r>
      <w:r>
        <w:rPr>
          <w:rFonts w:ascii="Arial" w:cs="Arial" w:eastAsia="Arial" w:hAnsi="Arial"/>
          <w:sz w:val="18"/>
          <w:szCs w:val="18"/>
          <w:color w:val="auto"/>
        </w:rPr>
        <w:t>, (2) ASU No. 2016-13,</w:t>
      </w:r>
      <w:r>
        <w:rPr>
          <w:rFonts w:ascii="Arial" w:cs="Arial" w:eastAsia="Arial" w:hAnsi="Arial"/>
          <w:sz w:val="18"/>
          <w:szCs w:val="18"/>
          <w:i w:val="1"/>
          <w:iCs w:val="1"/>
          <w:color w:val="auto"/>
        </w:rPr>
        <w:t xml:space="preserve"> “Financial Instruments—Credit Losses (Topic 326): Measurement of Credit Losses on Financial Instruments.”</w:t>
      </w:r>
      <w:r>
        <w:rPr>
          <w:rFonts w:ascii="Arial" w:cs="Arial" w:eastAsia="Arial" w:hAnsi="Arial"/>
          <w:sz w:val="18"/>
          <w:szCs w:val="18"/>
          <w:color w:val="auto"/>
        </w:rPr>
        <w:t>, and (3) ASU No. 2017-12,</w:t>
      </w:r>
      <w:r>
        <w:rPr>
          <w:rFonts w:ascii="Arial" w:cs="Arial" w:eastAsia="Arial" w:hAnsi="Arial"/>
          <w:sz w:val="18"/>
          <w:szCs w:val="18"/>
          <w:i w:val="1"/>
          <w:iCs w:val="1"/>
          <w:color w:val="auto"/>
        </w:rPr>
        <w:t xml:space="preserve"> “Derivatives and Hedging (Topic 815): Targeted Improvements to Accounting for Hedging Activities.” </w:t>
      </w:r>
      <w:r>
        <w:rPr>
          <w:rFonts w:ascii="Arial" w:cs="Arial" w:eastAsia="Arial" w:hAnsi="Arial"/>
          <w:sz w:val="18"/>
          <w:szCs w:val="18"/>
          <w:color w:val="auto"/>
        </w:rPr>
        <w:t>Early adoption is permitted. The amendments in this update to ASU No. 2016-01 and No. 2016-13 are required to be adopted on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retrospective basis. The amendments in this update to ASU No. 2017-12 are required to be adopted either retrospectively or prospectively. This new update will be effective on January 1, 2020. We do not anticipate a material impact to our consolidated financial statements as a result of the adoption of this ASU.</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71" w:right="239" w:bottom="1440" w:gutter="0" w:footer="0" w:header="0"/>
        </w:sectPr>
      </w:pPr>
    </w:p>
    <w:bookmarkStart w:id="84" w:name="page85"/>
    <w:bookmarkEnd w:id="84"/>
    <w:p>
      <w:pPr>
        <w:ind w:right="300"/>
        <w:spacing w:after="0" w:line="265" w:lineRule="auto"/>
        <w:rPr>
          <w:sz w:val="20"/>
          <w:szCs w:val="20"/>
          <w:color w:val="auto"/>
        </w:rPr>
      </w:pPr>
      <w:r>
        <w:rPr>
          <w:rFonts w:ascii="Arial" w:cs="Arial" w:eastAsia="Arial" w:hAnsi="Arial"/>
          <w:sz w:val="17"/>
          <w:szCs w:val="17"/>
          <w:color w:val="auto"/>
        </w:rPr>
        <w:t>In November 2019 the FASB issued ASU No. 2019-10, to apply changes in philosophy to the effective dates for the following major updates (including amendments issued after the issuance of the original Update): ASU No. 2016-13, “</w:t>
      </w:r>
      <w:r>
        <w:rPr>
          <w:rFonts w:ascii="Arial" w:cs="Arial" w:eastAsia="Arial" w:hAnsi="Arial"/>
          <w:sz w:val="17"/>
          <w:szCs w:val="17"/>
          <w:i w:val="1"/>
          <w:iCs w:val="1"/>
          <w:color w:val="auto"/>
        </w:rPr>
        <w:t>Financial Instruments—Cr</w:t>
      </w:r>
      <w:r>
        <w:rPr>
          <w:rFonts w:ascii="Arial" w:cs="Arial" w:eastAsia="Arial" w:hAnsi="Arial"/>
          <w:sz w:val="17"/>
          <w:szCs w:val="17"/>
          <w:color w:val="auto"/>
        </w:rPr>
        <w:t>edi</w:t>
      </w:r>
      <w:r>
        <w:rPr>
          <w:rFonts w:ascii="Arial" w:cs="Arial" w:eastAsia="Arial" w:hAnsi="Arial"/>
          <w:sz w:val="17"/>
          <w:szCs w:val="17"/>
          <w:i w:val="1"/>
          <w:iCs w:val="1"/>
          <w:color w:val="auto"/>
        </w:rPr>
        <w:t>t Losses (Topic</w:t>
      </w:r>
    </w:p>
    <w:p>
      <w:pPr>
        <w:ind w:right="340"/>
        <w:spacing w:after="0" w:line="256" w:lineRule="auto"/>
        <w:rPr>
          <w:sz w:val="20"/>
          <w:szCs w:val="20"/>
          <w:color w:val="auto"/>
        </w:rPr>
      </w:pPr>
      <w:r>
        <w:rPr>
          <w:rFonts w:ascii="Arial" w:cs="Arial" w:eastAsia="Arial" w:hAnsi="Arial"/>
          <w:sz w:val="18"/>
          <w:szCs w:val="18"/>
          <w:i w:val="1"/>
          <w:iCs w:val="1"/>
          <w:color w:val="auto"/>
        </w:rPr>
        <w:t>326)”, “Measurement of Credit Losses on Financial Instruments (Credit Losses)”</w:t>
      </w:r>
      <w:r>
        <w:rPr>
          <w:rFonts w:ascii="Arial" w:cs="Arial" w:eastAsia="Arial" w:hAnsi="Arial"/>
          <w:sz w:val="18"/>
          <w:szCs w:val="18"/>
          <w:color w:val="auto"/>
        </w:rPr>
        <w:t>, ASU No. 2017-12,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w:t>
      </w:r>
      <w:r>
        <w:rPr>
          <w:rFonts w:ascii="Arial" w:cs="Arial" w:eastAsia="Arial" w:hAnsi="Arial"/>
          <w:sz w:val="18"/>
          <w:szCs w:val="18"/>
          <w:i w:val="1"/>
          <w:iCs w:val="1"/>
          <w:color w:val="auto"/>
        </w:rPr>
        <w:t xml:space="preserve"> Targeted Improvements to Accounting for Hedging Activities (Hedging)”</w:t>
      </w:r>
      <w:r>
        <w:rPr>
          <w:rFonts w:ascii="Arial" w:cs="Arial" w:eastAsia="Arial" w:hAnsi="Arial"/>
          <w:sz w:val="18"/>
          <w:szCs w:val="18"/>
          <w:color w:val="auto"/>
        </w:rPr>
        <w:t>, ASU No. 2016-02, “</w:t>
      </w:r>
      <w:r>
        <w:rPr>
          <w:rFonts w:ascii="Arial" w:cs="Arial" w:eastAsia="Arial" w:hAnsi="Arial"/>
          <w:sz w:val="18"/>
          <w:szCs w:val="18"/>
          <w:i w:val="1"/>
          <w:iCs w:val="1"/>
          <w:color w:val="auto"/>
        </w:rPr>
        <w:t>Leases (Topic 842) (Leases)”</w:t>
      </w:r>
      <w:r>
        <w:rPr>
          <w:rFonts w:ascii="Arial" w:cs="Arial" w:eastAsia="Arial" w:hAnsi="Arial"/>
          <w:sz w:val="18"/>
          <w:szCs w:val="18"/>
          <w:color w:val="auto"/>
        </w:rPr>
        <w:t>.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a material impact to our consolidated financial statements as a result of the adoption of this ASU.</w:t>
      </w:r>
    </w:p>
    <w:p>
      <w:pPr>
        <w:spacing w:after="0" w:line="13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 to Topic 740 - Simplifying the Accounting for Income Taxes”.</w:t>
      </w:r>
      <w:r>
        <w:rPr>
          <w:rFonts w:ascii="Arial" w:cs="Arial" w:eastAsia="Arial" w:hAnsi="Arial"/>
          <w:sz w:val="18"/>
          <w:szCs w:val="18"/>
          <w:color w:val="auto"/>
        </w:rPr>
        <w:t xml:space="preserve"> The amendments simplify the accounting for income taxes by removing certain exceptions to the general principles in Topic 740. This update also improve and simplify areas of generally accepted accounting principles (GAAP) for which cost and complexity can be reduced while maintaining or improving the usefulness of the information provided to users of financial statements. This update is effective for us January 1, 2021 and early adoption is permitted. We are currently evaluating the impact of this ASU on our consolidated financial statements.</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January 2020, the FASB issued ASU No. 2020-01, "</w:t>
      </w:r>
      <w:r>
        <w:rPr>
          <w:rFonts w:ascii="Arial" w:cs="Arial" w:eastAsia="Arial" w:hAnsi="Arial"/>
          <w:sz w:val="18"/>
          <w:szCs w:val="18"/>
          <w:i w:val="1"/>
          <w:iCs w:val="1"/>
          <w:color w:val="auto"/>
        </w:rPr>
        <w:t>Investments —Equity Securities (Topic 321)"</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 (Topic 323)”</w:t>
      </w:r>
      <w:r>
        <w:rPr>
          <w:rFonts w:ascii="Arial" w:cs="Arial" w:eastAsia="Arial" w:hAnsi="Arial"/>
          <w:sz w:val="18"/>
          <w:szCs w:val="18"/>
          <w:color w:val="auto"/>
        </w:rPr>
        <w:t>, and</w:t>
      </w:r>
      <w:r>
        <w:rPr>
          <w:rFonts w:ascii="Arial" w:cs="Arial" w:eastAsia="Arial" w:hAnsi="Arial"/>
          <w:sz w:val="18"/>
          <w:szCs w:val="18"/>
          <w:i w:val="1"/>
          <w:iCs w:val="1"/>
          <w:color w:val="auto"/>
        </w:rPr>
        <w:t xml:space="preserve"> “Derivatives and Hedging (Topic 815) —Clarifying the Interactions between Topic 321, Topic 323, and Topic 815”</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made targeted improvements to address certain aspects of accounting for financial instruments. This update clarifies that a company should consider observable transactions that require a company to either apply or discontinue the equity method of accounting under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323, Investments—Equity Method and Joint Ventures, </w:t>
      </w:r>
      <w:r>
        <w:rPr>
          <w:rFonts w:ascii="Arial" w:cs="Arial" w:eastAsia="Arial" w:hAnsi="Arial"/>
          <w:sz w:val="18"/>
          <w:szCs w:val="18"/>
          <w:color w:val="auto"/>
        </w:rPr>
        <w:t>for the purposes of applying the measurement alternative in accordance with</w:t>
      </w:r>
      <w:r>
        <w:rPr>
          <w:rFonts w:ascii="Arial" w:cs="Arial" w:eastAsia="Arial" w:hAnsi="Arial"/>
          <w:sz w:val="18"/>
          <w:szCs w:val="18"/>
          <w:i w:val="1"/>
          <w:iCs w:val="1"/>
          <w:color w:val="auto"/>
        </w:rPr>
        <w:t xml:space="preserve"> Topic 321 </w:t>
      </w:r>
      <w:r>
        <w:rPr>
          <w:rFonts w:ascii="Arial" w:cs="Arial" w:eastAsia="Arial" w:hAnsi="Arial"/>
          <w:sz w:val="18"/>
          <w:szCs w:val="18"/>
          <w:color w:val="auto"/>
        </w:rPr>
        <w:t>immediately before applying or upon discontinuing the equity method. The new ASU also clarifies that, when determining the accounting for certain forward contracts and purchased options a company should not consider, whether upon settlement or exercise, if the underlying securities would be accounted for under the equity method or fair value option. This amendments is effective for us January 1, 2021 and early adoption is permitted. We are currently evaluating the impact of this ASU on our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9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February 2016, the FASB issued ASU 2016-02, Leases (Topic 842). Lessees are required to recognize a ROU asset and a lease liability for all outstanding leases excluding short-term leases. The liability is equal to the present value of the remaining lease payments. The ROU asset is based on the liability, subject to certain adjustments (e.g., initial direct costs, payments made by the lessee prior to lease commencement and any lessor incentives). For income statement purposes, lessees are required to classify leases as either operating or finance leases. Operating leases result in straight-line expense while finance leases result in a front-loaded expense pattern. Lessor accounting is largely unchanged but has been updated to align with certain changes to the lessee model and the new revenue recognition standard.</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Topic 842 was subsequently amended to provide practical expedient for transition and targeted improvements to the new lease standard. The FASB issued in March 2019, ASU 2019-01, “Leases (Topic 842): Codification Improvements” to clarify certain transition disclosure requirements. The Company adopted the new lease standard as of January 1, 2019, using a modified retrospective transition method and applying the new standard to all leases through a cumulative-effect adjustment to beginning retained earnings in the period of adoption. In our first annual period after adoption, the year ending December 31, 2019, the comparative periods will not be restated and will be presented under legacy lease accounting guidance in effect for those periods, Topic 840.</w:t>
      </w:r>
    </w:p>
    <w:p>
      <w:pPr>
        <w:spacing w:after="0" w:line="15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new standard provides a number of practical expedients specific to transition. We have elected the “package of practical expedients”, which permits us not to reassess (1) whether any expired or existing arrangements are or contain leases, (2) the lease classification for any expired or existing leases, and (3) any initial direct costs for any existing leases as of the effective date.</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new standard also provides practical expedients for an entity’s ongoing accounting, including a practical expedient which allows lessees and lessors to elect to not separate lease and non-lease components. We have elected the practical expedient available for lessees to not separate lease and non-lease components for all asset classes other than vessels, which typically include significant non-lease components. We have elected the practical expedient available for lessors to not separate lease and non-lease components for vessels. The Company also elected not to recognize right of use assets and lease liabilities on the balance sheet for short-term leases, which have a lease term of 12 months or less and do not include an option to purchase the underlying asset that the Company is reasonably certain to exercise. Lease cost of short-term leases are recognized on a straight-line basis over the lease term and disclosed within our financial statements. We believe short-term lease commitments are not materially different than the short-term lease cost for the period.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571" w:right="259" w:bottom="1440" w:gutter="0" w:footer="0" w:header="0"/>
        </w:sectPr>
      </w:pPr>
    </w:p>
    <w:bookmarkStart w:id="85" w:name="page86"/>
    <w:bookmarkEnd w:id="85"/>
    <w:p>
      <w:pPr>
        <w:ind w:right="240"/>
        <w:spacing w:after="0" w:line="252" w:lineRule="auto"/>
        <w:rPr>
          <w:sz w:val="20"/>
          <w:szCs w:val="20"/>
          <w:color w:val="auto"/>
        </w:rPr>
      </w:pPr>
      <w:r>
        <w:rPr>
          <w:rFonts w:ascii="Arial" w:cs="Arial" w:eastAsia="Arial" w:hAnsi="Arial"/>
          <w:sz w:val="18"/>
          <w:szCs w:val="18"/>
          <w:color w:val="auto"/>
        </w:rPr>
        <w:t>Adoption of the new lease accounting guidance had a material impact on our consolidated balance sheets but did not have a material impact on our consolidated income statements. We recognized on January 1, 2019, (1) a lease liability of approximately $1,189.6 million which represents the present value of the remaining lease payments, discounted using the Company’s applicable weighted average incremental borrowing rates, and (2) an ROU asset of approximately $1,115.5 million which represents the lease liability of $1,189.6 million adjusted for accrued and prepaid rent, lease incentives, and other balances. The impact was recorded as an adjustment to increase retained earnings by approximately $1.8 million.</w:t>
      </w:r>
    </w:p>
    <w:p>
      <w:pPr>
        <w:spacing w:after="0" w:line="15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adoption of the new lease standard, we corrected our balance sheet as of January 1, 2016 to include an additional $42.0 million of liabilities of which $5.0 million and $37.0 million were other current liabilities and other liabilities, respectively, with a corresponding decrease in retained earnings to reflect additional rent expense which was not historically recorded prior to fiscal 2016. Accordingly, the revised other current liabilities, other liabilities and retained earnings balances as of January 1, 2016 were $1,044.4 million, $131.3 million, and $3,231.4 million, respectively. These historical errors are not material to any prior interim or annual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Lessee Arrangements</w:t>
      </w:r>
    </w:p>
    <w:p>
      <w:pPr>
        <w:spacing w:after="0" w:line="18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lease real estate, including land, buildings and warehouses, machinery/equipment, vessels, vehicles, and various types of manufacturing and data processing equipment, from a lessee perspective. Leases of real estate generally provide for payment of property taxes, insurance, and repairs by us. Substantially all our leases are classified as operating leases.</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determine if an arrangement is a lease at inception by assessing whether an identified asset exists and if we have the right to control the use of the identified asset. Operating leases are included in Operating lease right-of-use assets, Operating lease liabilities (current), and Operating lease liabilities (non-current) on our consolidated balance sheets.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the remaining lease payments over the lease term. With the exception of rare cases in which the implicit rate is readily determinable, we use our incremental borrowing rate based on the information available at the commencement date in determining the present value of lease payments. The Operating lease right-of-use assets also includes any lease prepayments made and excludes lease incentives we received from the lessor. Lease cost for lease payments is recognized on a straight-line basis over the lease term. Several of our leases provide for certain guarantees of residual value. We estimate and include in the determination of lease payments any amount probable of being owed under these residual value guarantees. At the date of adoption and December 31, 2019, we determined that there were no residual value guarantees which were probable of being owed. Our leases do not contain any material restrictive covenants.</w:t>
      </w:r>
    </w:p>
    <w:p>
      <w:pPr>
        <w:spacing w:after="0" w:line="15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Lease terms within our lessee arrangements may include options to extend/renew or terminate the lease and/or purchase the underlying asset when it is reasonably certain that we will exercise that option. The Company applies a portfolio approach by asset class to determine lease term renewals. The leases within these portfolios are categorized by asset class and have initial lease terms that vary depending on the asset class. The renewal terms range from 60 days to 5 years for asset classes such as temporary residential housing, forklifts, vehicles, vessels, office and IT equipment, and tool rentals, and up to 15 years or more for commercial real estate. Short-term leases with an initial term of 12 months or less that do not include a purchase option are not recorded on the balance sheet. Lease costs for short-term leases are recognized on a straight-line basis over the lease term and amounts related to short-term leases are disclosed within our financial statements.</w:t>
      </w:r>
    </w:p>
    <w:p>
      <w:pPr>
        <w:spacing w:after="0" w:line="15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has variable lease payments, including adjustments to lease payments based on an index or rate (such as the Consumer Price Index), fair value adjustments to lease payments, and common area maintenance, real estate taxes, and insurance payments in triple-net real estate leases. Variable lease payments that depend on an index or a rate (such as the Consumer Price Index or a market interest rate) are included when measuring consideration within our lease arrangements using the payments’ base rate or index. Variable payments that do not depend on an index or rate are recognized in profit or loss and are disclosed as ‘variable lease cost’ in the period they are incurred.</w:t>
      </w:r>
    </w:p>
    <w:p>
      <w:pPr>
        <w:spacing w:after="0" w:line="15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adopted the practical expedient to not separate lease and non-lease components for all asset classes except for vessels, which have significant non-lease components.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71" w:right="239" w:bottom="1440" w:gutter="0" w:footer="0" w:header="0"/>
        </w:sectPr>
      </w:pPr>
    </w:p>
    <w:bookmarkStart w:id="86" w:name="page87"/>
    <w:bookmarkEnd w:id="86"/>
    <w:p>
      <w:pPr>
        <w:spacing w:after="0" w:line="262" w:lineRule="auto"/>
        <w:rPr>
          <w:sz w:val="20"/>
          <w:szCs w:val="20"/>
          <w:color w:val="auto"/>
        </w:rPr>
      </w:pPr>
      <w:r>
        <w:rPr>
          <w:rFonts w:ascii="Arial" w:cs="Arial" w:eastAsia="Arial" w:hAnsi="Arial"/>
          <w:sz w:val="18"/>
          <w:szCs w:val="18"/>
          <w:color w:val="auto"/>
        </w:rPr>
        <w:t>The Company currently subleases certain of its leased real estate and vessels to third parties. It is expected that most subleases will be classified as operating leases by the sublessor under GAAP.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components of net lease cost for the year ended December 31, 2019:</w:t>
      </w:r>
    </w:p>
    <w:p>
      <w:pPr>
        <w:spacing w:after="0" w:line="200" w:lineRule="exact"/>
        <w:rPr>
          <w:sz w:val="20"/>
          <w:szCs w:val="20"/>
          <w:color w:val="auto"/>
        </w:rPr>
      </w:pPr>
    </w:p>
    <w:p>
      <w:pPr>
        <w:spacing w:after="0" w:line="229" w:lineRule="exact"/>
        <w:rPr>
          <w:sz w:val="20"/>
          <w:szCs w:val="20"/>
          <w:color w:val="auto"/>
        </w:rPr>
      </w:pPr>
    </w:p>
    <w:tbl>
      <w:tblPr>
        <w:tblLayout w:type="fixed"/>
        <w:tblInd w:w="110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8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2019</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 including variable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362.4</w:t>
            </w:r>
          </w:p>
        </w:tc>
      </w:tr>
      <w:tr>
        <w:trPr>
          <w:trHeight w:val="210"/>
        </w:trPr>
        <w:tc>
          <w:tcPr>
            <w:tcW w:w="8040" w:type="dxa"/>
            <w:vAlign w:val="bottom"/>
          </w:tcPr>
          <w:p>
            <w:pPr>
              <w:ind w:left="20"/>
              <w:spacing w:after="0"/>
              <w:rPr>
                <w:sz w:val="20"/>
                <w:szCs w:val="20"/>
                <w:color w:val="auto"/>
              </w:rPr>
            </w:pPr>
            <w:r>
              <w:rPr>
                <w:rFonts w:ascii="Arial" w:cs="Arial" w:eastAsia="Arial" w:hAnsi="Arial"/>
                <w:sz w:val="14"/>
                <w:szCs w:val="14"/>
                <w:color w:val="auto"/>
              </w:rPr>
              <w:t>Short-term lease costs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2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sublease income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210"/>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Net lease cost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w:t>
            </w:r>
          </w:p>
        </w:tc>
      </w:tr>
      <w:tr>
        <w:trPr>
          <w:trHeight w:val="20"/>
        </w:trPr>
        <w:tc>
          <w:tcPr>
            <w:tcW w:w="8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year ended December 31, 2019 is as follows:</w:t>
      </w:r>
    </w:p>
    <w:p>
      <w:pPr>
        <w:spacing w:after="0" w:line="200" w:lineRule="exact"/>
        <w:rPr>
          <w:sz w:val="20"/>
          <w:szCs w:val="20"/>
          <w:color w:val="auto"/>
        </w:rPr>
      </w:pPr>
    </w:p>
    <w:p>
      <w:pPr>
        <w:spacing w:after="0" w:line="229" w:lineRule="exact"/>
        <w:rPr>
          <w:sz w:val="20"/>
          <w:szCs w:val="20"/>
          <w:color w:val="auto"/>
        </w:rPr>
      </w:pPr>
    </w:p>
    <w:tbl>
      <w:tblPr>
        <w:tblLayout w:type="fixed"/>
        <w:tblInd w:w="110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8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2019</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8040" w:type="dxa"/>
            <w:vAlign w:val="bottom"/>
          </w:tcPr>
          <w:p>
            <w:pPr>
              <w:ind w:left="20"/>
              <w:spacing w:after="0"/>
              <w:rPr>
                <w:sz w:val="20"/>
                <w:szCs w:val="20"/>
                <w:color w:val="auto"/>
              </w:rPr>
            </w:pPr>
            <w:r>
              <w:rPr>
                <w:rFonts w:ascii="Arial" w:cs="Arial" w:eastAsia="Arial" w:hAnsi="Arial"/>
                <w:sz w:val="14"/>
                <w:szCs w:val="14"/>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384.7</w:t>
            </w:r>
          </w:p>
        </w:tc>
      </w:tr>
      <w:tr>
        <w:trPr>
          <w:trHeight w:val="330"/>
        </w:trPr>
        <w:tc>
          <w:tcPr>
            <w:tcW w:w="8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10"/>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as of December 31, 2019 is as follows:</w:t>
      </w:r>
    </w:p>
    <w:p>
      <w:pPr>
        <w:spacing w:after="0" w:line="375" w:lineRule="exact"/>
        <w:rPr>
          <w:sz w:val="20"/>
          <w:szCs w:val="20"/>
          <w:color w:val="auto"/>
        </w:rPr>
      </w:pPr>
    </w:p>
    <w:tbl>
      <w:tblPr>
        <w:tblLayout w:type="fixed"/>
        <w:tblInd w:w="110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lease term and discount rate)</w:t>
            </w: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2019</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remaining lease term</w:t>
            </w:r>
          </w:p>
        </w:tc>
        <w:tc>
          <w:tcPr>
            <w:tcW w:w="1200" w:type="dxa"/>
            <w:vAlign w:val="bottom"/>
            <w:shd w:val="clear" w:color="auto" w:fill="CCEEFF"/>
          </w:tcPr>
          <w:p>
            <w:pPr>
              <w:spacing w:after="0"/>
              <w:rPr>
                <w:sz w:val="18"/>
                <w:szCs w:val="18"/>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1200" w:type="dxa"/>
            <w:vAlign w:val="bottom"/>
          </w:tcPr>
          <w:p>
            <w:pPr>
              <w:ind w:left="460"/>
              <w:spacing w:after="0"/>
              <w:rPr>
                <w:sz w:val="20"/>
                <w:szCs w:val="20"/>
                <w:color w:val="auto"/>
              </w:rPr>
            </w:pPr>
            <w:r>
              <w:rPr>
                <w:rFonts w:ascii="Arial" w:cs="Arial" w:eastAsia="Arial" w:hAnsi="Arial"/>
                <w:sz w:val="14"/>
                <w:szCs w:val="14"/>
                <w:color w:val="auto"/>
              </w:rPr>
              <w:t>7.5 years</w:t>
            </w:r>
          </w:p>
        </w:tc>
      </w:tr>
      <w:tr>
        <w:trPr>
          <w:trHeight w:val="330"/>
        </w:trPr>
        <w:tc>
          <w:tcPr>
            <w:tcW w:w="80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Weighted average discount rate</w:t>
            </w:r>
          </w:p>
        </w:tc>
        <w:tc>
          <w:tcPr>
            <w:tcW w:w="1200" w:type="dxa"/>
            <w:vAlign w:val="bottom"/>
          </w:tcPr>
          <w:p>
            <w:pPr>
              <w:spacing w:after="0"/>
              <w:rPr>
                <w:sz w:val="18"/>
                <w:szCs w:val="18"/>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maturity of lease liabilities under operating leases as of December 31, 2019:</w:t>
      </w:r>
    </w:p>
    <w:p>
      <w:pPr>
        <w:spacing w:after="0" w:line="375" w:lineRule="exact"/>
        <w:rPr>
          <w:sz w:val="20"/>
          <w:szCs w:val="20"/>
          <w:color w:val="auto"/>
        </w:rPr>
      </w:pPr>
    </w:p>
    <w:tbl>
      <w:tblPr>
        <w:tblLayout w:type="fixed"/>
        <w:tblInd w:w="110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Operating</w:t>
            </w:r>
          </w:p>
        </w:tc>
      </w:tr>
      <w:tr>
        <w:trPr>
          <w:trHeight w:val="19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Leases</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w:t>
            </w:r>
          </w:p>
        </w:tc>
      </w:tr>
      <w:tr>
        <w:trPr>
          <w:trHeight w:val="210"/>
        </w:trPr>
        <w:tc>
          <w:tcPr>
            <w:tcW w:w="8040" w:type="dxa"/>
            <w:vAlign w:val="bottom"/>
          </w:tcPr>
          <w:p>
            <w:pPr>
              <w:ind w:left="20"/>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184.6</w:t>
            </w:r>
          </w:p>
        </w:tc>
      </w:tr>
      <w:tr>
        <w:trPr>
          <w:trHeight w:val="22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r>
      <w:tr>
        <w:trPr>
          <w:trHeight w:val="210"/>
        </w:trPr>
        <w:tc>
          <w:tcPr>
            <w:tcW w:w="8040" w:type="dxa"/>
            <w:vAlign w:val="bottom"/>
          </w:tcPr>
          <w:p>
            <w:pPr>
              <w:ind w:left="20"/>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101.9</w:t>
            </w:r>
          </w:p>
        </w:tc>
      </w:tr>
      <w:tr>
        <w:trPr>
          <w:trHeight w:val="22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r>
      <w:tr>
        <w:trPr>
          <w:trHeight w:val="21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330.4</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payments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1,139.9</w:t>
            </w:r>
          </w:p>
        </w:tc>
      </w:tr>
      <w:tr>
        <w:trPr>
          <w:trHeight w:val="21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Less: Imputed interest </w:t>
            </w:r>
            <w:r>
              <w:rPr>
                <w:rFonts w:ascii="Arial" w:cs="Arial" w:eastAsia="Arial" w:hAnsi="Arial"/>
                <w:sz w:val="17"/>
                <w:szCs w:val="17"/>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w:t>
            </w:r>
          </w:p>
        </w:tc>
      </w:tr>
      <w:tr>
        <w:trPr>
          <w:trHeight w:val="21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Total lease liabilities </w:t>
            </w:r>
            <w:r>
              <w:rPr>
                <w:rFonts w:ascii="Arial" w:cs="Arial" w:eastAsia="Arial" w:hAnsi="Arial"/>
                <w:sz w:val="17"/>
                <w:szCs w:val="17"/>
                <w:b w:val="1"/>
                <w:bCs w:val="1"/>
                <w:color w:val="auto"/>
                <w:vertAlign w:val="superscript"/>
              </w:rPr>
              <w:t>(b)</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956.8</w:t>
            </w:r>
          </w:p>
        </w:tc>
      </w:tr>
      <w:tr>
        <w:trPr>
          <w:trHeight w:val="20"/>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780"/>
          </w:cols>
          <w:pgMar w:left="240" w:top="571" w:right="879"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auto"/>
        </w:rPr>
        <w:t>Note: For leases commencing prior to 2019, minimum lease payments exclude payments to landlords for real estate taxes and common area maintenance.</w:t>
      </w:r>
    </w:p>
    <w:p>
      <w:pPr>
        <w:spacing w:after="0" w:line="16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Calculated using the interest rate for each lease.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the current portion of 275.1 million for operating 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minimum rental payments under noncancellable operating leases under ASC Topic 840 were: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329.8</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2020</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286.1</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192.3</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2022</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123.8</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485.6</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lease payment</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1,519.7</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income from sub-leases</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w:t>
            </w: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minimum operating lease payments</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1,494.1</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As of December 31, 2019, we have an additional operating lease for our future office building in Paris, France, that has not yet commenced for 236.2 million. This operating lease will commence in fiscal year 2021 with a lease term of 10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Lessor Arrangements</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lease real estate including land, buildings and warehouses, machinery/equipment, and vessels from a lessor perspective. We determine if an arrangement is a lease at inception by assessing whether an identified asset exists and if the customer has the right to control the use of the identified asset. We use our implicit rate for our lessor arrangements. We have elected the practical expedient available for lessors to not separate lease and non-lease components for vessels. If the non-lease component is predominant in our contracts, we account for the contracts under the revenue recognition guidance in ASC 606. If the lease component is predominant in our contracts, we account for the contracts under the lease guidance in ASC 842. We estimate the amount we expect to derive from the underlying asset following the end of the lease term based on remaining economic life. Our lessor arrangements generally do not include any residual value guarantees. We recognize lessee payments of lessor costs such as taxes and insurance on a net basis when the lessee pays those costs directly to a third party or when the amount paid by the lessee is not readily determinable.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components of lease revenue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10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8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2019</w:t>
            </w:r>
          </w:p>
        </w:tc>
      </w:tr>
      <w:tr>
        <w:trPr>
          <w:trHeight w:val="175"/>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Operating lease revenue including variable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w:t>
            </w:r>
          </w:p>
        </w:tc>
      </w:tr>
      <w:tr>
        <w:trPr>
          <w:trHeight w:val="41"/>
        </w:trPr>
        <w:tc>
          <w:tcPr>
            <w:tcW w:w="80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3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 is a summary of the maturity analysis of the undiscounted cash flows to be received on an annual basis for each of the first five years, and a total of the amounts for the remaining years: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93" w:right="239" w:bottom="1440" w:gutter="0" w:footer="0" w:header="0"/>
        </w:sectPr>
      </w:pPr>
    </w:p>
    <w:bookmarkStart w:id="88" w:name="page89"/>
    <w:bookmarkEnd w:id="88"/>
    <w:tbl>
      <w:tblPr>
        <w:tblLayout w:type="fixed"/>
        <w:tblInd w:w="110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Operating</w:t>
            </w:r>
          </w:p>
        </w:tc>
      </w:tr>
      <w:tr>
        <w:trPr>
          <w:trHeight w:val="19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Leases</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r>
      <w:tr>
        <w:trPr>
          <w:trHeight w:val="210"/>
        </w:trPr>
        <w:tc>
          <w:tcPr>
            <w:tcW w:w="8040" w:type="dxa"/>
            <w:vAlign w:val="bottom"/>
          </w:tcPr>
          <w:p>
            <w:pPr>
              <w:ind w:left="20"/>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2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210"/>
        </w:trPr>
        <w:tc>
          <w:tcPr>
            <w:tcW w:w="8040" w:type="dxa"/>
            <w:vAlign w:val="bottom"/>
          </w:tcPr>
          <w:p>
            <w:pPr>
              <w:ind w:left="20"/>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2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cash flows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w:t>
            </w:r>
          </w:p>
        </w:tc>
      </w:tr>
      <w:tr>
        <w:trPr>
          <w:trHeight w:val="20"/>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REVENUE</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 On January 1, 2018, we adopted ASC Topic 606 of GAAP using the modified retrospective method applied to those contracts that were not completed as of January 1, 2018 resulting in a $91.5 million reduction to retained earnings. Results for reporting periods beginning after January 1, 2018 are presented under ASC Topic 606, while prior period amounts are not adjusted and continue to be reported in accordance with our historic accounting under Topic 605.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Revenue Recognition Criteria Explained</w:t>
      </w:r>
    </w:p>
    <w:p>
      <w:pPr>
        <w:spacing w:after="0" w:line="17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 xml:space="preserve">Allocation of transaction price to performance obligations - </w:t>
      </w:r>
      <w:r>
        <w:rPr>
          <w:rFonts w:ascii="Arial" w:cs="Arial" w:eastAsia="Arial" w:hAnsi="Arial"/>
          <w:sz w:val="18"/>
          <w:szCs w:val="18"/>
          <w:color w:val="auto"/>
        </w:rPr>
        <w:t>A contract’s transaction price is allocated to each distinct performance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recognized as revenue, when, or as, the performance obligation is satisfied. To determine the proper revenue recognition method, we evaluate whether two or more contracts should be combined and accounted for as one single contract and whether the combined or single contract should be accounted for as more than one performance obligation. This evaluation requires significant judgment; some of our contracts have a single performance obligation as the promise to transfer the individual goods or services is not separately identifiable from other promises in the contracts and, therefore, not distinct.</w:t>
      </w:r>
    </w:p>
    <w:p>
      <w:pPr>
        <w:spacing w:after="0" w:line="1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Variable consideration - </w:t>
      </w:r>
      <w:r>
        <w:rPr>
          <w:rFonts w:ascii="Arial" w:cs="Arial" w:eastAsia="Arial" w:hAnsi="Arial"/>
          <w:sz w:val="18"/>
          <w:szCs w:val="18"/>
          <w:color w:val="auto"/>
        </w:rPr>
        <w:t>Due to the nature of the work required to be performed on many of our performance obligations, the estimation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and cost at completion is complex, subject to many variables and requires significant judgment. It is common for our long-term contracts to contain variable considerations that can either increase or decrease the transaction price. Variability in the transaction price arises primarily due to liquidated damages. The Company considers its experience with similar transactions and expectations regarding the contract in estimating the amount of variable consideration to which it will be entitled, and determining whether the estimated variable consideration should be constrained. We include estimated amounts in the transaction price to the extent it is probable that a significant reversal of cumulative revenue recognized will not occur when the uncertainty associated with the variable consideration is resolved. Our estimates of variable consideration are based largely on an assessment of our anticipated performance and all information (historical, current and forecasted) that is reasonably available to us.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Payment terms - </w:t>
      </w:r>
      <w:r>
        <w:rPr>
          <w:rFonts w:ascii="Arial" w:cs="Arial" w:eastAsia="Arial" w:hAnsi="Arial"/>
          <w:sz w:val="18"/>
          <w:szCs w:val="18"/>
          <w:color w:val="auto"/>
        </w:rPr>
        <w:t>Progress billings are generally issued upon completion of certain phases of the work as stipulated in the contract.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terms may either be fixed, lump-sum or driven by time and materials (e.g., daily or hourly rates, plus materials). Because typically the customer retains a small portion of the contract price until completion of the contract, our contracts generally result in revenue recognized in excess of billings which we present as contract assets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some contracts, we may be entitled to receive an advance payment. We recognize a liability for these advance payments in excess of revenue recognized and present it as contract liabilities on the balance sheet. The advance payment typically is not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720" w:right="259" w:bottom="1440" w:gutter="0" w:footer="0" w:header="0"/>
        </w:sectPr>
      </w:pPr>
    </w:p>
    <w:bookmarkStart w:id="89" w:name="page90"/>
    <w:bookmarkEnd w:id="89"/>
    <w:p>
      <w:pPr>
        <w:jc w:val="both"/>
        <w:ind w:right="380"/>
        <w:spacing w:after="0" w:line="266" w:lineRule="auto"/>
        <w:rPr>
          <w:sz w:val="20"/>
          <w:szCs w:val="20"/>
          <w:color w:val="auto"/>
        </w:rPr>
      </w:pPr>
      <w:r>
        <w:rPr>
          <w:rFonts w:ascii="Arial" w:cs="Arial" w:eastAsia="Arial" w:hAnsi="Arial"/>
          <w:sz w:val="18"/>
          <w:szCs w:val="18"/>
          <w:i w:val="1"/>
          <w:iCs w:val="1"/>
          <w:color w:val="auto"/>
        </w:rPr>
        <w:t xml:space="preserve">Warranty - </w:t>
      </w:r>
      <w:r>
        <w:rPr>
          <w:rFonts w:ascii="Arial" w:cs="Arial" w:eastAsia="Arial" w:hAnsi="Arial"/>
          <w:sz w:val="18"/>
          <w:szCs w:val="18"/>
          <w:color w:val="auto"/>
        </w:rPr>
        <w:t>Certain contracts include an assurance-type warranty clause, typically between 18 to 36 months, to guarantee that the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agreed specifications. A service-type warranty may also be provided to the customer; in such a case, management allocates a portion of the transaction price to the warranty based on the estimated stand-alone selling price of the service-type warranty.</w:t>
      </w:r>
    </w:p>
    <w:p>
      <w:pPr>
        <w:spacing w:after="0" w:line="12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Revenue recognized over time - </w:t>
      </w:r>
      <w:r>
        <w:rPr>
          <w:rFonts w:ascii="Arial" w:cs="Arial" w:eastAsia="Arial" w:hAnsi="Arial"/>
          <w:sz w:val="18"/>
          <w:szCs w:val="18"/>
          <w:color w:val="auto"/>
        </w:rPr>
        <w:t>Our performance obligations are satisfied over time as work progresses or at a point in time.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transferred to customers over time accounted for approximately 81.7% of our revenue for the year ended December 31, 2019, respectively. Typically, revenue is recognized over time using an input measure (e.g., costs incurred to date relative to total estimated costs at completion) to measure progress.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Cost-to-cost method - </w:t>
      </w:r>
      <w:r>
        <w:rPr>
          <w:rFonts w:ascii="Arial" w:cs="Arial" w:eastAsia="Arial" w:hAnsi="Arial"/>
          <w:sz w:val="18"/>
          <w:szCs w:val="18"/>
          <w:color w:val="auto"/>
        </w:rPr>
        <w:t>For our long-term contracts, because of control transferring over time, revenue is recognized based on the extent of</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towards completion of the performance obligation. Upon adoption of the new standard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Right to invoice practical expedient - </w:t>
      </w:r>
      <w:r>
        <w:rPr>
          <w:rFonts w:ascii="Arial" w:cs="Arial" w:eastAsia="Arial" w:hAnsi="Arial"/>
          <w:sz w:val="18"/>
          <w:szCs w:val="18"/>
          <w:color w:val="auto"/>
        </w:rPr>
        <w:t>The right-to-invoice practical expedient can be applied to a performance obligation satisfied over time if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a right to invoice the customer for an amount that corresponds directly with the value transferred to the customer for our performance completed to date. When this practical expedient is used, we do not estimate variable consideration at the inception of the contract to determine the transaction price or for disclosure purposes. We have contracts which have payment terms dictated by daily or hourly rates where some contracts may have mixed pricing terms which include a fixed fee portion. For contracts in which we charge the customer a fixed rate based on the time or materials spent during the project that correspond to the value transferred to the customer, we recognize revenue in the amount to which we have the right to invoice.</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Contract modifications - </w:t>
      </w:r>
      <w:r>
        <w:rPr>
          <w:rFonts w:ascii="Arial" w:cs="Arial" w:eastAsia="Arial" w:hAnsi="Arial"/>
          <w:sz w:val="18"/>
          <w:szCs w:val="18"/>
          <w:color w:val="auto"/>
        </w:rPr>
        <w:t>Contracts are often modified to account for changes in contract specifications and requirements. We consider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by Segment</w:t>
      </w:r>
    </w:p>
    <w:p>
      <w:pPr>
        <w:spacing w:after="0" w:line="19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is a description of principal activities separated by reportable segments from which the Company generates its revenue. See Note 7 for more detailed information about reportable segments.</w:t>
      </w:r>
    </w:p>
    <w:p>
      <w:pPr>
        <w:spacing w:after="0" w:line="12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7"/>
          <w:szCs w:val="17"/>
          <w:b w:val="1"/>
          <w:bCs w:val="1"/>
          <w:i w:val="1"/>
          <w:iCs w:val="1"/>
          <w:color w:val="auto"/>
        </w:rPr>
        <w:t>Subsea</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Subsea segment manufactures and designs products and systems, performs engineering, procurement and project management and provides services used by oil and gas companies involved in offshore exploration and production of crude oil and natural gas. Systems and services may be sold separately or as combined integrated systems and services offered within one contract. Many of the systems and products the Company supplies for subsea applications are highly engineered to meet the unique demands of our customers’ field properties and are typically ordered one to two years prior to installation. We often receive advance payments and progress billings from our customers in order to fund initial development and working capital requirements.</w:t>
      </w:r>
    </w:p>
    <w:p>
      <w:pPr>
        <w:spacing w:after="0" w:line="15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Subsea engineering, procurement, construction and installation contracts, revenue is principally generated from long-term contracts with customers. We have determined these contracts generally have one performance obligation as the delivered product is highly customized to customer and field specifications. We generally recognize revenue over time for such contracts as the customized products do not have an alternative use for the Company and we have an enforceable right to payment plus a reasonable profit for performance completed to date.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53" w:right="239" w:bottom="1440" w:gutter="0" w:footer="0" w:header="0"/>
        </w:sectPr>
      </w:pPr>
    </w:p>
    <w:bookmarkStart w:id="90" w:name="page91"/>
    <w:bookmarkEnd w:id="90"/>
    <w:p>
      <w:pPr>
        <w:spacing w:after="0" w:line="253" w:lineRule="auto"/>
        <w:rPr>
          <w:sz w:val="20"/>
          <w:szCs w:val="20"/>
          <w:color w:val="auto"/>
        </w:rPr>
      </w:pPr>
      <w:r>
        <w:rPr>
          <w:rFonts w:ascii="Arial" w:cs="Arial" w:eastAsia="Arial" w:hAnsi="Arial"/>
          <w:sz w:val="18"/>
          <w:szCs w:val="18"/>
          <w:color w:val="auto"/>
        </w:rPr>
        <w:t>Our Subsea segment also performs an array of subsea services including (i) installation services, (ii) asset management services (iii) product optimization, (iv) inspection, maintenance and repair services, and (v) well access and intervention services, where revenue is generally earned through the execution of either installation-type or maintenance-type contracts. For either contract-type, management has determined that the performance of the service generally represents one single performance obligation. We have determined that revenue from these contracts is recognized over time as the customer simultaneously receives and consumes the benefit of the services.</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Onshore/Offshore</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Onshore/Offshore segment designs and builds onshore facilities related to the production, treatment, transformation and transportation of hydrocarbons and renewable feedstock; and designs, manufactures and installs fixed and floating platforms for the offshore production and processing of oil and gas reserves.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onshore business combines the design, engineering, procurement, construction and project management of the entire range of onshore facilities. Our onshore activity covers all types of onshore facilities related to the production, treatment and transportation of oil and gas, as well as transformation with petrochemicals such as ethylene, polymers and fertilizers. Some of the onshore activities include the development of onshore fields, refining, natural gas treatment and liquefaction, and design and construction of hydrogen and synthesis gas production units.</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Many of these contracts provide a combination of engineering, procurement, construction, project management and installation services, which may last several years. We have determined that contracts of this nature have generally one performance obligation. In these contracts, the final product is highly customized to the specifications of the field and the customer’s requirements. Therefore, the customer obtains control of the asset over time, and thus revenue is recognized over time.</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offshore business combines the design, engineering, procurement, construction and project management within the entire range of fixed and floating offshore oil and gas facilities, many of which were the first of their kind, including the development of floating liquefied natural gas (“FLNG”) facilities. Similar to onshore contracts, contracts grouped under this segment provide a combination of services, which may last several years.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determined that contracts of this nature have one performance obligation. In these contracts, the final product is highly customized to the specifications of the field and the customer’s requirements. We have determined that the customer obtains control of the asset over time, and thus revenue is recognized over time as the customized products do not have an alternative use for us and we have an enforceable right to payment plus reasonable profit for performance completed to date.</w:t>
      </w:r>
    </w:p>
    <w:p>
      <w:pPr>
        <w:spacing w:after="0" w:line="1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7"/>
          <w:szCs w:val="17"/>
          <w:b w:val="1"/>
          <w:bCs w:val="1"/>
          <w:i w:val="1"/>
          <w:iCs w:val="1"/>
          <w:color w:val="auto"/>
        </w:rPr>
        <w:t>Surface Technologies</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Our Surface Technologies segment designs, manufactures and supplies technologically advanced wellhead systems and high pressure valves and pumps used in stimulation activities for oilfield service companies and provides installation, flowback and other services for exploration and production companies.</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provide a full range of drilling, completion and production wellhead systems for both standard and custom-engineered applications. Under pressure control product contracts, we design and manufacture flowline products, under the Weco®/Chiksan® trademarks, articulating frac arm manifold trailers, well service pumps, compact valves and reciprocating pumps used in well completion and stimulation activities by major oilfield service companies. Performance obligations within these systems are satisfied either through delivery of a standardized product or equipment or the delivery of a customized product or equipment.</w:t>
      </w:r>
    </w:p>
    <w:p>
      <w:pPr>
        <w:spacing w:after="0" w:line="1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contracts with a standardized product or equipment performance obligation, management has determined that because there is limited customization to products sold within such contracts and the asset delivered can be resold to another customer, revenue should be recognized as of a point in time, upon transfer of control to the customer and after the customer acceptance provisions have been met.</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contracts with a customized product or equipment performance obligation, the revenue is recognized over time, as the manufacturing of our product does not create an asset with an alternative use for us.</w:t>
      </w:r>
    </w:p>
    <w:p>
      <w:pPr>
        <w:spacing w:after="0" w:line="142"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This segment also designs, manufactures and services measurement products globally. Contract-types include standard product or equipment and maintenance-type services where we have determined that each contract under this product line represents one performance obligation.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71" w:right="239" w:bottom="1440" w:gutter="0" w:footer="0" w:header="0"/>
        </w:sectPr>
      </w:pPr>
    </w:p>
    <w:bookmarkStart w:id="91" w:name="page92"/>
    <w:bookmarkEnd w:id="91"/>
    <w:p>
      <w:pPr>
        <w:ind w:right="460"/>
        <w:spacing w:after="0" w:line="256" w:lineRule="auto"/>
        <w:rPr>
          <w:sz w:val="20"/>
          <w:szCs w:val="20"/>
          <w:color w:val="auto"/>
        </w:rPr>
      </w:pPr>
      <w:r>
        <w:rPr>
          <w:rFonts w:ascii="Arial" w:cs="Arial" w:eastAsia="Arial" w:hAnsi="Arial"/>
          <w:sz w:val="18"/>
          <w:szCs w:val="18"/>
          <w:color w:val="auto"/>
        </w:rPr>
        <w:t>Revenue from standard measurement equipment contracts is recognized at a point in time, while maintenance-type contracts are typically priced at a daily or hourly rate. We have determined that revenue for these contracts is recognized over time because the customer simultaneously receives and consumes the benefit of the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disaggregates revenue by geographic location and contract types. The tables also include a reconciliation of the disaggregated revenue with the reportable segments.</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tables present products and services revenue by geography for each reportable segment for the year ended December 31, 2019 and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44"/>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5"/>
                <w:szCs w:val="15"/>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Surface</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Offshore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Subsea</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Offshore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 Russia, Central Asia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1,745.2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1,528.1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227.7</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America</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1,770.0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766.2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732.1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1,721.5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865.5</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123.2</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824.8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526.0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758.1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57.9</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407.1</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1,011.0</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760.7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213.4</w:t>
            </w: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Total products and services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5,407.0</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6,268.8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1,466.8</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4,721.8</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6,120.7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1,487.7</w:t>
            </w:r>
          </w:p>
        </w:tc>
      </w:tr>
      <w:tr>
        <w:trPr>
          <w:trHeight w:val="20"/>
        </w:trPr>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revenue by contract type for each reportable segment for the year ended December 31, 2019 and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44"/>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5"/>
                <w:szCs w:val="15"/>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Surface</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Surface</w:t>
            </w:r>
          </w:p>
        </w:tc>
      </w:tr>
      <w:tr>
        <w:trPr>
          <w:trHeight w:val="202"/>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Offshore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Subsea</w:t>
            </w:r>
            <w:r>
              <w:rPr>
                <w:rFonts w:ascii="Arial" w:cs="Arial" w:eastAsia="Arial" w:hAnsi="Arial"/>
                <w:sz w:val="17"/>
                <w:szCs w:val="17"/>
                <w:b w:val="1"/>
                <w:bCs w:val="1"/>
                <w:color w:val="auto"/>
                <w:w w:val="96"/>
                <w:vertAlign w:val="superscript"/>
              </w:rPr>
              <w:t>(b)</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Offshore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3,244.5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2,687.1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249.8</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2,162.5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1,190.4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2,034.7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1,237.9</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products and services revenue</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5,407.0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6,268.8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1,466.8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4,721.8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6,120.7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1,487.7</w:t>
            </w: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Lease and other</w:t>
            </w:r>
            <w:r>
              <w:rPr>
                <w:rFonts w:ascii="Arial" w:cs="Arial" w:eastAsia="Arial" w:hAnsi="Arial"/>
                <w:sz w:val="17"/>
                <w:szCs w:val="17"/>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104.5</w:t>
            </w: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5,523.0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1,617.3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6,120.7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1,592.2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revenue not subject to ASC Topic 606.</w:t>
      </w:r>
    </w:p>
    <w:p>
      <w:pPr>
        <w:spacing w:after="0" w:line="163" w:lineRule="exact"/>
        <w:rPr>
          <w:rFonts w:ascii="Arial" w:cs="Arial" w:eastAsia="Arial" w:hAnsi="Arial"/>
          <w:sz w:val="14"/>
          <w:szCs w:val="14"/>
          <w:color w:val="auto"/>
        </w:rPr>
      </w:pPr>
    </w:p>
    <w:p>
      <w:pPr>
        <w:ind w:left="340" w:right="80" w:hanging="332"/>
        <w:spacing w:after="0" w:line="25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revised the consolidated statement of operations to correct the classification of service revenue and product revenue in the amount of $707.4 million for the year ended December 31, 2018. See Note 1 to our consolidated financial statements included in Part II, Item 8 of this Annual Report on Form 10-K for additional disclosure related to the revision.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consolidated balance sheets.</w:t>
      </w:r>
    </w:p>
    <w:p>
      <w:pPr>
        <w:spacing w:after="0" w:line="130"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previously disclosed as costs and estimated earnings in excess of billings on uncompleted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unbilled amounts typically resulting from sales under long-term contracts when revenue is 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3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71"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following table provides information about net contract assets (liabilities) as of December 31, 2019 and December 31,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225.0</w:t>
            </w:r>
          </w:p>
        </w:tc>
        <w:tc>
          <w:tcPr>
            <w:tcW w:w="1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Contract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(4,585.1)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(4,085.1)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(12.2)</w:t>
            </w: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contract assets (liabilities)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contract assets from December 31, 2018 to December 31, 2019 was primarily due to the timing of milestones.</w:t>
      </w:r>
    </w:p>
    <w:p>
      <w:pPr>
        <w:spacing w:after="0" w:line="17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remaining increase in our contract liabilities was primarily due to additional cash received, excluding amounts recognized as revenue during the period.</w:t>
      </w:r>
    </w:p>
    <w:p>
      <w:pPr>
        <w:spacing w:after="0" w:line="14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Revenue recognized for the year ended December 31, 2019 that were included in the contract liabilities balance at December 31, 2018 was $ 2,414.0 million. Revenue recognized for the year ended December 31, 2018 that were included in the contract liabilities balance at December 31, 2017 was $2,814.6 million.</w:t>
      </w:r>
    </w:p>
    <w:p>
      <w:pPr>
        <w:spacing w:after="0" w:line="150"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In addition, net revenue recognized for the year ended December 31, 2019 and 2018 from our performance obligations satisfied in previous periods has favorable impact of $1,176.5 million and $596.9 million, respectively. This primarily relates to the changes in the estimate of the stage of completion that impacted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December 31, 2019, the aggregate amount of the transaction price allocated to order backlog was $24,251.1 million. The Company expects to recognize revenue on approximately 47.4% of the order backlog through 2020 and 52.6% thereafter.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order backlog for each business segment as of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4,506.8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1,500.6</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6,581.3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5,127.8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3,589.0</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411.7</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Total remaining unsatisfied performance obligations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11,499.8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7,661.7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5,089.6</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SEGMENTS</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Executive Officer, as our chief operating decision maker, reviews and evaluates operating performance to make decisions about resources to be allocated to the segment.</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Upon completion of the Merger, we reorganized our reporting structure and aligned our segments and the underlying businesses to execute the strategy of TechnipFMC. As a result, we report the results of operations in the following segments: Subsea, Onshore/Offshore and Surface Technologies.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7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Our reportable segments are:</w:t>
      </w:r>
    </w:p>
    <w:p>
      <w:pPr>
        <w:spacing w:after="0" w:line="153" w:lineRule="exact"/>
        <w:rPr>
          <w:sz w:val="20"/>
          <w:szCs w:val="20"/>
          <w:color w:val="auto"/>
        </w:rPr>
      </w:pPr>
    </w:p>
    <w:p>
      <w:pPr>
        <w:ind w:left="340" w:right="380" w:hanging="332"/>
        <w:spacing w:after="0" w:line="282"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manufactures and designs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107" w:lineRule="exact"/>
        <w:rPr>
          <w:rFonts w:ascii="Arial" w:cs="Arial" w:eastAsia="Arial" w:hAnsi="Arial"/>
          <w:sz w:val="18"/>
          <w:szCs w:val="18"/>
          <w:color w:val="auto"/>
        </w:rPr>
      </w:pPr>
    </w:p>
    <w:p>
      <w:pPr>
        <w:ind w:left="340" w:right="740" w:hanging="332"/>
        <w:spacing w:after="0" w:line="266" w:lineRule="auto"/>
        <w:tabs>
          <w:tab w:leader="none" w:pos="3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designs and builds onshore facilities related to the production, treatment, transformation and transportation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hydrocarbons; and designs, manufactures and installs fixed and floating platforms for the production and processing of oil and gas reserves.</w:t>
      </w:r>
    </w:p>
    <w:p>
      <w:pPr>
        <w:spacing w:after="0" w:line="122" w:lineRule="exact"/>
        <w:rPr>
          <w:rFonts w:ascii="Arial" w:cs="Arial" w:eastAsia="Arial" w:hAnsi="Arial"/>
          <w:sz w:val="18"/>
          <w:szCs w:val="18"/>
          <w:i w:val="1"/>
          <w:iCs w:val="1"/>
          <w:color w:val="auto"/>
        </w:rPr>
      </w:pPr>
    </w:p>
    <w:p>
      <w:pPr>
        <w:ind w:left="340" w:right="180" w:hanging="332"/>
        <w:spacing w:after="0" w:line="266" w:lineRule="auto"/>
        <w:tabs>
          <w:tab w:leader="none" w:pos="3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designs and manufactures systems and provides services used by oil and gas companies involved in land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shallow water exploration and production of crude oil and natural gas; designs, manufactures and supplies technologically advanced high pressure valves and fittings for oilfield service companies; and also provides flowback and well testing services.</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Segment operating profit is defined as total segment revenue less segment operating expenses. Income (loss) from equity method investments is included in computing segment operating profit. Refer to Note 12 for additional information. The following items have been excluded in computing segment operating profit: corporate staff expense, net interest income (expense) associated with corporate debt facilities, income taxes, and other revenue and other expense, net.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 and segment operating profit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revenue</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Subsea</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5,523.0</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4,840.0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5,877.4</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6,268.8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6,120.7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7,904.5</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Surface Technologies</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1,617.3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1,592.2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1,274.6</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 and intercompany eliminations</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4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13,409.1</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12,552.9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15,056.9</w:t>
            </w:r>
          </w:p>
        </w:tc>
      </w:tr>
      <w:tr>
        <w:trPr>
          <w:trHeight w:val="303"/>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Segment operating profit (loss)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460.5</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959.6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824.0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810.9</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(656.1)</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172.8</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82.7</w:t>
            </w:r>
          </w:p>
        </w:tc>
      </w:tr>
      <w:tr>
        <w:trPr>
          <w:trHeight w:val="24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segment operating profit (loss)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(1,144.2)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1,354.1</w:t>
            </w:r>
          </w:p>
        </w:tc>
      </w:tr>
      <w:tr>
        <w:trPr>
          <w:trHeight w:val="330"/>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Corporate items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Corporate expense </w:t>
            </w:r>
            <w:r>
              <w:rPr>
                <w:rFonts w:ascii="Arial" w:cs="Arial" w:eastAsia="Arial" w:hAnsi="Arial"/>
                <w:sz w:val="17"/>
                <w:szCs w:val="17"/>
                <w:color w:val="auto"/>
                <w:vertAlign w:val="superscript"/>
              </w:rPr>
              <w:t>(a)</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(359.2)</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116.5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140.8</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(567.8)</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(456.0)</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corporate items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(991.6)</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(955.4)</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(674.4)</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Income (loss) before income taxes </w:t>
            </w:r>
            <w:r>
              <w:rPr>
                <w:rFonts w:ascii="Arial" w:cs="Arial" w:eastAsia="Arial" w:hAnsi="Arial"/>
                <w:sz w:val="17"/>
                <w:szCs w:val="17"/>
                <w:b w:val="1"/>
                <w:bCs w:val="1"/>
                <w:color w:val="auto"/>
                <w:vertAlign w:val="superscript"/>
              </w:rPr>
              <w:t>(b)</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(2,135.8)</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340" w:right="10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legal reserve, stock-based compensation expenses, other employee benefits, certain foreign exchange gains and losses, and merger transaction and integration expenses and separation expenses.</w:t>
      </w:r>
    </w:p>
    <w:p>
      <w:pPr>
        <w:spacing w:after="0" w:line="140"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2019, 2018 and 2017, revenue from JSC Yamal LNG exceeded 10% of our consolidated revenue.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71" w:right="239"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i w:val="1"/>
          <w:iCs w:val="1"/>
          <w:color w:val="auto"/>
        </w:rPr>
        <w:t>Segment assets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8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7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assets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00" w:type="dxa"/>
            <w:vAlign w:val="bottom"/>
          </w:tcPr>
          <w:p>
            <w:pPr>
              <w:ind w:left="2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10,824.2</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11,037.8</w:t>
            </w:r>
          </w:p>
        </w:tc>
      </w:tr>
      <w:tr>
        <w:trPr>
          <w:trHeight w:val="2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Onshore/Offshore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4,448.8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4,355.2</w:t>
            </w:r>
          </w:p>
        </w:tc>
      </w:tr>
      <w:tr>
        <w:trPr>
          <w:trHeight w:val="264"/>
        </w:trPr>
        <w:tc>
          <w:tcPr>
            <w:tcW w:w="830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2,246.4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2,825.6</w:t>
            </w:r>
          </w:p>
        </w:tc>
      </w:tr>
      <w:tr>
        <w:trPr>
          <w:trHeight w:val="2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Intercompany eliminations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r>
      <w:tr>
        <w:trPr>
          <w:trHeight w:val="244"/>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Total segment assets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17,485.5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18,192.2</w:t>
            </w:r>
          </w:p>
        </w:tc>
      </w:tr>
      <w:tr>
        <w:trPr>
          <w:trHeight w:val="2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Corporate </w:t>
            </w:r>
            <w:r>
              <w:rPr>
                <w:rFonts w:ascii="Arial" w:cs="Arial" w:eastAsia="Arial" w:hAnsi="Arial"/>
                <w:sz w:val="17"/>
                <w:szCs w:val="17"/>
                <w:color w:val="auto"/>
                <w:vertAlign w:val="superscript"/>
              </w:rPr>
              <w:t>(a)</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6,033.3</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6,592.3</w:t>
            </w:r>
          </w:p>
        </w:tc>
      </w:tr>
      <w:tr>
        <w:trPr>
          <w:trHeight w:val="237"/>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23,518.8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24,784.5</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340" w:right="80" w:hanging="332"/>
        <w:spacing w:after="0" w:line="25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Corporate includes cash, LIFO adjustments, deferred income tax balances, property, plant and equipment not associated with a specific segment, pension assets and the fair value of derivative financial instruments.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Geographic segment information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Geographic segment sales were identified based on the country where our products and services were delivered.</w:t>
      </w:r>
    </w:p>
    <w:p>
      <w:pPr>
        <w:spacing w:after="0" w:line="339" w:lineRule="exact"/>
        <w:rPr>
          <w:sz w:val="20"/>
          <w:szCs w:val="20"/>
          <w:color w:val="auto"/>
        </w:rPr>
      </w:pPr>
    </w:p>
    <w:tbl>
      <w:tblPr>
        <w:tblLayout w:type="fixed"/>
        <w:tblInd w:w="1120" w:type="dxa"/>
        <w:tblCellMar>
          <w:top w:w="0" w:type="dxa"/>
          <w:left w:w="0" w:type="dxa"/>
          <w:bottom w:w="0" w:type="dxa"/>
          <w:right w:w="0" w:type="dxa"/>
        </w:tblCellMar>
      </w:tblPr>
      <w:tr>
        <w:trPr>
          <w:trHeight w:val="178"/>
        </w:trPr>
        <w:tc>
          <w:tcPr>
            <w:tcW w:w="54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color w:val="auto"/>
              </w:rPr>
              <w:t>Year Ended December 31,</w:t>
            </w:r>
          </w:p>
        </w:tc>
        <w:tc>
          <w:tcPr>
            <w:tcW w:w="900" w:type="dxa"/>
            <w:vAlign w:val="bottom"/>
            <w:tcBorders>
              <w:bottom w:val="single" w:sz="8" w:color="auto"/>
            </w:tcBorders>
          </w:tcPr>
          <w:p>
            <w:pPr>
              <w:spacing w:after="0"/>
              <w:rPr>
                <w:sz w:val="15"/>
                <w:szCs w:val="15"/>
                <w:color w:val="auto"/>
              </w:rPr>
            </w:pPr>
          </w:p>
        </w:tc>
      </w:tr>
      <w:tr>
        <w:trPr>
          <w:trHeight w:val="250"/>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Revenue:</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r>
      <w:tr>
        <w:trPr>
          <w:trHeight w:val="25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Russia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4,894.2</w:t>
            </w:r>
          </w:p>
        </w:tc>
      </w:tr>
      <w:tr>
        <w:trPr>
          <w:trHeight w:val="264"/>
        </w:trPr>
        <w:tc>
          <w:tcPr>
            <w:tcW w:w="5460" w:type="dxa"/>
            <w:vAlign w:val="bottom"/>
          </w:tcPr>
          <w:p>
            <w:pPr>
              <w:ind w:left="40"/>
              <w:spacing w:after="0"/>
              <w:rPr>
                <w:sz w:val="20"/>
                <w:szCs w:val="20"/>
                <w:color w:val="auto"/>
              </w:rPr>
            </w:pPr>
            <w:r>
              <w:rPr>
                <w:rFonts w:ascii="Arial" w:cs="Arial" w:eastAsia="Arial" w:hAnsi="Arial"/>
                <w:sz w:val="14"/>
                <w:szCs w:val="14"/>
                <w:color w:val="auto"/>
              </w:rPr>
              <w:t>USA</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1,931.2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1,534.7</w:t>
            </w:r>
          </w:p>
        </w:tc>
      </w:tr>
      <w:tr>
        <w:trPr>
          <w:trHeight w:val="27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Norway</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971.2</w:t>
            </w:r>
          </w:p>
        </w:tc>
      </w:tr>
      <w:tr>
        <w:trPr>
          <w:trHeight w:val="264"/>
        </w:trPr>
        <w:tc>
          <w:tcPr>
            <w:tcW w:w="5460" w:type="dxa"/>
            <w:vAlign w:val="bottom"/>
          </w:tcPr>
          <w:p>
            <w:pPr>
              <w:ind w:left="40"/>
              <w:spacing w:after="0"/>
              <w:rPr>
                <w:sz w:val="20"/>
                <w:szCs w:val="20"/>
                <w:color w:val="auto"/>
              </w:rPr>
            </w:pPr>
            <w:r>
              <w:rPr>
                <w:rFonts w:ascii="Arial" w:cs="Arial" w:eastAsia="Arial" w:hAnsi="Arial"/>
                <w:sz w:val="14"/>
                <w:szCs w:val="14"/>
                <w:color w:val="auto"/>
              </w:rPr>
              <w:t>Brazil</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911.1</w:t>
            </w:r>
          </w:p>
        </w:tc>
      </w:tr>
      <w:tr>
        <w:trPr>
          <w:trHeight w:val="27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Israel</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64"/>
        </w:trPr>
        <w:tc>
          <w:tcPr>
            <w:tcW w:w="5460" w:type="dxa"/>
            <w:vAlign w:val="bottom"/>
          </w:tcPr>
          <w:p>
            <w:pPr>
              <w:ind w:left="40"/>
              <w:spacing w:after="0"/>
              <w:rPr>
                <w:sz w:val="20"/>
                <w:szCs w:val="20"/>
                <w:color w:val="auto"/>
              </w:rPr>
            </w:pPr>
            <w:r>
              <w:rPr>
                <w:rFonts w:ascii="Arial" w:cs="Arial" w:eastAsia="Arial" w:hAnsi="Arial"/>
                <w:sz w:val="14"/>
                <w:szCs w:val="14"/>
                <w:color w:val="auto"/>
              </w:rPr>
              <w:t>United Kingdom</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465.9</w:t>
            </w:r>
          </w:p>
        </w:tc>
      </w:tr>
      <w:tr>
        <w:trPr>
          <w:trHeight w:val="27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India</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w:t>
            </w:r>
          </w:p>
        </w:tc>
      </w:tr>
      <w:tr>
        <w:trPr>
          <w:trHeight w:val="264"/>
        </w:trPr>
        <w:tc>
          <w:tcPr>
            <w:tcW w:w="5460" w:type="dxa"/>
            <w:vAlign w:val="bottom"/>
          </w:tcPr>
          <w:p>
            <w:pPr>
              <w:ind w:left="40"/>
              <w:spacing w:after="0"/>
              <w:rPr>
                <w:sz w:val="20"/>
                <w:szCs w:val="20"/>
                <w:color w:val="auto"/>
              </w:rPr>
            </w:pPr>
            <w:r>
              <w:rPr>
                <w:rFonts w:ascii="Arial" w:cs="Arial" w:eastAsia="Arial" w:hAnsi="Arial"/>
                <w:sz w:val="14"/>
                <w:szCs w:val="14"/>
                <w:color w:val="auto"/>
              </w:rPr>
              <w:t>Angola</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1,016.2</w:t>
            </w:r>
          </w:p>
        </w:tc>
      </w:tr>
      <w:tr>
        <w:trPr>
          <w:trHeight w:val="27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Australia</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953.9</w:t>
            </w:r>
          </w:p>
        </w:tc>
      </w:tr>
      <w:tr>
        <w:trPr>
          <w:trHeight w:val="264"/>
        </w:trPr>
        <w:tc>
          <w:tcPr>
            <w:tcW w:w="5460" w:type="dxa"/>
            <w:vAlign w:val="bottom"/>
          </w:tcPr>
          <w:p>
            <w:pPr>
              <w:ind w:left="40"/>
              <w:spacing w:after="0"/>
              <w:rPr>
                <w:sz w:val="20"/>
                <w:szCs w:val="20"/>
                <w:color w:val="auto"/>
              </w:rPr>
            </w:pPr>
            <w:r>
              <w:rPr>
                <w:rFonts w:ascii="Arial" w:cs="Arial" w:eastAsia="Arial" w:hAnsi="Arial"/>
                <w:sz w:val="14"/>
                <w:szCs w:val="14"/>
                <w:color w:val="auto"/>
              </w:rPr>
              <w:t>United Arab Emirates</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308.5</w:t>
            </w:r>
          </w:p>
        </w:tc>
      </w:tr>
      <w:tr>
        <w:trPr>
          <w:trHeight w:val="27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Malaysia</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w:t>
            </w:r>
          </w:p>
        </w:tc>
      </w:tr>
      <w:tr>
        <w:trPr>
          <w:trHeight w:val="264"/>
        </w:trPr>
        <w:tc>
          <w:tcPr>
            <w:tcW w:w="5460" w:type="dxa"/>
            <w:vAlign w:val="bottom"/>
          </w:tcPr>
          <w:p>
            <w:pPr>
              <w:ind w:left="40"/>
              <w:spacing w:after="0"/>
              <w:rPr>
                <w:sz w:val="20"/>
                <w:szCs w:val="20"/>
                <w:color w:val="auto"/>
              </w:rPr>
            </w:pPr>
            <w:r>
              <w:rPr>
                <w:rFonts w:ascii="Arial" w:cs="Arial" w:eastAsia="Arial" w:hAnsi="Arial"/>
                <w:sz w:val="14"/>
                <w:szCs w:val="14"/>
                <w:color w:val="auto"/>
              </w:rPr>
              <w:t>China</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104.7</w:t>
            </w:r>
          </w:p>
        </w:tc>
      </w:tr>
      <w:tr>
        <w:trPr>
          <w:trHeight w:val="27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Indonesia</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All other countries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2,544.7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3,084.2</w:t>
            </w:r>
          </w:p>
        </w:tc>
      </w:tr>
      <w:tr>
        <w:trPr>
          <w:trHeight w:val="236"/>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Total revenue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15,056.9</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Geographic segment long-lived assets represent property, plant and equipment, 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Long-lived assets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United Kingdom</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957.1</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925.6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Netherlands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493.0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360.5</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Norway</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Brazil</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313.2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325.8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 other countries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507.6</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746.6</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long-lived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3,162.0</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3,259.8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 segment information</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553" w:right="2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6"/>
          </w:tcPr>
          <w:p>
            <w:pPr>
              <w:jc w:val="center"/>
              <w:ind w:right="8"/>
              <w:spacing w:after="0"/>
              <w:rPr>
                <w:sz w:val="20"/>
                <w:szCs w:val="20"/>
                <w:color w:val="auto"/>
              </w:rPr>
            </w:pPr>
            <w:r>
              <w:rPr>
                <w:rFonts w:ascii="Arial" w:cs="Arial" w:eastAsia="Arial" w:hAnsi="Arial"/>
                <w:sz w:val="14"/>
                <w:szCs w:val="14"/>
                <w:b w:val="1"/>
                <w:bCs w:val="1"/>
                <w:color w:val="auto"/>
              </w:rPr>
              <w:t>Depreciation and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rPr>
              <w:t>Research and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6"/>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center"/>
              <w:ind w:left="388"/>
              <w:spacing w:after="0"/>
              <w:rPr>
                <w:sz w:val="20"/>
                <w:szCs w:val="20"/>
                <w:color w:val="auto"/>
              </w:rPr>
            </w:pPr>
            <w:r>
              <w:rPr>
                <w:rFonts w:ascii="Arial" w:cs="Arial" w:eastAsia="Arial" w:hAnsi="Arial"/>
                <w:sz w:val="14"/>
                <w:szCs w:val="14"/>
                <w:b w:val="1"/>
                <w:bCs w:val="1"/>
                <w:color w:val="auto"/>
              </w:rPr>
              <w:t>Capital Expenditures</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rPr>
              <w:t>Development Expense</w:t>
            </w: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21"/>
                <w:szCs w:val="21"/>
                <w:color w:val="auto"/>
              </w:rPr>
            </w:pPr>
          </w:p>
        </w:tc>
        <w:tc>
          <w:tcPr>
            <w:tcW w:w="25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1"/>
                <w:szCs w:val="21"/>
                <w:color w:val="auto"/>
              </w:rPr>
            </w:pPr>
          </w:p>
        </w:tc>
        <w:tc>
          <w:tcPr>
            <w:tcW w:w="24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169.2</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31.4</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(LOSS)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TechnipFMC plc</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(2,415.2)</w:t>
            </w:r>
          </w:p>
        </w:tc>
        <w:tc>
          <w:tcPr>
            <w:tcW w:w="5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r>
      <w:tr>
        <w:trPr>
          <w:trHeight w:val="28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shares outstanding</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448.0</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466.7</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Dilutive effect of restricted stock units</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Dilutive effect of performance shares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7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shares and dilutive securities</w:t>
            </w:r>
          </w:p>
        </w:tc>
        <w:tc>
          <w:tcPr>
            <w:tcW w:w="3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448.0</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458.0</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468.3</w:t>
            </w:r>
          </w:p>
        </w:tc>
      </w:tr>
      <w:tr>
        <w:trPr>
          <w:trHeight w:val="264"/>
        </w:trPr>
        <w:tc>
          <w:tcPr>
            <w:tcW w:w="67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Basic earnings (loss) per share attributable to TechnipFMC plc</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0.24</w:t>
            </w: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(loss) per share attributable to TechnipFMC plc</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5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Raw materials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Work in process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290.2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146.4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Finished goods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778.3</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738.4</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Inventory, net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1,416.0</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1,251.2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All amounts in the table above are reported net of obsolescence reserves of $135.7 million and $97.5 million at December 31, 2019 and 2018, respectively.</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inventories accounted for under the LIFO method totaled $386.6 million and $387.2 million at December 31, 2019 and 2018, respectively. The current replacement costs of LIFO inventories exceeded their recorded values by $10.9 million and $7.9 million at December 31, 2019 and 2018, respectively. There was no reduction to the base LIFO inventory in 2019.</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20" w:right="239" w:bottom="1440" w:gutter="0" w:footer="0" w:header="0"/>
        </w:sectPr>
      </w:pPr>
    </w:p>
    <w:bookmarkStart w:id="96" w:name="page97"/>
    <w:bookmarkEnd w:id="96"/>
    <w:p>
      <w:pPr>
        <w:ind w:right="5360"/>
        <w:spacing w:after="0" w:line="475" w:lineRule="auto"/>
        <w:rPr>
          <w:sz w:val="20"/>
          <w:szCs w:val="20"/>
          <w:color w:val="auto"/>
        </w:rPr>
      </w:pPr>
      <w:r>
        <w:rPr>
          <w:rFonts w:ascii="Arial" w:cs="Arial" w:eastAsia="Arial" w:hAnsi="Arial"/>
          <w:sz w:val="18"/>
          <w:szCs w:val="18"/>
          <w:b w:val="1"/>
          <w:bCs w:val="1"/>
          <w:color w:val="auto"/>
        </w:rPr>
        <w:t xml:space="preserve">NOTE 10. OTHER CURRENT ASSETS &amp; OTHER CURRENT LIABILITIES </w:t>
      </w:r>
      <w:r>
        <w:rPr>
          <w:rFonts w:ascii="Arial" w:cs="Arial" w:eastAsia="Arial" w:hAnsi="Arial"/>
          <w:sz w:val="18"/>
          <w:szCs w:val="18"/>
          <w:color w:val="auto"/>
        </w:rPr>
        <w:t>Other current assets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Value-added tax receivables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305.8</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Other taxes receivables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100.7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85.0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Sundry receivables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Prepaid expenses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91.3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Held-to-maturity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financial assets at amortized cost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held for sale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76.9</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Other current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655.6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Warranty accruals and project contingencies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418.2</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Value added tax and other taxes payable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240.4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214.3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Legal provisions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418.2</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Social security liability</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116.5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112.3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financial liability</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Compensation accrual</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87.3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held for sale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accrued liabilities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182.6</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current liabilities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1,771.6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WARRANTY OBLIGATIONS</w:t>
      </w:r>
    </w:p>
    <w:p>
      <w:pPr>
        <w:spacing w:after="0" w:line="1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warranties are excluded from the estimated total costs in the measurement of progress and accrued when or as we transfer control of the goods or services to the customer. Refer to Note 6 to these consolidated financial statements for additional information regarding warranties. Our accrued warranties as of December 31, 2019 were $193.5 million. During 2019, we had new warranty expenses of $78.8 million, adjustments to existing accruals of $(57.5) million and claims paid of $62.2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METHOD INVESTMENTS</w:t>
      </w:r>
    </w:p>
    <w:p>
      <w:pPr>
        <w:spacing w:after="0" w:line="193"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equity method of accounting is used to account for investments in unconsolidated affiliates where we can have the ability to exert significant influence over the affiliates operating and financial policies.</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certain construction joint ventures, we use the proportionate consolidation method, whereby our proportionate share of each entity’s assets, liabilities, revenues, and expenses are included in the appropriate classifications in the accompanying consolidated financial statements. None of our proportionate consolidation investments, individually or in the aggregate, are significant to our consolidated results for 2019, 2018, or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were as follows as of December 31, 2019 and 2018:</w:t>
      </w:r>
    </w:p>
    <w:p>
      <w:pPr>
        <w:sectPr>
          <w:pgSz w:w="11900" w:h="16838" w:orient="portrait"/>
          <w:cols w:equalWidth="0" w:num="1">
            <w:col w:w="11420"/>
          </w:cols>
          <w:pgMar w:left="240" w:top="927" w:right="2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927" w:right="2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8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auto"/>
              </w:rPr>
              <w:t>Carrying Value</w:t>
            </w:r>
          </w:p>
        </w:tc>
      </w:tr>
      <w:tr>
        <w:trPr>
          <w:trHeight w:val="196"/>
        </w:trPr>
        <w:tc>
          <w:tcPr>
            <w:tcW w:w="83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Percentage Owned</w:t>
            </w:r>
          </w:p>
        </w:tc>
        <w:tc>
          <w:tcPr>
            <w:tcW w:w="160" w:type="dxa"/>
            <w:vAlign w:val="bottom"/>
          </w:tcPr>
          <w:p>
            <w:pPr>
              <w:spacing w:after="0"/>
              <w:rPr>
                <w:sz w:val="17"/>
                <w:szCs w:val="17"/>
                <w:color w:val="auto"/>
              </w:rPr>
            </w:pP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Dofcon Brasil AS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167.4</w:t>
            </w: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Serimax Holdings SAS</w:t>
            </w:r>
          </w:p>
        </w:tc>
        <w:tc>
          <w:tcPr>
            <w:tcW w:w="154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21.5</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Magma Global Limited</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w:t>
            </w: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in equity affiliates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300.4</w:t>
            </w:r>
          </w:p>
        </w:tc>
      </w:tr>
      <w:tr>
        <w:trPr>
          <w:trHeight w:val="20"/>
        </w:trPr>
        <w:tc>
          <w:tcPr>
            <w:tcW w:w="8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December 31, 2018</w:t>
            </w:r>
          </w:p>
        </w:tc>
      </w:tr>
      <w:tr>
        <w:trPr>
          <w:trHeight w:val="175"/>
        </w:trPr>
        <w:tc>
          <w:tcPr>
            <w:tcW w:w="8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auto"/>
              </w:rPr>
              <w:t>Carrying Value</w:t>
            </w:r>
          </w:p>
        </w:tc>
      </w:tr>
      <w:tr>
        <w:trPr>
          <w:trHeight w:val="196"/>
        </w:trPr>
        <w:tc>
          <w:tcPr>
            <w:tcW w:w="83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Percentage Owned</w:t>
            </w:r>
          </w:p>
        </w:tc>
        <w:tc>
          <w:tcPr>
            <w:tcW w:w="160" w:type="dxa"/>
            <w:vAlign w:val="bottom"/>
          </w:tcPr>
          <w:p>
            <w:pPr>
              <w:spacing w:after="0"/>
              <w:rPr>
                <w:sz w:val="17"/>
                <w:szCs w:val="17"/>
                <w:color w:val="auto"/>
              </w:rPr>
            </w:pP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Technip Odebrecht PLSV CV (“TOP CV”)</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136.1</w:t>
            </w: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Dofcon Brasil AS</w:t>
            </w:r>
          </w:p>
        </w:tc>
        <w:tc>
          <w:tcPr>
            <w:tcW w:w="154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126.2</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Serimax Holdings SAS</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Magma Global Limited</w:t>
            </w:r>
          </w:p>
        </w:tc>
        <w:tc>
          <w:tcPr>
            <w:tcW w:w="15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49.8</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w:t>
            </w:r>
          </w:p>
        </w:tc>
      </w:tr>
      <w:tr>
        <w:trPr>
          <w:trHeight w:val="237"/>
        </w:trPr>
        <w:tc>
          <w:tcPr>
            <w:tcW w:w="8320" w:type="dxa"/>
            <w:vAlign w:val="bottom"/>
          </w:tcPr>
          <w:p>
            <w:pPr>
              <w:ind w:left="40"/>
              <w:spacing w:after="0"/>
              <w:rPr>
                <w:sz w:val="20"/>
                <w:szCs w:val="20"/>
                <w:color w:val="auto"/>
              </w:rPr>
            </w:pPr>
            <w:r>
              <w:rPr>
                <w:rFonts w:ascii="Arial" w:cs="Arial" w:eastAsia="Arial" w:hAnsi="Arial"/>
                <w:sz w:val="14"/>
                <w:szCs w:val="14"/>
                <w:b w:val="1"/>
                <w:bCs w:val="1"/>
                <w:color w:val="auto"/>
              </w:rPr>
              <w:t>Investments in equity affiliates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394.5</w:t>
            </w:r>
          </w:p>
        </w:tc>
      </w:tr>
      <w:tr>
        <w:trPr>
          <w:trHeight w:val="20"/>
        </w:trPr>
        <w:tc>
          <w:tcPr>
            <w:tcW w:w="8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Our major equity method investments are as follows:</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TOP CV - </w:t>
      </w:r>
      <w:r>
        <w:rPr>
          <w:rFonts w:ascii="Arial" w:cs="Arial" w:eastAsia="Arial" w:hAnsi="Arial"/>
          <w:sz w:val="18"/>
          <w:szCs w:val="18"/>
          <w:color w:val="auto"/>
        </w:rPr>
        <w:t>was an affiliated company in the form of a joint venture between Technip SA and Ocyan SA (formerly known as Odebrecht). Technip</w:t>
      </w:r>
      <w:r>
        <w:rPr>
          <w:rFonts w:ascii="Arial" w:cs="Arial" w:eastAsia="Arial" w:hAnsi="Arial"/>
          <w:sz w:val="18"/>
          <w:szCs w:val="18"/>
          <w:i w:val="1"/>
          <w:iCs w:val="1"/>
          <w:color w:val="auto"/>
        </w:rPr>
        <w:t xml:space="preserve"> </w:t>
      </w:r>
      <w:r>
        <w:rPr>
          <w:rFonts w:ascii="Arial" w:cs="Arial" w:eastAsia="Arial" w:hAnsi="Arial"/>
          <w:sz w:val="18"/>
          <w:szCs w:val="18"/>
          <w:color w:val="auto"/>
        </w:rPr>
        <w:t>Odebrecht was formed in 2011 when awarded a contract to provide pipeline installation ships to state-controlled Petrobras for its work in oil and gas fields offshore Brazil. On December 30, 2019, we completed the acquisition of the remaining 50% interest in TOP CV. Prior to the acquisition, we accounted for our 50% investment using the equity method of accounting with results reported in our Subsea segment. Subsequent to this transaction we recorded the results in our consolidated financial information.</w:t>
      </w:r>
    </w:p>
    <w:p>
      <w:pPr>
        <w:spacing w:after="0" w:line="130"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Dofcon Brasil AS (“Dofcon”) - </w:t>
      </w:r>
      <w:r>
        <w:rPr>
          <w:rFonts w:ascii="Arial" w:cs="Arial" w:eastAsia="Arial" w:hAnsi="Arial"/>
          <w:sz w:val="18"/>
          <w:szCs w:val="18"/>
          <w:color w:val="auto"/>
        </w:rPr>
        <w:t>is an affiliated company in the form of a joint venture between Technip SA and DOF Subsea and was founded in</w:t>
      </w:r>
      <w:r>
        <w:rPr>
          <w:rFonts w:ascii="Arial" w:cs="Arial" w:eastAsia="Arial" w:hAnsi="Arial"/>
          <w:sz w:val="18"/>
          <w:szCs w:val="18"/>
          <w:i w:val="1"/>
          <w:iCs w:val="1"/>
          <w:color w:val="auto"/>
        </w:rPr>
        <w:t xml:space="preserve"> </w:t>
      </w:r>
      <w:r>
        <w:rPr>
          <w:rFonts w:ascii="Arial" w:cs="Arial" w:eastAsia="Arial" w:hAnsi="Arial"/>
          <w:sz w:val="18"/>
          <w:szCs w:val="18"/>
          <w:color w:val="auto"/>
        </w:rPr>
        <w:t>2006. Dofcon provides Pipe-Laying Support Vessels (PLSVs) for work in oil and gas fields offshore Brazil. Dofcon is considered a VIE because it does not have sufficient equity to finance its activities without additional subordinated financial support from other parties. We are not the primary beneficiary of the VIE. As such, we have accounted for our 50% investment using the equity method of accounting with results reported in our Subsea segment.</w:t>
      </w:r>
    </w:p>
    <w:p>
      <w:pPr>
        <w:spacing w:after="0" w:line="13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Serimax Holdings SAS (“Serimax”) - </w:t>
      </w:r>
      <w:r>
        <w:rPr>
          <w:rFonts w:ascii="Arial" w:cs="Arial" w:eastAsia="Arial" w:hAnsi="Arial"/>
          <w:sz w:val="18"/>
          <w:szCs w:val="18"/>
          <w:color w:val="auto"/>
        </w:rPr>
        <w:t>is an affiliated company in the form of a joint venture between Technip SA and Vallourec SA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founded in 2016. Serimax is headquartered in Paris, France and provides rigid pipes welding services for work in oil and gas fields around the world. We have accounted for our 20% investment using the equity method of accounting with results reported in our Subsea segment.</w:t>
      </w:r>
    </w:p>
    <w:p>
      <w:pPr>
        <w:spacing w:after="0" w:line="12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Magma Global Limited (“Magma Global”) - </w:t>
      </w:r>
      <w:r>
        <w:rPr>
          <w:rFonts w:ascii="Arial" w:cs="Arial" w:eastAsia="Arial" w:hAnsi="Arial"/>
          <w:sz w:val="18"/>
          <w:szCs w:val="18"/>
          <w:color w:val="auto"/>
        </w:rPr>
        <w:t>is an affiliated company in the form of a collaborative agreement signed in 2018 between Technip-Coflexip UK Holdings Limited and Magma Global to develop hybrid flexible pipe for use in offshore applications. As part of the collaboration, TechnipFMC holds a minority stake. We have accounted for our 25% investment using the equity method investment of accounting with results reported in our Subsea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income from equity affiliates included in each of our reporting segments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from equity affiliates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7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93"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consisted of receivables due from following related parties: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TP JGC Coral France SNC</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TTSJV WLL</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TOP CV</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Anadarko Petroleum Company</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trade receivables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TP JGC Coral France SNC and TTSJV W.L.L. are equity method affiliates. TOP CV was previously an equity method affiliate.</w:t>
      </w:r>
    </w:p>
    <w:p>
      <w:pPr>
        <w:spacing w:after="0" w:line="17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 member of our Board of Directors (the “Director”) served on the Board of Directors of Anadarko Petroleum Company (“Anadarko”) until August 2019. In August 2019, Anadarko was acquired by Occidental Petroleum Corporation (“Occidental”). As a result, the Director no longer serves as a member of the Board of Directors of Anadarko. The Director is not an officer or director of Occidental.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consisted of payables due to following related parties: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Chiyoda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JGC Corporation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69.5</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IFP Energies nouvelles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Dofcon Navegacao</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Magma Global Limited</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Anadarko Petroleum Company</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trade payables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Dofcon Navegacao and Magma Global Limited are equity method affiliates. JGC Corporation and Chiyoda are joint venture partners on our Yamal project. A member of our Board of Directors is an executive officer of IFP Energies nouvelles.</w:t>
      </w:r>
    </w:p>
    <w:p>
      <w:pPr>
        <w:spacing w:after="0" w:line="142"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Additionally, we have note receivable balance of $65.2 million and $130.0 million as of December 31, 2019 and 2018, respectively. The note receivables balance includes $62.5 million and $119.9 million with Dofcon Brasil AS at December 31, 2019 and 2018, respectively. Dofcon Brasil AS is a VIE and accounted for as an equity method affiliate. These are included in other assets on our consolidated balance sheets.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71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Revenue consisted of amount from following related parties: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TTSJV W.L.L.</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TP JGC Coral France SNC</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118.2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69.9</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Anadarko Petroleum Company</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111.3</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TOP CV</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Storengy</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Dofcon Navegacao</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Techdof Brasil AS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JGC Corporation</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56.9</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379.6</w:t>
            </w: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238.1</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member of our Board of Directors serve on the Board of Directors for Storengy.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Expenses consisted of amount to following related parties: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Chiyoda</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JGC Corporation</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46.8</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Arkema S.A.</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Serimax Holdings SAS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Magma Global Limited</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TP JGC Coral France SNC</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Jumbo Shipping</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IFP Energies nouvelles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Creowave OY</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Amaja Oil</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Altus Intervention</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Competentia</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45.8</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142.4</w:t>
            </w: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141.4</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Serimax Holdings SAS is an equity affiliate. Amaja Oil is a joint venture partner. We own a minority interest in a Creowave OY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Members of our Board of Directors serve on the Board of Directors for Arkema S.A., Altus Intervention, Jumbo Shipping and Competentia.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7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14. PROPERTY, PLANT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 and land improvements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Buildings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626.9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656.7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Vessels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2,091.9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1,893.3</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Machinery and equipment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1,930.6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1,905.7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fixtures and furniture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Construction in process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179.0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277.1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290.1</w:t>
            </w:r>
          </w:p>
        </w:tc>
      </w:tr>
      <w:tr>
        <w:trPr>
          <w:trHeight w:val="250"/>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5,450.8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5,328.3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depreciation</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(2,288.8)</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(2,068.5)</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Property, plant and equipment, net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3,162.0</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3,259.8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Depreciation expense was $ 383.5 million, $367.8 million and $370.2 million in 2019, 2018 and 2017, respectively. The amount of interest cost capitalized was not material for the years presented.</w:t>
      </w:r>
    </w:p>
    <w:p>
      <w:pPr>
        <w:spacing w:after="0" w:line="14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During 2019 and 2018, we determined the carrying amount of certain of our long-lived assets exceeded their fair value and recorded an impairment. Refer to Note 20 to these consolidated financial statements for additional information regarding this impairment.</w:t>
      </w:r>
    </w:p>
    <w:p>
      <w:pPr>
        <w:spacing w:after="0" w:line="14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January 2019, we purchased a deepwater dive support vessel, Deep Discoverer, for $116.8 million. The purchase of this vessel was funded through debt. Refer to Note 16 to these consolidated financial statements for additional information.</w:t>
      </w:r>
    </w:p>
    <w:p>
      <w:pPr>
        <w:spacing w:after="0" w:line="14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December 2019, we completed the sale of our G1201 vessel as part of our overall strategy to optimize the profile and size of our subsea fleet. As a result of the sale, a net loss of $7.1 million is included in other income (expense), net in our consolidated statements of income.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GOODWILL AND INTANGIBLE ASSETS</w:t>
      </w:r>
    </w:p>
    <w:p>
      <w:pPr>
        <w:spacing w:after="0" w:line="17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We record goodwill as the excess of the purchase price over the fair value of the net assets acquired in acquisitions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purchase method of accounting. We test goodwill for impairment annually, or more frequently if circumstances indicate possible impairment. We identify a potential impairment by comparing the fair value of the applicable reporting unit to its net book value, including goodwill. If the net book value exceeds the fair value of the reporting unit, we measure the impairment by comparing the carrying value of the reporting unit to its fair value.</w:t>
      </w:r>
    </w:p>
    <w:p>
      <w:pPr>
        <w:spacing w:after="0" w:line="148"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We test our goodwill for impairment by comparing the fair value of each of our reporting units to their net carrying value as of October 31 of each year. Our impairment analysis is quantitative; however, it includes subjective estimates based on assumptions regarding future growth rates, interest rates and operating expenses.</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 based on internal forecasts of revenues and expenses over a specified period plus a terminal value (the income approach).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927" w:right="239" w:bottom="1440" w:gutter="0" w:footer="0" w:header="0"/>
        </w:sectPr>
      </w:pPr>
    </w:p>
    <w:bookmarkStart w:id="101" w:name="page102"/>
    <w:bookmarkEnd w:id="101"/>
    <w:p>
      <w:pPr>
        <w:ind w:right="80"/>
        <w:spacing w:after="0" w:line="252" w:lineRule="auto"/>
        <w:rPr>
          <w:sz w:val="20"/>
          <w:szCs w:val="20"/>
          <w:color w:val="auto"/>
        </w:rPr>
      </w:pPr>
      <w:r>
        <w:rPr>
          <w:rFonts w:ascii="Arial" w:cs="Arial" w:eastAsia="Arial" w:hAnsi="Arial"/>
          <w:sz w:val="18"/>
          <w:szCs w:val="18"/>
          <w:color w:val="auto"/>
        </w:rPr>
        <w:t>The income approach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We believe this approach is an appropriate valuation method. Under the market multiple approach, we determine the estimated fair value of each of our reporting units by applying transaction multiples to each reporting unit’s projected EBITDA and then averaging that estimate with similar historical calculations using either a one, two or three year average. Our reporting unit valuations were determined primarily by utilizing the income approach and the market multiple approach.</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part of the Company’s annual goodwill impairment test, the Company’s market capitalization was compared to our estimate of fair value for each reporting segment. TechnipFMC’s market capitalization on its testing date had declined significantly when compared to the prior-year’s assessment, driven in part by greater geopolitical uncertainty and lower commodity prices. As a result, our estimate of business fair value could not be supported by the market capitalization on the testing date.</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year ended December 31, 2019, we recorded $1,321.9 million and $666.8 million of goodwill impairment charges in our Subsea and Surface Technologies reporting units, respectively. During the year ended December 31, 2018, we recorded $ 1,383.0 million of goodwill impairment charges in our Subsea reporting unit. Refer to Note 20 to these consolidated financial statements for additional disclosure related to impairment of goodwill during the year ended December 31, 2019 and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over carrying amount for our Onshore/Offshore reporting unit was in excess of 400% of its carrying amount.</w:t>
      </w:r>
    </w:p>
    <w:p>
      <w:pPr>
        <w:spacing w:after="0" w:line="17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presents the significant estimates used by management in determining the fair values of our reporting units for the years ended December 31, 2019 and 2018:</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 of cash flows before terminal value</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Discount rates</w:t>
            </w:r>
          </w:p>
        </w:tc>
        <w:tc>
          <w:tcPr>
            <w:tcW w:w="1700" w:type="dxa"/>
            <w:vAlign w:val="bottom"/>
            <w:gridSpan w:val="2"/>
          </w:tcPr>
          <w:p>
            <w:pPr>
              <w:ind w:left="280"/>
              <w:spacing w:after="0"/>
              <w:rPr>
                <w:sz w:val="20"/>
                <w:szCs w:val="20"/>
                <w:color w:val="auto"/>
              </w:rPr>
            </w:pPr>
            <w:r>
              <w:rPr>
                <w:rFonts w:ascii="Arial" w:cs="Arial" w:eastAsia="Arial" w:hAnsi="Arial"/>
                <w:sz w:val="14"/>
                <w:szCs w:val="14"/>
                <w:color w:val="auto"/>
              </w:rPr>
              <w:t>12.5% to 15.0%</w:t>
            </w:r>
          </w:p>
        </w:tc>
        <w:tc>
          <w:tcPr>
            <w:tcW w:w="1600" w:type="dxa"/>
            <w:vAlign w:val="bottom"/>
          </w:tcPr>
          <w:p>
            <w:pPr>
              <w:ind w:left="360"/>
              <w:spacing w:after="0"/>
              <w:rPr>
                <w:sz w:val="20"/>
                <w:szCs w:val="20"/>
                <w:color w:val="auto"/>
              </w:rPr>
            </w:pPr>
            <w:r>
              <w:rPr>
                <w:rFonts w:ascii="Arial" w:cs="Arial" w:eastAsia="Arial" w:hAnsi="Arial"/>
                <w:sz w:val="14"/>
                <w:szCs w:val="14"/>
                <w:color w:val="auto"/>
              </w:rPr>
              <w:t>12% to 13.0%</w:t>
            </w:r>
          </w:p>
        </w:tc>
      </w:tr>
      <w:tr>
        <w:trPr>
          <w:trHeight w:val="249"/>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EBITDA multiples</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shd w:val="clear" w:color="auto" w:fill="CCEEFF"/>
              </w:rPr>
              <w:t>6.0 - 8.5x</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7.0 - 8.5x</w:t>
            </w:r>
          </w:p>
        </w:tc>
      </w:tr>
      <w:tr>
        <w:trPr>
          <w:trHeight w:val="27"/>
        </w:trPr>
        <w:tc>
          <w:tcPr>
            <w:tcW w:w="8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recently acquired reporting units, a quantitative impairment test may indicate a fair value that is substantially similar to the reporting unit’s carrying amount. Such similarities in value are generally an indication that management’s estimates of future cash flows associated with the recently acquired reporting unit remain relatively consistent with the assumptions that were used to derive its initial fair value.</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discussed above, when evaluating the 2019 quantitative impairment test results, management considered many factors in determining whether an impairment of goodwill for any reporting unit was reasonably likely to occur in future periods, including future market conditions and the economic environment. Circumstances such as market declines, unfavorable economic conditions, loss of a major customer or other factors could increase the risk of impairment of goodwill for this reporting unit in future periods.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71"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The carrying amount of goodwill by reporting segment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Surface</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Subsea</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Onshore/Offshore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Technologies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3,718.3</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Additions due to business combinations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2,532.6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1,635.5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997.8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5,165.9</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Translation</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45.6</w:t>
            </w:r>
          </w:p>
        </w:tc>
      </w:tr>
      <w:tr>
        <w:trPr>
          <w:trHeight w:val="256"/>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5,470.4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997.8</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8,929.8</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Additions due to business combinations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85.0</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(1,383.0)</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Purchase accounting adjustments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19.7</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Translation</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r>
      <w:tr>
        <w:trPr>
          <w:trHeight w:val="24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4,142.4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2,447.7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1,017.5</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7,607.6</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(1,988.7)</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Purchase accounting adjustment</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Translation</w:t>
            </w:r>
          </w:p>
        </w:tc>
        <w:tc>
          <w:tcPr>
            <w:tcW w:w="30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24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5,598.3</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The components of intangible assets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2018</w:t>
            </w:r>
          </w:p>
        </w:tc>
        <w:tc>
          <w:tcPr>
            <w:tcW w:w="1260" w:type="dxa"/>
            <w:vAlign w:val="bottom"/>
            <w:tcBorders>
              <w:bottom w:val="single" w:sz="8" w:color="auto"/>
            </w:tcBorders>
          </w:tcPr>
          <w:p>
            <w:pPr>
              <w:spacing w:after="0"/>
              <w:rPr>
                <w:sz w:val="22"/>
                <w:szCs w:val="22"/>
                <w:color w:val="auto"/>
              </w:rPr>
            </w:pPr>
          </w:p>
        </w:tc>
      </w:tr>
      <w:tr>
        <w:trPr>
          <w:trHeight w:val="175"/>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center"/>
              <w:ind w:right="228"/>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960" w:type="dxa"/>
            <w:vAlign w:val="bottom"/>
          </w:tcPr>
          <w:p>
            <w:pPr>
              <w:jc w:val="center"/>
              <w:ind w:right="248"/>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Accumulated</w:t>
            </w:r>
          </w:p>
        </w:tc>
      </w:tr>
      <w:tr>
        <w:trPr>
          <w:trHeight w:val="19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Amortization</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technology</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Backlog</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175.0</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Licenses, patents and trademarks</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227.6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194.8</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intangible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1,835.7</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We recorded $ 126.1 million, $182.6 million and $244.5 million in amortization expense related to intangible assets during the years ended December 31, 2019, 2018 and 2017, respectively. During the years 2020 through 2024, annual amortization expense is expected to be as follows: $125 million in 2020, $120 million in 2021, $115 million in 2022, $112 million in 2023, $109 million in 2024 and $507 million thereafter.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debt and current portion of long-term debt - </w:t>
      </w:r>
      <w:r>
        <w:rPr>
          <w:rFonts w:ascii="Arial" w:cs="Arial" w:eastAsia="Arial" w:hAnsi="Arial"/>
          <w:sz w:val="18"/>
          <w:szCs w:val="18"/>
          <w:color w:val="auto"/>
        </w:rPr>
        <w:t>Short-term debt and current portion of long-term debt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5.00% 2010 Private placement notes due 2020</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224.6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short-term debt and current portion of long-term debt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495.4</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571" w:right="2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 xml:space="preserve">Long-term debt - </w:t>
      </w:r>
      <w:r>
        <w:rPr>
          <w:rFonts w:ascii="Arial" w:cs="Arial" w:eastAsia="Arial" w:hAnsi="Arial"/>
          <w:sz w:val="18"/>
          <w:szCs w:val="18"/>
          <w:color w:val="auto"/>
        </w:rPr>
        <w:t>Long-term debt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Bilateral credit facilities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1,967.0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1,916.1</w:t>
            </w:r>
          </w:p>
        </w:tc>
      </w:tr>
      <w:tr>
        <w:trPr>
          <w:trHeight w:val="264"/>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Synthetic bonds due 2021</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492.9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490.9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5.00%</w:t>
            </w:r>
          </w:p>
        </w:tc>
        <w:tc>
          <w:tcPr>
            <w:tcW w:w="7880" w:type="dxa"/>
            <w:vAlign w:val="bottom"/>
          </w:tcPr>
          <w:p>
            <w:pPr>
              <w:ind w:left="20"/>
              <w:spacing w:after="0"/>
              <w:rPr>
                <w:sz w:val="20"/>
                <w:szCs w:val="20"/>
                <w:color w:val="auto"/>
              </w:rPr>
            </w:pPr>
            <w:r>
              <w:rPr>
                <w:rFonts w:ascii="Arial" w:cs="Arial" w:eastAsia="Arial" w:hAnsi="Arial"/>
                <w:sz w:val="14"/>
                <w:szCs w:val="14"/>
                <w:color w:val="auto"/>
              </w:rPr>
              <w:t>2010 Private placement notes due 2020</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224.6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229.0</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2022</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171.8</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7880" w:type="dxa"/>
            <w:vAlign w:val="bottom"/>
          </w:tcPr>
          <w:p>
            <w:pPr>
              <w:ind w:left="20"/>
              <w:spacing w:after="0"/>
              <w:rPr>
                <w:sz w:val="20"/>
                <w:szCs w:val="20"/>
                <w:color w:val="auto"/>
              </w:rPr>
            </w:pPr>
            <w:r>
              <w:rPr>
                <w:rFonts w:ascii="Arial" w:cs="Arial" w:eastAsia="Arial" w:hAnsi="Arial"/>
                <w:sz w:val="14"/>
                <w:szCs w:val="14"/>
                <w:color w:val="auto"/>
              </w:rPr>
              <w:t>2013 Private placement notes due 2023</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146.0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148.9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143.1</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7880" w:type="dxa"/>
            <w:vAlign w:val="bottom"/>
          </w:tcPr>
          <w:p>
            <w:pPr>
              <w:ind w:left="20"/>
              <w:spacing w:after="0"/>
              <w:rPr>
                <w:sz w:val="20"/>
                <w:szCs w:val="20"/>
                <w:color w:val="auto"/>
              </w:rPr>
            </w:pPr>
            <w:r>
              <w:rPr>
                <w:rFonts w:ascii="Arial" w:cs="Arial" w:eastAsia="Arial" w:hAnsi="Arial"/>
                <w:sz w:val="14"/>
                <w:szCs w:val="14"/>
                <w:color w:val="auto"/>
              </w:rPr>
              <w:t>2012 Private placement notes due 2027</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2032</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3.75%</w:t>
            </w:r>
          </w:p>
        </w:tc>
        <w:tc>
          <w:tcPr>
            <w:tcW w:w="7880" w:type="dxa"/>
            <w:vAlign w:val="bottom"/>
          </w:tcPr>
          <w:p>
            <w:pPr>
              <w:ind w:left="20"/>
              <w:spacing w:after="0"/>
              <w:rPr>
                <w:sz w:val="20"/>
                <w:szCs w:val="20"/>
                <w:color w:val="auto"/>
              </w:rPr>
            </w:pPr>
            <w:r>
              <w:rPr>
                <w:rFonts w:ascii="Arial" w:cs="Arial" w:eastAsia="Arial" w:hAnsi="Arial"/>
                <w:sz w:val="14"/>
                <w:szCs w:val="14"/>
                <w:color w:val="auto"/>
              </w:rPr>
              <w:t>2013 Private placement notes due 2033</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114.5</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265.2</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Other</w:t>
            </w:r>
          </w:p>
        </w:tc>
        <w:tc>
          <w:tcPr>
            <w:tcW w:w="7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23.2</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issuing fees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44"/>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debt</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4,475.4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4,191.7</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current borrowings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495.4</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 debt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3,980.0</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4,124.3</w:t>
            </w: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Maturities of debt as of December 31, 2019, are payable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5"/>
                <w:szCs w:val="15"/>
                <w:color w:val="auto"/>
              </w:rPr>
            </w:pPr>
          </w:p>
        </w:tc>
        <w:tc>
          <w:tcPr>
            <w:tcW w:w="1160" w:type="dxa"/>
            <w:vAlign w:val="bottom"/>
          </w:tcPr>
          <w:p>
            <w:pPr>
              <w:jc w:val="center"/>
              <w:ind w:right="128"/>
              <w:spacing w:after="0"/>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4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center"/>
              <w:ind w:right="248"/>
              <w:spacing w:after="0"/>
              <w:rPr>
                <w:sz w:val="20"/>
                <w:szCs w:val="20"/>
                <w:color w:val="auto"/>
              </w:rPr>
            </w:pPr>
            <w:r>
              <w:rPr>
                <w:rFonts w:ascii="Arial" w:cs="Arial" w:eastAsia="Arial" w:hAnsi="Arial"/>
                <w:sz w:val="14"/>
                <w:szCs w:val="14"/>
                <w:b w:val="1"/>
                <w:bCs w:val="1"/>
                <w:color w:val="auto"/>
              </w:rPr>
              <w:t>After 5</w:t>
            </w:r>
          </w:p>
        </w:tc>
      </w:tr>
      <w:tr>
        <w:trPr>
          <w:trHeight w:val="196"/>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years</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w:t>
            </w:r>
          </w:p>
        </w:tc>
      </w:tr>
    </w:tbl>
    <w:p>
      <w:pPr>
        <w:spacing w:after="0" w:line="309" w:lineRule="exact"/>
        <w:rPr>
          <w:sz w:val="20"/>
          <w:szCs w:val="20"/>
          <w:color w:val="auto"/>
        </w:rPr>
      </w:pPr>
    </w:p>
    <w:p>
      <w:pPr>
        <w:ind w:right="120"/>
        <w:spacing w:after="0" w:line="305"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17, 2017, we acceded to a new $2.5 billion senior unsecured revolving credit facility agreement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between FMC Technologies, Inc., Technip Eurocash SNC (the “Borrowers”), and TechnipFMC plc (the “Additional Borrower”) with JPMorgan Chase Bank, National Association (“JPMorgan”), as agent and an arranger, SG Americas Securities LLC as an arranger, and the lenders party thereto.</w:t>
      </w:r>
    </w:p>
    <w:p>
      <w:pPr>
        <w:spacing w:after="0" w:line="22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On November 26, 2018, we entered into an extension which extends the expiration date to January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71" w:lineRule="exact"/>
        <w:rPr>
          <w:sz w:val="20"/>
          <w:szCs w:val="20"/>
          <w:color w:val="auto"/>
        </w:rPr>
      </w:pPr>
    </w:p>
    <w:p>
      <w:pPr>
        <w:ind w:left="340" w:right="400" w:hanging="332"/>
        <w:spacing w:after="0" w:line="262"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ectPr>
          <w:pgSz w:w="11900" w:h="16838" w:orient="portrait"/>
          <w:cols w:equalWidth="0" w:num="1">
            <w:col w:w="11420"/>
          </w:cols>
          <w:pgMar w:left="240" w:top="661"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661" w:right="239" w:bottom="1440" w:gutter="0" w:footer="0" w:header="0"/>
          <w:type w:val="continuous"/>
        </w:sectPr>
      </w:pPr>
    </w:p>
    <w:bookmarkStart w:id="104" w:name="page105"/>
    <w:bookmarkEnd w:id="104"/>
    <w:p>
      <w:pPr>
        <w:ind w:right="20"/>
        <w:spacing w:after="0" w:line="254"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 requiring that our total capitalization ratio not exceed 60% at the end of any financial quarter. The facility agreement also contains covenants restricting our ability and our subsidiaries’ ability to incur additional liens and indebtedness, enter into asset sales or make certain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were in compliance with all restrictive covenants under our revolving credit facility.</w:t>
      </w:r>
    </w:p>
    <w:p>
      <w:pPr>
        <w:spacing w:after="0" w:line="157" w:lineRule="exact"/>
        <w:rPr>
          <w:sz w:val="20"/>
          <w:szCs w:val="20"/>
          <w:color w:val="auto"/>
        </w:rPr>
      </w:pPr>
    </w:p>
    <w:p>
      <w:pPr>
        <w:ind w:right="120"/>
        <w:spacing w:after="0" w:line="332" w:lineRule="auto"/>
        <w:rPr>
          <w:sz w:val="20"/>
          <w:szCs w:val="20"/>
          <w:color w:val="auto"/>
        </w:rPr>
      </w:pPr>
      <w:r>
        <w:rPr>
          <w:rFonts w:ascii="Arial" w:cs="Arial" w:eastAsia="Arial" w:hAnsi="Arial"/>
          <w:sz w:val="18"/>
          <w:szCs w:val="18"/>
          <w:i w:val="1"/>
          <w:iCs w:val="1"/>
          <w:color w:val="auto"/>
        </w:rPr>
        <w:t xml:space="preserve">Bilateral credit facilities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access to a €100.0 million bilateral credit facility expiring in May 2021. Two bilateral credit facilities of €80.0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each and a bilateral credit facility of €60.0 million expired in May and June 2019, respectively.</w:t>
      </w:r>
    </w:p>
    <w:p>
      <w:pPr>
        <w:spacing w:after="0" w:line="8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Each bilateral credit facility contains usual and customary covenants, representations and warranties and events of default for credit facilities of this type.</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Commercial paper - </w:t>
      </w:r>
      <w:r>
        <w:rPr>
          <w:rFonts w:ascii="Arial" w:cs="Arial" w:eastAsia="Arial" w:hAnsi="Arial"/>
          <w:sz w:val="18"/>
          <w:szCs w:val="18"/>
          <w:color w:val="auto"/>
        </w:rPr>
        <w:t>Under our commercial paper program, we have the ability to access $1.5 billion and € 1.0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facility agreement. As we have both the ability and intent to refinance these obligations on a long-term basis, our commercial paper borrowings were classified as long-term in the consolidated balance sheets as of December 31, 2019 and December 31, 2018. Commercial paper borrowings are issued at market interest rates. As of December 31, 2019, our commercial paper borrowings had a weighted average interest rate of 2.23% on the U.S. dollar denominated borrowings and (0.28)% on the Euro denominated borrowings.</w:t>
      </w:r>
    </w:p>
    <w:p>
      <w:pPr>
        <w:spacing w:after="0" w:line="1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Synthetic bonds - </w:t>
      </w:r>
      <w:r>
        <w:rPr>
          <w:rFonts w:ascii="Arial" w:cs="Arial" w:eastAsia="Arial" w:hAnsi="Arial"/>
          <w:sz w:val="18"/>
          <w:szCs w:val="18"/>
          <w:color w:val="auto"/>
        </w:rPr>
        <w:t>On January 25, 2016, we issued €375.0 million principal amount of 0.875% convertible bonds with a maturity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25, 2021 and a redemption at par of the bonds which have not been converted. On March 3, 2016, we issued additional convertible bonds for a principal amount of €75.0 million issued on the same terms, fully fungible with and assimilated to the bonds issued on January 25, 2016. The issuance of these non-dilutive cash-settled convertible bonds (“Synthetic Bonds”), which are linked to our ordinary shares were backed simultaneously by the purchase of cash-settled equity call options in order to hedge our economic exposure to the potential exercise of the conversion rights embedded in the Synthetic Bonds. As the Synthetic Bonds will only be cash settled, they will not result in the issuance of new ordinary shares or the delivery of existing ordinary shares upon conversion. Interest on the Synthetic Bonds is payable semi-annually in arrears on January 25 and July 25 of each year, beginning July 26, 2016. Net proceeds from the Synthetic Bonds were used for general corporate purposes and to finance the purchase of the call options. The Synthetic Bonds are our unsecured obligations. The Synthetic Bonds will rank equally in right of payment with all of our existing and future unsubordinated debt.</w:t>
      </w:r>
    </w:p>
    <w:p>
      <w:pPr>
        <w:spacing w:after="0" w:line="150"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The Synthetic Bonds issued on January 25, 2016 were issued at par. The Synthetic Bonds issued on March 3, 2016 were issued at a premium of 112.44% resulting from an adjustment over the 3-day trading period following the issuance resulting in a share reference price of €48.8355.</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 40.0% conversion premium was applied to the share reference price of € 40.7940. The share reference price was computed using the average of the daily volume weighted average price of our ordinary shares on the Euronext Paris market over the 10 consecutive trading days from January 21 to February 3, 2016. The initial conversion price of the bonds was then fixed at €57.1116.</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Synthetic Bonds each have a nominal value of €100.0 thousand with a conversion ratio of 3,337.3493 and a conversion price of €29.9639. Any bondholder may, at its sole option, request the conversion in cash of all or part of the bonds it owns, beginning November 15, 2020 to the 38th business day before the maturity date.</w:t>
      </w:r>
    </w:p>
    <w:p>
      <w:pPr>
        <w:spacing w:after="0" w:line="134"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3, 2018, we commenced offers to exchange up to $459.8 million in aggregate principal amount of new 3.45%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October 1, 2022 (the “Senior Notes”), Series B, which have been registered under the U.S. Securities Act of 1933, as amended (the “Securities Act”), for any and all of our outstanding restricted 3.45% Senior Notes due 2022, Series A (the “Outstanding Notes”), which we previously issued in a private transaction that was not subject to the registration requirements of the Securities Act (the “Initial Offering”). We refer to the Exchange Notes and the Outstanding Notes collectively as the “Notes”.</w:t>
      </w:r>
    </w:p>
    <w:p>
      <w:pPr>
        <w:spacing w:after="0" w:line="123"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The terms of the Senior Notes are governed by the indenture, dated as of March 29, 2017 between TechnipFMC and U.S. Bank National Association, as trustee (the “Trustee”), as amended and supplemented by the First Supplemental Indenture between TechnipFMC and the Trustee (the “First Supplemental Indenture”) relating to the issuance of the 2017 Notes and the Second Supplemental Indenture between TechnipFMC and the Trustee (the “Second Supplemental Indenture”) relating to the issuance of the 2022 Notes.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571" w:right="259" w:bottom="1440" w:gutter="0" w:footer="0" w:header="0"/>
        </w:sectPr>
      </w:pPr>
    </w:p>
    <w:bookmarkStart w:id="105" w:name="page106"/>
    <w:bookmarkEnd w:id="105"/>
    <w:p>
      <w:pPr>
        <w:ind w:right="40"/>
        <w:spacing w:after="0" w:line="253" w:lineRule="auto"/>
        <w:rPr>
          <w:sz w:val="20"/>
          <w:szCs w:val="20"/>
          <w:color w:val="auto"/>
        </w:rPr>
      </w:pPr>
      <w:r>
        <w:rPr>
          <w:rFonts w:ascii="Arial" w:cs="Arial" w:eastAsia="Arial" w:hAnsi="Arial"/>
          <w:sz w:val="18"/>
          <w:szCs w:val="18"/>
          <w:color w:val="auto"/>
        </w:rPr>
        <w:t>At any time prior to July 1, 2022, in the case of the 2022 Notes, we may redeem some or all of the Senior Notes at the redemption prices specified in the First Supplemental Indenture and Second Supplemental Indenture, respectively. At any time on or after July 1, 2022, we may redeem the 2022 Notes at the redemption price equal to 100% of the principal amount of the 2022 Notes redeemed. The Senior Notes are our senior unsecured obligations. The Senior Notes will rank equally in right of payment with all of our existing and future unsubordinated debt, and will rank senior in right of payment to all of our future subordinated debt.</w:t>
      </w:r>
    </w:p>
    <w:p>
      <w:pPr>
        <w:spacing w:after="0" w:line="137"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i w:val="1"/>
          <w:iCs w:val="1"/>
          <w:color w:val="auto"/>
        </w:rPr>
        <w:t xml:space="preserve">Private Placement Notes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27, 2010, we completed the private placement of €200.0 million aggregate principal amount of 5.0% notes</w:t>
      </w:r>
      <w:r>
        <w:rPr>
          <w:rFonts w:ascii="Arial" w:cs="Arial" w:eastAsia="Arial" w:hAnsi="Arial"/>
          <w:sz w:val="18"/>
          <w:szCs w:val="18"/>
          <w:i w:val="1"/>
          <w:iCs w:val="1"/>
          <w:color w:val="auto"/>
        </w:rPr>
        <w:t xml:space="preserve"> </w:t>
      </w:r>
      <w:r>
        <w:rPr>
          <w:rFonts w:ascii="Arial" w:cs="Arial" w:eastAsia="Arial" w:hAnsi="Arial"/>
          <w:sz w:val="18"/>
          <w:szCs w:val="18"/>
          <w:color w:val="auto"/>
        </w:rPr>
        <w:t>due July 2020 (the “2020 Notes”). Interest on the 2020 Notes is payable annually in arrears on July 27 of each year, beginning July 27, 2011. Net proceeds of the 2020 Notes were used to partially finance the 2004-2011 bond issue, which was repaid at its maturity date on May 26, 2011. The 2020 Notes contain contains usual and customary covenants and events of default for notes of this type. In the event of a change of control resulting in a downgrade in the rating of the notes below BBB-, the 2020 Notes may be redeemed early by any bondholder, at its sole discretion. The 2020 Notes are our unsecured obligations. The 2020 Notes will rank equally in right of payment with all of our existing and future unsubordinated debt.</w:t>
      </w:r>
    </w:p>
    <w:p>
      <w:pPr>
        <w:spacing w:after="0" w:line="1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June 2012, we completed the private placement of €325.0 million aggregate principal amount of notes. The notes were issued in three tranches with €150.0 million bearing interest at 3.40% and due June 2022 (the “Tranche A 2022 Notes”), €75.0 million bearing interest of 4.0% and due June 2027 (the “Tranche B 2027 Notes”) and €100.0 million bearing interest of 4.0% and due June 2032 (the “Tranche C 2032 Notes” and, collectively with the “Tranche A 2022 Notes and the “Tranche B 2027 Notes”, the “2012 Private Placement Notes”). Interest on the Tranche A 2022 Notes and the Tranche C 2032 Notes is payable annually in arrears on June 14 of each year beginning June 14, 2013. Interest on the Tranche B 2027 Notes is payable annually in arrears on June 15 of each year, beginning June 15, 2013. Net proceeds of the 2012 Private Placement Notes were used for general corporate purposes. The 2012 Private Placement Notes contain usual and customary covenants and events of default for notes of this type. In the event of a change of control resulting in a downgrade in the rating of the notes below BBB-, the 2012 Private Placement Notes may be redeemed early by any bondholder, at its sole discretion. The 2012 Private Placement Notes are our unsecured obligations. The 2012 Private Placement Notes will rank equally in right of payment with all of our existing and future unsubordinated debt.</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October 2013, we completed the private placement of €355.0 million aggregate principal amount of senior notes. The notes were issued in three tranches with €100.0 million bearing interest at 3.75% and due October 2033 (the “Tranche A 2033 Notes”), €130.0 million bearing interest of 3.15% and due October 2023 (the “Tranche B 2023 Notes) and €125.0 million bearing interest of 3.15% and due October 2023 (the “Tranche C 2023 Notes” and, collectively with the “Tranche A 2033 Notes and the “Tranche B 2023 Notes”, the “2013 Private Placement Notes”). Interest on the Tranche A 2033 Notes is payable annually in arrears on October 7 each year, beginning October 7, 2014. Interest on the Tranche B 2023 Notes is payable annually in arrears on October 16 of each year beginning October 16, 2014. Interest on the Tranche C 2023 Notes is payable annually in arrears on October 18 of each year, beginning October 18, 2014. Net proceeds of the 2013 Private Placement Notes were used for general corporate purposes. The 2013 Private Placement Notes contain contains usual and customary covenants and events of default for notes of this type. In the event of a change of control resulting in a downgrade in the rating of the notes below BBB-, the 2013 Private Placement Notes may be redeemed early by any bondholder, at its sole discretion. The 2013 Private Placement Notes are our unsecured obligations. The 2013 Private Placement Notes will rank equally in right of payment with all of our existing and future unsubordinated debt.</w:t>
      </w:r>
    </w:p>
    <w:p>
      <w:pPr>
        <w:spacing w:after="0" w:line="139"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i w:val="1"/>
          <w:iCs w:val="1"/>
          <w:color w:val="auto"/>
        </w:rPr>
        <w:t xml:space="preserve">Term loan - </w:t>
      </w:r>
      <w:r>
        <w:rPr>
          <w:rFonts w:ascii="Arial" w:cs="Arial" w:eastAsia="Arial" w:hAnsi="Arial"/>
          <w:sz w:val="18"/>
          <w:szCs w:val="18"/>
          <w:color w:val="auto"/>
        </w:rPr>
        <w:t>In December 2016, we entered into a £ 160.0 million term loan agreement to finance the Deep Explorer, a diving support vessel</w:t>
      </w:r>
      <w:r>
        <w:rPr>
          <w:rFonts w:ascii="Arial" w:cs="Arial" w:eastAsia="Arial" w:hAnsi="Arial"/>
          <w:sz w:val="18"/>
          <w:szCs w:val="18"/>
          <w:i w:val="1"/>
          <w:iCs w:val="1"/>
          <w:color w:val="auto"/>
        </w:rPr>
        <w:t xml:space="preserve"> </w:t>
      </w:r>
      <w:r>
        <w:rPr>
          <w:rFonts w:ascii="Arial" w:cs="Arial" w:eastAsia="Arial" w:hAnsi="Arial"/>
          <w:sz w:val="18"/>
          <w:szCs w:val="18"/>
          <w:color w:val="auto"/>
        </w:rPr>
        <w:t>(“DSV”), maturing December 2028. Under the loan agreement, interest accrues at an annual rate of 2.813%. This loan agreement contains usual and customary covenants and events of default for loans of this type.</w:t>
      </w:r>
    </w:p>
    <w:p>
      <w:pPr>
        <w:spacing w:after="0" w:line="14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On December 30, 2019, we completed the acquisition of the remaining 50% interest in Technip Odebrecht. In connection with the acquisition, we assumed liabilities that included a $203.1 million term loan of which $16.0 million is due June 30, 2020 with the remaining balance due September 30, 2020. Immediately following the acquisition, we paid $13.1 million towards the outstanding balance. The debt is fully collateralized against our two vessels, Coral do Atlantico and Deep Star (previously referred to as Estrela do Mar).</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Bank borrowings </w:t>
      </w:r>
      <w:r>
        <w:rPr>
          <w:rFonts w:ascii="Arial" w:cs="Arial" w:eastAsia="Arial" w:hAnsi="Arial"/>
          <w:sz w:val="18"/>
          <w:szCs w:val="18"/>
          <w:color w:val="auto"/>
        </w:rPr>
        <w:t>- In January 2019, we executed a sale-leaseback transaction to finance the purchase of a deepwater dive support vessel,</w:t>
      </w:r>
      <w:r>
        <w:rPr>
          <w:rFonts w:ascii="Arial" w:cs="Arial" w:eastAsia="Arial" w:hAnsi="Arial"/>
          <w:sz w:val="18"/>
          <w:szCs w:val="18"/>
          <w:i w:val="1"/>
          <w:iCs w:val="1"/>
          <w:color w:val="auto"/>
        </w:rPr>
        <w:t xml:space="preserve"> </w:t>
      </w:r>
      <w:r>
        <w:rPr>
          <w:rFonts w:ascii="Arial" w:cs="Arial" w:eastAsia="Arial" w:hAnsi="Arial"/>
          <w:sz w:val="18"/>
          <w:szCs w:val="18"/>
          <w:color w:val="auto"/>
        </w:rPr>
        <w:t>Deep Discoverer (the “Vessel”) for the full transaction price of $116.8 million. The sale-leaseback agreement (“Charter”) was entered into with a French joint-stock company, owned by Credit Industrial et Commercial (“CIC”) which was formed for the sole purpose to purchase and act as the lessor of the Vessel. It is a variable interest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71" w:right="239" w:bottom="1440" w:gutter="0" w:footer="0" w:header="0"/>
        </w:sectPr>
      </w:pPr>
    </w:p>
    <w:bookmarkStart w:id="106" w:name="page107"/>
    <w:bookmarkEnd w:id="106"/>
    <w:p>
      <w:pPr>
        <w:spacing w:after="0" w:line="262" w:lineRule="auto"/>
        <w:rPr>
          <w:sz w:val="20"/>
          <w:szCs w:val="20"/>
          <w:color w:val="auto"/>
        </w:rPr>
      </w:pPr>
      <w:r>
        <w:rPr>
          <w:rFonts w:ascii="Arial" w:cs="Arial" w:eastAsia="Arial" w:hAnsi="Arial"/>
          <w:sz w:val="18"/>
          <w:szCs w:val="18"/>
          <w:color w:val="auto"/>
        </w:rPr>
        <w:t>entity, which is fully consolidated in our condensed consolidated financial statements. The transaction was funded through debt of $96.2 million which is primarily long-term, expiring on January 8, 2031.</w:t>
      </w:r>
    </w:p>
    <w:p>
      <w:pPr>
        <w:spacing w:after="0" w:line="124"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Foreign committed credit - </w:t>
      </w:r>
      <w:r>
        <w:rPr>
          <w:rFonts w:ascii="Arial" w:cs="Arial" w:eastAsia="Arial" w:hAnsi="Arial"/>
          <w:sz w:val="18"/>
          <w:szCs w:val="18"/>
          <w:color w:val="auto"/>
        </w:rPr>
        <w:t>We have committed credit lines at many of our international subsidiaries for immaterial amounts. We utilize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for asset financing and to provide a more efficient daily source of liquidity. The effective interest rates depend upon the local national market.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LIABILITIES</w:t>
      </w:r>
    </w:p>
    <w:p>
      <w:pPr>
        <w:spacing w:after="0" w:line="19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In the fourth quarter of 2016, we obtained voting control interests in legal Onshore/Offshore contract entities which own and account for the design, engineering and construction of the Yamal LNG plant. As part of this transaction, we recognized the fair value of the mandatorily redeemable financial liability.</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mandatorily redeemable financial liability of $ 268.8 million and $408.5 million was recognized as of December 31, 2019 and 2018, respectively, to account for the fair value of the non-controlling interests, for which $129.1 million and $173.0 million, respectively, was recorded as other current liabilities. During the year ended December 31, 2019 we revalued the liability to reflect current expectations about the obligation which resulted in the recognition of an expense of $423.1 million for the year ended December 31, 2019. Changes in the fair value of the financial liability are recorded as interest expense on the consolidated statements of income. Refer to Note 10 for further information regarding our other current liabilities. Refer to Note 25 for further information regarding the fair value measurement assumptions of the mandatorily redeemable financial liability and related changes in its fair value.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STOCKHOLDERS’ EQUITY</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Dividends declared and paid during the years ended December 31, 2019, 2018 and 2017 were $232.8 million, $238.1 million and $60.6 million, respectively.</w:t>
      </w:r>
    </w:p>
    <w:p>
      <w:pPr>
        <w:spacing w:after="0" w:line="14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U.S. GAAP reported amount (e.g. retained earnings). The declaration and payment of dividends require the authorization of our Board of Directors, provided that such dividends on issued share capital may be paid only out of our “distributable reserves” on our statutory balance sheet. Therefore, we are not permitted to pay dividends out of share capital, which includes share premium. On November 27, 2019, we redeemed 50,000 redeemable shares of £1 each and cancelled one deferred ordinary share of £1 in the capital of TechnipFMC.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capital stock activity for the years ended December 31, 2019, 2018 and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Ordinary Shares</w:t>
            </w:r>
          </w:p>
        </w:tc>
        <w:tc>
          <w:tcPr>
            <w:tcW w:w="148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Held in</w:t>
            </w:r>
          </w:p>
        </w:tc>
        <w:tc>
          <w:tcPr>
            <w:tcW w:w="148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620" w:type="dxa"/>
            <w:vAlign w:val="bottom"/>
            <w:gridSpan w:val="2"/>
          </w:tcPr>
          <w:p>
            <w:pPr>
              <w:ind w:left="460"/>
              <w:spacing w:after="0"/>
              <w:rPr>
                <w:sz w:val="20"/>
                <w:szCs w:val="20"/>
                <w:color w:val="auto"/>
              </w:rPr>
            </w:pPr>
            <w:r>
              <w:rPr>
                <w:rFonts w:ascii="Arial" w:cs="Arial" w:eastAsia="Arial" w:hAnsi="Arial"/>
                <w:sz w:val="14"/>
                <w:szCs w:val="14"/>
                <w:b w:val="1"/>
                <w:bCs w:val="1"/>
                <w:color w:val="auto"/>
              </w:rPr>
              <w:t>Ordinary</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Employee</w:t>
            </w:r>
          </w:p>
        </w:tc>
        <w:tc>
          <w:tcPr>
            <w:tcW w:w="1480" w:type="dxa"/>
            <w:vAlign w:val="bottom"/>
          </w:tcPr>
          <w:p>
            <w:pPr>
              <w:spacing w:after="0"/>
              <w:rPr>
                <w:sz w:val="14"/>
                <w:szCs w:val="14"/>
                <w:color w:val="auto"/>
              </w:rPr>
            </w:pPr>
          </w:p>
        </w:tc>
      </w:tr>
      <w:tr>
        <w:trPr>
          <w:trHeight w:val="19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(Number of shares in millions)</w:t>
            </w: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 Issued</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Trust</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Treasury Stock</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119.2</w:t>
            </w: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Net capital increases due to the merger of FMC Technologies and Technip</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347.4</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awards</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Treasury stock cancellation due to the merger of FMC Technologies and Technip</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Treasury stock purchases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Treasury stock cancellation</w:t>
            </w:r>
          </w:p>
        </w:tc>
        <w:tc>
          <w:tcPr>
            <w:tcW w:w="15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stock purchased for employee benefit trust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December 31, 2017</w:t>
            </w:r>
          </w:p>
        </w:tc>
        <w:tc>
          <w:tcPr>
            <w:tcW w:w="1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465.1</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awards</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Treasury stock purchases</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14.8</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Treasury stock cancellation</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Net stock purchased for employee benefit trust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5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450.5</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Stock awards</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Treasury stock purchases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Treasury stock cancellation</w:t>
            </w:r>
          </w:p>
        </w:tc>
        <w:tc>
          <w:tcPr>
            <w:tcW w:w="150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stock purchased for employee benefit trust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December 31, 2019</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447.1</w:t>
            </w:r>
          </w:p>
        </w:tc>
        <w:tc>
          <w:tcPr>
            <w:tcW w:w="12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67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571" w:right="239" w:bottom="1440" w:gutter="0" w:footer="0" w:header="0"/>
          <w:type w:val="continuous"/>
        </w:sectPr>
      </w:pPr>
    </w:p>
    <w:bookmarkStart w:id="107" w:name="page108"/>
    <w:bookmarkEnd w:id="107"/>
    <w:p>
      <w:pPr>
        <w:ind w:right="360"/>
        <w:spacing w:after="0" w:line="262" w:lineRule="auto"/>
        <w:rPr>
          <w:sz w:val="20"/>
          <w:szCs w:val="20"/>
          <w:color w:val="auto"/>
        </w:rPr>
      </w:pPr>
      <w:r>
        <w:rPr>
          <w:rFonts w:ascii="Arial" w:cs="Arial" w:eastAsia="Arial" w:hAnsi="Arial"/>
          <w:sz w:val="18"/>
          <w:szCs w:val="18"/>
          <w:color w:val="auto"/>
        </w:rPr>
        <w:t>The plan administrator of the Non-Qualified Plan purchases shares of our ordinary shares on the open market. Such shares are placed in a trust owned by a subsidiary.</w:t>
      </w:r>
    </w:p>
    <w:p>
      <w:pPr>
        <w:spacing w:after="0" w:line="14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April 2017, the Board of Directors authorized the repurchase of $500.0 million in ordinary shares under our share repurchase program. We implemented our share repurchase plan in September 2017. The Board of Directors authorized an extension of this program, adding $300.0 million in December 2018 for a total of $800.0 million in ordinary shares. We repurchased 4.0 million of ordinary shares for a total consideration of $92.7 million during the year ended December 31, 2019, under our authorized share repurchase program. The $500.0 million part of the program was completed on December 20, 2018. We intend to cancel repurchased shares and not hold them in treasury. Canceled treasury shares are accounted for using the constructive retirement method.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Accumulated other comprehensive income (loss) - </w:t>
      </w:r>
      <w:r>
        <w:rPr>
          <w:rFonts w:ascii="Arial" w:cs="Arial" w:eastAsia="Arial" w:hAnsi="Arial"/>
          <w:sz w:val="18"/>
          <w:szCs w:val="18"/>
          <w:color w:val="auto"/>
        </w:rPr>
        <w:t>Accumulated other comprehensive income (loss) consisted of the following: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8"/>
              </w:rPr>
              <w:t>Accumulated Other</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Defined Pension</w:t>
            </w:r>
          </w:p>
        </w:tc>
        <w:tc>
          <w:tcPr>
            <w:tcW w:w="180" w:type="dxa"/>
            <w:vAlign w:val="bottom"/>
          </w:tcPr>
          <w:p>
            <w:pPr>
              <w:spacing w:after="0"/>
              <w:rPr>
                <w:sz w:val="11"/>
                <w:szCs w:val="11"/>
                <w:color w:val="auto"/>
              </w:rPr>
            </w:pPr>
          </w:p>
        </w:tc>
        <w:tc>
          <w:tcPr>
            <w:tcW w:w="1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1"/>
                <w:szCs w:val="11"/>
                <w:color w:val="auto"/>
              </w:rPr>
            </w:pPr>
          </w:p>
        </w:tc>
        <w:tc>
          <w:tcPr>
            <w:tcW w:w="142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and Other</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Loss attributable</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Currency</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Post-Retirement</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Loss attributable to</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to Noncontrolling</w:t>
            </w:r>
          </w:p>
        </w:tc>
      </w:tr>
      <w:tr>
        <w:trPr>
          <w:trHeight w:val="178"/>
        </w:trPr>
        <w:tc>
          <w:tcPr>
            <w:tcW w:w="400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Benefits</w:t>
            </w: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interest</w:t>
            </w: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(1,014.6)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(1,003.7)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r>
      <w:tr>
        <w:trPr>
          <w:trHeight w:val="156"/>
        </w:trPr>
        <w:tc>
          <w:tcPr>
            <w:tcW w:w="4000" w:type="dxa"/>
            <w:vAlign w:val="bottom"/>
          </w:tcPr>
          <w:p>
            <w:pPr>
              <w:ind w:left="180"/>
              <w:spacing w:after="0"/>
              <w:rPr>
                <w:sz w:val="20"/>
                <w:szCs w:val="20"/>
                <w:color w:val="auto"/>
              </w:rPr>
            </w:pPr>
            <w:r>
              <w:rPr>
                <w:rFonts w:ascii="Arial" w:cs="Arial" w:eastAsia="Arial" w:hAnsi="Arial"/>
                <w:sz w:val="13"/>
                <w:szCs w:val="13"/>
                <w:color w:val="auto"/>
                <w:w w:val="99"/>
              </w:rPr>
              <w:t>Other comprehensive income (loss) before reclassifications, net of</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0"/>
        </w:trPr>
        <w:tc>
          <w:tcPr>
            <w:tcW w:w="4000" w:type="dxa"/>
            <w:vAlign w:val="bottom"/>
          </w:tcPr>
          <w:p>
            <w:pPr>
              <w:ind w:left="180"/>
              <w:spacing w:after="0"/>
              <w:rPr>
                <w:sz w:val="20"/>
                <w:szCs w:val="20"/>
                <w:color w:val="auto"/>
              </w:rPr>
            </w:pPr>
            <w:r>
              <w:rPr>
                <w:rFonts w:ascii="Arial" w:cs="Arial" w:eastAsia="Arial" w:hAnsi="Arial"/>
                <w:sz w:val="13"/>
                <w:szCs w:val="13"/>
                <w:color w:val="auto"/>
              </w:rPr>
              <w:t>tax</w:t>
            </w:r>
          </w:p>
        </w:tc>
        <w:tc>
          <w:tcPr>
            <w:tcW w:w="140" w:type="dxa"/>
            <w:vAlign w:val="bottom"/>
          </w:tcPr>
          <w:p>
            <w:pPr>
              <w:spacing w:after="0"/>
              <w:rPr>
                <w:sz w:val="13"/>
                <w:szCs w:val="1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(178.7)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(58.7)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17"/>
              <w:spacing w:after="0"/>
              <w:rPr>
                <w:sz w:val="20"/>
                <w:szCs w:val="20"/>
                <w:color w:val="auto"/>
              </w:rPr>
            </w:pPr>
            <w:r>
              <w:rPr>
                <w:rFonts w:ascii="Arial" w:cs="Arial" w:eastAsia="Arial" w:hAnsi="Arial"/>
                <w:sz w:val="13"/>
                <w:szCs w:val="13"/>
                <w:color w:val="auto"/>
              </w:rPr>
              <w:t>(311.9)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64"/>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Reclassification adjustment for net (gains) losses included in net</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2"/>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net of tax</w:t>
            </w: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(75.5)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(356.0)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2018</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(1,234.4)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(92.4)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(1,359.7)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36"/>
        </w:trPr>
        <w:tc>
          <w:tcPr>
            <w:tcW w:w="4000" w:type="dxa"/>
            <w:vAlign w:val="bottom"/>
          </w:tcPr>
          <w:p>
            <w:pPr>
              <w:ind w:left="180"/>
              <w:spacing w:after="0" w:line="136" w:lineRule="exact"/>
              <w:rPr>
                <w:sz w:val="20"/>
                <w:szCs w:val="20"/>
                <w:color w:val="auto"/>
              </w:rPr>
            </w:pPr>
            <w:r>
              <w:rPr>
                <w:rFonts w:ascii="Arial" w:cs="Arial" w:eastAsia="Arial" w:hAnsi="Arial"/>
                <w:sz w:val="13"/>
                <w:szCs w:val="13"/>
                <w:color w:val="auto"/>
                <w:w w:val="99"/>
              </w:rPr>
              <w:t>Other comprehensive income (loss) before reclassifications, net of</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60"/>
        </w:trPr>
        <w:tc>
          <w:tcPr>
            <w:tcW w:w="4000" w:type="dxa"/>
            <w:vAlign w:val="bottom"/>
          </w:tcPr>
          <w:p>
            <w:pPr>
              <w:ind w:left="180"/>
              <w:spacing w:after="0"/>
              <w:rPr>
                <w:sz w:val="20"/>
                <w:szCs w:val="20"/>
                <w:color w:val="auto"/>
              </w:rPr>
            </w:pPr>
            <w:r>
              <w:rPr>
                <w:rFonts w:ascii="Arial" w:cs="Arial" w:eastAsia="Arial" w:hAnsi="Arial"/>
                <w:sz w:val="13"/>
                <w:szCs w:val="13"/>
                <w:color w:val="auto"/>
              </w:rPr>
              <w:t>tax</w:t>
            </w:r>
          </w:p>
        </w:tc>
        <w:tc>
          <w:tcPr>
            <w:tcW w:w="14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(82.2)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17"/>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(0.7)</w:t>
            </w:r>
          </w:p>
        </w:tc>
      </w:tr>
      <w:tr>
        <w:trPr>
          <w:trHeight w:val="164"/>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Reclassification adjustment for net (gains) losses included in net</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2"/>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net of tax</w:t>
            </w: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18.2</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(79.2)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(47.8)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r>
      <w:tr>
        <w:trPr>
          <w:trHeight w:val="242"/>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71" w:right="239" w:bottom="1440" w:gutter="0" w:footer="0" w:header="0"/>
        </w:sectPr>
      </w:pPr>
    </w:p>
    <w:bookmarkStart w:id="108" w:name="page109"/>
    <w:bookmarkEnd w:id="108"/>
    <w:p>
      <w:pPr>
        <w:ind w:right="220"/>
        <w:spacing w:after="0" w:line="282" w:lineRule="auto"/>
        <w:rPr>
          <w:sz w:val="20"/>
          <w:szCs w:val="20"/>
          <w:color w:val="auto"/>
        </w:rPr>
      </w:pPr>
      <w:r>
        <w:rPr>
          <w:rFonts w:ascii="Arial" w:cs="Arial" w:eastAsia="Arial" w:hAnsi="Arial"/>
          <w:sz w:val="18"/>
          <w:szCs w:val="18"/>
          <w:i w:val="1"/>
          <w:iCs w:val="1"/>
          <w:color w:val="auto"/>
        </w:rPr>
        <w:t xml:space="preserve">Reclassifications out of accumulated other comprehensive income (loss) - </w:t>
      </w:r>
      <w:r>
        <w:rPr>
          <w:rFonts w:ascii="Arial" w:cs="Arial" w:eastAsia="Arial" w:hAnsi="Arial"/>
          <w:sz w:val="18"/>
          <w:szCs w:val="18"/>
          <w:color w:val="auto"/>
        </w:rPr>
        <w:t>Reclassifications out of accumulated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consisted of the following: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760" w:type="dxa"/>
            <w:vAlign w:val="bottom"/>
          </w:tcPr>
          <w:p>
            <w:pPr>
              <w:spacing w:after="0"/>
              <w:rPr>
                <w:sz w:val="17"/>
                <w:szCs w:val="17"/>
                <w:color w:val="auto"/>
              </w:rPr>
            </w:pPr>
          </w:p>
        </w:tc>
      </w:tr>
      <w:tr>
        <w:trPr>
          <w:trHeight w:val="175"/>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760" w:type="dxa"/>
            <w:vAlign w:val="bottom"/>
          </w:tcPr>
          <w:p>
            <w:pPr>
              <w:spacing w:after="0"/>
              <w:rPr>
                <w:sz w:val="15"/>
                <w:szCs w:val="15"/>
                <w:color w:val="auto"/>
              </w:rPr>
            </w:pPr>
          </w:p>
        </w:tc>
      </w:tr>
      <w:tr>
        <w:trPr>
          <w:trHeight w:val="196"/>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3760" w:type="dxa"/>
            <w:vAlign w:val="bottom"/>
          </w:tcPr>
          <w:p>
            <w:pPr>
              <w:spacing w:after="0"/>
              <w:rPr>
                <w:sz w:val="17"/>
                <w:szCs w:val="17"/>
                <w:color w:val="auto"/>
              </w:rPr>
            </w:pPr>
          </w:p>
        </w:tc>
      </w:tr>
      <w:tr>
        <w:trPr>
          <w:trHeight w:val="175"/>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Details about Accumulated Other Comprehensive</w:t>
            </w:r>
          </w:p>
        </w:tc>
        <w:tc>
          <w:tcPr>
            <w:tcW w:w="140" w:type="dxa"/>
            <w:vAlign w:val="bottom"/>
          </w:tcPr>
          <w:p>
            <w:pPr>
              <w:spacing w:after="0"/>
              <w:rPr>
                <w:sz w:val="15"/>
                <w:szCs w:val="15"/>
                <w:color w:val="auto"/>
              </w:rPr>
            </w:pPr>
          </w:p>
        </w:tc>
        <w:tc>
          <w:tcPr>
            <w:tcW w:w="3860" w:type="dxa"/>
            <w:vAlign w:val="bottom"/>
            <w:gridSpan w:val="7"/>
          </w:tcPr>
          <w:p>
            <w:pPr>
              <w:jc w:val="center"/>
              <w:ind w:right="28"/>
              <w:spacing w:after="0"/>
              <w:rPr>
                <w:sz w:val="20"/>
                <w:szCs w:val="20"/>
                <w:color w:val="auto"/>
              </w:rPr>
            </w:pPr>
            <w:r>
              <w:rPr>
                <w:rFonts w:ascii="Arial" w:cs="Arial" w:eastAsia="Arial" w:hAnsi="Arial"/>
                <w:sz w:val="14"/>
                <w:szCs w:val="14"/>
                <w:b w:val="1"/>
                <w:bCs w:val="1"/>
                <w:color w:val="auto"/>
              </w:rPr>
              <w:t>Amount Reclassified out of Accumulated Other</w:t>
            </w:r>
          </w:p>
        </w:tc>
        <w:tc>
          <w:tcPr>
            <w:tcW w:w="3760" w:type="dxa"/>
            <w:vAlign w:val="bottom"/>
          </w:tcPr>
          <w:p>
            <w:pPr>
              <w:ind w:left="140"/>
              <w:spacing w:after="0"/>
              <w:rPr>
                <w:sz w:val="20"/>
                <w:szCs w:val="20"/>
                <w:color w:val="auto"/>
              </w:rPr>
            </w:pPr>
            <w:r>
              <w:rPr>
                <w:rFonts w:ascii="Arial" w:cs="Arial" w:eastAsia="Arial" w:hAnsi="Arial"/>
                <w:sz w:val="14"/>
                <w:szCs w:val="14"/>
                <w:b w:val="1"/>
                <w:bCs w:val="1"/>
                <w:color w:val="auto"/>
              </w:rPr>
              <w:t>Affected Line Item in the Consolidated Statement of</w:t>
            </w:r>
          </w:p>
        </w:tc>
      </w:tr>
      <w:tr>
        <w:trPr>
          <w:trHeight w:val="19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Loss Components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Income</w:t>
            </w: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Gains on foreign currency translation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r>
      <w:tr>
        <w:trPr>
          <w:trHeight w:val="284"/>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Gains (losses) on hedging instruments</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Foreign exchange contracts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(39.3)</w:t>
            </w:r>
          </w:p>
        </w:tc>
        <w:tc>
          <w:tcPr>
            <w:tcW w:w="3760" w:type="dxa"/>
            <w:vAlign w:val="bottom"/>
          </w:tcPr>
          <w:p>
            <w:pPr>
              <w:ind w:left="140"/>
              <w:spacing w:after="0"/>
              <w:rPr>
                <w:sz w:val="20"/>
                <w:szCs w:val="20"/>
                <w:color w:val="auto"/>
              </w:rPr>
            </w:pPr>
            <w:r>
              <w:rPr>
                <w:rFonts w:ascii="Arial" w:cs="Arial" w:eastAsia="Arial" w:hAnsi="Arial"/>
                <w:sz w:val="14"/>
                <w:szCs w:val="14"/>
                <w:color w:val="auto"/>
              </w:rPr>
              <w:t>Revenue</w:t>
            </w:r>
          </w:p>
        </w:tc>
      </w:tr>
      <w:tr>
        <w:trPr>
          <w:trHeight w:val="276"/>
        </w:trPr>
        <w:tc>
          <w:tcPr>
            <w:tcW w:w="3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3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of sales</w:t>
            </w:r>
          </w:p>
        </w:tc>
      </w:tr>
      <w:tr>
        <w:trPr>
          <w:trHeight w:val="264"/>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376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w:t>
            </w:r>
          </w:p>
        </w:tc>
      </w:tr>
      <w:tr>
        <w:trPr>
          <w:trHeight w:val="270"/>
        </w:trPr>
        <w:tc>
          <w:tcPr>
            <w:tcW w:w="36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3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r>
      <w:tr>
        <w:trPr>
          <w:trHeight w:val="250"/>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(135.4)</w:t>
            </w:r>
          </w:p>
        </w:tc>
        <w:tc>
          <w:tcPr>
            <w:tcW w:w="3760" w:type="dxa"/>
            <w:vAlign w:val="bottom"/>
          </w:tcPr>
          <w:p>
            <w:pPr>
              <w:ind w:left="140"/>
              <w:spacing w:after="0"/>
              <w:rPr>
                <w:sz w:val="20"/>
                <w:szCs w:val="20"/>
                <w:color w:val="auto"/>
              </w:rPr>
            </w:pPr>
            <w:r>
              <w:rPr>
                <w:rFonts w:ascii="Arial" w:cs="Arial" w:eastAsia="Arial" w:hAnsi="Arial"/>
                <w:sz w:val="14"/>
                <w:szCs w:val="14"/>
                <w:color w:val="auto"/>
              </w:rPr>
              <w:t>Income (loss) before income taxes</w:t>
            </w:r>
          </w:p>
        </w:tc>
      </w:tr>
      <w:tr>
        <w:trPr>
          <w:trHeight w:val="270"/>
        </w:trPr>
        <w:tc>
          <w:tcPr>
            <w:tcW w:w="36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3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(benefit) for income taxes</w:t>
            </w:r>
          </w:p>
        </w:tc>
      </w:tr>
      <w:tr>
        <w:trPr>
          <w:trHeight w:val="283"/>
        </w:trPr>
        <w:tc>
          <w:tcPr>
            <w:tcW w:w="36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(101.2)</w:t>
            </w:r>
          </w:p>
        </w:tc>
        <w:tc>
          <w:tcPr>
            <w:tcW w:w="3760" w:type="dxa"/>
            <w:vAlign w:val="bottom"/>
          </w:tcPr>
          <w:p>
            <w:pPr>
              <w:ind w:left="140"/>
              <w:spacing w:after="0"/>
              <w:rPr>
                <w:sz w:val="20"/>
                <w:szCs w:val="20"/>
                <w:color w:val="auto"/>
              </w:rPr>
            </w:pPr>
            <w:r>
              <w:rPr>
                <w:rFonts w:ascii="Arial" w:cs="Arial" w:eastAsia="Arial" w:hAnsi="Arial"/>
                <w:sz w:val="14"/>
                <w:szCs w:val="14"/>
                <w:color w:val="auto"/>
              </w:rPr>
              <w:t>Net income (loss)</w:t>
            </w:r>
          </w:p>
        </w:tc>
      </w:tr>
      <w:tr>
        <w:trPr>
          <w:trHeight w:val="305"/>
        </w:trPr>
        <w:tc>
          <w:tcPr>
            <w:tcW w:w="36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3760" w:type="dxa"/>
            <w:vAlign w:val="bottom"/>
            <w:tcBorders>
              <w:top w:val="single" w:sz="8" w:color="CCEEFF"/>
            </w:tcBorders>
            <w:shd w:val="clear" w:color="auto" w:fill="CCEEFF"/>
          </w:tcPr>
          <w:p>
            <w:pPr>
              <w:spacing w:after="0"/>
              <w:rPr>
                <w:sz w:val="24"/>
                <w:szCs w:val="24"/>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Settlements and curtailments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w:t>
            </w:r>
          </w:p>
        </w:tc>
        <w:tc>
          <w:tcPr>
            <w:tcW w:w="3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t>
            </w: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Amortization of actuarial gain (loss)</w:t>
            </w:r>
          </w:p>
        </w:tc>
        <w:tc>
          <w:tcPr>
            <w:tcW w:w="1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3760" w:type="dxa"/>
            <w:vAlign w:val="bottom"/>
          </w:tcPr>
          <w:p>
            <w:pPr>
              <w:ind w:left="140"/>
              <w:spacing w:after="0"/>
              <w:rPr>
                <w:sz w:val="20"/>
                <w:szCs w:val="20"/>
                <w:color w:val="auto"/>
              </w:rPr>
            </w:pPr>
            <w:r>
              <w:rPr>
                <w:rFonts w:ascii="Arial" w:cs="Arial" w:eastAsia="Arial" w:hAnsi="Arial"/>
                <w:sz w:val="14"/>
                <w:szCs w:val="14"/>
                <w:color w:val="auto"/>
              </w:rPr>
              <w:t>(a)</w:t>
            </w:r>
          </w:p>
        </w:tc>
      </w:tr>
      <w:tr>
        <w:trPr>
          <w:trHeight w:val="270"/>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prior service credit (cost)</w:t>
            </w: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t>
            </w:r>
          </w:p>
        </w:tc>
      </w:tr>
      <w:tr>
        <w:trPr>
          <w:trHeight w:val="250"/>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3760" w:type="dxa"/>
            <w:vAlign w:val="bottom"/>
          </w:tcPr>
          <w:p>
            <w:pPr>
              <w:ind w:left="140"/>
              <w:spacing w:after="0"/>
              <w:rPr>
                <w:sz w:val="20"/>
                <w:szCs w:val="20"/>
                <w:color w:val="auto"/>
              </w:rPr>
            </w:pPr>
            <w:r>
              <w:rPr>
                <w:rFonts w:ascii="Arial" w:cs="Arial" w:eastAsia="Arial" w:hAnsi="Arial"/>
                <w:sz w:val="14"/>
                <w:szCs w:val="14"/>
                <w:color w:val="auto"/>
              </w:rPr>
              <w:t>Income (loss) before income taxes</w:t>
            </w:r>
          </w:p>
        </w:tc>
      </w:tr>
      <w:tr>
        <w:trPr>
          <w:trHeight w:val="270"/>
        </w:trPr>
        <w:tc>
          <w:tcPr>
            <w:tcW w:w="36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3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(benefit) for income taxes</w:t>
            </w:r>
          </w:p>
        </w:tc>
      </w:tr>
      <w:tr>
        <w:trPr>
          <w:trHeight w:val="243"/>
        </w:trPr>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3760" w:type="dxa"/>
            <w:vAlign w:val="bottom"/>
          </w:tcPr>
          <w:p>
            <w:pPr>
              <w:ind w:left="140"/>
              <w:spacing w:after="0"/>
              <w:rPr>
                <w:sz w:val="20"/>
                <w:szCs w:val="20"/>
                <w:color w:val="auto"/>
              </w:rPr>
            </w:pPr>
            <w:r>
              <w:rPr>
                <w:rFonts w:ascii="Arial" w:cs="Arial" w:eastAsia="Arial" w:hAnsi="Arial"/>
                <w:sz w:val="14"/>
                <w:szCs w:val="14"/>
                <w:color w:val="auto"/>
              </w:rPr>
              <w:t>Net income (loss)</w:t>
            </w:r>
          </w:p>
        </w:tc>
      </w:tr>
      <w:tr>
        <w:trPr>
          <w:trHeight w:val="20"/>
        </w:trPr>
        <w:tc>
          <w:tcPr>
            <w:tcW w:w="3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 (see Note 23 for additional details).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SHARE-BASED COMPENSATION</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Incentive compensation and award plan - </w:t>
      </w:r>
      <w:r>
        <w:rPr>
          <w:rFonts w:ascii="Arial" w:cs="Arial" w:eastAsia="Arial" w:hAnsi="Arial"/>
          <w:sz w:val="18"/>
          <w:szCs w:val="18"/>
          <w:color w:val="auto"/>
        </w:rPr>
        <w:t>On January 11, 2017, we adopted the TechnipFMC plc Incentive Award Plan (the “Plan”).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certain incentives and awards to officers, employees, non-employee directors and consultants of TechnipFMC and its subsidiaries. The Plan allows our Board of Directors to make various types of awards to non-employee directors and the Compensation Committee (the “Committee”) of the Board of Directors to make various types of awards to other eligible individuals. Awards may include share options, share appreciation rights, performance share units, restricted share units, restricted shares or other awards authorized under the Plan. All awards are subject to the Plan’s provisions, including all share-based grants previously issued by FMC Technologies and Technip prior to consummation of the Merger. Under the Plan, 24.1 million ordinary shares were authorized for awards. At December 31, 2019, 14.4 million ordinary shares were available for future grant.</w:t>
      </w:r>
    </w:p>
    <w:p>
      <w:pPr>
        <w:spacing w:after="0" w:line="14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exercise price for options is determined by the Committee but cannot be less than the fair market value of our ordinary shares at the grant date. Restricted share and performance share unit grants generally vest after three years of service.</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Plan, our Board of Directors has the authority to grant non-employee directors share options, restricted shares, restricted share units and performance shares. Unless otherwise determined by our Board of Directors, awards to non-employee directors generally vest one year from the date of grant. Restricted share units are settled when a director ceases services to the Board of Directors. At December 31, 2019, outstanding awards to active and retired non-employee directors included 83.4 thousand share units.</w:t>
      </w:r>
    </w:p>
    <w:p>
      <w:pPr>
        <w:spacing w:after="0" w:line="150"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The measurement of share-based compensation expense on restricted share awards is based on the market price and fair value at the grant date and the number of shares awarded. The fair value of performance shares is estimated using a combination of the closing stock price on the grant date and the Monte Carlo simulation model. We use Black-Scholes options pricing model to measure the fair value of stock options granted on or after January 1, 2017.</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553" w:right="239" w:bottom="1440" w:gutter="0" w:footer="0" w:header="0"/>
        </w:sectPr>
      </w:pPr>
    </w:p>
    <w:bookmarkStart w:id="109" w:name="page110"/>
    <w:bookmarkEnd w:id="109"/>
    <w:p>
      <w:pPr>
        <w:ind w:right="80"/>
        <w:spacing w:after="0" w:line="256" w:lineRule="auto"/>
        <w:rPr>
          <w:sz w:val="20"/>
          <w:szCs w:val="20"/>
          <w:color w:val="auto"/>
        </w:rPr>
      </w:pPr>
      <w:r>
        <w:rPr>
          <w:rFonts w:ascii="Arial" w:cs="Arial" w:eastAsia="Arial" w:hAnsi="Arial"/>
          <w:sz w:val="18"/>
          <w:szCs w:val="18"/>
          <w:color w:val="auto"/>
        </w:rPr>
        <w:t>The share-based compensation expense for each award is recognized ratably over the applicable service period or the period beginning at the start of the service period and ending when an employee becomes eligible for retirement (currently age 62 under the plan), after taking into account estimated forfeitures.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recognize compensation expense and the corresponding tax benefits for awards under the Plan. The compensation expense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color w:val="auto"/>
              </w:rPr>
              <w:t>Income tax benefits related to share-based compensation expense</w:t>
            </w:r>
          </w:p>
        </w:tc>
        <w:tc>
          <w:tcPr>
            <w:tcW w:w="102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20.1</w:t>
            </w: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12.0</w:t>
            </w:r>
          </w:p>
        </w:tc>
      </w:tr>
    </w:tbl>
    <w:p>
      <w:pPr>
        <w:spacing w:after="0" w:line="38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of December 31, 2019, the portion of share-based compensation expense related to outstanding awards to be recognized in future periods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 not yet recognized (in millions)</w:t>
            </w: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w:t>
            </w:r>
          </w:p>
        </w:tc>
      </w:tr>
      <w:tr>
        <w:trPr>
          <w:trHeight w:val="204"/>
        </w:trPr>
        <w:tc>
          <w:tcPr>
            <w:tcW w:w="9940" w:type="dxa"/>
            <w:vAlign w:val="bottom"/>
          </w:tcPr>
          <w:p>
            <w:pPr>
              <w:ind w:left="40"/>
              <w:spacing w:after="0"/>
              <w:rPr>
                <w:sz w:val="20"/>
                <w:szCs w:val="20"/>
                <w:color w:val="auto"/>
              </w:rPr>
            </w:pPr>
            <w:r>
              <w:rPr>
                <w:rFonts w:ascii="Arial" w:cs="Arial" w:eastAsia="Arial" w:hAnsi="Arial"/>
                <w:sz w:val="14"/>
                <w:szCs w:val="14"/>
                <w:color w:val="auto"/>
              </w:rPr>
              <w:t>Weighted-average recognition period (in years)</w:t>
            </w:r>
          </w:p>
        </w:tc>
        <w:tc>
          <w:tcPr>
            <w:tcW w:w="60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w:t>
            </w:r>
          </w:p>
        </w:tc>
      </w:tr>
    </w:tbl>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non-vested restricted share units activity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88"/>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5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Non-vested at December 31, 2018</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2,977.4</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30.10</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1,969.1</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21.24</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(347.1)</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29.44</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Cancelled/forfeited</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(73.5)</w:t>
            </w:r>
          </w:p>
        </w:tc>
        <w:tc>
          <w:tcPr>
            <w:tcW w:w="34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27.79</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Non-vested at December 31, 2019</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4,525.9</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27.44</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7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total grant date fair value of restricted stock units vested during years ended December 31, 2019 and 2018 was $10.2 million and $4.8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Board of Directors has granted certain employees, senior executives and Directors or Officers restricted share units that vest subject to achieving satisfactory performances. For performance share units issued on or after January 1, 2017, performance is based on results of return on invested capital and total shareholder return (“TSR”).</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performance share units which vest based on TSR, the fair value of performance shares is estimated using a combination of the closing stock price on the grant date and the Monte Carlo simulation model. The weighted-average fair value and the assumptions used to measure the fair value of performance share units subject to performance-adjusted vesting conditions in the Monte Carlo simulation model were as follows:</w:t>
      </w:r>
    </w:p>
    <w:p>
      <w:pPr>
        <w:spacing w:after="0" w:line="192"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26035</wp:posOffset>
            </wp:positionV>
            <wp:extent cx="30187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r>
        <w:trPr>
          <w:trHeight w:val="256"/>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Weighted-average fair value </w:t>
            </w:r>
            <w:r>
              <w:rPr>
                <w:rFonts w:ascii="Arial" w:cs="Arial" w:eastAsia="Arial" w:hAnsi="Arial"/>
                <w:sz w:val="17"/>
                <w:szCs w:val="17"/>
                <w:color w:val="auto"/>
                <w:vertAlign w:val="superscript"/>
              </w:rPr>
              <w:t>(a)</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$29.04</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$34.42</w:t>
            </w:r>
          </w:p>
        </w:tc>
      </w:tr>
      <w:tr>
        <w:trPr>
          <w:trHeight w:val="270"/>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 xml:space="preserve">Expected volatility </w:t>
            </w:r>
            <w:r>
              <w:rPr>
                <w:rFonts w:ascii="Arial" w:cs="Arial" w:eastAsia="Arial" w:hAnsi="Arial"/>
                <w:sz w:val="17"/>
                <w:szCs w:val="17"/>
                <w:color w:val="auto"/>
                <w:vertAlign w:val="superscript"/>
              </w:rPr>
              <w:t>(b)</w:t>
            </w:r>
          </w:p>
        </w:tc>
        <w:tc>
          <w:tcPr>
            <w:tcW w:w="560" w:type="dxa"/>
            <w:vAlign w:val="bottom"/>
          </w:tcPr>
          <w:p>
            <w:pPr>
              <w:jc w:val="right"/>
              <w:spacing w:after="0"/>
              <w:rPr>
                <w:sz w:val="20"/>
                <w:szCs w:val="20"/>
                <w:color w:val="auto"/>
              </w:rPr>
            </w:pPr>
            <w:r>
              <w:rPr>
                <w:rFonts w:ascii="Arial" w:cs="Arial" w:eastAsia="Arial" w:hAnsi="Arial"/>
                <w:sz w:val="14"/>
                <w:szCs w:val="14"/>
                <w:color w:val="auto"/>
              </w:rPr>
              <w:t>34.00%</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34.00%</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34.87%</w:t>
            </w:r>
          </w:p>
        </w:tc>
      </w:tr>
      <w:tr>
        <w:trPr>
          <w:trHeight w:val="270"/>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Risk-free interest rate </w:t>
            </w:r>
            <w:r>
              <w:rPr>
                <w:rFonts w:ascii="Arial" w:cs="Arial" w:eastAsia="Arial" w:hAnsi="Arial"/>
                <w:sz w:val="17"/>
                <w:szCs w:val="17"/>
                <w:color w:val="auto"/>
                <w:vertAlign w:val="superscript"/>
              </w:rPr>
              <w:t>(c)</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310"/>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 xml:space="preserve">Expected performance period in years </w:t>
            </w:r>
            <w:r>
              <w:rPr>
                <w:rFonts w:ascii="Arial" w:cs="Arial" w:eastAsia="Arial" w:hAnsi="Arial"/>
                <w:sz w:val="17"/>
                <w:szCs w:val="17"/>
                <w:color w:val="auto"/>
                <w:vertAlign w:val="superscript"/>
              </w:rPr>
              <w:t>(d)</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3.0</w:t>
            </w:r>
          </w:p>
        </w:tc>
      </w:tr>
    </w:tbl>
    <w:p>
      <w:pPr>
        <w:spacing w:after="0" w:line="127"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weighted-average fair value was based on performance share units granted during the period.</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Expected volatility is based on normalized historical volatility of our shares over a preceding period commensurate with the expected term of the option.</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From 2017, the risk-free rate for the expected term of the option is based on the U.S. Treasury yield curve in effect at the time of grant.</w:t>
      </w:r>
    </w:p>
    <w:p>
      <w:pPr>
        <w:sectPr>
          <w:pgSz w:w="11900" w:h="16838" w:orient="portrait"/>
          <w:cols w:equalWidth="0" w:num="1">
            <w:col w:w="11420"/>
          </w:cols>
          <w:pgMar w:left="240" w:top="571"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571" w:right="239" w:bottom="1440" w:gutter="0" w:footer="0" w:header="0"/>
          <w:type w:val="continuous"/>
        </w:sectPr>
      </w:pPr>
    </w:p>
    <w:bookmarkStart w:id="110" w:name="page111"/>
    <w:bookmarkEnd w:id="110"/>
    <w:p>
      <w:pPr>
        <w:ind w:right="140" w:firstLine="8"/>
        <w:spacing w:after="0" w:line="258" w:lineRule="auto"/>
        <w:tabs>
          <w:tab w:leader="none" w:pos="216"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awards subject to service-based vesting, due to the lack of historical exercise and post-vesting termination patterns of the post-Merger employee base, the expected term was estimated using a simplified method for all awards granted in 2019, 2018 and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non-vested performance share unit activity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208"/>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5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Non-vested at December 31, 2018</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3,043.8</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27.02</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1,514.7</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24.99</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(597.6)</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22.30</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Cancelled/forfeited</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(143.2)</w:t>
            </w:r>
          </w:p>
        </w:tc>
        <w:tc>
          <w:tcPr>
            <w:tcW w:w="34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27.94</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Non-vested at December 31, 2019</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3,817.7</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28.52</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77"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The total grant date fair value of performance share units vested during years ended December 31, 2019, 2018 and 2017 was $13.3 million, $7.0 million and $33.3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award is estimated as of the date of grant using the Black-Scholes options pricing model.</w:t>
      </w:r>
    </w:p>
    <w:p>
      <w:pPr>
        <w:spacing w:after="0" w:line="1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Share options awarded prior to 2017 were granted subject to performance criteria based upon certain targets, such as TSR, return on capital employed, and operating income from recurring activities. Subsequent share options granted are time based awards vesting over three years.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and the assumptions used to measure fair value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66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6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Weighted-average fair value </w:t>
            </w:r>
            <w:r>
              <w:rPr>
                <w:rFonts w:ascii="Arial" w:cs="Arial" w:eastAsia="Arial" w:hAnsi="Arial"/>
                <w:sz w:val="17"/>
                <w:szCs w:val="17"/>
                <w:color w:val="auto"/>
                <w:vertAlign w:val="superscript"/>
              </w:rPr>
              <w:t>(a)</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5.64</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8.79</w:t>
            </w:r>
          </w:p>
        </w:tc>
      </w:tr>
      <w:tr>
        <w:trPr>
          <w:trHeight w:val="270"/>
        </w:trPr>
        <w:tc>
          <w:tcPr>
            <w:tcW w:w="6660" w:type="dxa"/>
            <w:vAlign w:val="bottom"/>
          </w:tcPr>
          <w:p>
            <w:pPr>
              <w:ind w:left="40"/>
              <w:spacing w:after="0"/>
              <w:rPr>
                <w:sz w:val="20"/>
                <w:szCs w:val="20"/>
                <w:color w:val="auto"/>
              </w:rPr>
            </w:pPr>
            <w:r>
              <w:rPr>
                <w:rFonts w:ascii="Arial" w:cs="Arial" w:eastAsia="Arial" w:hAnsi="Arial"/>
                <w:sz w:val="14"/>
                <w:szCs w:val="14"/>
                <w:color w:val="auto"/>
              </w:rPr>
              <w:t xml:space="preserve">Expected volatility </w:t>
            </w:r>
            <w:r>
              <w:rPr>
                <w:rFonts w:ascii="Arial" w:cs="Arial" w:eastAsia="Arial" w:hAnsi="Arial"/>
                <w:sz w:val="17"/>
                <w:szCs w:val="17"/>
                <w:color w:val="auto"/>
                <w:vertAlign w:val="superscript"/>
              </w:rPr>
              <w:t>(b)</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35.7%</w:t>
            </w:r>
          </w:p>
        </w:tc>
      </w:tr>
      <w:tr>
        <w:trPr>
          <w:trHeight w:val="270"/>
        </w:trPr>
        <w:tc>
          <w:tcPr>
            <w:tcW w:w="6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Risk-free interest rate </w:t>
            </w:r>
            <w:r>
              <w:rPr>
                <w:rFonts w:ascii="Arial" w:cs="Arial" w:eastAsia="Arial" w:hAnsi="Arial"/>
                <w:sz w:val="17"/>
                <w:szCs w:val="17"/>
                <w:color w:val="auto"/>
                <w:vertAlign w:val="superscript"/>
              </w:rPr>
              <w:t>(c)</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70"/>
        </w:trPr>
        <w:tc>
          <w:tcPr>
            <w:tcW w:w="6660" w:type="dxa"/>
            <w:vAlign w:val="bottom"/>
          </w:tcPr>
          <w:p>
            <w:pPr>
              <w:ind w:left="40"/>
              <w:spacing w:after="0"/>
              <w:rPr>
                <w:sz w:val="20"/>
                <w:szCs w:val="20"/>
                <w:color w:val="auto"/>
              </w:rPr>
            </w:pPr>
            <w:r>
              <w:rPr>
                <w:rFonts w:ascii="Arial" w:cs="Arial" w:eastAsia="Arial" w:hAnsi="Arial"/>
                <w:sz w:val="14"/>
                <w:szCs w:val="14"/>
                <w:color w:val="auto"/>
              </w:rPr>
              <w:t xml:space="preserve">Expected dividend yield </w:t>
            </w:r>
            <w:r>
              <w:rPr>
                <w:rFonts w:ascii="Arial" w:cs="Arial" w:eastAsia="Arial" w:hAnsi="Arial"/>
                <w:sz w:val="17"/>
                <w:szCs w:val="17"/>
                <w:color w:val="auto"/>
                <w:vertAlign w:val="superscript"/>
              </w:rPr>
              <w:t>(d)</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70"/>
        </w:trPr>
        <w:tc>
          <w:tcPr>
            <w:tcW w:w="6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Expected term in years </w:t>
            </w:r>
            <w:r>
              <w:rPr>
                <w:rFonts w:ascii="Arial" w:cs="Arial" w:eastAsia="Arial" w:hAnsi="Arial"/>
                <w:sz w:val="17"/>
                <w:szCs w:val="17"/>
                <w:color w:val="auto"/>
                <w:vertAlign w:val="superscript"/>
              </w:rPr>
              <w:t>(e)</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r>
    </w:tbl>
    <w:p>
      <w:pPr>
        <w:spacing w:after="0" w:line="16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weighted-average fair value was based on stock options granted during the period.</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Expected volatility is based on normalized historical volatility of our shares over a preceding period commensurate with the expected term of the option.</w:t>
      </w:r>
    </w:p>
    <w:p>
      <w:pPr>
        <w:spacing w:after="0" w:line="163" w:lineRule="exact"/>
        <w:rPr>
          <w:rFonts w:ascii="Arial" w:cs="Arial" w:eastAsia="Arial" w:hAnsi="Arial"/>
          <w:sz w:val="14"/>
          <w:szCs w:val="14"/>
          <w:color w:val="auto"/>
        </w:rPr>
      </w:pPr>
    </w:p>
    <w:p>
      <w:pPr>
        <w:ind w:left="660" w:right="240" w:hanging="652"/>
        <w:spacing w:after="0" w:line="258" w:lineRule="auto"/>
        <w:tabs>
          <w:tab w:leader="none" w:pos="336" w:val="left"/>
        </w:tabs>
        <w:numPr>
          <w:ilvl w:val="0"/>
          <w:numId w:val="42"/>
        </w:numPr>
        <w:rPr>
          <w:rFonts w:ascii="Arial" w:cs="Arial" w:eastAsia="Arial" w:hAnsi="Arial"/>
          <w:sz w:val="14"/>
          <w:szCs w:val="14"/>
          <w:color w:val="auto"/>
        </w:rPr>
      </w:pPr>
      <w:r>
        <w:rPr>
          <w:rFonts w:ascii="Arial" w:cs="Arial" w:eastAsia="Arial" w:hAnsi="Arial"/>
          <w:sz w:val="14"/>
          <w:szCs w:val="14"/>
          <w:color w:val="auto"/>
        </w:rPr>
        <w:t>From 2017, the risk-free rate for the expected term of the option is based on the U.S. Treasury yield curve in effect at the time of grant. Prior to 2017, the risk free rate was based on the bond yields from the European Central Bank.</w:t>
      </w:r>
    </w:p>
    <w:p>
      <w:pPr>
        <w:spacing w:after="0" w:line="140"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Share options awarded in 2019, 2018 and 2017 were valued using an expected dividend yield of 2.6%, 2.0% and 2.0%, respectively.</w:t>
      </w:r>
    </w:p>
    <w:p>
      <w:pPr>
        <w:spacing w:after="0" w:line="163" w:lineRule="exact"/>
        <w:rPr>
          <w:rFonts w:ascii="Arial" w:cs="Arial" w:eastAsia="Arial" w:hAnsi="Arial"/>
          <w:sz w:val="14"/>
          <w:szCs w:val="14"/>
          <w:color w:val="auto"/>
        </w:rPr>
      </w:pPr>
    </w:p>
    <w:p>
      <w:pPr>
        <w:ind w:left="660" w:right="20" w:hanging="652"/>
        <w:spacing w:after="0" w:line="258" w:lineRule="auto"/>
        <w:tabs>
          <w:tab w:leader="none" w:pos="336"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awards subject to service-based vesting, due to the lack of historical exercise and post-vesting termination patterns of the post-Merger employee base, the expected term was estimated using a simplified method for all awards granted in 2019, 2018 and 2017.</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576"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The following is a summary of option transactions during years ended December 31, 2019, 2018 and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remaining life</w:t>
            </w:r>
          </w:p>
        </w:tc>
      </w:tr>
      <w:tr>
        <w:trPr>
          <w:trHeight w:val="196"/>
        </w:trPr>
        <w:tc>
          <w:tcPr>
            <w:tcW w:w="4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44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56"/>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2016</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61.72</w:t>
            </w:r>
          </w:p>
        </w:tc>
        <w:tc>
          <w:tcPr>
            <w:tcW w:w="158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5.0</w:t>
            </w:r>
          </w:p>
        </w:tc>
      </w:tr>
      <w:tr>
        <w:trPr>
          <w:trHeight w:val="270"/>
        </w:trPr>
        <w:tc>
          <w:tcPr>
            <w:tcW w:w="40" w:type="dxa"/>
            <w:vAlign w:val="bottom"/>
          </w:tcPr>
          <w:p>
            <w:pPr>
              <w:spacing w:after="0"/>
              <w:rPr>
                <w:sz w:val="23"/>
                <w:szCs w:val="23"/>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 xml:space="preserve">Adjustments due to Merger </w:t>
            </w:r>
            <w:r>
              <w:rPr>
                <w:rFonts w:ascii="Arial" w:cs="Arial" w:eastAsia="Arial" w:hAnsi="Arial"/>
                <w:sz w:val="17"/>
                <w:szCs w:val="17"/>
                <w:color w:val="auto"/>
                <w:vertAlign w:val="superscript"/>
              </w:rPr>
              <w:t>(a)</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2,188.8</w:t>
            </w:r>
          </w:p>
        </w:tc>
        <w:tc>
          <w:tcPr>
            <w:tcW w:w="12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798.4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29.29</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Cancelled</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(292.2)</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4"/>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4,883.8</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36.35</w:t>
            </w:r>
          </w:p>
        </w:tc>
        <w:tc>
          <w:tcPr>
            <w:tcW w:w="1580" w:type="dxa"/>
            <w:vAlign w:val="bottom"/>
            <w:gridSpan w:val="2"/>
          </w:tcPr>
          <w:p>
            <w:pPr>
              <w:jc w:val="center"/>
              <w:ind w:left="68"/>
              <w:spacing w:after="0"/>
              <w:rPr>
                <w:sz w:val="20"/>
                <w:szCs w:val="20"/>
                <w:color w:val="auto"/>
              </w:rPr>
            </w:pPr>
            <w:r>
              <w:rPr>
                <w:rFonts w:ascii="Arial" w:cs="Arial" w:eastAsia="Arial" w:hAnsi="Arial"/>
                <w:sz w:val="14"/>
                <w:szCs w:val="14"/>
                <w:color w:val="auto"/>
              </w:rPr>
              <w:t>4.6</w:t>
            </w:r>
          </w:p>
        </w:tc>
      </w:tr>
      <w:tr>
        <w:trPr>
          <w:trHeight w:val="276"/>
        </w:trPr>
        <w:tc>
          <w:tcPr>
            <w:tcW w:w="4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Cancelled</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(827.6)</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4"/>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as of December 31, 2018</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4,658.4</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33.68</w:t>
            </w:r>
          </w:p>
        </w:tc>
        <w:tc>
          <w:tcPr>
            <w:tcW w:w="1580" w:type="dxa"/>
            <w:vAlign w:val="bottom"/>
            <w:gridSpan w:val="2"/>
          </w:tcPr>
          <w:p>
            <w:pPr>
              <w:jc w:val="center"/>
              <w:ind w:left="68"/>
              <w:spacing w:after="0"/>
              <w:rPr>
                <w:sz w:val="20"/>
                <w:szCs w:val="20"/>
                <w:color w:val="auto"/>
              </w:rPr>
            </w:pPr>
            <w:r>
              <w:rPr>
                <w:rFonts w:ascii="Arial" w:cs="Arial" w:eastAsia="Arial" w:hAnsi="Arial"/>
                <w:sz w:val="14"/>
                <w:szCs w:val="14"/>
                <w:color w:val="auto"/>
              </w:rPr>
              <w:t>4.8</w:t>
            </w:r>
          </w:p>
        </w:tc>
      </w:tr>
      <w:tr>
        <w:trPr>
          <w:trHeight w:val="276"/>
        </w:trPr>
        <w:tc>
          <w:tcPr>
            <w:tcW w:w="4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20.98</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Cancelled</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(616.0)</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48.65</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77"/>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Balance as of December 31, 2019</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4,842.4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29.68</w:t>
            </w:r>
          </w:p>
        </w:tc>
        <w:tc>
          <w:tcPr>
            <w:tcW w:w="1580" w:type="dxa"/>
            <w:vAlign w:val="bottom"/>
            <w:tcBorders>
              <w:bottom w:val="single" w:sz="8" w:color="CCEEFF"/>
            </w:tcBorders>
            <w:gridSpan w:val="2"/>
          </w:tcPr>
          <w:p>
            <w:pPr>
              <w:jc w:val="center"/>
              <w:ind w:left="68"/>
              <w:spacing w:after="0"/>
              <w:rPr>
                <w:sz w:val="20"/>
                <w:szCs w:val="20"/>
                <w:color w:val="auto"/>
              </w:rPr>
            </w:pPr>
            <w:r>
              <w:rPr>
                <w:rFonts w:ascii="Arial" w:cs="Arial" w:eastAsia="Arial" w:hAnsi="Arial"/>
                <w:sz w:val="14"/>
                <w:szCs w:val="14"/>
                <w:color w:val="auto"/>
              </w:rPr>
              <w:t>5.3</w:t>
            </w:r>
          </w:p>
        </w:tc>
      </w:tr>
      <w:tr>
        <w:trPr>
          <w:trHeight w:val="204"/>
        </w:trPr>
        <w:tc>
          <w:tcPr>
            <w:tcW w:w="4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Exercisable at December 31, 2019</w:t>
            </w:r>
          </w:p>
        </w:tc>
        <w:tc>
          <w:tcPr>
            <w:tcW w:w="4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1,617.7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35.92</w:t>
            </w:r>
          </w:p>
        </w:tc>
        <w:tc>
          <w:tcPr>
            <w:tcW w:w="1580" w:type="dxa"/>
            <w:vAlign w:val="bottom"/>
            <w:tcBorders>
              <w:bottom w:val="single" w:sz="8" w:color="CCEEFF"/>
            </w:tcBorders>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3.0</w:t>
            </w: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640" w:hanging="332"/>
        <w:spacing w:after="0" w:line="25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Weighted-Average Grant Date Fair Value for the increase in shares due to the merger remains at $0.00 in order to recalculate the new weighted average for the December 31, 2016 non-vested shares (see Note 2).</w:t>
      </w:r>
    </w:p>
    <w:p>
      <w:pPr>
        <w:spacing w:after="0" w:line="13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aggregate intrinsic value of stock options outstanding and stock options exercisable as of December 31, 2019 was $0.4 million and nil, respectively.</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received from the option exercises was nil, nil and nil during years ended December 31, 2019, 2018 and 2017, respectively. The total intrinsic value of options exercised during the years ended December 31, 2019, 2018 and 2017 was nil, nil and nil, respectively. To exercise stock options, an employee may choose (1) to pay, either directly or by way of the group savings plan, the stock option strike price to obtain shares, or (2) to sell the shares immediately after having exercised the stock option (in this case, the employee does not pay the strike price but instead receives the intrinsic value of the stock options in cash).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ranges of outstanding and exercisable options at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Options Exercisable</w:t>
            </w:r>
          </w:p>
        </w:tc>
      </w:tr>
      <w:tr>
        <w:trPr>
          <w:trHeight w:val="175"/>
        </w:trPr>
        <w:tc>
          <w:tcPr>
            <w:tcW w:w="1960" w:type="dxa"/>
            <w:vAlign w:val="bottom"/>
          </w:tcPr>
          <w:p>
            <w:pPr>
              <w:spacing w:after="0"/>
              <w:rPr>
                <w:sz w:val="15"/>
                <w:szCs w:val="15"/>
                <w:color w:val="auto"/>
              </w:rPr>
            </w:pPr>
          </w:p>
        </w:tc>
        <w:tc>
          <w:tcPr>
            <w:tcW w:w="1720" w:type="dxa"/>
            <w:vAlign w:val="bottom"/>
          </w:tcPr>
          <w:p>
            <w:pPr>
              <w:jc w:val="right"/>
              <w:ind w:right="148"/>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5"/>
                <w:szCs w:val="15"/>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 remaining</w:t>
            </w:r>
          </w:p>
        </w:tc>
        <w:tc>
          <w:tcPr>
            <w:tcW w:w="180" w:type="dxa"/>
            <w:vAlign w:val="bottom"/>
          </w:tcPr>
          <w:p>
            <w:pPr>
              <w:spacing w:after="0"/>
              <w:rPr>
                <w:sz w:val="15"/>
                <w:szCs w:val="15"/>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 average</w:t>
            </w:r>
          </w:p>
        </w:tc>
        <w:tc>
          <w:tcPr>
            <w:tcW w:w="1720" w:type="dxa"/>
            <w:vAlign w:val="bottom"/>
          </w:tcPr>
          <w:p>
            <w:pPr>
              <w:jc w:val="right"/>
              <w:ind w:right="148"/>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b w:val="1"/>
                <w:bCs w:val="1"/>
                <w:color w:val="auto"/>
              </w:rPr>
              <w:t>Weighted average</w:t>
            </w:r>
          </w:p>
        </w:tc>
      </w:tr>
      <w:tr>
        <w:trPr>
          <w:trHeight w:val="196"/>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Exercise Price Range</w:t>
            </w:r>
          </w:p>
        </w:tc>
        <w:tc>
          <w:tcPr>
            <w:tcW w:w="1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exercise price</w:t>
            </w:r>
          </w:p>
        </w:tc>
      </w:tr>
      <w:tr>
        <w:trPr>
          <w:trHeight w:val="256"/>
        </w:trPr>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$20.00-$33.00</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4,330.4</w:t>
            </w:r>
          </w:p>
        </w:tc>
        <w:tc>
          <w:tcPr>
            <w:tcW w:w="230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26.55</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26.54</w:t>
            </w:r>
          </w:p>
        </w:tc>
      </w:tr>
      <w:tr>
        <w:trPr>
          <w:trHeight w:val="264"/>
        </w:trPr>
        <w:tc>
          <w:tcPr>
            <w:tcW w:w="1960" w:type="dxa"/>
            <w:vAlign w:val="bottom"/>
          </w:tcPr>
          <w:p>
            <w:pPr>
              <w:jc w:val="center"/>
              <w:spacing w:after="0"/>
              <w:rPr>
                <w:sz w:val="20"/>
                <w:szCs w:val="20"/>
                <w:color w:val="auto"/>
              </w:rPr>
            </w:pPr>
            <w:r>
              <w:rPr>
                <w:rFonts w:ascii="Arial" w:cs="Arial" w:eastAsia="Arial" w:hAnsi="Arial"/>
                <w:sz w:val="14"/>
                <w:szCs w:val="14"/>
                <w:color w:val="auto"/>
              </w:rPr>
              <w:t>$45.00-$51.00</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2300" w:type="dxa"/>
            <w:vAlign w:val="bottom"/>
            <w:gridSpan w:val="2"/>
          </w:tcPr>
          <w:p>
            <w:pPr>
              <w:jc w:val="center"/>
              <w:ind w:lef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45.49</w:t>
            </w:r>
          </w:p>
        </w:tc>
        <w:tc>
          <w:tcPr>
            <w:tcW w:w="10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45.49</w:t>
            </w:r>
          </w:p>
        </w:tc>
      </w:tr>
      <w:tr>
        <w:trPr>
          <w:trHeight w:val="276"/>
        </w:trPr>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$55.00-$57.00</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479.0</w:t>
            </w:r>
          </w:p>
        </w:tc>
        <w:tc>
          <w:tcPr>
            <w:tcW w:w="230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56.93</w:t>
            </w:r>
          </w:p>
        </w:tc>
        <w:tc>
          <w:tcPr>
            <w:tcW w:w="100" w:type="dxa"/>
            <w:vAlign w:val="bottom"/>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56.93</w:t>
            </w:r>
          </w:p>
        </w:tc>
      </w:tr>
      <w:tr>
        <w:trPr>
          <w:trHeight w:val="237"/>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4,842.4</w:t>
            </w:r>
          </w:p>
        </w:tc>
        <w:tc>
          <w:tcPr>
            <w:tcW w:w="2300" w:type="dxa"/>
            <w:vAlign w:val="bottom"/>
            <w:gridSpan w:val="2"/>
          </w:tcPr>
          <w:p>
            <w:pPr>
              <w:jc w:val="center"/>
              <w:ind w:left="6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29.68</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1,617.7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35.92</w:t>
            </w:r>
          </w:p>
        </w:tc>
      </w:tr>
      <w:tr>
        <w:trPr>
          <w:trHeight w:val="20"/>
        </w:trPr>
        <w:tc>
          <w:tcPr>
            <w:tcW w:w="19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571"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NOTE 20. IMPAIRMENT, RESTRUCTURING AND OTHER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expense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Impairment expense</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Subsea</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1,798.6</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1,784.2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11.5</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Onshore/Offshore</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Surface Technologies</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685.5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10.2</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and other</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r>
      <w:tr>
        <w:trPr>
          <w:trHeight w:val="24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impairment expense</w:t>
            </w:r>
          </w:p>
        </w:tc>
        <w:tc>
          <w:tcPr>
            <w:tcW w:w="36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2,484.1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1,792.6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34.3</w:t>
            </w:r>
          </w:p>
        </w:tc>
      </w:tr>
      <w:tr>
        <w:trPr>
          <w:trHeight w:val="290"/>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Restructuring and other expense</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Subsea</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88.4</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Onshore/Offshore</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27.0</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Surface Technologies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Corporate and other</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restructuring and other expense</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157.2</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impairment, restructuring and other expense</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2,490.8</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191.5</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Asset impairments - </w:t>
      </w:r>
      <w:r>
        <w:rPr>
          <w:rFonts w:ascii="Arial" w:cs="Arial" w:eastAsia="Arial" w:hAnsi="Arial"/>
          <w:sz w:val="18"/>
          <w:szCs w:val="18"/>
          <w:color w:val="auto"/>
        </w:rPr>
        <w:t>We conduct impairment tests on long-lived assets whenever events or changes in circumstances indicate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may not be recoverable. The carrying value of a long-lived asset is not recoverable if it exceeds the sum of the undiscounted cash flows expected to result from the use and eventual disposition over the asset’s remaining useful life. Our review of recoverability of the carrying value of our assets considers several assumptions including the intended use and service potential of the asset. Refer to Note 25 to these consolidated financial statements for a discussion of the method used to determine the fair value of these assets.</w:t>
      </w:r>
    </w:p>
    <w:p>
      <w:pPr>
        <w:spacing w:after="0" w:line="1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prolonged downturn in the energy market and its corresponding impact on our business outlook led us to conclude the carrying amount of certain of our assets in our Subsea and Surface Technologies segments exceeded their fair value. During the year ended December 31, 2019, we recorded $ 2,484.1 million of impairment charges. These charges included the impairment of goodwill of $1,321.9 million and $666.8 million in our Subsea and Surface Technologies segments, respectively. These charges also included $495.4 million of asset impairments, including $153.8 million related to vessels and $168.9 million related to our flexible pipe and umbilical manufacturing facilities.</w:t>
      </w:r>
    </w:p>
    <w:p>
      <w:pPr>
        <w:spacing w:after="0" w:line="15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During the year ended December 31, 2018, we recorded $1,784.2 million of impairment charges in our Subsea segment. These charges included impairment of goodwill and vessels of $1,383.0 million and $372.9 million, respectively.</w:t>
      </w:r>
    </w:p>
    <w:p>
      <w:pPr>
        <w:spacing w:after="0" w:line="14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During the year ended December 31, 2017, our impairment expense was primarily related to leasehold improvements, decommissioning vacant buildings and other long-lived assets.</w:t>
      </w:r>
    </w:p>
    <w:p>
      <w:pPr>
        <w:spacing w:after="0" w:line="12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Restructuring and other </w:t>
      </w:r>
      <w:r>
        <w:rPr>
          <w:rFonts w:ascii="Arial" w:cs="Arial" w:eastAsia="Arial" w:hAnsi="Arial"/>
          <w:sz w:val="18"/>
          <w:szCs w:val="18"/>
          <w:color w:val="auto"/>
        </w:rPr>
        <w:t>- In December 2019, we initiated a company-wide reduction in workforce intended to reduce costs and better align our</w:t>
      </w:r>
      <w:r>
        <w:rPr>
          <w:rFonts w:ascii="Arial" w:cs="Arial" w:eastAsia="Arial" w:hAnsi="Arial"/>
          <w:sz w:val="18"/>
          <w:szCs w:val="18"/>
          <w:i w:val="1"/>
          <w:iCs w:val="1"/>
          <w:color w:val="auto"/>
        </w:rPr>
        <w:t xml:space="preserve"> </w:t>
      </w:r>
      <w:r>
        <w:rPr>
          <w:rFonts w:ascii="Arial" w:cs="Arial" w:eastAsia="Arial" w:hAnsi="Arial"/>
          <w:sz w:val="18"/>
          <w:szCs w:val="18"/>
          <w:color w:val="auto"/>
        </w:rPr>
        <w:t>workforce with current and anticipated activity levels, which resulted in the recognition of severance costs relating to termination benefits and other restructuring charges. The initial plan included a workforce reduction of approximately 1,600 employees. Restructuring charges related to this global initiative was $32.4 million</w:t>
      </w:r>
    </w:p>
    <w:p>
      <w:pPr>
        <w:spacing w:after="0" w:line="14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On December 30, 2019, the Company completed the acquisition of the remaining 50% of TOP CV, which resulted in a net loss of $0.9 million that was recorded in the Subsea segment. The net loss is comprised of an impairment charge of $ 84.2 million included within impairment and other charges and a bargain purchase gain of $83.3 million included within restructuring and other charges.</w:t>
      </w:r>
    </w:p>
    <w:p>
      <w:pPr>
        <w:spacing w:after="0" w:line="148"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During 2018 and 2017 we initiated cost cutting measures resulting in the recognition of severance costs related to employee termination benefits, expenses related to the consolidation of our facilities and other non-recurring charges.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927"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21. COMMITMENTS AND CONTINGENT LIABILITIES</w:t>
      </w:r>
    </w:p>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7"/>
                <w:szCs w:val="17"/>
                <w:color w:val="auto"/>
                <w:vertAlign w:val="superscript"/>
              </w:rPr>
              <w:t>(a)</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945.5</w:t>
            </w:r>
          </w:p>
        </w:tc>
      </w:tr>
      <w:tr>
        <w:trPr>
          <w:trHeight w:val="21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7"/>
                <w:szCs w:val="17"/>
                <w:color w:val="auto"/>
                <w:vertAlign w:val="superscript"/>
              </w:rPr>
              <w:t>(b)</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4,916.0</w:t>
            </w:r>
          </w:p>
        </w:tc>
      </w:tr>
      <w:tr>
        <w:trPr>
          <w:trHeight w:val="21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Maximum potential undiscounted payments</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5,861.5</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80" w:hanging="332"/>
        <w:spacing w:after="0" w:line="25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40"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Management believes the ultimate resolution of our known contingencies will not materially affect our consolidated financial position, results of operations, or cash flows.</w:t>
      </w:r>
    </w:p>
    <w:p>
      <w:pPr>
        <w:spacing w:after="0" w:line="12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legal matters - </w:t>
      </w:r>
      <w:r>
        <w:rPr>
          <w:rFonts w:ascii="Arial" w:cs="Arial" w:eastAsia="Arial" w:hAnsi="Arial"/>
          <w:sz w:val="18"/>
          <w:szCs w:val="18"/>
          <w:color w:val="auto"/>
        </w:rPr>
        <w:t>We are involved in various pending or potential legal and tax actions or disputes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4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5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089" w:right="239" w:bottom="1440" w:gutter="0" w:footer="0" w:header="0"/>
        </w:sectPr>
      </w:pPr>
    </w:p>
    <w:bookmarkStart w:id="114" w:name="page115"/>
    <w:bookmarkEnd w:id="114"/>
    <w:p>
      <w:pPr>
        <w:ind w:right="12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2"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1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Contingent liabilities associated with liquidated damages - </w:t>
      </w:r>
      <w:r>
        <w:rPr>
          <w:rFonts w:ascii="Arial" w:cs="Arial" w:eastAsia="Arial" w:hAnsi="Arial"/>
          <w:sz w:val="18"/>
          <w:szCs w:val="18"/>
          <w:color w:val="auto"/>
        </w:rPr>
        <w:t>Some of our contracts contain provisions that require us to pay liquidated damages if</w:t>
      </w:r>
      <w:r>
        <w:rPr>
          <w:rFonts w:ascii="Arial" w:cs="Arial" w:eastAsia="Arial" w:hAnsi="Arial"/>
          <w:sz w:val="18"/>
          <w:szCs w:val="18"/>
          <w:i w:val="1"/>
          <w:iCs w:val="1"/>
          <w:color w:val="auto"/>
        </w:rPr>
        <w:t xml:space="preserve"> </w:t>
      </w:r>
      <w:r>
        <w:rPr>
          <w:rFonts w:ascii="Arial" w:cs="Arial" w:eastAsia="Arial" w:hAnsi="Arial"/>
          <w:sz w:val="18"/>
          <w:szCs w:val="18"/>
          <w:color w:val="auto"/>
        </w:rPr>
        <w:t>we are 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at December 31, 2019 and 2018, and that the ultimate resolution of such matters will not materially affect our consolidated financial position, results of operations, or cash flows.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Components of income (loss) before income taxes - </w:t>
      </w:r>
      <w:r>
        <w:rPr>
          <w:rFonts w:ascii="Arial" w:cs="Arial" w:eastAsia="Arial" w:hAnsi="Arial"/>
          <w:sz w:val="18"/>
          <w:szCs w:val="18"/>
          <w:color w:val="auto"/>
        </w:rPr>
        <w:t>U.S. and outside U.S. components of income (loss) before income taxes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5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284.3</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Outside United States</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395.4</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(2,135.8)</w:t>
            </w:r>
          </w:p>
        </w:tc>
        <w:tc>
          <w:tcPr>
            <w:tcW w:w="5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Provision for income tax - </w:t>
      </w:r>
      <w:r>
        <w:rPr>
          <w:rFonts w:ascii="Arial" w:cs="Arial" w:eastAsia="Arial" w:hAnsi="Arial"/>
          <w:sz w:val="18"/>
          <w:szCs w:val="18"/>
          <w:color w:val="auto"/>
        </w:rPr>
        <w:t>The provision for income taxes consisted of:</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Current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34.7</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30.2</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Outside United States</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317.0</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321.8</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373.7</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current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373.9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403.9</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Deferred</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71.4</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Outside United States</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70.2</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deferred</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48.8</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141.6</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Provision for income taxes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276.3</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71"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i w:val="1"/>
          <w:iCs w:val="1"/>
          <w:color w:val="auto"/>
        </w:rPr>
        <w:t xml:space="preserve">Deferred tax assets and liabilities - </w:t>
      </w:r>
      <w:r>
        <w:rPr>
          <w:rFonts w:ascii="Arial" w:cs="Arial" w:eastAsia="Arial" w:hAnsi="Arial"/>
          <w:sz w:val="18"/>
          <w:szCs w:val="18"/>
          <w:color w:val="auto"/>
        </w:rPr>
        <w:t>Significant components of deferred tax assets and liabilities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Deferred tax assets attributable to</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124.4</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128.0</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Loss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Non-deductible interest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84.7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89.3</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tax credit carryforwards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105.9</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Other tax credits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113.2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operating loss carryforwards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382.8</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 credit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Foreign exchange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32.5</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Provisions for pensions and other long-term employee benefits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Contingencies related to contracts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83.7</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contingencies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Margin recognition on construction contracts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115.9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34.4</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Leasing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Revenue in excess of billings on contracts accounted for under the percentage of completion method</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r>
      <w:tr>
        <w:trPr>
          <w:trHeight w:val="24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Deferred tax assets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1,544.4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1,003.8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Valuation allowance</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(916.9)</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(683.4)</w:t>
            </w:r>
          </w:p>
        </w:tc>
      </w:tr>
      <w:tr>
        <w:trPr>
          <w:trHeight w:val="24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Deferred tax assets, net of valuation allowance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627.5</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320.4</w:t>
            </w:r>
          </w:p>
        </w:tc>
      </w:tr>
      <w:tr>
        <w:trPr>
          <w:trHeight w:val="283"/>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Deferred tax liabilities attributable to</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Revenue in excess of billings on contracts accounted for under the percentage of completion method</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U.S. tax on foreign subsidiaries’ undistributed earnings not indefinitely reinvested</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9.4</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plant and equipment, intangibles and other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278.6</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Leasing</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505.2</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297.2</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Net deferred tax assets/(liabilities)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At December 31, 2019 and 2018, the carrying amount of net deferred tax assets and the related valuation allowance included the impact of foreign currency translation adjustments.</w:t>
      </w:r>
    </w:p>
    <w:p>
      <w:pPr>
        <w:spacing w:after="0" w:line="1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Non-deductible interest. </w:t>
      </w:r>
      <w:r>
        <w:rPr>
          <w:rFonts w:ascii="Arial" w:cs="Arial" w:eastAsia="Arial" w:hAnsi="Arial"/>
          <w:sz w:val="18"/>
          <w:szCs w:val="18"/>
          <w:color w:val="auto"/>
        </w:rPr>
        <w:t>At December 31, 2019, deferred tax assets include tax benefits related to certain intercompany interest costs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currently deductible, but which may be deductible in future periods. If not utilized, these costs will become permanently non-deductible beginning in 2025. Management believes that it is more likely than not that we will not be able to deduct these costs before expiration of the carry forward period; therefore, we have established a valuation allowance against the related deferred tax assets.</w:t>
      </w:r>
    </w:p>
    <w:p>
      <w:pPr>
        <w:spacing w:after="0" w:line="12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Foreign tax credit carryforwards. </w:t>
      </w:r>
      <w:r>
        <w:rPr>
          <w:rFonts w:ascii="Arial" w:cs="Arial" w:eastAsia="Arial" w:hAnsi="Arial"/>
          <w:sz w:val="18"/>
          <w:szCs w:val="18"/>
          <w:color w:val="auto"/>
        </w:rPr>
        <w:t>At December 31, 2019, deferred tax assets included U.S. foreign tax credit carryforwards of $135.3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if not utilized, will begin to expire in 2024. Realization of these deferred tax assets is dependent on the generation of sufficient U.S. taxable income prior to the above date. Based on long -term forecasts of operating results, management believes that it is more likely than not that our U.S. earnings over the forecast period will not result in sufficient U.S. taxable income to fully realize these deferred tax assets; therefore, we have established a valuation allowance against the related deferred tax assets. In its analysis, management has considered the effect of deemed dividends and other expected adjustments to U.S. earnings that are required in determining U.S. taxable income. Non-U.S. earnings subject to U.S. tax, including deemed dividends for U.S. tax purposes, were $3.8 million in 2019, $307.6 million in 2018 and $1.3 billion in 2017.</w:t>
      </w:r>
    </w:p>
    <w:p>
      <w:pPr>
        <w:sectPr>
          <w:pgSz w:w="11900" w:h="16838" w:orient="portrait"/>
          <w:cols w:equalWidth="0" w:num="1">
            <w:col w:w="11420"/>
          </w:cols>
          <w:pgMar w:left="240" w:top="553"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553" w:right="239" w:bottom="1440" w:gutter="0" w:footer="0" w:header="0"/>
          <w:type w:val="continuous"/>
        </w:sectPr>
      </w:pPr>
    </w:p>
    <w:bookmarkStart w:id="116" w:name="page117"/>
    <w:bookmarkEnd w:id="116"/>
    <w:p>
      <w:pPr>
        <w:ind w:right="80"/>
        <w:spacing w:after="0" w:line="261" w:lineRule="auto"/>
        <w:rPr>
          <w:sz w:val="20"/>
          <w:szCs w:val="20"/>
          <w:color w:val="auto"/>
        </w:rPr>
      </w:pPr>
      <w:r>
        <w:rPr>
          <w:rFonts w:ascii="Arial" w:cs="Arial" w:eastAsia="Arial" w:hAnsi="Arial"/>
          <w:sz w:val="18"/>
          <w:szCs w:val="18"/>
          <w:i w:val="1"/>
          <w:iCs w:val="1"/>
          <w:color w:val="auto"/>
        </w:rPr>
        <w:t xml:space="preserve">Net operating loss carryforwards. </w:t>
      </w:r>
      <w:r>
        <w:rPr>
          <w:rFonts w:ascii="Arial" w:cs="Arial" w:eastAsia="Arial" w:hAnsi="Arial"/>
          <w:sz w:val="18"/>
          <w:szCs w:val="18"/>
          <w:color w:val="auto"/>
        </w:rPr>
        <w:t>As of December 31, 2019, deferred tax assets included tax benefits related to net operating loss</w:t>
      </w:r>
      <w:r>
        <w:rPr>
          <w:rFonts w:ascii="Arial" w:cs="Arial" w:eastAsia="Arial" w:hAnsi="Arial"/>
          <w:sz w:val="18"/>
          <w:szCs w:val="18"/>
          <w:i w:val="1"/>
          <w:iCs w:val="1"/>
          <w:color w:val="auto"/>
        </w:rPr>
        <w:t xml:space="preserve"> </w:t>
      </w:r>
      <w:r>
        <w:rPr>
          <w:rFonts w:ascii="Arial" w:cs="Arial" w:eastAsia="Arial" w:hAnsi="Arial"/>
          <w:sz w:val="18"/>
          <w:szCs w:val="18"/>
          <w:color w:val="auto"/>
        </w:rPr>
        <w:t>carryforwards. If not utilized, these net operating loss carryforwards will begin to expire in 2020. Management believes it is more likely than not that we will not be able to utilize certain of these operating loss carryforwards before expiration; therefore, we have established a valuation allowance against the related deferred tax assets.</w:t>
      </w:r>
    </w:p>
    <w:p>
      <w:pPr>
        <w:spacing w:after="0" w:line="14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majority of the net operating loss carryforwards are in Brazil, Canada, Malaysia, Mexico, Netherlands, Norway , Saudi Arabia, U.K., and United States. Except in Canada, Mexico, and Netherlands, all of these tax loss carryforwards extend indefinitely.</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Certain Adjustments to Valuation Allowance. </w:t>
      </w:r>
      <w:r>
        <w:rPr>
          <w:rFonts w:ascii="Arial" w:cs="Arial" w:eastAsia="Arial" w:hAnsi="Arial"/>
          <w:sz w:val="18"/>
          <w:szCs w:val="18"/>
          <w:color w:val="auto"/>
        </w:rPr>
        <w:t>The net increase in valuation allowance from December 31, 2018 to December 31, 2019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adjustments which did not impact net tax expense. These adjustments include $105.9 million of deferred tax assets which were recorded in 2019 and are related to certain previously unrecorded tax credits in the Netherlands and Malaysia that are subject to a full valuation allowance. In addition, the Company wrote off $42.0 million of fully valued deferred tax assets, including $33.0 million that were recorded by certain affiliates that were sold in 2018 and 2019. The Company also reclassified $17.9 million of fully valued deferred tax assets the future tax benefits of which are based on uncertain tax positions.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Unrecognized tax benefits - </w:t>
      </w:r>
      <w:r>
        <w:rPr>
          <w:rFonts w:ascii="Arial" w:cs="Arial" w:eastAsia="Arial" w:hAnsi="Arial"/>
          <w:sz w:val="18"/>
          <w:szCs w:val="18"/>
          <w:color w:val="auto"/>
        </w:rPr>
        <w:t>The following table presents a summary of changes in our unrecognized tax benefits:</w:t>
      </w:r>
    </w:p>
    <w:p>
      <w:pPr>
        <w:sectPr>
          <w:pgSz w:w="11900" w:h="16838" w:orient="portrait"/>
          <w:cols w:equalWidth="0" w:num="1">
            <w:col w:w="11400"/>
          </w:cols>
          <w:pgMar w:left="240" w:top="55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2017</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Reductions for tax positions related to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Additions for tax positions related to current year</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Reductions for tax positions due to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2018</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Reductions for tax positions related to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Additions for tax positions related to current year</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Reductions for tax positions due to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15"/>
        <w:spacing w:after="0"/>
        <w:rPr>
          <w:sz w:val="20"/>
          <w:szCs w:val="20"/>
          <w:color w:val="auto"/>
        </w:rPr>
      </w:pPr>
      <w:r>
        <w:rPr>
          <w:rFonts w:ascii="Arial" w:cs="Arial" w:eastAsia="Arial" w:hAnsi="Arial"/>
          <w:sz w:val="14"/>
          <w:szCs w:val="14"/>
          <w:b w:val="1"/>
          <w:bCs w:val="1"/>
          <w:color w:val="auto"/>
        </w:rPr>
        <w:t>Federal,</w:t>
      </w:r>
    </w:p>
    <w:p>
      <w:pPr>
        <w:spacing w:after="0" w:line="19" w:lineRule="exact"/>
        <w:rPr>
          <w:sz w:val="20"/>
          <w:szCs w:val="20"/>
          <w:color w:val="auto"/>
        </w:rPr>
      </w:pPr>
    </w:p>
    <w:p>
      <w:pPr>
        <w:jc w:val="center"/>
        <w:ind w:right="15"/>
        <w:spacing w:after="0"/>
        <w:rPr>
          <w:sz w:val="20"/>
          <w:szCs w:val="20"/>
          <w:color w:val="auto"/>
        </w:rPr>
      </w:pPr>
      <w:r>
        <w:rPr>
          <w:rFonts w:ascii="Arial" w:cs="Arial" w:eastAsia="Arial" w:hAnsi="Arial"/>
          <w:sz w:val="14"/>
          <w:szCs w:val="14"/>
          <w:b w:val="1"/>
          <w:bCs w:val="1"/>
          <w:color w:val="auto"/>
        </w:rPr>
        <w:t>State and</w:t>
      </w:r>
    </w:p>
    <w:p>
      <w:pPr>
        <w:spacing w:after="0" w:line="1" w:lineRule="exact"/>
        <w:rPr>
          <w:sz w:val="20"/>
          <w:szCs w:val="20"/>
          <w:color w:val="auto"/>
        </w:rPr>
      </w:pPr>
    </w:p>
    <w:p>
      <w:pPr>
        <w:jc w:val="center"/>
        <w:ind w:right="15"/>
        <w:spacing w:after="0"/>
        <w:rPr>
          <w:sz w:val="20"/>
          <w:szCs w:val="20"/>
          <w:color w:val="auto"/>
        </w:rPr>
      </w:pPr>
      <w:r>
        <w:rPr>
          <w:rFonts w:ascii="Arial" w:cs="Arial" w:eastAsia="Arial" w:hAnsi="Arial"/>
          <w:sz w:val="14"/>
          <w:szCs w:val="14"/>
          <w:b w:val="1"/>
          <w:bCs w:val="1"/>
          <w:color w:val="auto"/>
        </w:rPr>
        <w:t>Foreign</w:t>
      </w:r>
    </w:p>
    <w:p>
      <w:pPr>
        <w:spacing w:after="0" w:line="1" w:lineRule="exact"/>
        <w:rPr>
          <w:sz w:val="20"/>
          <w:szCs w:val="20"/>
          <w:color w:val="auto"/>
        </w:rPr>
      </w:pPr>
    </w:p>
    <w:p>
      <w:pPr>
        <w:jc w:val="center"/>
        <w:ind w:right="15"/>
        <w:spacing w:after="0"/>
        <w:rPr>
          <w:sz w:val="20"/>
          <w:szCs w:val="20"/>
          <w:color w:val="auto"/>
        </w:rPr>
      </w:pPr>
      <w:r>
        <w:rPr>
          <w:rFonts w:ascii="Arial" w:cs="Arial" w:eastAsia="Arial" w:hAnsi="Arial"/>
          <w:sz w:val="14"/>
          <w:szCs w:val="14"/>
          <w:b w:val="1"/>
          <w:bCs w:val="1"/>
          <w:color w:val="auto"/>
        </w:rPr>
        <w:t>Tax</w:t>
      </w:r>
    </w:p>
    <w:p>
      <w:pPr>
        <w:spacing w:after="0" w:line="69" w:lineRule="exact"/>
        <w:rPr>
          <w:sz w:val="20"/>
          <w:szCs w:val="20"/>
          <w:color w:val="auto"/>
        </w:rPr>
      </w:pPr>
    </w:p>
    <w:p>
      <w:pPr>
        <w:ind w:left="1065" w:hanging="1065"/>
        <w:spacing w:after="0"/>
        <w:tabs>
          <w:tab w:leader="none" w:pos="1065" w:val="left"/>
        </w:tabs>
        <w:numPr>
          <w:ilvl w:val="0"/>
          <w:numId w:val="45"/>
        </w:numPr>
        <w:rPr>
          <w:rFonts w:ascii="Arial" w:cs="Arial" w:eastAsia="Arial" w:hAnsi="Arial"/>
          <w:sz w:val="14"/>
          <w:szCs w:val="14"/>
          <w:color w:val="auto"/>
        </w:rPr>
      </w:pPr>
      <w:r>
        <w:rPr>
          <w:rFonts w:ascii="Arial" w:cs="Arial" w:eastAsia="Arial" w:hAnsi="Arial"/>
          <w:sz w:val="14"/>
          <w:szCs w:val="14"/>
          <w:color w:val="auto"/>
        </w:rPr>
        <w:t>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7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(11.5)</w:t>
      </w:r>
    </w:p>
    <w:p>
      <w:pPr>
        <w:spacing w:after="0" w:line="55" w:lineRule="exact"/>
        <w:rPr>
          <w:sz w:val="20"/>
          <w:szCs w:val="20"/>
          <w:color w:val="auto"/>
        </w:rPr>
      </w:pPr>
    </w:p>
    <w:p>
      <w:pPr>
        <w:ind w:left="1065"/>
        <w:spacing w:after="0"/>
        <w:rPr>
          <w:sz w:val="20"/>
          <w:szCs w:val="20"/>
          <w:color w:val="auto"/>
        </w:rPr>
      </w:pPr>
      <w:r>
        <w:rPr>
          <w:rFonts w:ascii="Arial" w:cs="Arial" w:eastAsia="Arial" w:hAnsi="Arial"/>
          <w:sz w:val="14"/>
          <w:szCs w:val="14"/>
          <w:color w:val="auto"/>
        </w:rPr>
        <w:t>21.1</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(9.0)</w:t>
      </w:r>
    </w:p>
    <w:p>
      <w:pPr>
        <w:spacing w:after="0" w:line="69" w:lineRule="exact"/>
        <w:rPr>
          <w:sz w:val="20"/>
          <w:szCs w:val="20"/>
          <w:color w:val="auto"/>
        </w:rPr>
      </w:pPr>
    </w:p>
    <w:p>
      <w:pPr>
        <w:ind w:left="1065" w:hanging="1065"/>
        <w:spacing w:after="0"/>
        <w:tabs>
          <w:tab w:leader="none" w:pos="1065" w:val="left"/>
        </w:tabs>
        <w:numPr>
          <w:ilvl w:val="0"/>
          <w:numId w:val="46"/>
        </w:numPr>
        <w:rPr>
          <w:rFonts w:ascii="Arial" w:cs="Arial" w:eastAsia="Arial" w:hAnsi="Arial"/>
          <w:sz w:val="14"/>
          <w:szCs w:val="14"/>
          <w:color w:val="auto"/>
        </w:rPr>
      </w:pPr>
      <w:r>
        <w:rPr>
          <w:rFonts w:ascii="Arial" w:cs="Arial" w:eastAsia="Arial" w:hAnsi="Arial"/>
          <w:sz w:val="14"/>
          <w:szCs w:val="14"/>
          <w:color w:val="auto"/>
        </w:rPr>
        <w:t>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7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(62.4)</w:t>
      </w:r>
    </w:p>
    <w:p>
      <w:pPr>
        <w:spacing w:after="0" w:line="55" w:lineRule="exact"/>
        <w:rPr>
          <w:sz w:val="20"/>
          <w:szCs w:val="20"/>
          <w:color w:val="auto"/>
        </w:rPr>
      </w:pPr>
    </w:p>
    <w:p>
      <w:pPr>
        <w:ind w:left="1065"/>
        <w:spacing w:after="0"/>
        <w:rPr>
          <w:sz w:val="20"/>
          <w:szCs w:val="20"/>
          <w:color w:val="auto"/>
        </w:rPr>
      </w:pPr>
      <w:r>
        <w:rPr>
          <w:rFonts w:ascii="Arial" w:cs="Arial" w:eastAsia="Arial" w:hAnsi="Arial"/>
          <w:sz w:val="14"/>
          <w:szCs w:val="14"/>
          <w:color w:val="auto"/>
        </w:rPr>
        <w:t>72.9</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(20.8)</w:t>
      </w:r>
    </w:p>
    <w:p>
      <w:pPr>
        <w:spacing w:after="0" w:line="69" w:lineRule="exact"/>
        <w:rPr>
          <w:sz w:val="20"/>
          <w:szCs w:val="20"/>
          <w:color w:val="auto"/>
        </w:rPr>
      </w:pPr>
    </w:p>
    <w:p>
      <w:pPr>
        <w:ind w:left="1065" w:hanging="1065"/>
        <w:spacing w:after="0"/>
        <w:tabs>
          <w:tab w:leader="none" w:pos="1065" w:val="left"/>
        </w:tabs>
        <w:numPr>
          <w:ilvl w:val="0"/>
          <w:numId w:val="47"/>
        </w:numPr>
        <w:rPr>
          <w:rFonts w:ascii="Arial" w:cs="Arial" w:eastAsia="Arial" w:hAnsi="Arial"/>
          <w:sz w:val="14"/>
          <w:szCs w:val="14"/>
          <w:color w:val="auto"/>
        </w:rPr>
      </w:pPr>
      <w:r>
        <w:rPr>
          <w:rFonts w:ascii="Arial" w:cs="Arial" w:eastAsia="Arial" w:hAnsi="Arial"/>
          <w:sz w:val="14"/>
          <w:szCs w:val="14"/>
          <w:color w:val="auto"/>
        </w:rPr>
        <w:t>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55" w:space="720"/>
            <w:col w:w="1425"/>
          </w:cols>
          <w:pgMar w:left="240" w:top="553" w:right="259" w:bottom="1440" w:gutter="0" w:footer="0" w:header="0"/>
          <w:type w:val="continuous"/>
        </w:sectPr>
      </w:pP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amounts reported above for uncertain tax positions excludes interest and penalties of $0.1 million, $2.8 million, and $5.9 million at December 31, 2019, 2018, and 2017, respectively. Interest and penalties relating to these uncertain tax positions are included in tax expense in our Consolidated Financial Statements. It is reasonably possible that within twelve months, $2.1 million of liabilities for unrecognized tax benefits will be settled. This amount is reflected in income taxes payable, the remaining balance of the unrecognized tax benefits is recorded in other long term liabilities.</w:t>
      </w:r>
    </w:p>
    <w:p>
      <w:pPr>
        <w:spacing w:after="0" w:line="1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operate in numerous jurisdictions around the world and could be subject to multiple tax audits at any given time. Most notably, the following tax years and thereafter remain subject to examination: 2010 for Norway, 2016 for Nigeria, 2015 for Brazil, 2017 for France, and 2016 for the United States.</w:t>
      </w:r>
    </w:p>
    <w:p>
      <w:pPr>
        <w:spacing w:after="0" w:line="14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TechnipFMC plc is a public limited company incorporated under the laws of England and Wales. Therefore, our earnings are subject to the United Kingdom statutory rate which is 19.0% for 2019 and 2018, and 19.3% for 2017.</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553" w:right="259" w:bottom="1440" w:gutter="0" w:footer="0" w:header="0"/>
          <w:type w:val="continuous"/>
        </w:sectPr>
      </w:pPr>
    </w:p>
    <w:bookmarkStart w:id="117" w:name="page118"/>
    <w:bookmarkEnd w:id="117"/>
    <w:p>
      <w:pPr>
        <w:ind w:right="820"/>
        <w:spacing w:after="0" w:line="282" w:lineRule="auto"/>
        <w:rPr>
          <w:sz w:val="20"/>
          <w:szCs w:val="20"/>
          <w:color w:val="auto"/>
        </w:rPr>
      </w:pPr>
      <w:r>
        <w:rPr>
          <w:rFonts w:ascii="Arial" w:cs="Arial" w:eastAsia="Arial" w:hAnsi="Arial"/>
          <w:sz w:val="18"/>
          <w:szCs w:val="18"/>
          <w:i w:val="1"/>
          <w:iCs w:val="1"/>
          <w:color w:val="auto"/>
        </w:rPr>
        <w:t xml:space="preserve">Effective income tax rate reconciliation - </w:t>
      </w:r>
      <w:r>
        <w:rPr>
          <w:rFonts w:ascii="Arial" w:cs="Arial" w:eastAsia="Arial" w:hAnsi="Arial"/>
          <w:sz w:val="18"/>
          <w:szCs w:val="18"/>
          <w:color w:val="auto"/>
        </w:rPr>
        <w:t>The effective income tax rate was different from the statutory U.K. income tax rate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276"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26035</wp:posOffset>
            </wp:positionV>
            <wp:extent cx="30956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r>
      <w:tr>
        <w:trPr>
          <w:trHeight w:val="256"/>
        </w:trPr>
        <w:tc>
          <w:tcPr>
            <w:tcW w:w="7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Statutory income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19.3 %</w:t>
            </w:r>
          </w:p>
        </w:tc>
      </w:tr>
      <w:tr>
        <w:trPr>
          <w:trHeight w:val="264"/>
        </w:trPr>
        <w:tc>
          <w:tcPr>
            <w:tcW w:w="7520" w:type="dxa"/>
            <w:vAlign w:val="bottom"/>
            <w:gridSpan w:val="2"/>
          </w:tcPr>
          <w:p>
            <w:pPr>
              <w:ind w:left="40"/>
              <w:spacing w:after="0"/>
              <w:rPr>
                <w:sz w:val="20"/>
                <w:szCs w:val="20"/>
                <w:color w:val="auto"/>
              </w:rPr>
            </w:pPr>
            <w:r>
              <w:rPr>
                <w:rFonts w:ascii="Arial" w:cs="Arial" w:eastAsia="Arial" w:hAnsi="Arial"/>
                <w:sz w:val="14"/>
                <w:szCs w:val="14"/>
                <w:i w:val="1"/>
                <w:iCs w:val="1"/>
                <w:color w:val="auto"/>
              </w:rPr>
              <w:t>Net difference resulting from</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6"/>
        </w:trPr>
        <w:tc>
          <w:tcPr>
            <w:tcW w:w="7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Foreign earnings subject to different tax rates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18.2 %</w:t>
            </w:r>
          </w:p>
        </w:tc>
      </w:tr>
      <w:tr>
        <w:trPr>
          <w:trHeight w:val="264"/>
        </w:trPr>
        <w:tc>
          <w:tcPr>
            <w:tcW w:w="7520" w:type="dxa"/>
            <w:vAlign w:val="bottom"/>
            <w:gridSpan w:val="2"/>
          </w:tcPr>
          <w:p>
            <w:pPr>
              <w:ind w:left="280"/>
              <w:spacing w:after="0"/>
              <w:rPr>
                <w:sz w:val="20"/>
                <w:szCs w:val="20"/>
                <w:color w:val="auto"/>
              </w:rPr>
            </w:pPr>
            <w:r>
              <w:rPr>
                <w:rFonts w:ascii="Arial" w:cs="Arial" w:eastAsia="Arial" w:hAnsi="Arial"/>
                <w:sz w:val="14"/>
                <w:szCs w:val="14"/>
                <w:color w:val="auto"/>
              </w:rPr>
              <w:t>Net change in unrecognized tax benefits</w:t>
            </w:r>
          </w:p>
        </w:tc>
        <w:tc>
          <w:tcPr>
            <w:tcW w:w="58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4.3 %</w:t>
            </w:r>
          </w:p>
        </w:tc>
      </w:tr>
      <w:tr>
        <w:trPr>
          <w:trHeight w:val="276"/>
        </w:trPr>
        <w:tc>
          <w:tcPr>
            <w:tcW w:w="7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Adjustments on prior year taxes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64"/>
        </w:trPr>
        <w:tc>
          <w:tcPr>
            <w:tcW w:w="7520" w:type="dxa"/>
            <w:vAlign w:val="bottom"/>
            <w:gridSpan w:val="2"/>
          </w:tcPr>
          <w:p>
            <w:pPr>
              <w:ind w:left="280"/>
              <w:spacing w:after="0"/>
              <w:rPr>
                <w:sz w:val="20"/>
                <w:szCs w:val="20"/>
                <w:color w:val="auto"/>
              </w:rPr>
            </w:pPr>
            <w:r>
              <w:rPr>
                <w:rFonts w:ascii="Arial" w:cs="Arial" w:eastAsia="Arial" w:hAnsi="Arial"/>
                <w:sz w:val="14"/>
                <w:szCs w:val="14"/>
                <w:color w:val="auto"/>
              </w:rPr>
              <w:t>Change in valuation allowance</w:t>
            </w:r>
          </w:p>
        </w:tc>
        <w:tc>
          <w:tcPr>
            <w:tcW w:w="58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19.3 %</w:t>
            </w:r>
          </w:p>
        </w:tc>
      </w:tr>
      <w:tr>
        <w:trPr>
          <w:trHeight w:val="276"/>
        </w:trPr>
        <w:tc>
          <w:tcPr>
            <w:tcW w:w="7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tax asset/liability revaluation for tax rate change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264"/>
        </w:trPr>
        <w:tc>
          <w:tcPr>
            <w:tcW w:w="7520" w:type="dxa"/>
            <w:vAlign w:val="bottom"/>
            <w:gridSpan w:val="2"/>
          </w:tcPr>
          <w:p>
            <w:pPr>
              <w:ind w:left="280"/>
              <w:spacing w:after="0"/>
              <w:rPr>
                <w:sz w:val="20"/>
                <w:szCs w:val="20"/>
                <w:color w:val="auto"/>
              </w:rPr>
            </w:pPr>
            <w:r>
              <w:rPr>
                <w:rFonts w:ascii="Arial" w:cs="Arial" w:eastAsia="Arial" w:hAnsi="Arial"/>
                <w:sz w:val="14"/>
                <w:szCs w:val="14"/>
                <w:color w:val="auto"/>
              </w:rPr>
              <w:t>U.S. transition tax</w:t>
            </w:r>
          </w:p>
        </w:tc>
        <w:tc>
          <w:tcPr>
            <w:tcW w:w="680" w:type="dxa"/>
            <w:vAlign w:val="bottom"/>
            <w:gridSpan w:val="2"/>
          </w:tcPr>
          <w:p>
            <w:pPr>
              <w:ind w:left="220"/>
              <w:spacing w:after="0"/>
              <w:rPr>
                <w:sz w:val="20"/>
                <w:szCs w:val="20"/>
                <w:color w:val="auto"/>
              </w:rPr>
            </w:pPr>
            <w:r>
              <w:rPr>
                <w:rFonts w:ascii="Arial" w:cs="Arial" w:eastAsia="Arial" w:hAnsi="Arial"/>
                <w:sz w:val="14"/>
                <w:szCs w:val="14"/>
                <w:color w:val="auto"/>
              </w:rPr>
              <w:t>— %</w:t>
            </w:r>
          </w:p>
        </w:tc>
        <w:tc>
          <w:tcPr>
            <w:tcW w:w="15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17.1 %</w:t>
            </w:r>
          </w:p>
        </w:tc>
      </w:tr>
      <w:tr>
        <w:trPr>
          <w:trHeight w:val="276"/>
        </w:trPr>
        <w:tc>
          <w:tcPr>
            <w:tcW w:w="7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Impairments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64"/>
        </w:trPr>
        <w:tc>
          <w:tcPr>
            <w:tcW w:w="7520" w:type="dxa"/>
            <w:vAlign w:val="bottom"/>
            <w:gridSpan w:val="2"/>
          </w:tcPr>
          <w:p>
            <w:pPr>
              <w:ind w:left="280"/>
              <w:spacing w:after="0"/>
              <w:rPr>
                <w:sz w:val="20"/>
                <w:szCs w:val="20"/>
                <w:color w:val="auto"/>
              </w:rPr>
            </w:pPr>
            <w:r>
              <w:rPr>
                <w:rFonts w:ascii="Arial" w:cs="Arial" w:eastAsia="Arial" w:hAnsi="Arial"/>
                <w:sz w:val="14"/>
                <w:szCs w:val="14"/>
                <w:color w:val="auto"/>
              </w:rPr>
              <w:t>Non-deductible legal provision</w:t>
            </w:r>
          </w:p>
        </w:tc>
        <w:tc>
          <w:tcPr>
            <w:tcW w:w="5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0"/>
        </w:trPr>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9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5.1 %</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income tax rate</w:t>
            </w:r>
          </w:p>
        </w:tc>
        <w:tc>
          <w:tcPr>
            <w:tcW w:w="5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80.3 %</w:t>
            </w:r>
          </w:p>
        </w:tc>
      </w:tr>
      <w:tr>
        <w:trPr>
          <w:trHeight w:val="20"/>
        </w:trPr>
        <w:tc>
          <w:tcPr>
            <w:tcW w:w="6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U.S. Tax Cuts and Jobs Act (TCJA</w:t>
      </w:r>
      <w:r>
        <w:rPr>
          <w:rFonts w:ascii="Arial" w:cs="Arial" w:eastAsia="Arial" w:hAnsi="Arial"/>
          <w:sz w:val="18"/>
          <w:szCs w:val="18"/>
          <w:color w:val="auto"/>
        </w:rPr>
        <w:t>)</w:t>
      </w:r>
      <w:r>
        <w:rPr>
          <w:rFonts w:ascii="Arial" w:cs="Arial" w:eastAsia="Arial" w:hAnsi="Arial"/>
          <w:sz w:val="18"/>
          <w:szCs w:val="18"/>
          <w:i w:val="1"/>
          <w:iCs w:val="1"/>
          <w:color w:val="auto"/>
        </w:rPr>
        <w:t xml:space="preserve"> and Other Jurisdictional Tax Reform. </w:t>
      </w:r>
      <w:r>
        <w:rPr>
          <w:rFonts w:ascii="Arial" w:cs="Arial" w:eastAsia="Arial" w:hAnsi="Arial"/>
          <w:sz w:val="18"/>
          <w:szCs w:val="18"/>
          <w:color w:val="auto"/>
        </w:rPr>
        <w:t>Included in the 2017 and 2018 provisions for income taxes are taxes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deemed repatriation to the United States of foreign earnings. The Tax Cuts and Jobs Act (TCJA), signed into U.S. law on December 22, 2017, made significant changes to the U.S. federal income taxation of non-U.S. corporate subsidiaries that are controlled by one or more U.S. shareholders. As part of these changes, the TCJA required a deemed repatriation of all accumulated non-U.S. earnings.</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TCJA generally requires that, for the last taxable year of a non-U.S. corporation beginning before January 1, 2018, all U.S. shareholders of such a corporation that is at least 10-percent U.S.-owned must include in income their pro rata share of the corporation’s accumulated post-1986 deferred foreign income that was not previously subject to U.S. tax. Accordingly, the Company recorded income tax expense of approximately $148.7 million in 2017 associated with the deemed repatriation of approximately $2.6 billion of non-U.S. earnings that were not previously subject to U.S. tax. The company recorded additional income tax expense of $11.8 million in 2018 associated with the deemed repatriation of approximately $307 million of non-U.S. earnings that were not previously subject to U.S. tax.</w:t>
      </w:r>
    </w:p>
    <w:p>
      <w:pPr>
        <w:spacing w:after="0" w:line="15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a result of the deemed repatriation, U.S. income tax has been provided on all undistributed earnings of non-U.S. subsidiaries of the Company’s U.S. affiliates as of December 31, 2017. The cumulative balance of these undistributed earnings was approximately $2.9 billion as of December 31, 2017.</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Also included in the 2017 provision for income taxes is the result of the revaluation of deferred tax attributes as a result of changes in corporate tax rates as part of jurisdictional tax reform. The tax expense from the revaluation of U.S. deferred tax attributes is $ 18.9 million. The tax benefit from the revaluation of deferred tax attributes in other foreign jurisdictions is $9.7 million. For 2018, the tax expense from jurisdictional corporate tax rate reform is $25.6 million.</w:t>
      </w:r>
    </w:p>
    <w:p>
      <w:pPr>
        <w:spacing w:after="0" w:line="13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Income tax holidays. </w:t>
      </w:r>
      <w:r>
        <w:rPr>
          <w:rFonts w:ascii="Arial" w:cs="Arial" w:eastAsia="Arial" w:hAnsi="Arial"/>
          <w:sz w:val="18"/>
          <w:szCs w:val="18"/>
          <w:color w:val="auto"/>
        </w:rPr>
        <w:t>We benefit from income tax holidays in Singapore and Malaysia which will expire after 2023 for Singapore and 2020 for</w:t>
      </w:r>
      <w:r>
        <w:rPr>
          <w:rFonts w:ascii="Arial" w:cs="Arial" w:eastAsia="Arial" w:hAnsi="Arial"/>
          <w:sz w:val="18"/>
          <w:szCs w:val="18"/>
          <w:i w:val="1"/>
          <w:iCs w:val="1"/>
          <w:color w:val="auto"/>
        </w:rPr>
        <w:t xml:space="preserve"> </w:t>
      </w:r>
      <w:r>
        <w:rPr>
          <w:rFonts w:ascii="Arial" w:cs="Arial" w:eastAsia="Arial" w:hAnsi="Arial"/>
          <w:sz w:val="18"/>
          <w:szCs w:val="18"/>
          <w:color w:val="auto"/>
        </w:rPr>
        <w:t>Malaysia. For the year ended December 31, 2019, these tax holidays reduced our provision for income taxes by $3.4 million, or $0.01 per share on a diluted basis.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PENSION AND OTHER POST-RETIREMENT BENEFIT PLANS</w:t>
      </w:r>
    </w:p>
    <w:p>
      <w:pPr>
        <w:spacing w:after="0" w:line="193"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We have funded and unfunded defined benefit pension plans which provide defined benefits based on years of service and final average salary.</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31, 2017, we amended the U.S. retirement plans (the “Plans”) to freeze benefit accruals for all participants of the Plans as of December 31, 2017. After that date, participants in the Plans will no longer accrue any further benefits and participants’ benefits under the Plans will be determined based on credited service and eligible earnings as of December 31, 2017.</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553" w:right="239" w:bottom="1440" w:gutter="0" w:footer="0" w:header="0"/>
        </w:sectPr>
      </w:pPr>
    </w:p>
    <w:bookmarkStart w:id="118" w:name="page119"/>
    <w:bookmarkEnd w:id="118"/>
    <w:p>
      <w:pPr>
        <w:spacing w:after="0" w:line="256" w:lineRule="auto"/>
        <w:rPr>
          <w:sz w:val="20"/>
          <w:szCs w:val="20"/>
          <w:color w:val="auto"/>
        </w:rPr>
      </w:pPr>
      <w:r>
        <w:rPr>
          <w:rFonts w:ascii="Arial" w:cs="Arial" w:eastAsia="Arial" w:hAnsi="Arial"/>
          <w:sz w:val="18"/>
          <w:szCs w:val="18"/>
          <w:color w:val="auto"/>
        </w:rPr>
        <w:t>Foreign-based employees are eligible to participate in TechnipFMC-sponsored or government-sponsored benefit plans to which we contribute. Several of the foreign defined benefit pension plans sponsored by us provide for employee contributions; the remaining plans are noncontributory. The most significant of these plans are in the Netherlands, France, and the United Kingdom.</w:t>
      </w:r>
    </w:p>
    <w:p>
      <w:pPr>
        <w:spacing w:after="0" w:line="14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other post-retirement benefit plans covering substantially all of our U.S. unionized employees. The post-retirement health care plans are contributory; the post-retirement life insurance plans are noncontributory.</w:t>
      </w:r>
    </w:p>
    <w:p>
      <w:pPr>
        <w:spacing w:after="0" w:line="14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required to recognize the funded status of defined benefit post-retirement plans as an asset or liability in the consolidated balance sheet and recognize changes in that funded status in comprehensive income in the year in which the changes occur. Further, we are required to measure the plan’s assets and its obligations that determine its funded status as of the date of the consolidated balance sheet. We have applied this guidance to our domestic pension and other post-retirement benefit plans as well as for many of our non-U.S. plans, including those in the United Kingdom, Germany, France and Canada. Pension expense measured in compliance with GAAP for the other non-U.S. pension plans is not materially different from the locally reported pension expense.</w:t>
      </w: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00"/>
          </w:cols>
          <w:pgMar w:left="240" w:top="571" w:right="359" w:bottom="1440" w:gutter="0" w:footer="0" w:header="0"/>
        </w:sectPr>
      </w:pPr>
    </w:p>
    <w:bookmarkStart w:id="119" w:name="page120"/>
    <w:bookmarkEnd w:id="119"/>
    <w:p>
      <w:pPr>
        <w:jc w:val="both"/>
        <w:ind w:right="440"/>
        <w:spacing w:after="0" w:line="256" w:lineRule="auto"/>
        <w:rPr>
          <w:sz w:val="20"/>
          <w:szCs w:val="20"/>
          <w:color w:val="auto"/>
        </w:rPr>
      </w:pPr>
      <w:r>
        <w:rPr>
          <w:rFonts w:ascii="Arial" w:cs="Arial" w:eastAsia="Arial" w:hAnsi="Arial"/>
          <w:sz w:val="18"/>
          <w:szCs w:val="18"/>
          <w:color w:val="auto"/>
        </w:rPr>
        <w:t>The funded status of our U.S. Pension Plans, certain foreign pension plans and U.S. post-retirement health care and life insurance benefit plans, together with the associated balances recognized in our consolidated balance sheets as of December 31, 2019 and 2018,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Accumulated benefit obligation</w:t>
            </w: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Projected benefit obligation at January 1</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00" w:type="dxa"/>
            <w:vAlign w:val="bottom"/>
            <w:vMerge w:val="continue"/>
          </w:tcPr>
          <w:p>
            <w:pPr>
              <w:spacing w:after="0"/>
              <w:rPr>
                <w:sz w:val="18"/>
                <w:szCs w:val="18"/>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598.1</w:t>
            </w:r>
          </w:p>
        </w:tc>
        <w:tc>
          <w:tcPr>
            <w:tcW w:w="120" w:type="dxa"/>
            <w:vAlign w:val="bottom"/>
          </w:tcPr>
          <w:p>
            <w:pPr>
              <w:spacing w:after="0"/>
              <w:rPr>
                <w:sz w:val="18"/>
                <w:szCs w:val="18"/>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753.4</w:t>
            </w:r>
          </w:p>
        </w:tc>
        <w:tc>
          <w:tcPr>
            <w:tcW w:w="12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659.8</w:t>
            </w:r>
          </w:p>
        </w:tc>
        <w:tc>
          <w:tcPr>
            <w:tcW w:w="100" w:type="dxa"/>
            <w:vAlign w:val="bottom"/>
          </w:tcPr>
          <w:p>
            <w:pPr>
              <w:spacing w:after="0"/>
              <w:rPr>
                <w:sz w:val="18"/>
                <w:szCs w:val="18"/>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898.1</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8"/>
                <w:szCs w:val="18"/>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Service cost</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Interest cost</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(gain) loss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Amendments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Curtailments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Settlements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exchange rate changes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Plan participants’ contributions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Benefits paid</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Projected benefit obligation at December 31</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669.7</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881.0</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598.1</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753.4</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Fair value of plan assets at January 1</w:t>
            </w:r>
          </w:p>
        </w:tc>
        <w:tc>
          <w:tcPr>
            <w:tcW w:w="2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570.6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Actual return on plan assets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Company contributions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exchange rate changes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Settlements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Plan participants’ contributions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Benefits paid</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Fair value of plan assets at December 31</w:t>
            </w:r>
          </w:p>
        </w:tc>
        <w:tc>
          <w:tcPr>
            <w:tcW w:w="2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657.8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477.4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Funded status of the plans (liability) at December 31</w:t>
            </w: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1"/>
                <w:szCs w:val="21"/>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Current portion of accrued pension and other post-retirement</w:t>
            </w:r>
          </w:p>
        </w:tc>
        <w:tc>
          <w:tcPr>
            <w:tcW w:w="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4"/>
        </w:trPr>
        <w:tc>
          <w:tcPr>
            <w:tcW w:w="4000" w:type="dxa"/>
            <w:vAlign w:val="bottom"/>
          </w:tcPr>
          <w:p>
            <w:pPr>
              <w:ind w:left="40"/>
              <w:spacing w:after="0"/>
              <w:rPr>
                <w:sz w:val="20"/>
                <w:szCs w:val="20"/>
                <w:color w:val="auto"/>
              </w:rPr>
            </w:pPr>
            <w:r>
              <w:rPr>
                <w:rFonts w:ascii="Arial" w:cs="Arial" w:eastAsia="Arial" w:hAnsi="Arial"/>
                <w:sz w:val="14"/>
                <w:szCs w:val="14"/>
                <w:color w:val="auto"/>
              </w:rPr>
              <w:t>Accrued pension and other post-retirement benefits, net of</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current portion</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2"/>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Funded status recognized in the consolidated balance</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sheets at December 31</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571" w:right="259" w:bottom="1440" w:gutter="0" w:footer="0" w:header="0"/>
        </w:sectPr>
      </w:pPr>
    </w:p>
    <w:bookmarkStart w:id="120" w:name="page121"/>
    <w:bookmarkEnd w:id="120"/>
    <w:p>
      <w:pPr>
        <w:ind w:right="120"/>
        <w:spacing w:after="0" w:line="262" w:lineRule="auto"/>
        <w:rPr>
          <w:sz w:val="20"/>
          <w:szCs w:val="20"/>
          <w:color w:val="auto"/>
        </w:rPr>
      </w:pPr>
      <w:r>
        <w:rPr>
          <w:rFonts w:ascii="Arial" w:cs="Arial" w:eastAsia="Arial" w:hAnsi="Arial"/>
          <w:sz w:val="18"/>
          <w:szCs w:val="18"/>
          <w:color w:val="auto"/>
        </w:rPr>
        <w:t>The following table summarizes the pre-tax amounts in accumulated other comprehensive (income) loss at December 31, 2019 and 2018 that have not been recognized as components of net periodic benefit cost: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2018</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2"/>
                <w:szCs w:val="22"/>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6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Pre-tax amounts recognized in accumulated other</w:t>
            </w:r>
          </w:p>
        </w:tc>
        <w:tc>
          <w:tcPr>
            <w:tcW w:w="2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r>
      <w:tr>
        <w:trPr>
          <w:trHeight w:val="198"/>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comprehensive (income) loss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Unrecognized actuarial (gain) loss</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121.6</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73.2</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Unrecognized prior service (credit) cost</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6"/>
        </w:trPr>
        <w:tc>
          <w:tcPr>
            <w:tcW w:w="40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Accumulated other comprehensive (income) loss at</w:t>
            </w: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89"/>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121.6</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97.7</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73.2</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0"/>
        </w:trPr>
        <w:tc>
          <w:tcPr>
            <w:tcW w:w="4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The following tables summarize the projected and accumulated benefit obligations and fair values of plan assets where the projected or accumulated benefit obligation exceeds the fair value of plan assets at December 31, 2019 and 2018:</w:t>
      </w:r>
    </w:p>
    <w:p>
      <w:pPr>
        <w:sectPr>
          <w:pgSz w:w="11900" w:h="16838" w:orient="portrait"/>
          <w:cols w:equalWidth="0" w:num="1">
            <w:col w:w="11400"/>
          </w:cols>
          <w:pgMar w:left="240" w:top="57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59" w:lineRule="exact"/>
        <w:rPr>
          <w:sz w:val="20"/>
          <w:szCs w:val="20"/>
          <w:color w:val="auto"/>
        </w:rPr>
      </w:pPr>
    </w:p>
    <w:p>
      <w:pPr>
        <w:ind w:left="40"/>
        <w:spacing w:after="0" w:line="279" w:lineRule="auto"/>
        <w:rPr>
          <w:sz w:val="20"/>
          <w:szCs w:val="20"/>
          <w:color w:val="auto"/>
        </w:rPr>
      </w:pPr>
      <w:r>
        <w:rPr>
          <w:rFonts w:ascii="Arial" w:cs="Arial" w:eastAsia="Arial" w:hAnsi="Arial"/>
          <w:sz w:val="14"/>
          <w:szCs w:val="14"/>
          <w:i w:val="1"/>
          <w:iCs w:val="1"/>
          <w:color w:val="auto"/>
        </w:rPr>
        <w:t>Plans with underfunded or non-funded projected benefit obligation</w:t>
      </w:r>
    </w:p>
    <w:p>
      <w:pPr>
        <w:spacing w:after="0" w:line="18" w:lineRule="exact"/>
        <w:rPr>
          <w:sz w:val="20"/>
          <w:szCs w:val="20"/>
          <w:color w:val="auto"/>
        </w:rPr>
      </w:pPr>
    </w:p>
    <w:p>
      <w:pPr>
        <w:ind w:left="280" w:right="880"/>
        <w:spacing w:after="0" w:line="419" w:lineRule="auto"/>
        <w:rPr>
          <w:sz w:val="20"/>
          <w:szCs w:val="20"/>
          <w:color w:val="auto"/>
        </w:rPr>
      </w:pPr>
      <w:r>
        <w:rPr>
          <w:rFonts w:ascii="Arial" w:cs="Arial" w:eastAsia="Arial" w:hAnsi="Arial"/>
          <w:sz w:val="14"/>
          <w:szCs w:val="14"/>
          <w:color w:val="auto"/>
        </w:rPr>
        <w:t>Aggregate projected benefit obligation Aggregate fair value of plan assets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7"/>
                <w:szCs w:val="17"/>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2018</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264"/>
        </w:trPr>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622"/>
        </w:trPr>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668.4</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741.2</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598.1</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621.1</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w:t>
            </w:r>
          </w:p>
        </w:tc>
      </w:tr>
      <w:tr>
        <w:trPr>
          <w:trHeight w:val="270"/>
        </w:trPr>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518.8</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522.8</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477.4</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439.8</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-574675</wp:posOffset>
            </wp:positionV>
            <wp:extent cx="723773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7730" cy="24003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-163195</wp:posOffset>
            </wp:positionV>
            <wp:extent cx="723773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3580" w:space="420"/>
            <w:col w:w="7400"/>
          </w:cols>
          <w:pgMar w:left="240" w:top="571" w:right="259" w:bottom="1440" w:gutter="0" w:footer="0" w:header="0"/>
          <w:type w:val="continuous"/>
        </w:sect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2018</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2"/>
                <w:szCs w:val="22"/>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48"/>
              <w:spacing w:after="0"/>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6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Plans with underfunded or non-funded accumulated benefit</w:t>
            </w:r>
          </w:p>
        </w:tc>
        <w:tc>
          <w:tcPr>
            <w:tcW w:w="2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r>
      <w:tr>
        <w:trPr>
          <w:trHeight w:val="198"/>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obligation</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Aggregate accumulated benefit obligation</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668.4</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292.1</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598.1</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269.2</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Aggregate fair value of plan assets</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571" w:right="25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color w:val="auto"/>
        </w:rPr>
        <w:t>The following table summarizes the components of net periodic benefit cost (income) for the years ended December 31, 2019, 2018 and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6"/>
          </w:tcPr>
          <w:p>
            <w:pPr>
              <w:jc w:val="center"/>
              <w:ind w:left="408"/>
              <w:spacing w:after="0"/>
              <w:rPr>
                <w:sz w:val="20"/>
                <w:szCs w:val="20"/>
                <w:color w:val="auto"/>
              </w:rPr>
            </w:pPr>
            <w:r>
              <w:rPr>
                <w:rFonts w:ascii="Arial" w:cs="Arial" w:eastAsia="Arial" w:hAnsi="Arial"/>
                <w:sz w:val="14"/>
                <w:szCs w:val="14"/>
                <w:b w:val="1"/>
                <w:bCs w:val="1"/>
                <w:color w:val="auto"/>
              </w:rPr>
              <w:t>Other Post-retirement</w:t>
            </w:r>
          </w:p>
        </w:tc>
        <w:tc>
          <w:tcPr>
            <w:tcW w:w="640" w:type="dxa"/>
            <w:vAlign w:val="bottom"/>
          </w:tcPr>
          <w:p>
            <w:pPr>
              <w:spacing w:after="0"/>
              <w:rPr>
                <w:sz w:val="14"/>
                <w:szCs w:val="14"/>
                <w:color w:val="auto"/>
              </w:rPr>
            </w:pPr>
          </w:p>
        </w:tc>
      </w:tr>
      <w:tr>
        <w:trPr>
          <w:trHeight w:val="196"/>
        </w:trPr>
        <w:tc>
          <w:tcPr>
            <w:tcW w:w="2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Pensions</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64"/>
        </w:trPr>
        <w:tc>
          <w:tcPr>
            <w:tcW w:w="2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22"/>
                <w:szCs w:val="22"/>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22"/>
                <w:szCs w:val="22"/>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6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Components of net periodic</w:t>
            </w: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benefit cost (income)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64"/>
        </w:trPr>
        <w:tc>
          <w:tcPr>
            <w:tcW w:w="2300" w:type="dxa"/>
            <w:vAlign w:val="bottom"/>
          </w:tcPr>
          <w:p>
            <w:pPr>
              <w:ind w:left="280"/>
              <w:spacing w:after="0"/>
              <w:rPr>
                <w:sz w:val="20"/>
                <w:szCs w:val="20"/>
                <w:color w:val="auto"/>
              </w:rPr>
            </w:pPr>
            <w:r>
              <w:rPr>
                <w:rFonts w:ascii="Arial" w:cs="Arial" w:eastAsia="Arial" w:hAnsi="Arial"/>
                <w:sz w:val="14"/>
                <w:szCs w:val="14"/>
                <w:color w:val="auto"/>
              </w:rPr>
              <w:t>Service cost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cost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264"/>
        </w:trPr>
        <w:tc>
          <w:tcPr>
            <w:tcW w:w="2300" w:type="dxa"/>
            <w:vAlign w:val="bottom"/>
          </w:tcPr>
          <w:p>
            <w:pPr>
              <w:ind w:left="280"/>
              <w:spacing w:after="0"/>
              <w:rPr>
                <w:sz w:val="20"/>
                <w:szCs w:val="20"/>
                <w:color w:val="auto"/>
              </w:rPr>
            </w:pPr>
            <w:r>
              <w:rPr>
                <w:rFonts w:ascii="Arial" w:cs="Arial" w:eastAsia="Arial" w:hAnsi="Arial"/>
                <w:sz w:val="14"/>
                <w:szCs w:val="14"/>
                <w:color w:val="auto"/>
              </w:rPr>
              <w:t>Expected return on plan assets</w:t>
            </w:r>
          </w:p>
        </w:tc>
        <w:tc>
          <w:tcPr>
            <w:tcW w:w="20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(50.1)</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 cost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300" w:type="dxa"/>
            <w:vAlign w:val="bottom"/>
          </w:tcPr>
          <w:p>
            <w:pPr>
              <w:ind w:left="280"/>
              <w:spacing w:after="0"/>
              <w:rPr>
                <w:sz w:val="20"/>
                <w:szCs w:val="20"/>
                <w:color w:val="auto"/>
              </w:rPr>
            </w:pPr>
            <w:r>
              <w:rPr>
                <w:rFonts w:ascii="Arial" w:cs="Arial" w:eastAsia="Arial" w:hAnsi="Arial"/>
                <w:sz w:val="14"/>
                <w:szCs w:val="14"/>
                <w:color w:val="auto"/>
              </w:rPr>
              <w:t>Curtailment benefit</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net actuarial</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(gain)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2300" w:type="dxa"/>
            <w:vAlign w:val="bottom"/>
          </w:tcPr>
          <w:p>
            <w:pPr>
              <w:ind w:left="280"/>
              <w:spacing w:after="0"/>
              <w:rPr>
                <w:sz w:val="20"/>
                <w:szCs w:val="20"/>
                <w:color w:val="auto"/>
              </w:rPr>
            </w:pPr>
            <w:r>
              <w:rPr>
                <w:rFonts w:ascii="Arial" w:cs="Arial" w:eastAsia="Arial" w:hAnsi="Arial"/>
                <w:sz w:val="14"/>
                <w:szCs w:val="14"/>
                <w:color w:val="auto"/>
              </w:rPr>
              <w:t>Amortization of prior service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300" w:type="dxa"/>
            <w:vAlign w:val="bottom"/>
          </w:tcPr>
          <w:p>
            <w:pPr>
              <w:ind w:left="280"/>
              <w:spacing w:after="0"/>
              <w:rPr>
                <w:sz w:val="20"/>
                <w:szCs w:val="20"/>
                <w:color w:val="auto"/>
              </w:rPr>
            </w:pPr>
            <w:r>
              <w:rPr>
                <w:rFonts w:ascii="Arial" w:cs="Arial" w:eastAsia="Arial" w:hAnsi="Arial"/>
                <w:sz w:val="14"/>
                <w:szCs w:val="14"/>
                <w:color w:val="auto"/>
              </w:rPr>
              <w:t>cost (credit)</w:t>
            </w:r>
          </w:p>
        </w:tc>
        <w:tc>
          <w:tcPr>
            <w:tcW w:w="20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periodic benefit cost</w:t>
            </w: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r>
      <w:tr>
        <w:trPr>
          <w:trHeight w:val="18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The following table summarizes changes in plan assets and benefit obligations recognized in other comprehensive income (loss) for the years ended December 31, 2019, 2018 and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6"/>
          </w:tcPr>
          <w:p>
            <w:pPr>
              <w:jc w:val="center"/>
              <w:ind w:left="408"/>
              <w:spacing w:after="0"/>
              <w:rPr>
                <w:sz w:val="20"/>
                <w:szCs w:val="20"/>
                <w:color w:val="auto"/>
              </w:rPr>
            </w:pPr>
            <w:r>
              <w:rPr>
                <w:rFonts w:ascii="Arial" w:cs="Arial" w:eastAsia="Arial" w:hAnsi="Arial"/>
                <w:sz w:val="14"/>
                <w:szCs w:val="14"/>
                <w:b w:val="1"/>
                <w:bCs w:val="1"/>
                <w:color w:val="auto"/>
              </w:rPr>
              <w:t>Other Post-retirement</w:t>
            </w:r>
          </w:p>
        </w:tc>
        <w:tc>
          <w:tcPr>
            <w:tcW w:w="640" w:type="dxa"/>
            <w:vAlign w:val="bottom"/>
          </w:tcPr>
          <w:p>
            <w:pPr>
              <w:spacing w:after="0"/>
              <w:rPr>
                <w:sz w:val="14"/>
                <w:szCs w:val="14"/>
                <w:color w:val="auto"/>
              </w:rPr>
            </w:pPr>
          </w:p>
        </w:tc>
      </w:tr>
      <w:tr>
        <w:trPr>
          <w:trHeight w:val="196"/>
        </w:trPr>
        <w:tc>
          <w:tcPr>
            <w:tcW w:w="2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Pensions</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64"/>
        </w:trPr>
        <w:tc>
          <w:tcPr>
            <w:tcW w:w="2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22"/>
                <w:szCs w:val="22"/>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22"/>
                <w:szCs w:val="22"/>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6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Changes in plan assets and</w:t>
            </w: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r>
      <w:tr>
        <w:trPr>
          <w:trHeight w:val="16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benefit obligations recognized in</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other comprehensive income</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(loss)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4"/>
        </w:trPr>
        <w:tc>
          <w:tcPr>
            <w:tcW w:w="2300" w:type="dxa"/>
            <w:vAlign w:val="bottom"/>
          </w:tcPr>
          <w:p>
            <w:pPr>
              <w:ind w:left="280"/>
              <w:spacing w:after="0"/>
              <w:rPr>
                <w:sz w:val="20"/>
                <w:szCs w:val="20"/>
                <w:color w:val="auto"/>
              </w:rPr>
            </w:pPr>
            <w:r>
              <w:rPr>
                <w:rFonts w:ascii="Arial" w:cs="Arial" w:eastAsia="Arial" w:hAnsi="Arial"/>
                <w:sz w:val="14"/>
                <w:szCs w:val="14"/>
                <w:color w:val="auto"/>
              </w:rPr>
              <w:t>Net actuarial gain (loss) arising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300" w:type="dxa"/>
            <w:vAlign w:val="bottom"/>
          </w:tcPr>
          <w:p>
            <w:pPr>
              <w:ind w:left="280"/>
              <w:spacing w:after="0"/>
              <w:rPr>
                <w:sz w:val="20"/>
                <w:szCs w:val="20"/>
                <w:color w:val="auto"/>
              </w:rPr>
            </w:pPr>
            <w:r>
              <w:rPr>
                <w:rFonts w:ascii="Arial" w:cs="Arial" w:eastAsia="Arial" w:hAnsi="Arial"/>
                <w:sz w:val="14"/>
                <w:szCs w:val="14"/>
                <w:color w:val="auto"/>
              </w:rPr>
              <w:t>during period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5"/>
                <w:szCs w:val="15"/>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(73.5)</w:t>
            </w:r>
          </w:p>
        </w:tc>
        <w:tc>
          <w:tcPr>
            <w:tcW w:w="14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5"/>
                <w:szCs w:val="15"/>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0"/>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Prior service (cost) credit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arising during period</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300" w:type="dxa"/>
            <w:vAlign w:val="bottom"/>
          </w:tcPr>
          <w:p>
            <w:pPr>
              <w:ind w:left="280"/>
              <w:spacing w:after="0"/>
              <w:rPr>
                <w:sz w:val="20"/>
                <w:szCs w:val="20"/>
                <w:color w:val="auto"/>
              </w:rPr>
            </w:pPr>
            <w:r>
              <w:rPr>
                <w:rFonts w:ascii="Arial" w:cs="Arial" w:eastAsia="Arial" w:hAnsi="Arial"/>
                <w:sz w:val="14"/>
                <w:szCs w:val="14"/>
                <w:color w:val="auto"/>
              </w:rPr>
              <w:t>Settlements and curtailments</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net actuarial</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(gain)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2300" w:type="dxa"/>
            <w:vAlign w:val="bottom"/>
          </w:tcPr>
          <w:p>
            <w:pPr>
              <w:ind w:left="280"/>
              <w:spacing w:after="0"/>
              <w:rPr>
                <w:sz w:val="20"/>
                <w:szCs w:val="20"/>
                <w:color w:val="auto"/>
              </w:rPr>
            </w:pPr>
            <w:r>
              <w:rPr>
                <w:rFonts w:ascii="Arial" w:cs="Arial" w:eastAsia="Arial" w:hAnsi="Arial"/>
                <w:sz w:val="14"/>
                <w:szCs w:val="14"/>
                <w:color w:val="auto"/>
              </w:rPr>
              <w:t>Amortization of prior service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300" w:type="dxa"/>
            <w:vAlign w:val="bottom"/>
          </w:tcPr>
          <w:p>
            <w:pPr>
              <w:ind w:left="280"/>
              <w:spacing w:after="0"/>
              <w:rPr>
                <w:sz w:val="20"/>
                <w:szCs w:val="20"/>
                <w:color w:val="auto"/>
              </w:rPr>
            </w:pPr>
            <w:r>
              <w:rPr>
                <w:rFonts w:ascii="Arial" w:cs="Arial" w:eastAsia="Arial" w:hAnsi="Arial"/>
                <w:sz w:val="14"/>
                <w:szCs w:val="14"/>
                <w:color w:val="auto"/>
              </w:rPr>
              <w:t>cost (credit)</w:t>
            </w:r>
          </w:p>
        </w:tc>
        <w:tc>
          <w:tcPr>
            <w:tcW w:w="20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6"/>
        </w:trPr>
        <w:tc>
          <w:tcPr>
            <w:tcW w:w="23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Total recognized in other</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r>
      <w:tr>
        <w:trPr>
          <w:trHeight w:val="189"/>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w:t>
            </w:r>
          </w:p>
        </w:tc>
        <w:tc>
          <w:tcPr>
            <w:tcW w:w="14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Included in accumulated other comprehensive income (loss) at December 31, 2019, are noncash, pre-tax charges which have not yet been recognized in net periodic benefit cost (income). The estimated amounts expected to be amortized from the portion of each component of accumulated other comprehensive income (loss) as a component of net period benefit cost (income), during the next fiscal year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Other</w:t>
            </w:r>
          </w:p>
        </w:tc>
      </w:t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Pensions</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Benefits</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22"/>
                <w:szCs w:val="22"/>
                <w:color w:val="auto"/>
              </w:rPr>
            </w:pPr>
          </w:p>
        </w:tc>
        <w:tc>
          <w:tcPr>
            <w:tcW w:w="1040" w:type="dxa"/>
            <w:vAlign w:val="bottom"/>
          </w:tcPr>
          <w:p>
            <w:pPr>
              <w:jc w:val="right"/>
              <w:ind w:right="548"/>
              <w:spacing w:after="0"/>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actuarial losses (gains)</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26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CCEEFF"/>
            </w:tcBorders>
            <w:shd w:val="clear" w:color="auto" w:fill="CCEEFF"/>
          </w:tcPr>
          <w:p>
            <w:pPr>
              <w:ind w:left="1060"/>
              <w:spacing w:after="0"/>
              <w:rPr>
                <w:sz w:val="20"/>
                <w:szCs w:val="20"/>
                <w:color w:val="auto"/>
              </w:rPr>
            </w:pPr>
            <w:r>
              <w:rPr>
                <w:rFonts w:ascii="Arial" w:cs="Arial" w:eastAsia="Arial" w:hAnsi="Arial"/>
                <w:sz w:val="14"/>
                <w:szCs w:val="14"/>
                <w:color w:val="auto"/>
              </w:rPr>
              <w:t>—</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color w:val="auto"/>
              </w:rPr>
              <w:t>Prior service cost (credit)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Pr>
          <w:p>
            <w:pPr>
              <w:ind w:left="106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571"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i w:val="1"/>
          <w:iCs w:val="1"/>
          <w:color w:val="auto"/>
        </w:rPr>
        <w:t xml:space="preserve">Key assumptions - </w:t>
      </w:r>
      <w:r>
        <w:rPr>
          <w:rFonts w:ascii="Arial" w:cs="Arial" w:eastAsia="Arial" w:hAnsi="Arial"/>
          <w:sz w:val="18"/>
          <w:szCs w:val="18"/>
          <w:color w:val="auto"/>
        </w:rPr>
        <w:t>The following weighted-average assumptions were used to determine the benefit obligations: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left="788"/>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ind w:left="700"/>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39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Pensions</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rPr>
              <w:t>Benefits</w:t>
            </w:r>
          </w:p>
        </w:tc>
        <w:tc>
          <w:tcPr>
            <w:tcW w:w="820" w:type="dxa"/>
            <w:vAlign w:val="bottom"/>
            <w:tcBorders>
              <w:bottom w:val="single" w:sz="8" w:color="auto"/>
            </w:tcBorders>
          </w:tcPr>
          <w:p>
            <w:pPr>
              <w:spacing w:after="0"/>
              <w:rPr>
                <w:sz w:val="17"/>
                <w:szCs w:val="17"/>
                <w:color w:val="auto"/>
              </w:rPr>
            </w:pPr>
          </w:p>
        </w:tc>
      </w:tr>
      <w:tr>
        <w:trPr>
          <w:trHeight w:val="264"/>
        </w:trPr>
        <w:tc>
          <w:tcPr>
            <w:tcW w:w="390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264"/>
        </w:trPr>
        <w:tc>
          <w:tcPr>
            <w:tcW w:w="39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5"/>
              </w:rPr>
              <w:t>U.S.</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r>
      <w:tr>
        <w:trPr>
          <w:trHeight w:val="256"/>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Discount rate</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r>
      <w:tr>
        <w:trPr>
          <w:trHeight w:val="258"/>
        </w:trPr>
        <w:tc>
          <w:tcPr>
            <w:tcW w:w="4620" w:type="dxa"/>
            <w:vAlign w:val="bottom"/>
            <w:gridSpan w:val="2"/>
          </w:tcPr>
          <w:p>
            <w:pPr>
              <w:ind w:left="40"/>
              <w:spacing w:after="0"/>
              <w:rPr>
                <w:sz w:val="20"/>
                <w:szCs w:val="20"/>
                <w:color w:val="auto"/>
              </w:rPr>
            </w:pPr>
            <w:r>
              <w:rPr>
                <w:rFonts w:ascii="Arial" w:cs="Arial" w:eastAsia="Arial" w:hAnsi="Arial"/>
                <w:sz w:val="14"/>
                <w:szCs w:val="14"/>
                <w:color w:val="auto"/>
              </w:rPr>
              <w:t>Rate of compensation increase</w:t>
            </w:r>
          </w:p>
        </w:tc>
        <w:tc>
          <w:tcPr>
            <w:tcW w:w="840" w:type="dxa"/>
            <w:vAlign w:val="bottom"/>
            <w:gridSpan w:val="3"/>
          </w:tcPr>
          <w:p>
            <w:pPr>
              <w:jc w:val="right"/>
              <w:ind w:right="560"/>
              <w:spacing w:after="0"/>
              <w:rPr>
                <w:sz w:val="20"/>
                <w:szCs w:val="20"/>
                <w:color w:val="auto"/>
              </w:rPr>
            </w:pPr>
            <w:r>
              <w:rPr>
                <w:rFonts w:ascii="Arial" w:cs="Arial" w:eastAsia="Arial" w:hAnsi="Arial"/>
                <w:sz w:val="14"/>
                <w:szCs w:val="14"/>
                <w:color w:val="auto"/>
              </w:rPr>
              <w:t>N/A</w:t>
            </w:r>
          </w:p>
        </w:tc>
        <w:tc>
          <w:tcPr>
            <w:tcW w:w="86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color w:val="auto"/>
              </w:rPr>
              <w:t>N/A</w:t>
            </w:r>
          </w:p>
        </w:tc>
        <w:tc>
          <w:tcPr>
            <w:tcW w:w="860" w:type="dxa"/>
            <w:vAlign w:val="bottom"/>
          </w:tcPr>
          <w:p>
            <w:pPr>
              <w:jc w:val="right"/>
              <w:spacing w:after="0"/>
              <w:rPr>
                <w:sz w:val="20"/>
                <w:szCs w:val="20"/>
                <w:color w:val="auto"/>
              </w:rPr>
            </w:pPr>
            <w:r>
              <w:rPr>
                <w:rFonts w:ascii="Arial" w:cs="Arial" w:eastAsia="Arial" w:hAnsi="Arial"/>
                <w:sz w:val="14"/>
                <w:szCs w:val="14"/>
                <w:color w:val="auto"/>
              </w:rPr>
              <w:t>2.24%</w:t>
            </w:r>
          </w:p>
        </w:tc>
        <w:tc>
          <w:tcPr>
            <w:tcW w:w="1280" w:type="dxa"/>
            <w:vAlign w:val="bottom"/>
            <w:gridSpan w:val="2"/>
          </w:tcPr>
          <w:p>
            <w:pPr>
              <w:ind w:left="840"/>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w:t>
            </w:r>
          </w:p>
        </w:tc>
      </w:tr>
    </w:tbl>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determine net periodic benefit cost: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Post-retirement</w:t>
            </w:r>
          </w:p>
        </w:tc>
        <w:tc>
          <w:tcPr>
            <w:tcW w:w="920" w:type="dxa"/>
            <w:vAlign w:val="bottom"/>
          </w:tcPr>
          <w:p>
            <w:pPr>
              <w:spacing w:after="0"/>
              <w:rPr>
                <w:sz w:val="14"/>
                <w:szCs w:val="14"/>
                <w:color w:val="auto"/>
              </w:rPr>
            </w:pPr>
          </w:p>
        </w:tc>
      </w:tr>
      <w:tr>
        <w:trPr>
          <w:trHeight w:val="196"/>
        </w:trPr>
        <w:tc>
          <w:tcPr>
            <w:tcW w:w="2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Pensions</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Benefits</w:t>
            </w:r>
          </w:p>
        </w:tc>
        <w:tc>
          <w:tcPr>
            <w:tcW w:w="920" w:type="dxa"/>
            <w:vAlign w:val="bottom"/>
            <w:tcBorders>
              <w:bottom w:val="single" w:sz="8" w:color="auto"/>
            </w:tcBorders>
          </w:tcPr>
          <w:p>
            <w:pPr>
              <w:spacing w:after="0"/>
              <w:rPr>
                <w:sz w:val="17"/>
                <w:szCs w:val="17"/>
                <w:color w:val="auto"/>
              </w:rPr>
            </w:pPr>
          </w:p>
        </w:tc>
      </w:tr>
      <w:tr>
        <w:trPr>
          <w:trHeight w:val="264"/>
        </w:trPr>
        <w:tc>
          <w:tcPr>
            <w:tcW w:w="2160" w:type="dxa"/>
            <w:vAlign w:val="bottom"/>
          </w:tcPr>
          <w:p>
            <w:pPr>
              <w:spacing w:after="0"/>
              <w:rPr>
                <w:sz w:val="22"/>
                <w:szCs w:val="22"/>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r>
        <w:trPr>
          <w:trHeight w:val="264"/>
        </w:trPr>
        <w:tc>
          <w:tcPr>
            <w:tcW w:w="2160" w:type="dxa"/>
            <w:vAlign w:val="bottom"/>
          </w:tcPr>
          <w:p>
            <w:pPr>
              <w:spacing w:after="0"/>
              <w:rPr>
                <w:sz w:val="22"/>
                <w:szCs w:val="22"/>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U.S.</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1340" w:type="dxa"/>
            <w:vAlign w:val="bottom"/>
            <w:gridSpan w:val="3"/>
          </w:tcPr>
          <w:p>
            <w:pPr>
              <w:ind w:left="320"/>
              <w:spacing w:after="0"/>
              <w:rPr>
                <w:sz w:val="20"/>
                <w:szCs w:val="20"/>
                <w:color w:val="auto"/>
              </w:rPr>
            </w:pPr>
            <w:r>
              <w:rPr>
                <w:rFonts w:ascii="Arial" w:cs="Arial" w:eastAsia="Arial" w:hAnsi="Arial"/>
                <w:sz w:val="14"/>
                <w:szCs w:val="14"/>
                <w:b w:val="1"/>
                <w:bCs w:val="1"/>
                <w:color w:val="auto"/>
              </w:rPr>
              <w:t>U.S.</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Int’l</w:t>
            </w: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U.S.</w:t>
            </w:r>
          </w:p>
        </w:tc>
        <w:tc>
          <w:tcPr>
            <w:tcW w:w="700" w:type="dxa"/>
            <w:vAlign w:val="bottom"/>
          </w:tcPr>
          <w:p>
            <w:pPr>
              <w:jc w:val="right"/>
              <w:ind w:right="268"/>
              <w:spacing w:after="0"/>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6"/>
        </w:trPr>
        <w:tc>
          <w:tcPr>
            <w:tcW w:w="2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Discount rate</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w:t>
            </w: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Rate of compensation increase</w:t>
            </w:r>
          </w:p>
        </w:tc>
        <w:tc>
          <w:tcPr>
            <w:tcW w:w="1260" w:type="dxa"/>
            <w:vAlign w:val="bottom"/>
            <w:gridSpan w:val="3"/>
          </w:tcPr>
          <w:p>
            <w:pPr>
              <w:jc w:val="right"/>
              <w:ind w:right="500"/>
              <w:spacing w:after="0"/>
              <w:rPr>
                <w:sz w:val="20"/>
                <w:szCs w:val="20"/>
                <w:color w:val="auto"/>
              </w:rPr>
            </w:pPr>
            <w:r>
              <w:rPr>
                <w:rFonts w:ascii="Arial" w:cs="Arial" w:eastAsia="Arial" w:hAnsi="Arial"/>
                <w:sz w:val="14"/>
                <w:szCs w:val="14"/>
                <w:color w:val="auto"/>
              </w:rPr>
              <w:t>N/A</w:t>
            </w:r>
          </w:p>
        </w:tc>
        <w:tc>
          <w:tcPr>
            <w:tcW w:w="70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2"/>
                <w:szCs w:val="22"/>
                <w:color w:val="auto"/>
              </w:rPr>
            </w:pPr>
          </w:p>
        </w:tc>
        <w:tc>
          <w:tcPr>
            <w:tcW w:w="1340" w:type="dxa"/>
            <w:vAlign w:val="bottom"/>
            <w:gridSpan w:val="3"/>
          </w:tcPr>
          <w:p>
            <w:pPr>
              <w:ind w:left="520"/>
              <w:spacing w:after="0"/>
              <w:rPr>
                <w:sz w:val="20"/>
                <w:szCs w:val="20"/>
                <w:color w:val="auto"/>
              </w:rPr>
            </w:pPr>
            <w:r>
              <w:rPr>
                <w:rFonts w:ascii="Arial" w:cs="Arial" w:eastAsia="Arial" w:hAnsi="Arial"/>
                <w:sz w:val="14"/>
                <w:szCs w:val="14"/>
                <w:color w:val="auto"/>
              </w:rPr>
              <w:t>N/A</w:t>
            </w:r>
          </w:p>
        </w:tc>
        <w:tc>
          <w:tcPr>
            <w:tcW w:w="62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0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rate of return on plan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84"/>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N/A</w:t>
            </w:r>
          </w:p>
        </w:tc>
      </w:tr>
    </w:tbl>
    <w:p>
      <w:pPr>
        <w:spacing w:after="0" w:line="377"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Our estimate of expected rate of return on plan assets is primarily based on the historical performance of plan assets, current market conditions, our asset allocation and long-term growth expectations.</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Plan assets - </w:t>
      </w:r>
      <w:r>
        <w:rPr>
          <w:rFonts w:ascii="Arial" w:cs="Arial" w:eastAsia="Arial" w:hAnsi="Arial"/>
          <w:sz w:val="18"/>
          <w:szCs w:val="18"/>
          <w:color w:val="auto"/>
        </w:rPr>
        <w:t>Our pension investment strategy emphasizes maximizing returns consistent with balancing risk. Excluding our international plans</w:t>
      </w:r>
      <w:r>
        <w:rPr>
          <w:rFonts w:ascii="Arial" w:cs="Arial" w:eastAsia="Arial" w:hAnsi="Arial"/>
          <w:sz w:val="18"/>
          <w:szCs w:val="18"/>
          <w:i w:val="1"/>
          <w:iCs w:val="1"/>
          <w:color w:val="auto"/>
        </w:rPr>
        <w:t xml:space="preserve"> </w:t>
      </w:r>
      <w:r>
        <w:rPr>
          <w:rFonts w:ascii="Arial" w:cs="Arial" w:eastAsia="Arial" w:hAnsi="Arial"/>
          <w:sz w:val="18"/>
          <w:szCs w:val="18"/>
          <w:color w:val="auto"/>
        </w:rPr>
        <w:t>with insurance-based investments, 99% of our total pension plan assets represent the U.S. qualified plan, the U.K. plan and the Netherlands plan. These plans are primarily invested in equity securities to maximize the long-term returns of the plans. The investment managers of these assets, including the hedge funds and limited partnerships, use Graham and Dodd fundamental investment analysis to select securities that have a margin of safety between the price of the security and the estimated value of the security. This value-oriented approach tends to mitigate the risk of a large equity allocation.</w:t>
      </w:r>
    </w:p>
    <w:p>
      <w:pPr>
        <w:spacing w:after="0" w:line="147" w:lineRule="exact"/>
        <w:rPr>
          <w:sz w:val="20"/>
          <w:szCs w:val="20"/>
          <w:color w:val="auto"/>
        </w:rPr>
      </w:pPr>
    </w:p>
    <w:p>
      <w:pPr>
        <w:ind w:right="1020"/>
        <w:spacing w:after="0" w:line="262" w:lineRule="auto"/>
        <w:rPr>
          <w:sz w:val="20"/>
          <w:szCs w:val="20"/>
          <w:color w:val="auto"/>
        </w:rPr>
      </w:pPr>
      <w:r>
        <w:rPr>
          <w:rFonts w:ascii="Arial" w:cs="Arial" w:eastAsia="Arial" w:hAnsi="Arial"/>
          <w:sz w:val="18"/>
          <w:szCs w:val="18"/>
          <w:color w:val="auto"/>
        </w:rPr>
        <w:t>The following is a description of the valuation methodologies used for the pension plan assets. There have been no changes in the methodologies used at December 31, 2019 and 2018.</w:t>
      </w:r>
    </w:p>
    <w:p>
      <w:pPr>
        <w:spacing w:after="0" w:line="142"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is valued at cost, which approximates fair value.</w:t>
      </w:r>
    </w:p>
    <w:p>
      <w:pPr>
        <w:spacing w:after="0" w:line="171"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Equity securities are comprised of common stock and preferred stock. The fair values of equity securities are valued at the closing price reported on the active market on which the securities are traded.</w:t>
      </w:r>
    </w:p>
    <w:p>
      <w:pPr>
        <w:spacing w:after="0" w:line="142" w:lineRule="exact"/>
        <w:rPr>
          <w:rFonts w:ascii="Arial" w:cs="Arial" w:eastAsia="Arial" w:hAnsi="Arial"/>
          <w:sz w:val="18"/>
          <w:szCs w:val="18"/>
          <w:color w:val="auto"/>
        </w:rPr>
      </w:pPr>
    </w:p>
    <w:p>
      <w:pPr>
        <w:ind w:left="660" w:right="44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Fair values of registered investment companies and common/collective trusts are valued based on quoted market prices, which represent the net asset value (“NAV”) of shares held. Registered investment companies primarily include investments in emerging market bonds. Common/collective trusts primarily includes money market instruments with short maturities.</w:t>
      </w:r>
    </w:p>
    <w:p>
      <w:pPr>
        <w:spacing w:after="0" w:line="147"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Insurance contracts are valued at book value, which approximates fair value, and is calculated using the prior-year balance plus or minus investment returns and changes in cash flows.</w:t>
      </w:r>
    </w:p>
    <w:p>
      <w:pPr>
        <w:spacing w:after="0" w:line="142"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fair values of hedge funds are valued using the NAV as determined by the administrator or custodian of the fund. The funds primarily invest in U.S. and international equities, debt securities and other hedge funds.</w:t>
      </w:r>
    </w:p>
    <w:p>
      <w:pPr>
        <w:spacing w:after="0" w:line="142"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fair values of limited partnerships are valued using the NAV as determined by the administrator or custodian of the fund. The partnerships primarily invest in U.S. and international equities and debt securities.</w:t>
      </w:r>
    </w:p>
    <w:p>
      <w:pPr>
        <w:spacing w:after="0" w:line="142"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Real estate and other investments primarily consists of real estate investment trusts and other investments. These investments are measured at quoted market prices, which represent the NAV of the securities held in such funds at year end.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553" w:right="259" w:bottom="1440" w:gutter="0" w:footer="0" w:header="0"/>
        </w:sectPr>
      </w:pPr>
    </w:p>
    <w:bookmarkStart w:id="123" w:name="page124"/>
    <w:bookmarkEnd w:id="123"/>
    <w:p>
      <w:pPr>
        <w:ind w:right="560"/>
        <w:spacing w:after="0" w:line="262" w:lineRule="auto"/>
        <w:rPr>
          <w:sz w:val="20"/>
          <w:szCs w:val="20"/>
          <w:color w:val="auto"/>
        </w:rPr>
      </w:pPr>
      <w:r>
        <w:rPr>
          <w:rFonts w:ascii="Arial" w:cs="Arial" w:eastAsia="Arial" w:hAnsi="Arial"/>
          <w:sz w:val="18"/>
          <w:szCs w:val="18"/>
          <w:color w:val="auto"/>
        </w:rPr>
        <w:t>Our pension plan assets measured at fair value on a recurring basis are as follows at December 31, 2019 and 2018. Refer to “Fair value measurements” in Note 1 to these consolidated financial statements for a description of the levels.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U.S.</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International</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6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r>
      <w:tr>
        <w:trPr>
          <w:trHeight w:val="25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i w:val="1"/>
                <w:iCs w:val="1"/>
                <w:color w:val="auto"/>
              </w:rPr>
              <w:t>Equity securities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3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U.S. companies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64"/>
        </w:trPr>
        <w:tc>
          <w:tcPr>
            <w:tcW w:w="3320" w:type="dxa"/>
            <w:vAlign w:val="bottom"/>
          </w:tcPr>
          <w:p>
            <w:pPr>
              <w:ind w:left="280"/>
              <w:spacing w:after="0"/>
              <w:rPr>
                <w:sz w:val="20"/>
                <w:szCs w:val="20"/>
                <w:color w:val="auto"/>
              </w:rPr>
            </w:pPr>
            <w:r>
              <w:rPr>
                <w:rFonts w:ascii="Arial" w:cs="Arial" w:eastAsia="Arial" w:hAnsi="Arial"/>
                <w:sz w:val="14"/>
                <w:szCs w:val="14"/>
                <w:color w:val="auto"/>
              </w:rPr>
              <w:t>International companies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Registered investment companies </w:t>
            </w:r>
            <w:r>
              <w:rPr>
                <w:rFonts w:ascii="Arial" w:cs="Arial" w:eastAsia="Arial" w:hAnsi="Arial"/>
                <w:sz w:val="17"/>
                <w:szCs w:val="17"/>
                <w:color w:val="auto"/>
                <w:vertAlign w:val="superscript"/>
              </w:rPr>
              <w:t>(a)</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tcPr>
          <w:p>
            <w:pPr>
              <w:ind w:left="40"/>
              <w:spacing w:after="0"/>
              <w:rPr>
                <w:sz w:val="20"/>
                <w:szCs w:val="20"/>
                <w:color w:val="auto"/>
              </w:rPr>
            </w:pPr>
            <w:r>
              <w:rPr>
                <w:rFonts w:ascii="Arial" w:cs="Arial" w:eastAsia="Arial" w:hAnsi="Arial"/>
                <w:sz w:val="14"/>
                <w:szCs w:val="14"/>
                <w:color w:val="auto"/>
              </w:rPr>
              <w:t xml:space="preserve">Common/collective trusts </w:t>
            </w:r>
            <w:r>
              <w:rPr>
                <w:rFonts w:ascii="Arial" w:cs="Arial" w:eastAsia="Arial" w:hAnsi="Arial"/>
                <w:sz w:val="17"/>
                <w:szCs w:val="17"/>
                <w:color w:val="auto"/>
                <w:vertAlign w:val="superscript"/>
              </w:rPr>
              <w:t>(a)</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Insurance contracts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tcPr>
          <w:p>
            <w:pPr>
              <w:ind w:left="40"/>
              <w:spacing w:after="0"/>
              <w:rPr>
                <w:sz w:val="20"/>
                <w:szCs w:val="20"/>
                <w:color w:val="auto"/>
              </w:rPr>
            </w:pPr>
            <w:r>
              <w:rPr>
                <w:rFonts w:ascii="Arial" w:cs="Arial" w:eastAsia="Arial" w:hAnsi="Arial"/>
                <w:sz w:val="14"/>
                <w:szCs w:val="14"/>
                <w:color w:val="auto"/>
              </w:rPr>
              <w:t xml:space="preserve">Hedge funds </w:t>
            </w:r>
            <w:r>
              <w:rPr>
                <w:rFonts w:ascii="Arial" w:cs="Arial" w:eastAsia="Arial" w:hAnsi="Arial"/>
                <w:sz w:val="17"/>
                <w:szCs w:val="17"/>
                <w:color w:val="auto"/>
                <w:vertAlign w:val="superscript"/>
              </w:rPr>
              <w:t>(a)</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164.3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Limited partnerships </w:t>
            </w:r>
            <w:r>
              <w:rPr>
                <w:rFonts w:ascii="Arial" w:cs="Arial" w:eastAsia="Arial" w:hAnsi="Arial"/>
                <w:sz w:val="17"/>
                <w:szCs w:val="17"/>
                <w:color w:val="auto"/>
                <w:vertAlign w:val="superscript"/>
              </w:rPr>
              <w:t>(a)</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6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Real estate and other investments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r>
      <w:tr>
        <w:trPr>
          <w:trHeight w:val="24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46.8</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Equity securities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3320" w:type="dxa"/>
            <w:vAlign w:val="bottom"/>
          </w:tcPr>
          <w:p>
            <w:pPr>
              <w:ind w:left="280"/>
              <w:spacing w:after="0"/>
              <w:rPr>
                <w:sz w:val="20"/>
                <w:szCs w:val="20"/>
                <w:color w:val="auto"/>
              </w:rPr>
            </w:pPr>
            <w:r>
              <w:rPr>
                <w:rFonts w:ascii="Arial" w:cs="Arial" w:eastAsia="Arial" w:hAnsi="Arial"/>
                <w:sz w:val="14"/>
                <w:szCs w:val="14"/>
                <w:color w:val="auto"/>
              </w:rPr>
              <w:t>U.S. companies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109.4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6"/>
        </w:trPr>
        <w:tc>
          <w:tcPr>
            <w:tcW w:w="3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International companies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tcPr>
          <w:p>
            <w:pPr>
              <w:ind w:left="40"/>
              <w:spacing w:after="0"/>
              <w:rPr>
                <w:sz w:val="20"/>
                <w:szCs w:val="20"/>
                <w:color w:val="auto"/>
              </w:rPr>
            </w:pPr>
            <w:r>
              <w:rPr>
                <w:rFonts w:ascii="Arial" w:cs="Arial" w:eastAsia="Arial" w:hAnsi="Arial"/>
                <w:sz w:val="14"/>
                <w:szCs w:val="14"/>
                <w:color w:val="auto"/>
              </w:rPr>
              <w:t xml:space="preserve">Registered investment companies </w:t>
            </w:r>
            <w:r>
              <w:rPr>
                <w:rFonts w:ascii="Arial" w:cs="Arial" w:eastAsia="Arial" w:hAnsi="Arial"/>
                <w:sz w:val="17"/>
                <w:szCs w:val="17"/>
                <w:color w:val="auto"/>
                <w:vertAlign w:val="superscript"/>
              </w:rPr>
              <w:t>(a)</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Common/collective trusts </w:t>
            </w:r>
            <w:r>
              <w:rPr>
                <w:rFonts w:ascii="Arial" w:cs="Arial" w:eastAsia="Arial" w:hAnsi="Arial"/>
                <w:sz w:val="17"/>
                <w:szCs w:val="17"/>
                <w:color w:val="auto"/>
                <w:vertAlign w:val="superscript"/>
              </w:rPr>
              <w:t>(a)</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Insurance contracts</w:t>
            </w:r>
          </w:p>
        </w:tc>
        <w:tc>
          <w:tcPr>
            <w:tcW w:w="20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Hedge funds </w:t>
            </w:r>
            <w:r>
              <w:rPr>
                <w:rFonts w:ascii="Arial" w:cs="Arial" w:eastAsia="Arial" w:hAnsi="Arial"/>
                <w:sz w:val="17"/>
                <w:szCs w:val="17"/>
                <w:color w:val="auto"/>
                <w:vertAlign w:val="superscript"/>
              </w:rPr>
              <w:t>(a)</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tcPr>
          <w:p>
            <w:pPr>
              <w:ind w:left="280"/>
              <w:spacing w:after="0"/>
              <w:rPr>
                <w:sz w:val="20"/>
                <w:szCs w:val="20"/>
                <w:color w:val="auto"/>
              </w:rPr>
            </w:pPr>
            <w:r>
              <w:rPr>
                <w:rFonts w:ascii="Arial" w:cs="Arial" w:eastAsia="Arial" w:hAnsi="Arial"/>
                <w:sz w:val="14"/>
                <w:szCs w:val="14"/>
                <w:color w:val="auto"/>
              </w:rPr>
              <w:t xml:space="preserve">Limited partnerships </w:t>
            </w:r>
            <w:r>
              <w:rPr>
                <w:rFonts w:ascii="Arial" w:cs="Arial" w:eastAsia="Arial" w:hAnsi="Arial"/>
                <w:sz w:val="17"/>
                <w:szCs w:val="17"/>
                <w:color w:val="auto"/>
                <w:vertAlign w:val="superscript"/>
              </w:rPr>
              <w:t>(a)</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89.7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 estate and other investments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37"/>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477.4</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166.9</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569.8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0"/>
        </w:trPr>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4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Contributions - </w:t>
      </w:r>
      <w:r>
        <w:rPr>
          <w:rFonts w:ascii="Arial" w:cs="Arial" w:eastAsia="Arial" w:hAnsi="Arial"/>
          <w:sz w:val="18"/>
          <w:szCs w:val="18"/>
          <w:color w:val="auto"/>
        </w:rPr>
        <w:t>We expect to contribute approximately $6.9 million to our international pension plans, representing primarily the Netherlands</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pension plans and U.K. qualified pension plans. We do not expect to make any contributions to our U.S. Qualified Pension Plan and our U.S. Non-Qualified Defined Benefit Pension Plan in 2020. All of the contributions are expected to be in the form of cash. In 2019 and 2018, we contributed $6.9 million and $18.5 million to all pension plans, respectively.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571" w:right="259" w:bottom="1440" w:gutter="0" w:footer="0" w:header="0"/>
        </w:sectPr>
      </w:pPr>
    </w:p>
    <w:bookmarkStart w:id="124" w:name="page125"/>
    <w:bookmarkEnd w:id="124"/>
    <w:p>
      <w:pPr>
        <w:ind w:right="140"/>
        <w:spacing w:after="0" w:line="282" w:lineRule="auto"/>
        <w:rPr>
          <w:sz w:val="20"/>
          <w:szCs w:val="20"/>
          <w:color w:val="auto"/>
        </w:rPr>
      </w:pPr>
      <w:r>
        <w:rPr>
          <w:rFonts w:ascii="Arial" w:cs="Arial" w:eastAsia="Arial" w:hAnsi="Arial"/>
          <w:sz w:val="18"/>
          <w:szCs w:val="18"/>
          <w:i w:val="1"/>
          <w:iCs w:val="1"/>
          <w:color w:val="auto"/>
        </w:rPr>
        <w:t xml:space="preserve">Estimated future benefit payments - </w:t>
      </w:r>
      <w:r>
        <w:rPr>
          <w:rFonts w:ascii="Arial" w:cs="Arial" w:eastAsia="Arial" w:hAnsi="Arial"/>
          <w:sz w:val="18"/>
          <w:szCs w:val="18"/>
          <w:color w:val="auto"/>
        </w:rPr>
        <w:t>The following table summarizes expected benefit payments from our various pension and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plans through 2028. Actual benefit payments may differ from expected benefit payments.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Other</w:t>
            </w:r>
          </w:p>
        </w:tc>
      </w:t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Pensions</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Benefits</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2"/>
                <w:szCs w:val="22"/>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32.8</w:t>
            </w:r>
          </w:p>
        </w:tc>
        <w:tc>
          <w:tcPr>
            <w:tcW w:w="26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2021</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2023</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color w:val="auto"/>
              </w:rPr>
              <w:t>2025-2029</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181.5</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2.6</w:t>
            </w:r>
          </w:p>
        </w:tc>
      </w:tr>
    </w:tbl>
    <w:p>
      <w:pPr>
        <w:spacing w:after="0" w:line="37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Savings plans - </w:t>
      </w:r>
      <w:r>
        <w:rPr>
          <w:rFonts w:ascii="Arial" w:cs="Arial" w:eastAsia="Arial" w:hAnsi="Arial"/>
          <w:sz w:val="18"/>
          <w:szCs w:val="18"/>
          <w:color w:val="auto"/>
        </w:rPr>
        <w:t>The TechnipFMC Retirement Savings Plan (“Qualified Plan”), a qualified salary reduction plan under Section 401(k)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Revenue Code, is a defined contribution plan. Additionally, we have a non-qualified deferred compensation plan, the Non-Qualified Plan, which allows certain highly compensated employees the option to defer the receipt of a portion of their salary. We match a portion of the participants’ deferrals to both plans. Both plans relate to FMC Technologies, Inc.</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Participants in the Non-Qualified Plan earn a return based on hypothetical investments in the same options as our 401(k) plan, including TechnipFMC plc stock (“FTI Stock Fund”). In March 2019, the FTI Stock Fund was removed from the Non-Qualified Plan. Changes in the market value of these participant investments are reflected as an adjustment to the deferred compensation liability with an offset to other income (expense), net. As of December 31, 2019 and 2018, our liability for the Non-Qualified Plan was $26.3 million and $22.8 million, respectively, and was recorded in other liabilities. We hedge the financial impact of changes in the participants’ hypothetical investments by purchasing the investments that the participants have chosen. With the exception of TechnipFMC plc stock, which is maintained at its cost basis, changes in the fair value of these investments are recognized as an offset to other income (expense), net. As of December 31, 2019 and 2018, we had investments for the Non-Qualified Plan totaling $26.3 million and $21.4 million at fair market value, respectively. As of December 31, 2019 and 2018, TechnipFMC stock held in trust of nil and $2.4 million at its cost basis, respectively. Refer to Note 25 to these consolidated financial statements for fair value disclosure of the Non-Qualified Plan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recognized expense of $34.0 million and $31.8 million for matching contributions to these plans in 2019 and 2018,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recognized expense of $13.2 million and $14.3 million for non-elective contributions in 2019 and 2018, respectively.</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DERIVATIVE FINANCIAL INSTRUMENTS</w:t>
      </w:r>
    </w:p>
    <w:p>
      <w:pPr>
        <w:spacing w:after="0" w:line="19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553" w:right="2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 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or sale commitments denominated in foreign currencies and recorded assets and liabilities in our consolidated balance sheets. At December 31, 2019, we held the following material net positions: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36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rPr>
              <w:t>Net Notional Amount</w:t>
            </w:r>
          </w:p>
        </w:tc>
        <w:tc>
          <w:tcPr>
            <w:tcW w:w="720" w:type="dxa"/>
            <w:vAlign w:val="bottom"/>
          </w:tcPr>
          <w:p>
            <w:pPr>
              <w:spacing w:after="0"/>
              <w:rPr>
                <w:sz w:val="14"/>
                <w:szCs w:val="14"/>
                <w:color w:val="auto"/>
              </w:rPr>
            </w:pPr>
          </w:p>
        </w:tc>
      </w:tr>
      <w:tr>
        <w:trPr>
          <w:trHeight w:val="196"/>
        </w:trPr>
        <w:tc>
          <w:tcPr>
            <w:tcW w:w="8340" w:type="dxa"/>
            <w:vAlign w:val="bottom"/>
          </w:tcPr>
          <w:p>
            <w:pPr>
              <w:spacing w:after="0"/>
              <w:rPr>
                <w:sz w:val="17"/>
                <w:szCs w:val="17"/>
                <w:color w:val="auto"/>
              </w:rPr>
            </w:pPr>
          </w:p>
        </w:tc>
        <w:tc>
          <w:tcPr>
            <w:tcW w:w="2360" w:type="dxa"/>
            <w:vAlign w:val="bottom"/>
            <w:tcBorders>
              <w:bottom w:val="single" w:sz="8" w:color="auto"/>
            </w:tcBorders>
            <w:gridSpan w:val="2"/>
          </w:tcPr>
          <w:p>
            <w:pPr>
              <w:jc w:val="center"/>
              <w:ind w:left="668"/>
              <w:spacing w:after="0"/>
              <w:rPr>
                <w:sz w:val="20"/>
                <w:szCs w:val="20"/>
                <w:color w:val="auto"/>
              </w:rPr>
            </w:pPr>
            <w:r>
              <w:rPr>
                <w:rFonts w:ascii="Arial" w:cs="Arial" w:eastAsia="Arial" w:hAnsi="Arial"/>
                <w:sz w:val="14"/>
                <w:szCs w:val="14"/>
                <w:b w:val="1"/>
                <w:bCs w:val="1"/>
                <w:color w:val="auto"/>
              </w:rPr>
              <w:t>Bought (Sold)</w:t>
            </w:r>
          </w:p>
        </w:tc>
        <w:tc>
          <w:tcPr>
            <w:tcW w:w="72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w:t>
            </w:r>
          </w:p>
        </w:tc>
        <w:tc>
          <w:tcPr>
            <w:tcW w:w="1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1,109.3</w:t>
            </w:r>
          </w:p>
        </w:tc>
        <w:tc>
          <w:tcPr>
            <w:tcW w:w="7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1,245.8</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British pound</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114.8</w:t>
            </w:r>
          </w:p>
        </w:tc>
        <w:tc>
          <w:tcPr>
            <w:tcW w:w="7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151.5</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Norwegian krone</w:t>
            </w:r>
          </w:p>
        </w:tc>
        <w:tc>
          <w:tcPr>
            <w:tcW w:w="1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2,682.6</w:t>
            </w:r>
          </w:p>
        </w:tc>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Brazilian real</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798.6</w:t>
            </w:r>
          </w:p>
        </w:tc>
        <w:tc>
          <w:tcPr>
            <w:tcW w:w="7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198.1</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Singapore dollar</w:t>
            </w:r>
          </w:p>
        </w:tc>
        <w:tc>
          <w:tcPr>
            <w:tcW w:w="1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208.1</w:t>
            </w:r>
          </w:p>
        </w:tc>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Malaysian ringgit</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413.6</w:t>
            </w:r>
          </w:p>
        </w:tc>
        <w:tc>
          <w:tcPr>
            <w:tcW w:w="7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101.2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Japanese yen</w:t>
            </w:r>
          </w:p>
        </w:tc>
        <w:tc>
          <w:tcPr>
            <w:tcW w:w="1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4,376.7</w:t>
            </w:r>
          </w:p>
        </w:tc>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Australian dollar</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51.3</w:t>
            </w:r>
          </w:p>
        </w:tc>
        <w:tc>
          <w:tcPr>
            <w:tcW w:w="7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Indonesian rupiah</w:t>
            </w:r>
          </w:p>
        </w:tc>
        <w:tc>
          <w:tcPr>
            <w:tcW w:w="1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240,584.6</w:t>
            </w:r>
          </w:p>
        </w:tc>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Swedish krona</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105.7</w:t>
            </w:r>
          </w:p>
        </w:tc>
        <w:tc>
          <w:tcPr>
            <w:tcW w:w="7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Mexican peso</w:t>
            </w: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(300.0)</w:t>
            </w:r>
          </w:p>
        </w:tc>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Honk Kong dollar</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(138.0)</w:t>
            </w:r>
          </w:p>
        </w:tc>
        <w:tc>
          <w:tcPr>
            <w:tcW w:w="7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Canadian dollar</w:t>
            </w: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(89.9)</w:t>
            </w:r>
          </w:p>
        </w:tc>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U.S. dollar</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(1,078.8)</w:t>
            </w:r>
          </w:p>
        </w:tc>
        <w:tc>
          <w:tcPr>
            <w:tcW w:w="7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(1,078.8)</w:t>
            </w:r>
          </w:p>
        </w:tc>
      </w:tr>
    </w:tbl>
    <w:p>
      <w:pPr>
        <w:spacing w:after="0" w:line="371"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At December 31, 2019, our portfolio of these instruments included the following material net positions: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46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Net Notional Amount</w:t>
            </w:r>
          </w:p>
        </w:tc>
        <w:tc>
          <w:tcPr>
            <w:tcW w:w="620" w:type="dxa"/>
            <w:vAlign w:val="bottom"/>
          </w:tcPr>
          <w:p>
            <w:pPr>
              <w:spacing w:after="0"/>
              <w:rPr>
                <w:sz w:val="14"/>
                <w:szCs w:val="14"/>
                <w:color w:val="auto"/>
              </w:rPr>
            </w:pPr>
          </w:p>
        </w:tc>
      </w:tr>
      <w:tr>
        <w:trPr>
          <w:trHeight w:val="196"/>
        </w:trPr>
        <w:tc>
          <w:tcPr>
            <w:tcW w:w="8340" w:type="dxa"/>
            <w:vAlign w:val="bottom"/>
          </w:tcPr>
          <w:p>
            <w:pPr>
              <w:spacing w:after="0"/>
              <w:rPr>
                <w:sz w:val="17"/>
                <w:szCs w:val="17"/>
                <w:color w:val="auto"/>
              </w:rPr>
            </w:pPr>
          </w:p>
        </w:tc>
        <w:tc>
          <w:tcPr>
            <w:tcW w:w="2460" w:type="dxa"/>
            <w:vAlign w:val="bottom"/>
            <w:tcBorders>
              <w:bottom w:val="single" w:sz="8" w:color="auto"/>
            </w:tcBorders>
            <w:gridSpan w:val="2"/>
          </w:tcPr>
          <w:p>
            <w:pPr>
              <w:jc w:val="center"/>
              <w:ind w:left="568"/>
              <w:spacing w:after="0"/>
              <w:rPr>
                <w:sz w:val="20"/>
                <w:szCs w:val="20"/>
                <w:color w:val="auto"/>
              </w:rPr>
            </w:pPr>
            <w:r>
              <w:rPr>
                <w:rFonts w:ascii="Arial" w:cs="Arial" w:eastAsia="Arial" w:hAnsi="Arial"/>
                <w:sz w:val="14"/>
                <w:szCs w:val="14"/>
                <w:b w:val="1"/>
                <w:bCs w:val="1"/>
                <w:color w:val="auto"/>
              </w:rPr>
              <w:t>Bought (Sold)</w:t>
            </w:r>
          </w:p>
        </w:tc>
        <w:tc>
          <w:tcPr>
            <w:tcW w:w="62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Brazilian real</w:t>
            </w:r>
          </w:p>
        </w:tc>
        <w:tc>
          <w:tcPr>
            <w:tcW w:w="1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57.6</w:t>
            </w:r>
          </w:p>
        </w:tc>
        <w:tc>
          <w:tcPr>
            <w:tcW w:w="8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Euro</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(6.8)</w:t>
            </w:r>
          </w:p>
        </w:tc>
        <w:tc>
          <w:tcPr>
            <w:tcW w:w="8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Norwegian krone</w:t>
            </w: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(124.7)</w:t>
            </w:r>
          </w:p>
        </w:tc>
        <w:tc>
          <w:tcPr>
            <w:tcW w:w="8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U.S. dollar</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7.9</w:t>
            </w:r>
          </w:p>
        </w:tc>
        <w:tc>
          <w:tcPr>
            <w:tcW w:w="8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7.9</w:t>
            </w:r>
          </w:p>
        </w:tc>
      </w:tr>
    </w:tbl>
    <w:p>
      <w:pPr>
        <w:spacing w:after="0" w:line="38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Refer to Note 25 to these consolidated financial statements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571"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Liabilities</w:t>
            </w:r>
          </w:p>
        </w:tc>
      </w:tr>
      <w:tr>
        <w:trPr>
          <w:trHeight w:val="270"/>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w:t>
            </w:r>
          </w:p>
        </w:tc>
      </w:tr>
      <w:tr>
        <w:trPr>
          <w:trHeight w:val="264"/>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173.0</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163.3</w:t>
            </w: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10.8</w:t>
            </w:r>
          </w:p>
        </w:tc>
      </w:tr>
      <w:tr>
        <w:trPr>
          <w:trHeight w:val="200"/>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 - Synthetic Bonds - Call Option</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4"/>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Premium</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5620" w:type="dxa"/>
            <w:vAlign w:val="bottom"/>
          </w:tcPr>
          <w:p>
            <w:pPr>
              <w:ind w:left="500"/>
              <w:spacing w:after="0"/>
              <w:rPr>
                <w:sz w:val="20"/>
                <w:szCs w:val="20"/>
                <w:color w:val="auto"/>
              </w:rPr>
            </w:pPr>
            <w:r>
              <w:rPr>
                <w:rFonts w:ascii="Arial" w:cs="Arial" w:eastAsia="Arial" w:hAnsi="Arial"/>
                <w:sz w:val="14"/>
                <w:szCs w:val="14"/>
                <w:color w:val="auto"/>
              </w:rPr>
              <w:t>Long-term - Derivative financial instruments - Synthetic Bonds - Embedded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8"/>
        </w:trPr>
        <w:tc>
          <w:tcPr>
            <w:tcW w:w="5620" w:type="dxa"/>
            <w:vAlign w:val="bottom"/>
          </w:tcPr>
          <w:p>
            <w:pPr>
              <w:ind w:left="500"/>
              <w:spacing w:after="0"/>
              <w:rPr>
                <w:sz w:val="20"/>
                <w:szCs w:val="20"/>
                <w:color w:val="auto"/>
              </w:rPr>
            </w:pPr>
            <w:r>
              <w:rPr>
                <w:rFonts w:ascii="Arial" w:cs="Arial" w:eastAsia="Arial" w:hAnsi="Arial"/>
                <w:sz w:val="14"/>
                <w:szCs w:val="14"/>
                <w:color w:val="auto"/>
              </w:rPr>
              <w:t>Derivatives</w:t>
            </w: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9.2</w:t>
            </w:r>
          </w:p>
        </w:tc>
      </w:tr>
      <w:tr>
        <w:trPr>
          <w:trHeight w:val="243"/>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183.3</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Cash flow hedges of forecasted transactions, net of tax, which qualify for hedge accounting, resulted in accumulated other comprehensive losses of $5.8 million and $33.0 million at December 31, 2019 and 2018, respectively. We expect to transfer an approximately $3.6 million loss from accumulated OCI to earnings during the next 12 months when the anticipated transactions actually occur. All anticipated transactions currently being hedged are expected to occur by the second half of 2023.</w:t>
      </w:r>
    </w:p>
    <w:p>
      <w:pPr>
        <w:spacing w:after="0" w:line="150"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The following tables present the location of gains (losses) on the consolidated statements of income related to derivative instruments designated as cash flow hedges.</w:t>
      </w:r>
    </w:p>
    <w:p>
      <w:pPr>
        <w:spacing w:after="0" w:line="292"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Gain (Loss) 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26035</wp:posOffset>
            </wp:positionV>
            <wp:extent cx="29673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4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26035</wp:posOffset>
            </wp:positionV>
            <wp:extent cx="29673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exchange contracts</w:t>
            </w: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571" w:right="239" w:bottom="1440" w:gutter="0" w:footer="0" w:header="0"/>
        </w:sectPr>
      </w:pPr>
    </w:p>
    <w:bookmarkStart w:id="127" w:name="page128"/>
    <w:bookmarkEnd w:id="127"/>
    <w:p>
      <w:pPr>
        <w:ind w:right="120"/>
        <w:spacing w:after="0" w:line="262" w:lineRule="auto"/>
        <w:rPr>
          <w:sz w:val="20"/>
          <w:szCs w:val="20"/>
          <w:color w:val="auto"/>
        </w:rPr>
      </w:pPr>
      <w:r>
        <w:rPr>
          <w:rFonts w:ascii="Arial" w:cs="Arial" w:eastAsia="Arial" w:hAnsi="Arial"/>
          <w:sz w:val="18"/>
          <w:szCs w:val="18"/>
          <w:color w:val="auto"/>
        </w:rPr>
        <w:t>The following represents the effect of cash flow hedge accounting on the consolidated statements of income for the year ended December 31, 2019, 2018 and 2017:</w:t>
      </w:r>
    </w:p>
    <w:p>
      <w:pPr>
        <w:spacing w:after="0" w:line="385" w:lineRule="exact"/>
        <w:rPr>
          <w:sz w:val="20"/>
          <w:szCs w:val="20"/>
          <w:color w:val="auto"/>
        </w:rPr>
      </w:pPr>
    </w:p>
    <w:p>
      <w:pPr>
        <w:ind w:left="570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64490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p>
      <w:pPr>
        <w:spacing w:after="0" w:line="157"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(In millions)</w:t>
      </w:r>
    </w:p>
    <w:p>
      <w:pPr>
        <w:spacing w:after="0" w:line="49" w:lineRule="exact"/>
        <w:rPr>
          <w:sz w:val="20"/>
          <w:szCs w:val="20"/>
          <w:color w:val="auto"/>
        </w:rPr>
      </w:pPr>
    </w:p>
    <w:p>
      <w:pPr>
        <w:ind w:left="40"/>
        <w:spacing w:after="0" w:line="263" w:lineRule="auto"/>
        <w:rPr>
          <w:sz w:val="20"/>
          <w:szCs w:val="20"/>
          <w:color w:val="auto"/>
        </w:rPr>
      </w:pPr>
      <w:r>
        <w:rPr>
          <w:rFonts w:ascii="Arial" w:cs="Arial" w:eastAsia="Arial" w:hAnsi="Arial"/>
          <w:sz w:val="10"/>
          <w:szCs w:val="10"/>
          <w:b w:val="1"/>
          <w:bCs w:val="1"/>
          <w:color w:val="auto"/>
        </w:rPr>
        <w:t>Total amount of income (expense) presented in the consolidated statements of income associated with hedges and derivatives</w:t>
      </w:r>
    </w:p>
    <w:p>
      <w:pPr>
        <w:spacing w:after="0" w:line="151" w:lineRule="exact"/>
        <w:rPr>
          <w:sz w:val="20"/>
          <w:szCs w:val="20"/>
          <w:color w:val="auto"/>
        </w:rPr>
      </w:pPr>
    </w:p>
    <w:p>
      <w:pPr>
        <w:ind w:left="40" w:right="120"/>
        <w:spacing w:after="0" w:line="243" w:lineRule="auto"/>
        <w:rPr>
          <w:sz w:val="20"/>
          <w:szCs w:val="20"/>
          <w:color w:val="auto"/>
        </w:rPr>
      </w:pPr>
      <w:r>
        <w:rPr>
          <w:rFonts w:ascii="Arial" w:cs="Arial" w:eastAsia="Arial" w:hAnsi="Arial"/>
          <w:sz w:val="11"/>
          <w:szCs w:val="11"/>
          <w:i w:val="1"/>
          <w:iCs w:val="1"/>
          <w:color w:val="auto"/>
        </w:rPr>
        <w:t>Cash Flow hedge gain (loss) recognized in income</w:t>
      </w:r>
    </w:p>
    <w:p>
      <w:pPr>
        <w:spacing w:after="0" w:line="34" w:lineRule="exact"/>
        <w:rPr>
          <w:sz w:val="20"/>
          <w:szCs w:val="20"/>
          <w:color w:val="auto"/>
        </w:rPr>
      </w:pPr>
    </w:p>
    <w:p>
      <w:pPr>
        <w:ind w:left="120" w:right="240"/>
        <w:spacing w:after="0" w:line="305" w:lineRule="auto"/>
        <w:rPr>
          <w:sz w:val="20"/>
          <w:szCs w:val="20"/>
          <w:color w:val="auto"/>
        </w:rPr>
      </w:pPr>
      <w:r>
        <w:rPr>
          <w:rFonts w:ascii="Arial" w:cs="Arial" w:eastAsia="Arial" w:hAnsi="Arial"/>
          <w:sz w:val="10"/>
          <w:szCs w:val="10"/>
          <w:i w:val="1"/>
          <w:iCs w:val="1"/>
          <w:color w:val="auto"/>
        </w:rPr>
        <w:t>Foreign Exchange Contracts</w:t>
      </w:r>
    </w:p>
    <w:p>
      <w:pPr>
        <w:spacing w:after="0" w:line="15" w:lineRule="exact"/>
        <w:rPr>
          <w:sz w:val="20"/>
          <w:szCs w:val="20"/>
          <w:color w:val="auto"/>
        </w:rPr>
      </w:pPr>
    </w:p>
    <w:p>
      <w:pPr>
        <w:ind w:left="200" w:right="40"/>
        <w:spacing w:after="0" w:line="269" w:lineRule="auto"/>
        <w:rPr>
          <w:sz w:val="20"/>
          <w:szCs w:val="20"/>
          <w:color w:val="auto"/>
        </w:rPr>
      </w:pPr>
      <w:r>
        <w:rPr>
          <w:rFonts w:ascii="Arial" w:cs="Arial" w:eastAsia="Arial" w:hAnsi="Arial"/>
          <w:sz w:val="10"/>
          <w:szCs w:val="10"/>
          <w:color w:val="auto"/>
        </w:rPr>
        <w:t>Amounts reclassified from accumulated OCI to income (loss)</w:t>
      </w:r>
    </w:p>
    <w:p>
      <w:pPr>
        <w:spacing w:after="0" w:line="32" w:lineRule="exact"/>
        <w:rPr>
          <w:sz w:val="20"/>
          <w:szCs w:val="20"/>
          <w:color w:val="auto"/>
        </w:rPr>
      </w:pPr>
    </w:p>
    <w:p>
      <w:pPr>
        <w:jc w:val="both"/>
        <w:ind w:left="200" w:right="160"/>
        <w:spacing w:after="0" w:line="269" w:lineRule="auto"/>
        <w:rPr>
          <w:sz w:val="20"/>
          <w:szCs w:val="20"/>
          <w:color w:val="auto"/>
        </w:rPr>
      </w:pPr>
      <w:r>
        <w:rPr>
          <w:rFonts w:ascii="Arial" w:cs="Arial" w:eastAsia="Arial" w:hAnsi="Arial"/>
          <w:sz w:val="10"/>
          <w:szCs w:val="10"/>
          <w:color w:val="auto"/>
        </w:rPr>
        <w:t>Amounts excluded from effectiveness testing</w:t>
      </w:r>
    </w:p>
    <w:p>
      <w:pPr>
        <w:spacing w:after="0" w:line="20" w:lineRule="exact"/>
        <w:rPr>
          <w:sz w:val="20"/>
          <w:szCs w:val="20"/>
          <w:color w:val="auto"/>
        </w:rPr>
      </w:pPr>
    </w:p>
    <w:p>
      <w:pPr>
        <w:jc w:val="both"/>
        <w:ind w:left="40" w:right="60"/>
        <w:spacing w:after="0" w:line="245" w:lineRule="auto"/>
        <w:rPr>
          <w:sz w:val="20"/>
          <w:szCs w:val="20"/>
          <w:color w:val="auto"/>
        </w:rPr>
      </w:pPr>
      <w:r>
        <w:rPr>
          <w:rFonts w:ascii="Arial" w:cs="Arial" w:eastAsia="Arial" w:hAnsi="Arial"/>
          <w:sz w:val="11"/>
          <w:szCs w:val="11"/>
          <w:b w:val="1"/>
          <w:bCs w:val="1"/>
          <w:color w:val="auto"/>
        </w:rPr>
        <w:t>Total cash flow hedge gain (loss) recognized in income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594"/>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574"/>
              <w:spacing w:after="0"/>
              <w:rPr>
                <w:sz w:val="20"/>
                <w:szCs w:val="20"/>
                <w:color w:val="auto"/>
              </w:rPr>
            </w:pPr>
            <w:r>
              <w:rPr>
                <w:rFonts w:ascii="Arial" w:cs="Arial" w:eastAsia="Arial" w:hAnsi="Arial"/>
                <w:sz w:val="11"/>
                <w:szCs w:val="11"/>
                <w:b w:val="1"/>
                <w:bCs w:val="1"/>
                <w:color w:val="auto"/>
                <w:w w:val="97"/>
              </w:rPr>
              <w:t>2018</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534"/>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69"/>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9"/>
              </w:rPr>
              <w:t>Selling,</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Selling,</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Selling,</w:t>
            </w:r>
          </w:p>
        </w:tc>
        <w:tc>
          <w:tcPr>
            <w:tcW w:w="780" w:type="dxa"/>
            <w:vAlign w:val="bottom"/>
          </w:tcPr>
          <w:p>
            <w:pPr>
              <w:spacing w:after="0"/>
              <w:rPr>
                <w:sz w:val="24"/>
                <w:szCs w:val="24"/>
                <w:color w:val="auto"/>
              </w:rPr>
            </w:pPr>
          </w:p>
        </w:tc>
      </w:tr>
      <w:tr>
        <w:trPr>
          <w:trHeight w:val="95"/>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9"/>
              </w:rPr>
              <w:t>general</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9"/>
              </w:rPr>
              <w:t>general</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9"/>
              </w:rPr>
              <w:t>general</w:t>
            </w:r>
          </w:p>
        </w:tc>
        <w:tc>
          <w:tcPr>
            <w:tcW w:w="780" w:type="dxa"/>
            <w:vAlign w:val="bottom"/>
          </w:tcPr>
          <w:p>
            <w:pPr>
              <w:spacing w:after="0"/>
              <w:rPr>
                <w:sz w:val="8"/>
                <w:szCs w:val="8"/>
                <w:color w:val="auto"/>
              </w:rPr>
            </w:pPr>
          </w:p>
        </w:tc>
      </w:tr>
      <w:tr>
        <w:trPr>
          <w:trHeight w:val="95"/>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9"/>
              </w:rPr>
              <w:t>and</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9"/>
              </w:rPr>
              <w:t>and</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9"/>
              </w:rPr>
              <w:t>and</w:t>
            </w:r>
          </w:p>
        </w:tc>
        <w:tc>
          <w:tcPr>
            <w:tcW w:w="780" w:type="dxa"/>
            <w:vAlign w:val="bottom"/>
          </w:tcPr>
          <w:p>
            <w:pPr>
              <w:spacing w:after="0"/>
              <w:rPr>
                <w:sz w:val="8"/>
                <w:szCs w:val="8"/>
                <w:color w:val="auto"/>
              </w:rPr>
            </w:pPr>
          </w:p>
        </w:tc>
      </w:tr>
      <w:tr>
        <w:trPr>
          <w:trHeight w:val="95"/>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6"/>
              </w:rPr>
              <w:t>Cost of</w:t>
            </w:r>
          </w:p>
        </w:tc>
        <w:tc>
          <w:tcPr>
            <w:tcW w:w="10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rPr>
              <w:t>administrative</w:t>
            </w:r>
          </w:p>
        </w:tc>
        <w:tc>
          <w:tcPr>
            <w:tcW w:w="940" w:type="dxa"/>
            <w:vAlign w:val="bottom"/>
            <w:gridSpan w:val="2"/>
          </w:tcPr>
          <w:p>
            <w:pPr>
              <w:ind w:left="120"/>
              <w:spacing w:after="0" w:line="95" w:lineRule="exact"/>
              <w:rPr>
                <w:sz w:val="20"/>
                <w:szCs w:val="20"/>
                <w:color w:val="auto"/>
              </w:rPr>
            </w:pPr>
            <w:r>
              <w:rPr>
                <w:rFonts w:ascii="Arial" w:cs="Arial" w:eastAsia="Arial" w:hAnsi="Arial"/>
                <w:sz w:val="9"/>
                <w:szCs w:val="9"/>
                <w:b w:val="1"/>
                <w:bCs w:val="1"/>
                <w:color w:val="auto"/>
              </w:rPr>
              <w:t>Other income</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rPr>
              <w:t>Cost of</w:t>
            </w:r>
          </w:p>
        </w:tc>
        <w:tc>
          <w:tcPr>
            <w:tcW w:w="10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8"/>
              </w:rPr>
              <w:t>administrative</w:t>
            </w:r>
          </w:p>
        </w:tc>
        <w:tc>
          <w:tcPr>
            <w:tcW w:w="880" w:type="dxa"/>
            <w:vAlign w:val="bottom"/>
            <w:gridSpan w:val="2"/>
          </w:tcPr>
          <w:p>
            <w:pPr>
              <w:ind w:left="100"/>
              <w:spacing w:after="0" w:line="95" w:lineRule="exact"/>
              <w:rPr>
                <w:sz w:val="20"/>
                <w:szCs w:val="20"/>
                <w:color w:val="auto"/>
              </w:rPr>
            </w:pPr>
            <w:r>
              <w:rPr>
                <w:rFonts w:ascii="Arial" w:cs="Arial" w:eastAsia="Arial" w:hAnsi="Arial"/>
                <w:sz w:val="9"/>
                <w:szCs w:val="9"/>
                <w:b w:val="1"/>
                <w:bCs w:val="1"/>
                <w:color w:val="auto"/>
              </w:rPr>
              <w:t>Other income</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6"/>
              </w:rPr>
              <w:t>Cost of</w:t>
            </w:r>
          </w:p>
        </w:tc>
        <w:tc>
          <w:tcPr>
            <w:tcW w:w="10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8"/>
              </w:rPr>
              <w:t>administrative</w:t>
            </w:r>
          </w:p>
        </w:tc>
        <w:tc>
          <w:tcPr>
            <w:tcW w:w="780" w:type="dxa"/>
            <w:vAlign w:val="bottom"/>
          </w:tcPr>
          <w:p>
            <w:pPr>
              <w:ind w:left="100"/>
              <w:spacing w:after="0" w:line="95" w:lineRule="exact"/>
              <w:rPr>
                <w:sz w:val="20"/>
                <w:szCs w:val="20"/>
                <w:color w:val="auto"/>
              </w:rPr>
            </w:pPr>
            <w:r>
              <w:rPr>
                <w:rFonts w:ascii="Arial" w:cs="Arial" w:eastAsia="Arial" w:hAnsi="Arial"/>
                <w:sz w:val="9"/>
                <w:szCs w:val="9"/>
                <w:b w:val="1"/>
                <w:bCs w:val="1"/>
                <w:color w:val="auto"/>
              </w:rPr>
              <w:t>Other income</w:t>
            </w:r>
          </w:p>
        </w:tc>
      </w:tr>
      <w:tr>
        <w:trPr>
          <w:trHeight w:val="125"/>
        </w:trPr>
        <w:tc>
          <w:tcPr>
            <w:tcW w:w="700" w:type="dxa"/>
            <w:vAlign w:val="bottom"/>
            <w:tcBorders>
              <w:bottom w:val="single" w:sz="8" w:color="auto"/>
            </w:tcBorders>
          </w:tcPr>
          <w:p>
            <w:pPr>
              <w:ind w:left="160"/>
              <w:spacing w:after="0"/>
              <w:rPr>
                <w:sz w:val="20"/>
                <w:szCs w:val="20"/>
                <w:color w:val="auto"/>
              </w:rPr>
            </w:pPr>
            <w:r>
              <w:rPr>
                <w:rFonts w:ascii="Arial" w:cs="Arial" w:eastAsia="Arial" w:hAnsi="Arial"/>
                <w:sz w:val="9"/>
                <w:szCs w:val="9"/>
                <w:b w:val="1"/>
                <w:bCs w:val="1"/>
                <w:color w:val="auto"/>
              </w:rPr>
              <w:t>Revenue</w:t>
            </w:r>
          </w:p>
        </w:tc>
        <w:tc>
          <w:tcPr>
            <w:tcW w:w="12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sales</w:t>
            </w:r>
          </w:p>
        </w:tc>
        <w:tc>
          <w:tcPr>
            <w:tcW w:w="120" w:type="dxa"/>
            <w:vAlign w:val="bottom"/>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expense</w:t>
            </w:r>
          </w:p>
        </w:tc>
        <w:tc>
          <w:tcPr>
            <w:tcW w:w="120" w:type="dxa"/>
            <w:vAlign w:val="bottom"/>
          </w:tcPr>
          <w:p>
            <w:pPr>
              <w:spacing w:after="0"/>
              <w:rPr>
                <w:sz w:val="10"/>
                <w:szCs w:val="1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9"/>
                <w:szCs w:val="9"/>
                <w:b w:val="1"/>
                <w:bCs w:val="1"/>
                <w:color w:val="auto"/>
              </w:rPr>
              <w:t>(expense), net</w:t>
            </w:r>
          </w:p>
        </w:tc>
        <w:tc>
          <w:tcPr>
            <w:tcW w:w="120" w:type="dxa"/>
            <w:vAlign w:val="bottom"/>
          </w:tcPr>
          <w:p>
            <w:pPr>
              <w:spacing w:after="0"/>
              <w:rPr>
                <w:sz w:val="10"/>
                <w:szCs w:val="1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9"/>
                <w:szCs w:val="9"/>
                <w:b w:val="1"/>
                <w:bCs w:val="1"/>
                <w:color w:val="auto"/>
              </w:rPr>
              <w:t>Revenue</w:t>
            </w:r>
          </w:p>
        </w:tc>
        <w:tc>
          <w:tcPr>
            <w:tcW w:w="12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sales</w:t>
            </w:r>
          </w:p>
        </w:tc>
        <w:tc>
          <w:tcPr>
            <w:tcW w:w="12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expense</w:t>
            </w:r>
          </w:p>
        </w:tc>
        <w:tc>
          <w:tcPr>
            <w:tcW w:w="120" w:type="dxa"/>
            <w:vAlign w:val="bottom"/>
          </w:tcPr>
          <w:p>
            <w:pPr>
              <w:spacing w:after="0"/>
              <w:rPr>
                <w:sz w:val="10"/>
                <w:szCs w:val="1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(expense), net</w:t>
            </w:r>
          </w:p>
        </w:tc>
        <w:tc>
          <w:tcPr>
            <w:tcW w:w="100" w:type="dxa"/>
            <w:vAlign w:val="bottom"/>
          </w:tcPr>
          <w:p>
            <w:pPr>
              <w:spacing w:after="0"/>
              <w:rPr>
                <w:sz w:val="10"/>
                <w:szCs w:val="10"/>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9"/>
                <w:szCs w:val="9"/>
                <w:b w:val="1"/>
                <w:bCs w:val="1"/>
                <w:color w:val="auto"/>
              </w:rPr>
              <w:t>Revenue</w:t>
            </w:r>
          </w:p>
        </w:tc>
        <w:tc>
          <w:tcPr>
            <w:tcW w:w="120" w:type="dxa"/>
            <w:vAlign w:val="bottom"/>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sales</w:t>
            </w:r>
          </w:p>
        </w:tc>
        <w:tc>
          <w:tcPr>
            <w:tcW w:w="12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expense</w:t>
            </w:r>
          </w:p>
        </w:tc>
        <w:tc>
          <w:tcPr>
            <w:tcW w:w="120" w:type="dxa"/>
            <w:vAlign w:val="bottom"/>
          </w:tcPr>
          <w:p>
            <w:pPr>
              <w:spacing w:after="0"/>
              <w:rPr>
                <w:sz w:val="10"/>
                <w:szCs w:val="1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(expense), net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257175</wp:posOffset>
            </wp:positionV>
            <wp:extent cx="72466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00" w:type="dxa"/>
            <w:vAlign w:val="bottom"/>
          </w:tcPr>
          <w:p>
            <w:pPr>
              <w:jc w:val="right"/>
              <w:ind w:right="17"/>
              <w:spacing w:after="0"/>
              <w:rPr>
                <w:sz w:val="20"/>
                <w:szCs w:val="20"/>
                <w:color w:val="auto"/>
              </w:rPr>
            </w:pPr>
            <w:r>
              <w:rPr>
                <w:rFonts w:ascii="Arial" w:cs="Arial" w:eastAsia="Arial" w:hAnsi="Arial"/>
                <w:sz w:val="13"/>
                <w:szCs w:val="13"/>
                <w:color w:val="auto"/>
              </w:rPr>
              <w:t>$   (26.6)</w:t>
            </w:r>
          </w:p>
        </w:tc>
        <w:tc>
          <w:tcPr>
            <w:tcW w:w="120" w:type="dxa"/>
            <w:vAlign w:val="bottom"/>
          </w:tcPr>
          <w:p>
            <w:pPr>
              <w:spacing w:after="0"/>
              <w:rPr>
                <w:sz w:val="13"/>
                <w:szCs w:val="1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  12.0</w:t>
            </w:r>
          </w:p>
        </w:tc>
        <w:tc>
          <w:tcPr>
            <w:tcW w:w="120" w:type="dxa"/>
            <w:vAlign w:val="bottom"/>
          </w:tcPr>
          <w:p>
            <w:pPr>
              <w:spacing w:after="0"/>
              <w:rPr>
                <w:sz w:val="13"/>
                <w:szCs w:val="13"/>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3"/>
                <w:szCs w:val="13"/>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3"/>
                <w:szCs w:val="1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   3.4</w:t>
            </w:r>
          </w:p>
        </w:tc>
        <w:tc>
          <w:tcPr>
            <w:tcW w:w="120" w:type="dxa"/>
            <w:vAlign w:val="bottom"/>
          </w:tcPr>
          <w:p>
            <w:pPr>
              <w:spacing w:after="0"/>
              <w:rPr>
                <w:sz w:val="13"/>
                <w:szCs w:val="13"/>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3"/>
                <w:szCs w:val="13"/>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(39.3)</w:t>
            </w:r>
          </w:p>
        </w:tc>
        <w:tc>
          <w:tcPr>
            <w:tcW w:w="120" w:type="dxa"/>
            <w:vAlign w:val="bottom"/>
          </w:tcPr>
          <w:p>
            <w:pPr>
              <w:spacing w:after="0"/>
              <w:rPr>
                <w:sz w:val="13"/>
                <w:szCs w:val="1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   5.3</w:t>
            </w:r>
          </w:p>
        </w:tc>
        <w:tc>
          <w:tcPr>
            <w:tcW w:w="120" w:type="dxa"/>
            <w:vAlign w:val="bottom"/>
          </w:tcPr>
          <w:p>
            <w:pPr>
              <w:spacing w:after="0"/>
              <w:rPr>
                <w:sz w:val="13"/>
                <w:szCs w:val="13"/>
                <w:color w:val="auto"/>
              </w:rPr>
            </w:pP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3"/>
                <w:szCs w:val="1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(102.2)</w:t>
            </w:r>
          </w:p>
        </w:tc>
      </w:tr>
      <w:tr>
        <w:trPr>
          <w:trHeight w:val="428"/>
        </w:trPr>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24"/>
                <w:szCs w:val="2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23.0</w:t>
            </w:r>
          </w:p>
        </w:tc>
      </w:tr>
      <w:tr>
        <w:trPr>
          <w:trHeight w:val="399"/>
        </w:trPr>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(26.0)</w:t>
            </w:r>
          </w:p>
        </w:tc>
        <w:tc>
          <w:tcPr>
            <w:tcW w:w="120" w:type="dxa"/>
            <w:vAlign w:val="bottom"/>
          </w:tcPr>
          <w:p>
            <w:pPr>
              <w:spacing w:after="0"/>
              <w:rPr>
                <w:sz w:val="24"/>
                <w:szCs w:val="24"/>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4.4</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(44.0)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(4.6)</w:t>
            </w:r>
          </w:p>
        </w:tc>
        <w:tc>
          <w:tcPr>
            <w:tcW w:w="12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(11.3)</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(29.8)</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0.9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-539750</wp:posOffset>
            </wp:positionV>
            <wp:extent cx="7246620" cy="266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-8255</wp:posOffset>
            </wp:positionV>
            <wp:extent cx="724662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40" w:space="20"/>
            <w:col w:w="10160"/>
          </w:cols>
          <w:pgMar w:left="240" w:top="571" w:right="239" w:bottom="1440" w:gutter="0" w:footer="0" w:header="0"/>
          <w:type w:val="continuous"/>
        </w:sectPr>
      </w:pP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220" w:type="dxa"/>
            <w:vAlign w:val="bottom"/>
          </w:tcPr>
          <w:p>
            <w:pPr>
              <w:spacing w:after="0"/>
              <w:rPr>
                <w:sz w:val="20"/>
                <w:szCs w:val="20"/>
                <w:color w:val="auto"/>
              </w:rPr>
            </w:pPr>
            <w:r>
              <w:rPr>
                <w:rFonts w:ascii="Arial" w:cs="Arial" w:eastAsia="Arial" w:hAnsi="Arial"/>
                <w:sz w:val="11"/>
                <w:szCs w:val="11"/>
                <w:color w:val="auto"/>
                <w:w w:val="98"/>
              </w:rPr>
              <w:t>Gain (loss) recognized in</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color w:val="auto"/>
              </w:rPr>
              <w:t>income on derivatives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color w:val="auto"/>
              </w:rPr>
              <w:t>not designated as</w:t>
            </w: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(1.6)</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0.2</w:t>
            </w:r>
          </w:p>
        </w:tc>
        <w:tc>
          <w:tcPr>
            <w:tcW w:w="500" w:type="dxa"/>
            <w:vAlign w:val="bottom"/>
          </w:tcPr>
          <w:p>
            <w:pPr>
              <w:spacing w:after="0"/>
              <w:rPr>
                <w:sz w:val="10"/>
                <w:szCs w:val="10"/>
                <w:color w:val="auto"/>
              </w:rPr>
            </w:pPr>
          </w:p>
        </w:tc>
        <w:tc>
          <w:tcPr>
            <w:tcW w:w="54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0"/>
                <w:szCs w:val="10"/>
                <w:color w:val="auto"/>
              </w:rPr>
            </w:pPr>
          </w:p>
        </w:tc>
        <w:tc>
          <w:tcPr>
            <w:tcW w:w="600" w:type="dxa"/>
            <w:vAlign w:val="bottom"/>
            <w:vMerge w:val="restart"/>
          </w:tcPr>
          <w:p>
            <w:pPr>
              <w:jc w:val="right"/>
              <w:ind w:right="57"/>
              <w:spacing w:after="0"/>
              <w:rPr>
                <w:sz w:val="20"/>
                <w:szCs w:val="20"/>
                <w:color w:val="auto"/>
              </w:rPr>
            </w:pPr>
            <w:r>
              <w:rPr>
                <w:rFonts w:ascii="Arial" w:cs="Arial" w:eastAsia="Arial" w:hAnsi="Arial"/>
                <w:sz w:val="13"/>
                <w:szCs w:val="13"/>
                <w:color w:val="auto"/>
              </w:rPr>
              <w:t>(10.2)</w:t>
            </w:r>
          </w:p>
        </w:tc>
        <w:tc>
          <w:tcPr>
            <w:tcW w:w="320" w:type="dxa"/>
            <w:vAlign w:val="bottom"/>
          </w:tcPr>
          <w:p>
            <w:pPr>
              <w:spacing w:after="0"/>
              <w:rPr>
                <w:sz w:val="10"/>
                <w:szCs w:val="10"/>
                <w:color w:val="auto"/>
              </w:rPr>
            </w:pPr>
          </w:p>
        </w:tc>
        <w:tc>
          <w:tcPr>
            <w:tcW w:w="500" w:type="dxa"/>
            <w:vAlign w:val="bottom"/>
            <w:vMerge w:val="restart"/>
          </w:tcPr>
          <w:p>
            <w:pPr>
              <w:jc w:val="right"/>
              <w:ind w:right="57"/>
              <w:spacing w:after="0"/>
              <w:rPr>
                <w:sz w:val="20"/>
                <w:szCs w:val="20"/>
                <w:color w:val="auto"/>
              </w:rPr>
            </w:pPr>
            <w:r>
              <w:rPr>
                <w:rFonts w:ascii="Arial" w:cs="Arial" w:eastAsia="Arial" w:hAnsi="Arial"/>
                <w:sz w:val="13"/>
                <w:szCs w:val="13"/>
                <w:color w:val="auto"/>
              </w:rPr>
              <w:t>(1.7)</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0.2</w:t>
            </w:r>
          </w:p>
        </w:tc>
        <w:tc>
          <w:tcPr>
            <w:tcW w:w="400" w:type="dxa"/>
            <w:vAlign w:val="bottom"/>
          </w:tcPr>
          <w:p>
            <w:pPr>
              <w:spacing w:after="0"/>
              <w:rPr>
                <w:sz w:val="10"/>
                <w:szCs w:val="10"/>
                <w:color w:val="auto"/>
              </w:rPr>
            </w:pP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0"/>
                <w:szCs w:val="10"/>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(11.4)</w:t>
            </w:r>
          </w:p>
        </w:tc>
        <w:tc>
          <w:tcPr>
            <w:tcW w:w="760" w:type="dxa"/>
            <w:vAlign w:val="bottom"/>
            <w:vMerge w:val="restart"/>
          </w:tcPr>
          <w:p>
            <w:pPr>
              <w:jc w:val="right"/>
              <w:ind w:right="77"/>
              <w:spacing w:after="0"/>
              <w:rPr>
                <w:sz w:val="20"/>
                <w:szCs w:val="20"/>
                <w:color w:val="auto"/>
              </w:rPr>
            </w:pPr>
            <w:r>
              <w:rPr>
                <w:rFonts w:ascii="Arial" w:cs="Arial" w:eastAsia="Arial" w:hAnsi="Arial"/>
                <w:sz w:val="13"/>
                <w:szCs w:val="13"/>
                <w:color w:val="auto"/>
              </w:rPr>
              <w:t>0.9</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(0.3)</w:t>
            </w:r>
          </w:p>
        </w:tc>
        <w:tc>
          <w:tcPr>
            <w:tcW w:w="440" w:type="dxa"/>
            <w:vAlign w:val="bottom"/>
          </w:tcPr>
          <w:p>
            <w:pPr>
              <w:spacing w:after="0"/>
              <w:rPr>
                <w:sz w:val="10"/>
                <w:szCs w:val="10"/>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36"/>
        </w:trPr>
        <w:tc>
          <w:tcPr>
            <w:tcW w:w="1220" w:type="dxa"/>
            <w:vAlign w:val="bottom"/>
          </w:tcPr>
          <w:p>
            <w:pPr>
              <w:spacing w:after="0"/>
              <w:rPr>
                <w:sz w:val="20"/>
                <w:szCs w:val="20"/>
                <w:color w:val="auto"/>
              </w:rPr>
            </w:pPr>
            <w:r>
              <w:rPr>
                <w:rFonts w:ascii="Arial" w:cs="Arial" w:eastAsia="Arial" w:hAnsi="Arial"/>
                <w:sz w:val="11"/>
                <w:szCs w:val="11"/>
                <w:color w:val="auto"/>
              </w:rPr>
              <w:t>hedging instruments</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rPr>
              <w:t>$   (27.6)</w:t>
            </w:r>
          </w:p>
        </w:tc>
        <w:tc>
          <w:tcPr>
            <w:tcW w:w="700" w:type="dxa"/>
            <w:vAlign w:val="bottom"/>
          </w:tcPr>
          <w:p>
            <w:pPr>
              <w:jc w:val="right"/>
              <w:ind w:right="77"/>
              <w:spacing w:after="0"/>
              <w:rPr>
                <w:sz w:val="20"/>
                <w:szCs w:val="20"/>
                <w:color w:val="auto"/>
              </w:rPr>
            </w:pPr>
            <w:r>
              <w:rPr>
                <w:rFonts w:ascii="Arial" w:cs="Arial" w:eastAsia="Arial" w:hAnsi="Arial"/>
                <w:sz w:val="13"/>
                <w:szCs w:val="13"/>
                <w:b w:val="1"/>
                <w:bCs w:val="1"/>
                <w:color w:val="auto"/>
              </w:rPr>
              <w:t>$   4.6</w:t>
            </w:r>
          </w:p>
        </w:tc>
        <w:tc>
          <w:tcPr>
            <w:tcW w:w="50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(54.2)</w:t>
            </w:r>
          </w:p>
        </w:tc>
        <w:tc>
          <w:tcPr>
            <w:tcW w:w="32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ind w:right="57"/>
              <w:spacing w:after="0"/>
              <w:rPr>
                <w:sz w:val="20"/>
                <w:szCs w:val="20"/>
                <w:color w:val="auto"/>
              </w:rPr>
            </w:pPr>
            <w:r>
              <w:rPr>
                <w:rFonts w:ascii="Arial" w:cs="Arial" w:eastAsia="Arial" w:hAnsi="Arial"/>
                <w:sz w:val="13"/>
                <w:szCs w:val="13"/>
                <w:b w:val="1"/>
                <w:bCs w:val="1"/>
                <w:color w:val="auto"/>
              </w:rPr>
              <w:t>(6.3)</w:t>
            </w: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  (1.2)</w:t>
            </w:r>
          </w:p>
        </w:tc>
        <w:tc>
          <w:tcPr>
            <w:tcW w:w="40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b w:val="1"/>
                <w:bCs w:val="1"/>
                <w:color w:val="auto"/>
              </w:rPr>
              <w:t>(0.1)</w:t>
            </w:r>
          </w:p>
        </w:tc>
        <w:tc>
          <w:tcPr>
            <w:tcW w:w="32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b w:val="1"/>
                <w:bCs w:val="1"/>
                <w:color w:val="auto"/>
              </w:rPr>
              <w:t>(22.7)</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   (28.9)</w:t>
            </w: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  (4.0)</w:t>
            </w:r>
          </w:p>
        </w:tc>
        <w:tc>
          <w:tcPr>
            <w:tcW w:w="44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0.9</w:t>
            </w:r>
          </w:p>
        </w:tc>
        <w:tc>
          <w:tcPr>
            <w:tcW w:w="34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8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with counterparties that consent to a master netting agreement which permits net</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the gross derivative assets against gross derivative liabilities. Each instrument is accounted for individually and assets and liabilities are not offset. As of December 31, 2019 and 2018, we had no collateralized derivative contracts. The following tables present both gross information and net information of recognized derivative instruments: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75"/>
        </w:trPr>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Offset</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Offset</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Net Amount</w:t>
            </w: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194.0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(112.5)</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183.3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77.4</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571" w:right="2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NOTE 25.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Investments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Equity securities</w:t>
            </w:r>
            <w:r>
              <w:rPr>
                <w:rFonts w:ascii="Arial" w:cs="Arial" w:eastAsia="Arial" w:hAnsi="Arial"/>
                <w:sz w:val="17"/>
                <w:szCs w:val="17"/>
                <w:color w:val="auto"/>
                <w:vertAlign w:val="superscript"/>
              </w:rPr>
              <w:t>(a)</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40" w:type="dxa"/>
            <w:vAlign w:val="bottom"/>
          </w:tcPr>
          <w:p>
            <w:pPr>
              <w:ind w:left="380"/>
              <w:spacing w:after="0"/>
              <w:rPr>
                <w:sz w:val="20"/>
                <w:szCs w:val="20"/>
                <w:color w:val="auto"/>
              </w:rPr>
            </w:pPr>
            <w:r>
              <w:rPr>
                <w:rFonts w:ascii="Arial" w:cs="Arial" w:eastAsia="Arial" w:hAnsi="Arial"/>
                <w:sz w:val="14"/>
                <w:szCs w:val="14"/>
                <w:color w:val="auto"/>
              </w:rPr>
              <w:t>Money market fund</w:t>
            </w: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Stable value fund</w:t>
            </w:r>
            <w:r>
              <w:rPr>
                <w:rFonts w:ascii="Arial" w:cs="Arial" w:eastAsia="Arial" w:hAnsi="Arial"/>
                <w:sz w:val="17"/>
                <w:szCs w:val="17"/>
                <w:color w:val="auto"/>
                <w:vertAlign w:val="superscript"/>
              </w:rPr>
              <w:t>(b)</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40" w:type="dxa"/>
            <w:vAlign w:val="bottom"/>
          </w:tcPr>
          <w:p>
            <w:pPr>
              <w:ind w:left="380"/>
              <w:spacing w:after="0"/>
              <w:rPr>
                <w:sz w:val="20"/>
                <w:szCs w:val="20"/>
                <w:color w:val="auto"/>
              </w:rPr>
            </w:pPr>
            <w:r>
              <w:rPr>
                <w:rFonts w:ascii="Arial" w:cs="Arial" w:eastAsia="Arial" w:hAnsi="Arial"/>
                <w:sz w:val="14"/>
                <w:szCs w:val="14"/>
                <w:color w:val="auto"/>
              </w:rPr>
              <w:t>Held to maturity</w:t>
            </w: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71.9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380"/>
              <w:spacing w:after="0"/>
              <w:rPr>
                <w:sz w:val="20"/>
                <w:szCs w:val="20"/>
                <w:color w:val="auto"/>
              </w:rPr>
            </w:pPr>
            <w:r>
              <w:rPr>
                <w:rFonts w:ascii="Arial" w:cs="Arial" w:eastAsia="Arial" w:hAnsi="Arial"/>
                <w:sz w:val="14"/>
                <w:szCs w:val="14"/>
                <w:color w:val="auto"/>
              </w:rPr>
              <w:t>Synthetic bonds - call option premium</w:t>
            </w: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40"/>
              <w:spacing w:after="0"/>
              <w:rPr>
                <w:sz w:val="20"/>
                <w:szCs w:val="20"/>
                <w:color w:val="auto"/>
              </w:rPr>
            </w:pPr>
            <w:r>
              <w:rPr>
                <w:rFonts w:ascii="Arial" w:cs="Arial" w:eastAsia="Arial" w:hAnsi="Arial"/>
                <w:sz w:val="14"/>
                <w:szCs w:val="14"/>
                <w:color w:val="auto"/>
              </w:rPr>
              <w:t>Assets held for sale</w:t>
            </w: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financial liability</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408.5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408.5</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Synthetic bonds - embedded derivatives</w:t>
            </w: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189.7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held for sale</w:t>
            </w: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194.0</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278.1</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424.7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4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color w:val="auto"/>
        </w:rPr>
        <w:t xml:space="preserve">Equity securities and Available-for-Sale Securities - </w:t>
      </w:r>
      <w:r>
        <w:rPr>
          <w:rFonts w:ascii="Arial" w:cs="Arial" w:eastAsia="Arial" w:hAnsi="Arial"/>
          <w:sz w:val="18"/>
          <w:szCs w:val="18"/>
          <w:color w:val="auto"/>
        </w:rPr>
        <w:t>The fair value measurement of our traded securities and Available-for-Sale-Securities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that we have the ability to access in public markets.</w:t>
      </w:r>
    </w:p>
    <w:p>
      <w:pPr>
        <w:spacing w:after="0" w:line="108"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Stable value fund and money market fund are valued at the net asset value of the shares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 cost,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approximates fair value.</w:t>
      </w:r>
    </w:p>
    <w:p>
      <w:pPr>
        <w:spacing w:after="0" w:line="10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Assets and liabilities held for sale - </w:t>
      </w:r>
      <w:r>
        <w:rPr>
          <w:rFonts w:ascii="Arial" w:cs="Arial" w:eastAsia="Arial" w:hAnsi="Arial"/>
          <w:sz w:val="18"/>
          <w:szCs w:val="18"/>
          <w:color w:val="auto"/>
        </w:rPr>
        <w:t>The fair value of our assets and liabilities held for sale was determined using a market approach that took</w:t>
      </w:r>
      <w:r>
        <w:rPr>
          <w:rFonts w:ascii="Arial" w:cs="Arial" w:eastAsia="Arial" w:hAnsi="Arial"/>
          <w:sz w:val="18"/>
          <w:szCs w:val="18"/>
          <w:i w:val="1"/>
          <w:iCs w:val="1"/>
          <w:color w:val="auto"/>
        </w:rPr>
        <w:t xml:space="preserve"> </w:t>
      </w:r>
      <w:r>
        <w:rPr>
          <w:rFonts w:ascii="Arial" w:cs="Arial" w:eastAsia="Arial" w:hAnsi="Arial"/>
          <w:sz w:val="18"/>
          <w:szCs w:val="18"/>
          <w:color w:val="auto"/>
        </w:rPr>
        <w:t>into consideration the expected sales price.</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In the fourth quarter of 2016, we obtained voting control interests in legal Onshore/Offshore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which own and account for the design, engineering and construction of the Yamal LNG plant. As part of this transaction, we recognized the fair value of the mandatorily redeemable financial liability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the selected discount rate and the overall timing of completion of the project.</w:t>
      </w:r>
    </w:p>
    <w:p>
      <w:pPr>
        <w:spacing w:after="0" w:line="14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 mandatorily redeemable financial liability of $268.8 million, $408.5 million and $312.0 million was recognized as of December 31, 2019, 2018 and 2017, respectively, to account for the fair value of the non-controlling interests. During the year ended December 31, 2019, 2018 and 2017, we revalued the liability to reflect current expectations about the obligation, which resulted in the recognition of a loss of $423.1 million, $322.3 million and $293.7million, respectively.</w:t>
      </w:r>
    </w:p>
    <w:p>
      <w:pPr>
        <w:sectPr>
          <w:pgSz w:w="11900" w:h="16838" w:orient="portrait"/>
          <w:cols w:equalWidth="0" w:num="1">
            <w:col w:w="11420"/>
          </w:cols>
          <w:pgMar w:left="240" w:top="549"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20"/>
          </w:cols>
          <w:pgMar w:left="240" w:top="549" w:right="239" w:bottom="1440" w:gutter="0" w:footer="0" w:header="0"/>
          <w:type w:val="continuous"/>
        </w:sectPr>
      </w:pPr>
    </w:p>
    <w:bookmarkStart w:id="129" w:name="page130"/>
    <w:bookmarkEnd w:id="129"/>
    <w:p>
      <w:pPr>
        <w:ind w:right="60"/>
        <w:spacing w:after="0" w:line="256" w:lineRule="auto"/>
        <w:rPr>
          <w:sz w:val="20"/>
          <w:szCs w:val="20"/>
          <w:color w:val="auto"/>
        </w:rPr>
      </w:pPr>
      <w:r>
        <w:rPr>
          <w:rFonts w:ascii="Arial" w:cs="Arial" w:eastAsia="Arial" w:hAnsi="Arial"/>
          <w:sz w:val="18"/>
          <w:szCs w:val="18"/>
          <w:color w:val="auto"/>
        </w:rPr>
        <w:t>A decrease of one percentage point in the discount rate would have increased the liability by $3.4 million as of December 31, 2019. The fair value measurement is based upon significant unobservable inputs not observable in the market and is consequently classified as a Level 3 fair value measurement.</w:t>
      </w:r>
    </w:p>
    <w:p>
      <w:pPr>
        <w:spacing w:after="0" w:line="148"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is presented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6"/>
                <w:szCs w:val="16"/>
                <w:color w:val="auto"/>
              </w:rPr>
            </w:pPr>
          </w:p>
        </w:tc>
      </w:tr>
      <w:tr>
        <w:trPr>
          <w:trHeight w:val="276"/>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256"/>
        </w:trPr>
        <w:tc>
          <w:tcPr>
            <w:tcW w:w="7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beginning of period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174.8</w:t>
            </w:r>
          </w:p>
        </w:tc>
      </w:tr>
      <w:tr>
        <w:trPr>
          <w:trHeight w:val="264"/>
        </w:trPr>
        <w:tc>
          <w:tcPr>
            <w:tcW w:w="7760" w:type="dxa"/>
            <w:vAlign w:val="bottom"/>
          </w:tcPr>
          <w:p>
            <w:pPr>
              <w:ind w:left="40"/>
              <w:spacing w:after="0"/>
              <w:rPr>
                <w:sz w:val="20"/>
                <w:szCs w:val="20"/>
                <w:color w:val="auto"/>
              </w:rPr>
            </w:pPr>
            <w:r>
              <w:rPr>
                <w:rFonts w:ascii="Arial" w:cs="Arial" w:eastAsia="Arial" w:hAnsi="Arial"/>
                <w:sz w:val="14"/>
                <w:szCs w:val="14"/>
                <w:color w:val="auto"/>
              </w:rPr>
              <w:t>Less: Expenses recognized in net interest expense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(293.7)</w:t>
            </w: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Settlements</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562.8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225.8</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156.5</w:t>
            </w:r>
          </w:p>
        </w:tc>
      </w:tr>
      <w:tr>
        <w:trPr>
          <w:trHeight w:val="237"/>
        </w:trPr>
        <w:tc>
          <w:tcPr>
            <w:tcW w:w="7760" w:type="dxa"/>
            <w:vAlign w:val="bottom"/>
          </w:tcPr>
          <w:p>
            <w:pPr>
              <w:ind w:left="40"/>
              <w:spacing w:after="0"/>
              <w:rPr>
                <w:sz w:val="20"/>
                <w:szCs w:val="20"/>
                <w:color w:val="auto"/>
              </w:rPr>
            </w:pPr>
            <w:r>
              <w:rPr>
                <w:rFonts w:ascii="Arial" w:cs="Arial" w:eastAsia="Arial" w:hAnsi="Arial"/>
                <w:sz w:val="14"/>
                <w:szCs w:val="14"/>
                <w:b w:val="1"/>
                <w:bCs w:val="1"/>
                <w:color w:val="auto"/>
              </w:rPr>
              <w:t>Balance at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312.0</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In the first quarter of 2018, we acquired a 51% share in Island Offshore. The noncontrolling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 mezzanine equity at fair value. The fair value measurement is based upon significant unobservable inputs not observable in the market and is consequently classified as a Level 3 fair value measurement. As of December 31, 2019, the fair value of our redeemable noncontrolling interest was $41.1 million. Refer to Note 2 to these consolidated financial statements for additional disclosure related to the acquisition.</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142" w:lineRule="exact"/>
        <w:rPr>
          <w:sz w:val="20"/>
          <w:szCs w:val="20"/>
          <w:color w:val="auto"/>
        </w:rPr>
      </w:pPr>
    </w:p>
    <w:p>
      <w:pPr>
        <w:ind w:right="1380"/>
        <w:spacing w:after="0" w:line="428" w:lineRule="auto"/>
        <w:rPr>
          <w:sz w:val="20"/>
          <w:szCs w:val="20"/>
          <w:color w:val="auto"/>
        </w:rPr>
      </w:pPr>
      <w:r>
        <w:rPr>
          <w:rFonts w:ascii="Arial" w:cs="Arial" w:eastAsia="Arial" w:hAnsi="Arial"/>
          <w:sz w:val="18"/>
          <w:szCs w:val="18"/>
          <w:color w:val="auto"/>
        </w:rPr>
        <w:t xml:space="preserve">Refer to Note 24 to these consolidated financial statements for additional disclosure related to derivative financial instruments. </w:t>
      </w:r>
      <w:r>
        <w:rPr>
          <w:rFonts w:ascii="Arial" w:cs="Arial" w:eastAsia="Arial" w:hAnsi="Arial"/>
          <w:sz w:val="18"/>
          <w:szCs w:val="18"/>
          <w:b w:val="1"/>
          <w:bCs w:val="1"/>
          <w:i w:val="1"/>
          <w:iCs w:val="1"/>
          <w:color w:val="auto"/>
        </w:rPr>
        <w:t>Nonrecurring Fair Value Measurements</w:t>
      </w:r>
    </w:p>
    <w:p>
      <w:pPr>
        <w:spacing w:after="0" w:line="253" w:lineRule="auto"/>
        <w:rPr>
          <w:sz w:val="20"/>
          <w:szCs w:val="20"/>
          <w:color w:val="auto"/>
        </w:rPr>
      </w:pPr>
      <w:r>
        <w:rPr>
          <w:rFonts w:ascii="Arial" w:cs="Arial" w:eastAsia="Arial" w:hAnsi="Arial"/>
          <w:sz w:val="18"/>
          <w:szCs w:val="18"/>
          <w:i w:val="1"/>
          <w:iCs w:val="1"/>
          <w:color w:val="auto"/>
        </w:rPr>
        <w:t xml:space="preserve">Fair value of long-lived, non-financial assets - </w:t>
      </w:r>
      <w:r>
        <w:rPr>
          <w:rFonts w:ascii="Arial" w:cs="Arial" w:eastAsia="Arial" w:hAnsi="Arial"/>
          <w:sz w:val="18"/>
          <w:szCs w:val="18"/>
          <w:color w:val="auto"/>
        </w:rPr>
        <w:t>Long-lived, non-financial assets are measured at fair value on a non-recurring basis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calculating impairment, when the recoverable amount of the assets has been determined to be less than the book value of the assets. During 2019, we recorded certain long-lived asset impairments primarily related to vessels and machinery and equipment in our Subsea segment. Due to the intent to sell our G1201 vessel and subsequently signed Memorandum of Agreement (MOA) with a third party, we reviewed the carrying value of its sister vessel, the G1200, as of September 30, 2019. As a result of this assessment, an impairment charge was recorded on the two vessels to bring their carrying value to a combined fair value of $104.0 million as of September 30, 2019. The fair value measurements of these vessels were based on the transaction price in the MOA, which is a Level 2 observable input as per the fair value hierarchy. For the remaining long-lived assets which we impaired in 2019, we measured their fair value by estimating the amount and timing of net future cash flows, which are Level 3 unobservable inputs, and discounting them using a risk-adjusted rate of interest of 10.8%. As of December 31, 2019, these impaired assets were recorded at their fair value of $238.5 million. Refer to Note 20 for additional disclosure related to these asset impairments.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571" w:right="2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fair value of our Synthetic Bonds, Senior Notes and private placement notes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December 31, 2019</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December 31, 2018</w:t>
            </w:r>
          </w:p>
        </w:tc>
      </w:tr>
      <w:tr>
        <w:trPr>
          <w:trHeight w:val="324"/>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17"/>
                <w:szCs w:val="17"/>
                <w:b w:val="1"/>
                <w:bCs w:val="1"/>
                <w:color w:val="auto"/>
                <w:vertAlign w:val="superscript"/>
              </w:rPr>
              <w:t>(a)</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7"/>
                <w:szCs w:val="17"/>
                <w:b w:val="1"/>
                <w:bCs w:val="1"/>
                <w:color w:val="auto"/>
                <w:vertAlign w:val="superscript"/>
              </w:rPr>
              <w:t>(b)</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17"/>
                <w:szCs w:val="17"/>
                <w:b w:val="1"/>
                <w:bCs w:val="1"/>
                <w:color w:val="auto"/>
                <w:vertAlign w:val="superscript"/>
              </w:rPr>
              <w:t>(a)</w:t>
            </w:r>
          </w:p>
        </w:tc>
        <w:tc>
          <w:tcPr>
            <w:tcW w:w="280" w:type="dxa"/>
            <w:vAlign w:val="bottom"/>
          </w:tcPr>
          <w:p>
            <w:pPr>
              <w:spacing w:after="0"/>
              <w:rPr>
                <w:sz w:val="24"/>
                <w:szCs w:val="24"/>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7"/>
                <w:szCs w:val="17"/>
                <w:b w:val="1"/>
                <w:bCs w:val="1"/>
                <w:color w:val="auto"/>
                <w:vertAlign w:val="superscript"/>
              </w:rPr>
              <w:t>(b)</w:t>
            </w:r>
          </w:p>
        </w:tc>
      </w:tr>
      <w:tr>
        <w:trPr>
          <w:trHeight w:val="250"/>
        </w:trPr>
        <w:tc>
          <w:tcPr>
            <w:tcW w:w="37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Synthetic bonds due 2021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492.9</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513.1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490.9</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532.4</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3.45%</w:t>
            </w:r>
          </w:p>
        </w:tc>
        <w:tc>
          <w:tcPr>
            <w:tcW w:w="3320" w:type="dxa"/>
            <w:vAlign w:val="bottom"/>
          </w:tcPr>
          <w:p>
            <w:pPr>
              <w:ind w:left="20"/>
              <w:spacing w:after="0"/>
              <w:rPr>
                <w:sz w:val="20"/>
                <w:szCs w:val="20"/>
                <w:color w:val="auto"/>
              </w:rPr>
            </w:pPr>
            <w:r>
              <w:rPr>
                <w:rFonts w:ascii="Arial" w:cs="Arial" w:eastAsia="Arial" w:hAnsi="Arial"/>
                <w:sz w:val="14"/>
                <w:szCs w:val="14"/>
                <w:color w:val="auto"/>
              </w:rPr>
              <w:t>Senior Notes due 2022</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499.2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489.7</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5.00%</w:t>
            </w:r>
          </w:p>
        </w:tc>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2020</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224.6</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244.0</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3.40%</w:t>
            </w:r>
          </w:p>
        </w:tc>
        <w:tc>
          <w:tcPr>
            <w:tcW w:w="3320" w:type="dxa"/>
            <w:vAlign w:val="bottom"/>
          </w:tcPr>
          <w:p>
            <w:pPr>
              <w:ind w:left="20"/>
              <w:spacing w:after="0"/>
              <w:rPr>
                <w:sz w:val="20"/>
                <w:szCs w:val="20"/>
                <w:color w:val="auto"/>
              </w:rPr>
            </w:pPr>
            <w:r>
              <w:rPr>
                <w:rFonts w:ascii="Arial" w:cs="Arial" w:eastAsia="Arial" w:hAnsi="Arial"/>
                <w:sz w:val="14"/>
                <w:szCs w:val="14"/>
                <w:color w:val="auto"/>
              </w:rPr>
              <w:t>Notes due 2022</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180.6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171.8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186.9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2023</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161.3</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3320" w:type="dxa"/>
            <w:vAlign w:val="bottom"/>
          </w:tcPr>
          <w:p>
            <w:pPr>
              <w:ind w:left="20"/>
              <w:spacing w:after="0"/>
              <w:rPr>
                <w:sz w:val="20"/>
                <w:szCs w:val="20"/>
                <w:color w:val="auto"/>
              </w:rPr>
            </w:pPr>
            <w:r>
              <w:rPr>
                <w:rFonts w:ascii="Arial" w:cs="Arial" w:eastAsia="Arial" w:hAnsi="Arial"/>
                <w:sz w:val="14"/>
                <w:szCs w:val="14"/>
                <w:color w:val="auto"/>
              </w:rPr>
              <w:t>Notes due 2023</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140.4</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150.5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153.3</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2027</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95.8</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3320" w:type="dxa"/>
            <w:vAlign w:val="bottom"/>
          </w:tcPr>
          <w:p>
            <w:pPr>
              <w:ind w:left="20"/>
              <w:spacing w:after="0"/>
              <w:rPr>
                <w:sz w:val="20"/>
                <w:szCs w:val="20"/>
                <w:color w:val="auto"/>
              </w:rPr>
            </w:pPr>
            <w:r>
              <w:rPr>
                <w:rFonts w:ascii="Arial" w:cs="Arial" w:eastAsia="Arial" w:hAnsi="Arial"/>
                <w:sz w:val="14"/>
                <w:szCs w:val="14"/>
                <w:color w:val="auto"/>
              </w:rPr>
              <w:t>Notes due 2032</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127.8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120.2</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3.75%</w:t>
            </w:r>
          </w:p>
        </w:tc>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2033</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w:t>
            </w:r>
          </w:p>
        </w:tc>
      </w:tr>
    </w:tbl>
    <w:p>
      <w:pPr>
        <w:spacing w:after="0" w:line="167"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Carrying amounts include unamortized debt discounts and premiums and unamortized debt issuance costs of $9.1 million and $11.4 million as of 2019 and 2018, respectively.</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Fair values are based on Level 2 quoted market rates.</w:t>
      </w:r>
    </w:p>
    <w:p>
      <w:pPr>
        <w:spacing w:after="0" w:line="14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convertible bonds, as well as amounts included in other current assets and other current liabilities that meet the definition of financial instruments, approximate fair value.</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collectibility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549"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NOTE 26. QUARTERLY INFORMATION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2018</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62"/>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6"/>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data)</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4th Qtr.</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3rd Qtr.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2nd Qtr.</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1st Qtr.</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4th Qtr.</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3rd Qtr.</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2nd Qtr.</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1st Qtr.</w:t>
            </w:r>
          </w:p>
        </w:tc>
      </w:tr>
      <w:tr>
        <w:trPr>
          <w:trHeight w:val="25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3,726.8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3,143.8</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3,125.2</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Cost of sales</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3,067.2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2,726.4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2,745.2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2,411.9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2,767.7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2,422.2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2,524.6</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w:t>
            </w:r>
          </w:p>
        </w:tc>
      </w:tr>
      <w:tr>
        <w:trPr>
          <w:trHeight w:val="194"/>
        </w:trPr>
        <w:tc>
          <w:tcPr>
            <w:tcW w:w="2420" w:type="dxa"/>
            <w:vAlign w:val="bottom"/>
          </w:tcPr>
          <w:p>
            <w:pPr>
              <w:ind w:left="40"/>
              <w:spacing w:after="0"/>
              <w:rPr>
                <w:sz w:val="20"/>
                <w:szCs w:val="20"/>
                <w:color w:val="auto"/>
              </w:rPr>
            </w:pPr>
            <w:r>
              <w:rPr>
                <w:rFonts w:ascii="Arial" w:cs="Arial" w:eastAsia="Arial" w:hAnsi="Arial"/>
                <w:sz w:val="14"/>
                <w:szCs w:val="14"/>
                <w:color w:val="auto"/>
              </w:rPr>
              <w:t>Net income (loss) attributable to</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8"/>
        </w:trPr>
        <w:tc>
          <w:tcPr>
            <w:tcW w:w="2420" w:type="dxa"/>
            <w:vAlign w:val="bottom"/>
          </w:tcPr>
          <w:p>
            <w:pPr>
              <w:ind w:left="40"/>
              <w:spacing w:after="0"/>
              <w:rPr>
                <w:sz w:val="20"/>
                <w:szCs w:val="20"/>
                <w:color w:val="auto"/>
              </w:rPr>
            </w:pPr>
            <w:r>
              <w:rPr>
                <w:rFonts w:ascii="Arial" w:cs="Arial" w:eastAsia="Arial" w:hAnsi="Arial"/>
                <w:sz w:val="14"/>
                <w:szCs w:val="14"/>
                <w:color w:val="auto"/>
              </w:rPr>
              <w:t>TechnipFMC plc</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(2,414.0)</w:t>
            </w:r>
          </w:p>
        </w:tc>
        <w:tc>
          <w:tcPr>
            <w:tcW w:w="12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(119.1)</w:t>
            </w:r>
          </w:p>
        </w:tc>
        <w:tc>
          <w:tcPr>
            <w:tcW w:w="1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(2,259.3)</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136.9</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95.1</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Basic earnings (loss) per share </w:t>
            </w:r>
            <w:r>
              <w:rPr>
                <w:rFonts w:ascii="Arial" w:cs="Arial" w:eastAsia="Arial" w:hAnsi="Arial"/>
                <w:sz w:val="17"/>
                <w:szCs w:val="17"/>
                <w:color w:val="auto"/>
                <w:vertAlign w:val="superscript"/>
              </w:rPr>
              <w:t>(1)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0.20</w:t>
            </w:r>
          </w:p>
        </w:tc>
      </w:tr>
      <w:tr>
        <w:trPr>
          <w:trHeight w:val="310"/>
        </w:trPr>
        <w:tc>
          <w:tcPr>
            <w:tcW w:w="2420" w:type="dxa"/>
            <w:vAlign w:val="bottom"/>
          </w:tcPr>
          <w:p>
            <w:pPr>
              <w:ind w:left="40"/>
              <w:spacing w:after="0"/>
              <w:rPr>
                <w:sz w:val="20"/>
                <w:szCs w:val="20"/>
                <w:color w:val="auto"/>
              </w:rPr>
            </w:pPr>
            <w:r>
              <w:rPr>
                <w:rFonts w:ascii="Arial" w:cs="Arial" w:eastAsia="Arial" w:hAnsi="Arial"/>
                <w:sz w:val="14"/>
                <w:szCs w:val="14"/>
                <w:color w:val="auto"/>
              </w:rPr>
              <w:t xml:space="preserve">Diluted earnings (loss) per share </w:t>
            </w:r>
            <w:r>
              <w:rPr>
                <w:rFonts w:ascii="Arial" w:cs="Arial" w:eastAsia="Arial" w:hAnsi="Arial"/>
                <w:sz w:val="17"/>
                <w:szCs w:val="17"/>
                <w:color w:val="auto"/>
                <w:vertAlign w:val="superscript"/>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4"/>
                <w:szCs w:val="24"/>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0.30</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0.20</w:t>
            </w:r>
          </w:p>
        </w:tc>
      </w:tr>
    </w:tbl>
    <w:p>
      <w:pPr>
        <w:spacing w:after="0" w:line="343" w:lineRule="exact"/>
        <w:rPr>
          <w:sz w:val="20"/>
          <w:szCs w:val="20"/>
          <w:color w:val="auto"/>
        </w:rPr>
      </w:pPr>
    </w:p>
    <w:p>
      <w:pPr>
        <w:ind w:left="340" w:right="480" w:hanging="332"/>
        <w:spacing w:after="0" w:line="218"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(loss) per share are computed independently for each of the quarters presented. Therefore, the sum of quarterly basic and diluted per share information may not equal annual basic and diluted earnings (loss) per share.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8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of December 31, 2019, and under the direction of our Chief Executive Officer and Chief Financial Officer, we evaluated the effectiveness of our disclosure controls and procedures, as defined in Rule 13a-15(e) under the Exchange Act. Based upon this evaluation, our Chief Executive Officer and Chief Financial Officer concluded as of December 31, 2019, that our disclosure controls and procedures were effective.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88"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Management evaluated the effectiveness of our internal control over financial reporting as of December 31, 2019 based on the framework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issued by the Committee of Sponsoring Organizations of the Treadway Commission (COSO).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this evaluation, management concluded that our internal control over financial reporting was effective as of December 31, 2019.</w:t>
      </w:r>
    </w:p>
    <w:p>
      <w:pPr>
        <w:spacing w:after="0" w:line="20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PricewaterhouseCoopers LLP, an independent registered public accounting firm, as stated in their report included herein.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Activities of Previously Disclosed Material Weaknesses</w:t>
      </w:r>
    </w:p>
    <w:p>
      <w:pPr>
        <w:spacing w:after="0" w:line="38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As of December 31, 2018, our management concluded that we had not maintained effective internal control over financial reporting in the following areas:</w:t>
      </w:r>
    </w:p>
    <w:p>
      <w:pPr>
        <w:spacing w:after="0" w:line="196"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period-end financial reporting</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Both material weaknesses were remediated as of December 31, 2019, as noted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Period-end Financial Reporting - Remediated as of December 31, 2019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549" w:right="239" w:bottom="1440" w:gutter="0" w:footer="0" w:header="0"/>
        </w:sectPr>
      </w:pPr>
    </w:p>
    <w:bookmarkStart w:id="132" w:name="page133"/>
    <w:bookmarkEnd w:id="132"/>
    <w:p>
      <w:pPr>
        <w:jc w:val="both"/>
        <w:ind w:right="560"/>
        <w:spacing w:after="0" w:line="256" w:lineRule="auto"/>
        <w:rPr>
          <w:sz w:val="20"/>
          <w:szCs w:val="20"/>
          <w:color w:val="auto"/>
        </w:rPr>
      </w:pPr>
      <w:r>
        <w:rPr>
          <w:rFonts w:ascii="Arial" w:cs="Arial" w:eastAsia="Arial" w:hAnsi="Arial"/>
          <w:sz w:val="18"/>
          <w:szCs w:val="18"/>
          <w:color w:val="auto"/>
        </w:rPr>
        <w:t>We previously reported that in certain locations, we did not design and maintain effective controls over the period-end financial reporting process. We had ineffective controls over the documentation, authorization, and review of adjustments to and reconciliations of financial information.</w:t>
      </w:r>
    </w:p>
    <w:p>
      <w:pPr>
        <w:spacing w:after="0" w:line="202"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These deficiencies did not result in a material misstatement of the financial statements; however, the deficiencies, when aggregated, could have resulted in material misstatements of the consolidated financial statements and disclosures that would not have been prevented or detected. Accordingly, our management determined that these deficiencies, in the aggregate, constituted a material weakness.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Management took the following corrective actions to address this material weakness:</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Provided additional training and continuous guidance to finance team members on the requirements around control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Improved the timeliness and effectiveness of our review and approval procedures;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Improved the control activities and execution thereof related to the review of adjustments to and reconciliations of financial information.</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a result of these remediation activities and based on testing of the new and modified controls for operating effectiveness, our management concluded that we remediated the material weakness related to period-end financial reporting as of December 31, 2019.</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income taxes - Remediated as of December 31, 2019</w:t>
      </w:r>
    </w:p>
    <w:p>
      <w:pPr>
        <w:spacing w:after="0" w:line="360"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We previously reported that we did not design and maintain effective controls over the completeness, accuracy, and presentation of our accounting for income taxes, including the income tax provision and related income tax assets and liabilities.</w:t>
      </w:r>
    </w:p>
    <w:p>
      <w:pPr>
        <w:spacing w:after="0" w:line="196"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These deficiencies did not result in a material misstatement of the financial statements; however, the deficiencies, when aggregated, could have resulted in material misstatements of the consolidated financial statements and disclosures that would not have been prevented or detected. Accordingly, our management determined that these deficiencies, in the aggregate, constituted a material weakness.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Management took the following corrective actions to address this material weakness:</w:t>
      </w:r>
    </w:p>
    <w:p>
      <w:pPr>
        <w:spacing w:after="0" w:line="225" w:lineRule="exact"/>
        <w:rPr>
          <w:sz w:val="20"/>
          <w:szCs w:val="20"/>
          <w:color w:val="auto"/>
        </w:rPr>
      </w:pPr>
    </w:p>
    <w:p>
      <w:pPr>
        <w:ind w:left="660" w:right="7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Reinforced the proper usage of the Company’s global taxation tool, implemented in 2018, by issuing detailed instructions and application descriptions;</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Provided additional training to finance team members on the appropriate use of the global taxation tool;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Improved the timeliness and effectiveness of our review and approval procedures;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Improved the control activities and execution thereof related to our accounting for income taxes.</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a result of these remediation activities and based on testing of the new and modified controls for operating effectiveness, our management concluded that we remediated the material weakness related to accounting for income taxes as of December 31, 2019.</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Other than steps taken in connection with the completion of the remediation activities described above, there were no changes in our internal control over financial reporting during the three months ended December 31, 2019 that have materially affected, or are reasonably likely to materially affect, our internal control over financial reporting.</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60"/>
          </w:cols>
          <w:pgMar w:left="240" w:top="571" w:right="2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See Part I, Item 1 “Executive Officers of the Registrant” of this Annual Report on Form 10-K for information regarding our executive officers. The information set forth under the sections “Corporate Governance,” “Proposals 1(a) - 1(n) - Election of Directors”, and if applicable, “Delinquent Section 16(a) Reports” in our 2020 Proxy Statement is incorporated herein by reference.</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adopted a Code of Business Conduct, which is applicable to our directors, officers, and employees, including our principal executive officer, financial and accounting officers, and persons performing similar functions. Our Code of Business Conduct may be found on our website at www.technipfmc.com under “About us-Governance” and is available in print to shareholders without charge by submitting a request to 11740 Katy Freeway, Energy Tower 3, Houston, Texas 77079, Attention: Corporate Secretary. We intend to satisfy the disclosure requirements under the Securities and Exchange Act of 1934, as amended, regarding an amendment to or waiver from a provision of our Code of Business Conduct by posting such information on our website.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7420" w:type="dxa"/>
            <w:vAlign w:val="bottom"/>
          </w:tcPr>
          <w:p>
            <w:pPr>
              <w:ind w:left="40"/>
              <w:spacing w:after="0"/>
              <w:rPr>
                <w:sz w:val="20"/>
                <w:szCs w:val="20"/>
                <w:color w:val="auto"/>
              </w:rPr>
            </w:pPr>
            <w:r>
              <w:rPr>
                <w:rFonts w:ascii="Arial" w:cs="Arial" w:eastAsia="Arial" w:hAnsi="Arial"/>
                <w:sz w:val="14"/>
                <w:szCs w:val="14"/>
                <w:b w:val="1"/>
                <w:bCs w:val="1"/>
                <w:color w:val="auto"/>
              </w:rPr>
              <w:t>Principal Occupation</w:t>
            </w:r>
          </w:p>
        </w:tc>
      </w:tr>
      <w:tr>
        <w:trPr>
          <w:trHeight w:val="66"/>
        </w:trPr>
        <w:tc>
          <w:tcPr>
            <w:tcW w:w="37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r>
      <w:tr>
        <w:trPr>
          <w:trHeight w:val="23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Douglas J. Pferdehirt</w:t>
            </w: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Executive Chairman and Chief Executive Officer of TechnipFMC</w:t>
            </w:r>
          </w:p>
        </w:tc>
      </w:tr>
      <w:tr>
        <w:trPr>
          <w:trHeight w:val="194"/>
        </w:trPr>
        <w:tc>
          <w:tcPr>
            <w:tcW w:w="4000" w:type="dxa"/>
            <w:vAlign w:val="bottom"/>
            <w:gridSpan w:val="2"/>
          </w:tcPr>
          <w:p>
            <w:pPr>
              <w:ind w:left="40"/>
              <w:spacing w:after="0"/>
              <w:rPr>
                <w:sz w:val="20"/>
                <w:szCs w:val="20"/>
                <w:color w:val="auto"/>
              </w:rPr>
            </w:pPr>
            <w:r>
              <w:rPr>
                <w:rFonts w:ascii="Arial" w:cs="Arial" w:eastAsia="Arial" w:hAnsi="Arial"/>
                <w:sz w:val="14"/>
                <w:szCs w:val="14"/>
                <w:color w:val="auto"/>
              </w:rPr>
              <w:t>Eleazar de Carvalho Filho</w:t>
            </w:r>
          </w:p>
        </w:tc>
        <w:tc>
          <w:tcPr>
            <w:tcW w:w="7420" w:type="dxa"/>
            <w:vAlign w:val="bottom"/>
          </w:tcPr>
          <w:p>
            <w:pPr>
              <w:ind w:left="40"/>
              <w:spacing w:after="0"/>
              <w:rPr>
                <w:sz w:val="20"/>
                <w:szCs w:val="20"/>
                <w:color w:val="auto"/>
              </w:rPr>
            </w:pPr>
            <w:r>
              <w:rPr>
                <w:rFonts w:ascii="Arial" w:cs="Arial" w:eastAsia="Arial" w:hAnsi="Arial"/>
                <w:sz w:val="14"/>
                <w:szCs w:val="14"/>
                <w:color w:val="auto"/>
              </w:rPr>
              <w:t>Founding Partner of Virtus BR Partners Assessoria Corporativa Ltda. and Founding Partner of Sinfonia Consultoria</w:t>
            </w:r>
          </w:p>
        </w:tc>
      </w:tr>
      <w:tr>
        <w:trPr>
          <w:trHeight w:val="178"/>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20" w:type="dxa"/>
            <w:vAlign w:val="bottom"/>
          </w:tcPr>
          <w:p>
            <w:pPr>
              <w:ind w:left="40"/>
              <w:spacing w:after="0"/>
              <w:rPr>
                <w:sz w:val="20"/>
                <w:szCs w:val="20"/>
                <w:color w:val="auto"/>
              </w:rPr>
            </w:pPr>
            <w:r>
              <w:rPr>
                <w:rFonts w:ascii="Arial" w:cs="Arial" w:eastAsia="Arial" w:hAnsi="Arial"/>
                <w:sz w:val="14"/>
                <w:szCs w:val="14"/>
                <w:color w:val="auto"/>
              </w:rPr>
              <w:t>Financeira e Participações Ltda., financial advisory and consulting firms</w:t>
            </w:r>
          </w:p>
        </w:tc>
      </w:tr>
      <w:tr>
        <w:trPr>
          <w:trHeight w:val="21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Arnaud Caudoux</w:t>
            </w:r>
          </w:p>
        </w:tc>
        <w:tc>
          <w:tcPr>
            <w:tcW w:w="7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Deputy Chief Executive Officer of Banque publique d'investissement, a French state-owned investment bank</w:t>
            </w:r>
          </w:p>
        </w:tc>
      </w:tr>
      <w:tr>
        <w:trPr>
          <w:trHeight w:val="66"/>
        </w:trPr>
        <w:tc>
          <w:tcPr>
            <w:tcW w:w="3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20" w:type="dxa"/>
            <w:vAlign w:val="bottom"/>
            <w:shd w:val="clear" w:color="auto" w:fill="CCEEFF"/>
          </w:tcPr>
          <w:p>
            <w:pPr>
              <w:spacing w:after="0"/>
              <w:rPr>
                <w:sz w:val="5"/>
                <w:szCs w:val="5"/>
                <w:color w:val="auto"/>
              </w:rPr>
            </w:pPr>
          </w:p>
        </w:tc>
      </w:tr>
      <w:tr>
        <w:trPr>
          <w:trHeight w:val="204"/>
        </w:trPr>
        <w:tc>
          <w:tcPr>
            <w:tcW w:w="4000" w:type="dxa"/>
            <w:vAlign w:val="bottom"/>
            <w:gridSpan w:val="2"/>
          </w:tcPr>
          <w:p>
            <w:pPr>
              <w:ind w:left="40"/>
              <w:spacing w:after="0"/>
              <w:rPr>
                <w:sz w:val="20"/>
                <w:szCs w:val="20"/>
                <w:color w:val="auto"/>
              </w:rPr>
            </w:pPr>
            <w:r>
              <w:rPr>
                <w:rFonts w:ascii="Arial" w:cs="Arial" w:eastAsia="Arial" w:hAnsi="Arial"/>
                <w:sz w:val="14"/>
                <w:szCs w:val="14"/>
                <w:color w:val="auto"/>
              </w:rPr>
              <w:t>Pascal Colombani</w:t>
            </w:r>
          </w:p>
        </w:tc>
        <w:tc>
          <w:tcPr>
            <w:tcW w:w="7420" w:type="dxa"/>
            <w:vAlign w:val="bottom"/>
          </w:tcPr>
          <w:p>
            <w:pPr>
              <w:ind w:left="40"/>
              <w:spacing w:after="0"/>
              <w:rPr>
                <w:sz w:val="20"/>
                <w:szCs w:val="20"/>
                <w:color w:val="auto"/>
              </w:rPr>
            </w:pPr>
            <w:r>
              <w:rPr>
                <w:rFonts w:ascii="Arial" w:cs="Arial" w:eastAsia="Arial" w:hAnsi="Arial"/>
                <w:sz w:val="14"/>
                <w:szCs w:val="14"/>
                <w:color w:val="auto"/>
              </w:rPr>
              <w:t>President of TII Strategies SASU, a consulting and investment company</w:t>
            </w:r>
          </w:p>
        </w:tc>
      </w:tr>
      <w:tr>
        <w:trPr>
          <w:trHeight w:val="66"/>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20" w:type="dxa"/>
            <w:vAlign w:val="bottom"/>
          </w:tcPr>
          <w:p>
            <w:pPr>
              <w:spacing w:after="0"/>
              <w:rPr>
                <w:sz w:val="5"/>
                <w:szCs w:val="5"/>
                <w:color w:val="auto"/>
              </w:rPr>
            </w:pPr>
          </w:p>
        </w:tc>
      </w:tr>
      <w:tr>
        <w:trPr>
          <w:trHeight w:val="194"/>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Marie-Ange Debon</w:t>
            </w:r>
          </w:p>
        </w:tc>
        <w:tc>
          <w:tcPr>
            <w:tcW w:w="7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Former Senior Executive Vice President of the Suez Group, a global water and waste company, managing France,</w:t>
            </w:r>
          </w:p>
        </w:tc>
      </w:tr>
      <w:tr>
        <w:trPr>
          <w:trHeight w:val="184"/>
        </w:trPr>
        <w:tc>
          <w:tcPr>
            <w:tcW w:w="3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Italy, and Central and Eastern Europe operations of the Suez Group</w:t>
            </w:r>
          </w:p>
        </w:tc>
      </w:tr>
      <w:tr>
        <w:trPr>
          <w:trHeight w:val="204"/>
        </w:trPr>
        <w:tc>
          <w:tcPr>
            <w:tcW w:w="4000" w:type="dxa"/>
            <w:vAlign w:val="bottom"/>
            <w:gridSpan w:val="2"/>
          </w:tcPr>
          <w:p>
            <w:pPr>
              <w:ind w:left="40"/>
              <w:spacing w:after="0"/>
              <w:rPr>
                <w:sz w:val="20"/>
                <w:szCs w:val="20"/>
                <w:color w:val="auto"/>
              </w:rPr>
            </w:pPr>
            <w:r>
              <w:rPr>
                <w:rFonts w:ascii="Arial" w:cs="Arial" w:eastAsia="Arial" w:hAnsi="Arial"/>
                <w:sz w:val="14"/>
                <w:szCs w:val="14"/>
                <w:color w:val="auto"/>
              </w:rPr>
              <w:t>Claire S. Farley</w:t>
            </w:r>
          </w:p>
        </w:tc>
        <w:tc>
          <w:tcPr>
            <w:tcW w:w="7420" w:type="dxa"/>
            <w:vAlign w:val="bottom"/>
          </w:tcPr>
          <w:p>
            <w:pPr>
              <w:ind w:left="40"/>
              <w:spacing w:after="0"/>
              <w:rPr>
                <w:sz w:val="20"/>
                <w:szCs w:val="20"/>
                <w:color w:val="auto"/>
              </w:rPr>
            </w:pPr>
            <w:r>
              <w:rPr>
                <w:rFonts w:ascii="Arial" w:cs="Arial" w:eastAsia="Arial" w:hAnsi="Arial"/>
                <w:sz w:val="14"/>
                <w:szCs w:val="14"/>
                <w:color w:val="auto"/>
              </w:rPr>
              <w:t>Vice Chairman in the Energy &amp; Infrastructure business of KKR &amp; Co. L.P., a global investment firm</w:t>
            </w:r>
          </w:p>
        </w:tc>
      </w:tr>
      <w:tr>
        <w:trPr>
          <w:trHeight w:val="66"/>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20" w:type="dxa"/>
            <w:vAlign w:val="bottom"/>
          </w:tcPr>
          <w:p>
            <w:pPr>
              <w:spacing w:after="0"/>
              <w:rPr>
                <w:sz w:val="5"/>
                <w:szCs w:val="5"/>
                <w:color w:val="auto"/>
              </w:rPr>
            </w:pPr>
          </w:p>
        </w:tc>
      </w:tr>
      <w:tr>
        <w:trPr>
          <w:trHeight w:val="194"/>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Didier Houssin</w:t>
            </w:r>
          </w:p>
        </w:tc>
        <w:tc>
          <w:tcPr>
            <w:tcW w:w="7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Chairman and Chief Executive Officer of IFP Énergies nouvelles, a research and training company in the fields of</w:t>
            </w:r>
          </w:p>
        </w:tc>
      </w:tr>
      <w:tr>
        <w:trPr>
          <w:trHeight w:val="184"/>
        </w:trPr>
        <w:tc>
          <w:tcPr>
            <w:tcW w:w="3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energy, transport, and the environment</w:t>
            </w:r>
          </w:p>
        </w:tc>
      </w:tr>
      <w:tr>
        <w:trPr>
          <w:trHeight w:val="194"/>
        </w:trPr>
        <w:tc>
          <w:tcPr>
            <w:tcW w:w="4000" w:type="dxa"/>
            <w:vAlign w:val="bottom"/>
            <w:gridSpan w:val="2"/>
          </w:tcPr>
          <w:p>
            <w:pPr>
              <w:ind w:left="40"/>
              <w:spacing w:after="0"/>
              <w:rPr>
                <w:sz w:val="20"/>
                <w:szCs w:val="20"/>
                <w:color w:val="auto"/>
              </w:rPr>
            </w:pPr>
            <w:r>
              <w:rPr>
                <w:rFonts w:ascii="Arial" w:cs="Arial" w:eastAsia="Arial" w:hAnsi="Arial"/>
                <w:sz w:val="14"/>
                <w:szCs w:val="14"/>
                <w:color w:val="auto"/>
              </w:rPr>
              <w:t>Peter Mellbye</w:t>
            </w:r>
          </w:p>
        </w:tc>
        <w:tc>
          <w:tcPr>
            <w:tcW w:w="7420" w:type="dxa"/>
            <w:vAlign w:val="bottom"/>
          </w:tcPr>
          <w:p>
            <w:pPr>
              <w:ind w:left="40"/>
              <w:spacing w:after="0"/>
              <w:rPr>
                <w:sz w:val="20"/>
                <w:szCs w:val="20"/>
                <w:color w:val="auto"/>
              </w:rPr>
            </w:pPr>
            <w:r>
              <w:rPr>
                <w:rFonts w:ascii="Arial" w:cs="Arial" w:eastAsia="Arial" w:hAnsi="Arial"/>
                <w:sz w:val="14"/>
                <w:szCs w:val="14"/>
                <w:color w:val="auto"/>
              </w:rPr>
              <w:t>Former Executive Vice President, Development &amp; Production, International, of Statoil ASA, an international oil and</w:t>
            </w:r>
          </w:p>
        </w:tc>
      </w:tr>
      <w:tr>
        <w:trPr>
          <w:trHeight w:val="178"/>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20" w:type="dxa"/>
            <w:vAlign w:val="bottom"/>
          </w:tcPr>
          <w:p>
            <w:pPr>
              <w:ind w:left="40"/>
              <w:spacing w:after="0"/>
              <w:rPr>
                <w:sz w:val="20"/>
                <w:szCs w:val="20"/>
                <w:color w:val="auto"/>
              </w:rPr>
            </w:pPr>
            <w:r>
              <w:rPr>
                <w:rFonts w:ascii="Arial" w:cs="Arial" w:eastAsia="Arial" w:hAnsi="Arial"/>
                <w:sz w:val="14"/>
                <w:szCs w:val="14"/>
                <w:color w:val="auto"/>
              </w:rPr>
              <w:t>gas company</w:t>
            </w:r>
          </w:p>
        </w:tc>
      </w:tr>
      <w:tr>
        <w:trPr>
          <w:trHeight w:val="20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John O’Leary</w:t>
            </w:r>
          </w:p>
        </w:tc>
        <w:tc>
          <w:tcPr>
            <w:tcW w:w="7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Chief Executive Officer of Strand Energy, a Dubai-based company specializing in business development in the oil</w:t>
            </w:r>
          </w:p>
        </w:tc>
      </w:tr>
      <w:tr>
        <w:trPr>
          <w:trHeight w:val="184"/>
        </w:trPr>
        <w:tc>
          <w:tcPr>
            <w:tcW w:w="3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gas industry</w:t>
            </w:r>
          </w:p>
        </w:tc>
      </w:tr>
      <w:tr>
        <w:trPr>
          <w:trHeight w:val="204"/>
        </w:trPr>
        <w:tc>
          <w:tcPr>
            <w:tcW w:w="4000" w:type="dxa"/>
            <w:vAlign w:val="bottom"/>
            <w:gridSpan w:val="2"/>
          </w:tcPr>
          <w:p>
            <w:pPr>
              <w:ind w:left="40"/>
              <w:spacing w:after="0"/>
              <w:rPr>
                <w:sz w:val="20"/>
                <w:szCs w:val="20"/>
                <w:color w:val="auto"/>
              </w:rPr>
            </w:pPr>
            <w:r>
              <w:rPr>
                <w:rFonts w:ascii="Arial" w:cs="Arial" w:eastAsia="Arial" w:hAnsi="Arial"/>
                <w:sz w:val="14"/>
                <w:szCs w:val="14"/>
                <w:color w:val="auto"/>
              </w:rPr>
              <w:t>Olivier Piou</w:t>
            </w:r>
          </w:p>
        </w:tc>
        <w:tc>
          <w:tcPr>
            <w:tcW w:w="7420" w:type="dxa"/>
            <w:vAlign w:val="bottom"/>
          </w:tcPr>
          <w:p>
            <w:pPr>
              <w:ind w:left="40"/>
              <w:spacing w:after="0"/>
              <w:rPr>
                <w:sz w:val="20"/>
                <w:szCs w:val="20"/>
                <w:color w:val="auto"/>
              </w:rPr>
            </w:pPr>
            <w:r>
              <w:rPr>
                <w:rFonts w:ascii="Arial" w:cs="Arial" w:eastAsia="Arial" w:hAnsi="Arial"/>
                <w:sz w:val="14"/>
                <w:szCs w:val="14"/>
                <w:color w:val="auto"/>
              </w:rPr>
              <w:t>Former Chief Executive Officer and Board member of Gemalto N.V., an international digital security company</w:t>
            </w:r>
          </w:p>
        </w:tc>
      </w:tr>
      <w:tr>
        <w:trPr>
          <w:trHeight w:val="66"/>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20" w:type="dxa"/>
            <w:vAlign w:val="bottom"/>
          </w:tcPr>
          <w:p>
            <w:pPr>
              <w:spacing w:after="0"/>
              <w:rPr>
                <w:sz w:val="5"/>
                <w:szCs w:val="5"/>
                <w:color w:val="auto"/>
              </w:rPr>
            </w:pPr>
          </w:p>
        </w:tc>
      </w:tr>
      <w:tr>
        <w:trPr>
          <w:trHeight w:val="204"/>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Kay G. Priestly</w:t>
            </w:r>
          </w:p>
        </w:tc>
        <w:tc>
          <w:tcPr>
            <w:tcW w:w="7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Former Chief Executive Officer of Turquoise Hill Resources Ltd., an international mining company</w:t>
            </w:r>
          </w:p>
        </w:tc>
      </w:tr>
      <w:tr>
        <w:trPr>
          <w:trHeight w:val="66"/>
        </w:trPr>
        <w:tc>
          <w:tcPr>
            <w:tcW w:w="3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20" w:type="dxa"/>
            <w:vAlign w:val="bottom"/>
            <w:shd w:val="clear" w:color="auto" w:fill="CCEEFF"/>
          </w:tcPr>
          <w:p>
            <w:pPr>
              <w:spacing w:after="0"/>
              <w:rPr>
                <w:sz w:val="5"/>
                <w:szCs w:val="5"/>
                <w:color w:val="auto"/>
              </w:rPr>
            </w:pPr>
          </w:p>
        </w:tc>
      </w:tr>
      <w:tr>
        <w:trPr>
          <w:trHeight w:val="204"/>
        </w:trPr>
        <w:tc>
          <w:tcPr>
            <w:tcW w:w="4000" w:type="dxa"/>
            <w:vAlign w:val="bottom"/>
            <w:gridSpan w:val="2"/>
          </w:tcPr>
          <w:p>
            <w:pPr>
              <w:ind w:left="40"/>
              <w:spacing w:after="0"/>
              <w:rPr>
                <w:sz w:val="20"/>
                <w:szCs w:val="20"/>
                <w:color w:val="auto"/>
              </w:rPr>
            </w:pPr>
            <w:r>
              <w:rPr>
                <w:rFonts w:ascii="Arial" w:cs="Arial" w:eastAsia="Arial" w:hAnsi="Arial"/>
                <w:sz w:val="14"/>
                <w:szCs w:val="14"/>
                <w:color w:val="auto"/>
              </w:rPr>
              <w:t>Joseph Rinaldi</w:t>
            </w:r>
          </w:p>
        </w:tc>
        <w:tc>
          <w:tcPr>
            <w:tcW w:w="7420" w:type="dxa"/>
            <w:vAlign w:val="bottom"/>
          </w:tcPr>
          <w:p>
            <w:pPr>
              <w:ind w:left="40"/>
              <w:spacing w:after="0"/>
              <w:rPr>
                <w:sz w:val="20"/>
                <w:szCs w:val="20"/>
                <w:color w:val="auto"/>
              </w:rPr>
            </w:pPr>
            <w:r>
              <w:rPr>
                <w:rFonts w:ascii="Arial" w:cs="Arial" w:eastAsia="Arial" w:hAnsi="Arial"/>
                <w:sz w:val="14"/>
                <w:szCs w:val="14"/>
                <w:color w:val="auto"/>
              </w:rPr>
              <w:t>Managing Partner of Fennecourt Partners, LLC, an investment management and consulting firm</w:t>
            </w:r>
          </w:p>
        </w:tc>
      </w:tr>
      <w:tr>
        <w:trPr>
          <w:trHeight w:val="66"/>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20" w:type="dxa"/>
            <w:vAlign w:val="bottom"/>
          </w:tcPr>
          <w:p>
            <w:pPr>
              <w:spacing w:after="0"/>
              <w:rPr>
                <w:sz w:val="5"/>
                <w:szCs w:val="5"/>
                <w:color w:val="auto"/>
              </w:rPr>
            </w:pPr>
          </w:p>
        </w:tc>
      </w:tr>
      <w:tr>
        <w:trPr>
          <w:trHeight w:val="194"/>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James M. Ringler</w:t>
            </w:r>
          </w:p>
        </w:tc>
        <w:tc>
          <w:tcPr>
            <w:tcW w:w="7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Former non-executive Chairman of the Board of Teradata Corporation, a provider of database software, data</w:t>
            </w:r>
          </w:p>
        </w:tc>
      </w:tr>
      <w:tr>
        <w:trPr>
          <w:trHeight w:val="184"/>
        </w:trPr>
        <w:tc>
          <w:tcPr>
            <w:tcW w:w="3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warehousing and analytics</w:t>
            </w:r>
          </w:p>
        </w:tc>
      </w:tr>
      <w:tr>
        <w:trPr>
          <w:trHeight w:val="194"/>
        </w:trPr>
        <w:tc>
          <w:tcPr>
            <w:tcW w:w="4000" w:type="dxa"/>
            <w:vAlign w:val="bottom"/>
            <w:gridSpan w:val="2"/>
          </w:tcPr>
          <w:p>
            <w:pPr>
              <w:ind w:left="40"/>
              <w:spacing w:after="0"/>
              <w:rPr>
                <w:sz w:val="20"/>
                <w:szCs w:val="20"/>
                <w:color w:val="auto"/>
              </w:rPr>
            </w:pPr>
            <w:r>
              <w:rPr>
                <w:rFonts w:ascii="Arial" w:cs="Arial" w:eastAsia="Arial" w:hAnsi="Arial"/>
                <w:sz w:val="14"/>
                <w:szCs w:val="14"/>
                <w:color w:val="auto"/>
              </w:rPr>
              <w:t>John Yearwood</w:t>
            </w:r>
          </w:p>
        </w:tc>
        <w:tc>
          <w:tcPr>
            <w:tcW w:w="7420" w:type="dxa"/>
            <w:vAlign w:val="bottom"/>
          </w:tcPr>
          <w:p>
            <w:pPr>
              <w:ind w:left="40"/>
              <w:spacing w:after="0"/>
              <w:rPr>
                <w:sz w:val="20"/>
                <w:szCs w:val="20"/>
                <w:color w:val="auto"/>
              </w:rPr>
            </w:pPr>
            <w:r>
              <w:rPr>
                <w:rFonts w:ascii="Arial" w:cs="Arial" w:eastAsia="Arial" w:hAnsi="Arial"/>
                <w:sz w:val="14"/>
                <w:szCs w:val="14"/>
                <w:color w:val="auto"/>
              </w:rPr>
              <w:t>Former Chief Executive Officer, President, and Chief Operating Officer of Smith International, Inc., a supplier of</w:t>
            </w:r>
          </w:p>
        </w:tc>
      </w:tr>
      <w:tr>
        <w:trPr>
          <w:trHeight w:val="17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20" w:type="dxa"/>
            <w:vAlign w:val="bottom"/>
          </w:tcPr>
          <w:p>
            <w:pPr>
              <w:ind w:left="40"/>
              <w:spacing w:after="0"/>
              <w:rPr>
                <w:sz w:val="20"/>
                <w:szCs w:val="20"/>
                <w:color w:val="auto"/>
              </w:rPr>
            </w:pPr>
            <w:r>
              <w:rPr>
                <w:rFonts w:ascii="Arial" w:cs="Arial" w:eastAsia="Arial" w:hAnsi="Arial"/>
                <w:sz w:val="14"/>
                <w:szCs w:val="14"/>
                <w:color w:val="auto"/>
              </w:rPr>
              <w:t>services and manufactured products to oil and gas exploration and production companies</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3"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 xml:space="preserve">Information required by this item is incorporated herein by reference from the sections entitled “Director Compensation,” “Corporate Governance </w:t>
      </w:r>
      <w:r>
        <w:rPr>
          <w:rFonts w:ascii="Arial" w:cs="Arial" w:eastAsia="Arial" w:hAnsi="Arial"/>
          <w:sz w:val="18"/>
          <w:szCs w:val="18"/>
          <w:i w:val="1"/>
          <w:iCs w:val="1"/>
          <w:color w:val="auto"/>
        </w:rPr>
        <w:t>-</w:t>
      </w:r>
      <w:r>
        <w:rPr>
          <w:rFonts w:ascii="Arial" w:cs="Arial" w:eastAsia="Arial" w:hAnsi="Arial"/>
          <w:sz w:val="18"/>
          <w:szCs w:val="18"/>
          <w:color w:val="auto"/>
        </w:rPr>
        <w:t xml:space="preserve"> Compensation Committee Interlocks and Insider Participation in Compensation Decisions” and “Executive Compensation Discussion and Analysis” of our Proxy Statement for the 2020 Annual General Meeting of Shareholders.</w:t>
      </w:r>
    </w:p>
    <w:p>
      <w:pPr>
        <w:spacing w:after="0" w:line="288"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2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Information required by this item is incorporated herein by reference from the section entitled “Security Ownership of Our Management and Holders of More Than 5% of our Outstanding Ordinary Shares” of our Proxy Statement for the 2020 Annual General Meeting of Shareholders.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711"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As of December 31, 2019, our securities authorized for issuance under equity compensation plans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50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 be Issued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 Average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50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Upon Exercise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 Price of</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for Future Issuance</w:t>
            </w:r>
          </w:p>
        </w:tc>
      </w:tr>
      <w:tr>
        <w:trPr>
          <w:trHeight w:val="162"/>
        </w:trPr>
        <w:tc>
          <w:tcPr>
            <w:tcW w:w="50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 Options,</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under Equity</w:t>
            </w:r>
          </w:p>
        </w:tc>
      </w:tr>
      <w:tr>
        <w:trPr>
          <w:trHeight w:val="196"/>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 Plans</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compensation plans approved by security holders</w:t>
            </w:r>
          </w:p>
        </w:tc>
        <w:tc>
          <w:tcPr>
            <w:tcW w:w="2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4,842.4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29.68</w:t>
            </w:r>
          </w:p>
        </w:tc>
        <w:tc>
          <w:tcPr>
            <w:tcW w:w="10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21,350.2</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2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9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4,842.4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29.68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21,350.2</w:t>
            </w:r>
          </w:p>
        </w:tc>
      </w:tr>
      <w:tr>
        <w:trPr>
          <w:trHeight w:val="20"/>
        </w:trPr>
        <w:tc>
          <w:tcPr>
            <w:tcW w:w="50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3"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Information required by this item is incorporated herein by reference from the sections entitled “Transactions with Related Persons” and “Corporate Governance - Director Independence” of our Proxy Statement for the 2020 Annual General Meeting of Shareholders.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Information required by this item is incorporated herein by reference from the sections entitled “Proposal 5 — Ratification of U.S. Auditor” of our Proxy Statement for the 2020 Annual General Meeting of Shareholders.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571"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93"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71" w:lineRule="exact"/>
        <w:rPr>
          <w:rFonts w:ascii="Arial" w:cs="Arial" w:eastAsia="Arial" w:hAnsi="Arial"/>
          <w:sz w:val="18"/>
          <w:szCs w:val="18"/>
          <w:color w:val="auto"/>
        </w:rPr>
      </w:pPr>
    </w:p>
    <w:p>
      <w:pPr>
        <w:ind w:left="1300" w:right="140" w:hanging="644"/>
        <w:spacing w:after="0" w:line="262"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following consolidated financial statements of TechnipFMC plc and subsidiaries are filed as part of this Annual Report on Form 10-K under Part II, Item 8:</w:t>
      </w:r>
    </w:p>
    <w:p>
      <w:pPr>
        <w:spacing w:after="0" w:line="142" w:lineRule="exact"/>
        <w:rPr>
          <w:rFonts w:ascii="Arial" w:cs="Arial" w:eastAsia="Arial" w:hAnsi="Arial"/>
          <w:sz w:val="18"/>
          <w:szCs w:val="18"/>
          <w:color w:val="auto"/>
        </w:rPr>
      </w:pPr>
    </w:p>
    <w:p>
      <w:pPr>
        <w:ind w:left="1300" w:right="1300"/>
        <w:spacing w:after="0" w:line="438" w:lineRule="auto"/>
        <w:rPr>
          <w:rFonts w:ascii="Arial" w:cs="Arial" w:eastAsia="Arial" w:hAnsi="Arial"/>
          <w:sz w:val="18"/>
          <w:szCs w:val="18"/>
          <w:color w:val="auto"/>
        </w:rPr>
      </w:pPr>
      <w:r>
        <w:rPr>
          <w:rFonts w:ascii="Arial" w:cs="Arial" w:eastAsia="Arial" w:hAnsi="Arial"/>
          <w:sz w:val="18"/>
          <w:szCs w:val="18"/>
          <w:color w:val="auto"/>
        </w:rPr>
        <w:t>Reports of Independent Registered Public Accounting Firm on Consolidated Financial Statements Consolidated Statements of Income for the Years Ended December 31, 2019, 2018 and 2017 Consolidated Statements of Comprehensive Income for the Years Ended December 31, 2019, 2018, and 2017 Consolidated Balance Sheets as of December 31, 2019 and 2018</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2019, 2018 and 2017</w:t>
      </w:r>
    </w:p>
    <w:p>
      <w:pPr>
        <w:spacing w:after="0" w:line="171" w:lineRule="exact"/>
        <w:rPr>
          <w:rFonts w:ascii="Arial" w:cs="Arial" w:eastAsia="Arial" w:hAnsi="Arial"/>
          <w:sz w:val="18"/>
          <w:szCs w:val="18"/>
          <w:color w:val="auto"/>
        </w:rPr>
      </w:pPr>
    </w:p>
    <w:p>
      <w:pPr>
        <w:ind w:left="1300" w:right="660"/>
        <w:spacing w:after="0" w:line="438" w:lineRule="auto"/>
        <w:rPr>
          <w:rFonts w:ascii="Arial" w:cs="Arial" w:eastAsia="Arial" w:hAnsi="Arial"/>
          <w:sz w:val="18"/>
          <w:szCs w:val="18"/>
          <w:color w:val="auto"/>
        </w:rPr>
      </w:pPr>
      <w:r>
        <w:rPr>
          <w:rFonts w:ascii="Arial" w:cs="Arial" w:eastAsia="Arial" w:hAnsi="Arial"/>
          <w:sz w:val="18"/>
          <w:szCs w:val="18"/>
          <w:color w:val="auto"/>
        </w:rPr>
        <w:t>Consolidated Statements of Changes in Stockholders’ Equity for the Years Ended December 31, 2019, 2018 and 2017 Notes to Consolidated Financial Statements</w:t>
      </w:r>
    </w:p>
    <w:p>
      <w:pPr>
        <w:ind w:left="1300" w:hanging="644"/>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71" w:lineRule="exact"/>
        <w:rPr>
          <w:rFonts w:ascii="Arial" w:cs="Arial" w:eastAsia="Arial" w:hAnsi="Arial"/>
          <w:sz w:val="18"/>
          <w:szCs w:val="18"/>
          <w:color w:val="auto"/>
        </w:rPr>
      </w:pPr>
    </w:p>
    <w:p>
      <w:pPr>
        <w:jc w:val="both"/>
        <w:ind w:left="1300"/>
        <w:spacing w:after="0" w:line="256" w:lineRule="auto"/>
        <w:rPr>
          <w:rFonts w:ascii="Arial" w:cs="Arial" w:eastAsia="Arial" w:hAnsi="Arial"/>
          <w:sz w:val="18"/>
          <w:szCs w:val="18"/>
          <w:color w:val="auto"/>
        </w:rPr>
      </w:pPr>
      <w:r>
        <w:rPr>
          <w:rFonts w:ascii="Arial" w:cs="Arial" w:eastAsia="Arial" w:hAnsi="Arial"/>
          <w:sz w:val="18"/>
          <w:szCs w:val="18"/>
          <w:color w:val="auto"/>
        </w:rPr>
        <w:t>See “Schedule II - Valuation and Qualifying Accounts” included herein. All other schedules are omitted because of the absence of conditions under which they are required or because information called for is shown in the consolidated financial statements and notes thereto in Part II, Item 8 of this Annual Report on Form 10-K.</w:t>
      </w:r>
    </w:p>
    <w:p>
      <w:pPr>
        <w:spacing w:after="0" w:line="147" w:lineRule="exact"/>
        <w:rPr>
          <w:rFonts w:ascii="Arial" w:cs="Arial" w:eastAsia="Arial" w:hAnsi="Arial"/>
          <w:sz w:val="18"/>
          <w:szCs w:val="18"/>
          <w:color w:val="auto"/>
        </w:rPr>
      </w:pPr>
    </w:p>
    <w:p>
      <w:pPr>
        <w:ind w:left="1300" w:hanging="644"/>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“Index of Exhibits” filed as part of this Annual Report on Form 10-K.</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711" w:right="27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u w:val="single" w:color="auto"/>
          <w:color w:val="auto"/>
        </w:rPr>
        <w:t>Schedule II—Valuation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Beginning of</w:t>
            </w: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2"/>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 Expenses</w:t>
            </w:r>
          </w:p>
        </w:tc>
        <w:tc>
          <w:tcPr>
            <w:tcW w:w="220" w:type="dxa"/>
            <w:vAlign w:val="bottom"/>
          </w:tcPr>
          <w:p>
            <w:pPr>
              <w:spacing w:after="0"/>
              <w:rPr>
                <w:sz w:val="14"/>
                <w:szCs w:val="14"/>
                <w:color w:val="auto"/>
              </w:rPr>
            </w:pPr>
          </w:p>
        </w:tc>
        <w:tc>
          <w:tcPr>
            <w:tcW w:w="1140" w:type="dxa"/>
            <w:vAlign w:val="bottom"/>
            <w:gridSpan w:val="2"/>
          </w:tcPr>
          <w:p>
            <w:pPr>
              <w:jc w:val="center"/>
              <w:ind w:right="340"/>
              <w:spacing w:after="0" w:line="162" w:lineRule="exact"/>
              <w:rPr>
                <w:sz w:val="20"/>
                <w:szCs w:val="20"/>
                <w:color w:val="auto"/>
              </w:rPr>
            </w:pPr>
            <w:r>
              <w:rPr>
                <w:rFonts w:ascii="Arial" w:cs="Arial" w:eastAsia="Arial" w:hAnsi="Arial"/>
                <w:sz w:val="14"/>
                <w:szCs w:val="14"/>
                <w:b w:val="1"/>
                <w:bCs w:val="1"/>
                <w:color w:val="auto"/>
                <w:w w:val="98"/>
              </w:rPr>
              <w:t xml:space="preserve">Accounts </w:t>
            </w:r>
            <w:r>
              <w:rPr>
                <w:rFonts w:ascii="Arial" w:cs="Arial" w:eastAsia="Arial" w:hAnsi="Arial"/>
                <w:sz w:val="17"/>
                <w:szCs w:val="17"/>
                <w:b w:val="1"/>
                <w:bCs w:val="1"/>
                <w:color w:val="auto"/>
                <w:w w:val="98"/>
                <w:vertAlign w:val="superscript"/>
              </w:rPr>
              <w:t>(a)</w:t>
            </w:r>
          </w:p>
        </w:tc>
        <w:tc>
          <w:tcPr>
            <w:tcW w:w="160" w:type="dxa"/>
            <w:vAlign w:val="bottom"/>
          </w:tcPr>
          <w:p>
            <w:pPr>
              <w:spacing w:after="0"/>
              <w:rPr>
                <w:sz w:val="14"/>
                <w:szCs w:val="14"/>
                <w:color w:val="auto"/>
              </w:rPr>
            </w:pPr>
          </w:p>
        </w:tc>
        <w:tc>
          <w:tcPr>
            <w:tcW w:w="1740" w:type="dxa"/>
            <w:vAlign w:val="bottom"/>
            <w:gridSpan w:val="2"/>
          </w:tcPr>
          <w:p>
            <w:pPr>
              <w:jc w:val="center"/>
              <w:ind w:right="260"/>
              <w:spacing w:after="0" w:line="162" w:lineRule="exact"/>
              <w:rPr>
                <w:sz w:val="20"/>
                <w:szCs w:val="20"/>
                <w:color w:val="auto"/>
              </w:rPr>
            </w:pPr>
            <w:r>
              <w:rPr>
                <w:rFonts w:ascii="Arial" w:cs="Arial" w:eastAsia="Arial" w:hAnsi="Arial"/>
                <w:sz w:val="14"/>
                <w:szCs w:val="14"/>
                <w:b w:val="1"/>
                <w:bCs w:val="1"/>
                <w:color w:val="auto"/>
              </w:rPr>
              <w:t xml:space="preserve">and Adjustments </w:t>
            </w:r>
            <w:r>
              <w:rPr>
                <w:rFonts w:ascii="Arial" w:cs="Arial" w:eastAsia="Arial" w:hAnsi="Arial"/>
                <w:sz w:val="17"/>
                <w:szCs w:val="17"/>
                <w:b w:val="1"/>
                <w:bCs w:val="1"/>
                <w:color w:val="auto"/>
                <w:vertAlign w:val="superscript"/>
              </w:rPr>
              <w:t>(b)</w:t>
            </w:r>
          </w:p>
        </w:tc>
        <w:tc>
          <w:tcPr>
            <w:tcW w:w="16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60" w:type="dxa"/>
            <w:vAlign w:val="bottom"/>
            <w:gridSpan w:val="2"/>
          </w:tcPr>
          <w:p>
            <w:pPr>
              <w:ind w:left="24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172.7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258.7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430.0</w:t>
            </w:r>
          </w:p>
        </w:tc>
        <w:tc>
          <w:tcPr>
            <w:tcW w:w="0" w:type="dxa"/>
            <w:vAlign w:val="bottom"/>
          </w:tcPr>
          <w:p>
            <w:pPr>
              <w:spacing w:after="0"/>
              <w:rPr>
                <w:sz w:val="1"/>
                <w:szCs w:val="1"/>
                <w:color w:val="auto"/>
              </w:rPr>
            </w:pPr>
          </w:p>
        </w:tc>
      </w:tr>
      <w:tr>
        <w:trPr>
          <w:trHeight w:val="210"/>
        </w:trPr>
        <w:tc>
          <w:tcPr>
            <w:tcW w:w="39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30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60" w:type="dxa"/>
            <w:vAlign w:val="bottom"/>
            <w:gridSpan w:val="2"/>
          </w:tcPr>
          <w:p>
            <w:pPr>
              <w:ind w:left="240"/>
              <w:spacing w:after="0"/>
              <w:rPr>
                <w:sz w:val="20"/>
                <w:szCs w:val="20"/>
                <w:color w:val="auto"/>
              </w:rPr>
            </w:pPr>
            <w:r>
              <w:rPr>
                <w:rFonts w:ascii="Arial" w:cs="Arial" w:eastAsia="Arial" w:hAnsi="Arial"/>
                <w:sz w:val="14"/>
                <w:szCs w:val="14"/>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117.4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683.4</w:t>
            </w:r>
          </w:p>
        </w:tc>
        <w:tc>
          <w:tcPr>
            <w:tcW w:w="0" w:type="dxa"/>
            <w:vAlign w:val="bottom"/>
          </w:tcPr>
          <w:p>
            <w:pPr>
              <w:spacing w:after="0"/>
              <w:rPr>
                <w:sz w:val="1"/>
                <w:szCs w:val="1"/>
                <w:color w:val="auto"/>
              </w:rPr>
            </w:pPr>
          </w:p>
        </w:tc>
      </w:tr>
      <w:tr>
        <w:trPr>
          <w:trHeight w:val="204"/>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860" w:type="dxa"/>
            <w:vAlign w:val="bottom"/>
            <w:gridSpan w:val="2"/>
          </w:tcPr>
          <w:p>
            <w:pPr>
              <w:ind w:left="24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683.4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916.9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“Additions charged to other accounts” includes translation adjustments.</w:t>
      </w:r>
    </w:p>
    <w:p>
      <w:pPr>
        <w:spacing w:after="0" w:line="163" w:lineRule="exact"/>
        <w:rPr>
          <w:rFonts w:ascii="Arial" w:cs="Arial" w:eastAsia="Arial" w:hAnsi="Arial"/>
          <w:sz w:val="14"/>
          <w:szCs w:val="14"/>
          <w:color w:val="auto"/>
        </w:rPr>
      </w:pPr>
    </w:p>
    <w:p>
      <w:pPr>
        <w:ind w:left="340" w:right="420" w:hanging="332"/>
        <w:spacing w:after="0" w:line="258"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“Deductions and adjustments” includes write-offs, net of recoveries, increases in allowances offset by increases to deferred tax assets, and reductions in the allowances credited to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549"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ITEM 16. SUMMARY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219"/>
          </w:cols>
          <w:pgMar w:left="240" w:top="711" w:right="1440" w:bottom="1440" w:gutter="0" w:footer="0" w:header="0"/>
        </w:sectPr>
      </w:pPr>
    </w:p>
    <w:bookmarkStart w:id="138" w:name="page139"/>
    <w:bookmarkEnd w:id="138"/>
    <w:p>
      <w:pPr>
        <w:spacing w:after="0" w:line="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OF EXHIBITS</w:t>
      </w:r>
    </w:p>
    <w:p>
      <w:pPr>
        <w:sectPr>
          <w:pgSz w:w="11900" w:h="16900" w:orient="portrait"/>
          <w:cols w:equalWidth="0" w:num="1">
            <w:col w:w="11260"/>
          </w:cols>
          <w:pgMar w:left="240" w:top="711" w:right="399" w:bottom="0" w:gutter="0" w:footer="0" w:header="0"/>
        </w:sect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26035</wp:posOffset>
            </wp:positionV>
            <wp:extent cx="7143750" cy="3517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3750" cy="351790"/>
                    </a:xfrm>
                    <a:prstGeom prst="rect">
                      <a:avLst/>
                    </a:prstGeom>
                    <a:noFill/>
                  </pic:spPr>
                </pic:pic>
              </a:graphicData>
            </a:graphic>
          </wp:anchor>
        </w:drawing>
      </w:r>
    </w:p>
    <w:p>
      <w:pPr>
        <w:spacing w:after="0" w:line="67" w:lineRule="exact"/>
        <w:rPr>
          <w:sz w:val="20"/>
          <w:szCs w:val="20"/>
          <w:color w:val="auto"/>
        </w:rPr>
      </w:pPr>
    </w:p>
    <w:p>
      <w:pPr>
        <w:ind w:right="100"/>
        <w:spacing w:after="0" w:line="250" w:lineRule="auto"/>
        <w:rPr>
          <w:rFonts w:ascii="Arial" w:cs="Arial" w:eastAsia="Arial" w:hAnsi="Arial"/>
          <w:sz w:val="14"/>
          <w:szCs w:val="14"/>
          <w:u w:val="single" w:color="auto"/>
          <w:color w:val="0000FF"/>
        </w:rPr>
      </w:pPr>
      <w:hyperlink r:id="rId88">
        <w:r>
          <w:rPr>
            <w:rFonts w:ascii="Arial" w:cs="Arial" w:eastAsia="Arial" w:hAnsi="Arial"/>
            <w:sz w:val="14"/>
            <w:szCs w:val="14"/>
            <w:u w:val="single" w:color="auto"/>
            <w:color w:val="0000FF"/>
          </w:rPr>
          <w:t>Business Combination Agreement, dated as of June 14, 2016, by and among FMC Technologies, Inc., TechnipFMC plc (f/k/a FMC Technologies SIS</w:t>
        </w:r>
      </w:hyperlink>
      <w:r>
        <w:rPr>
          <w:rFonts w:ascii="Arial" w:cs="Arial" w:eastAsia="Arial" w:hAnsi="Arial"/>
          <w:sz w:val="14"/>
          <w:szCs w:val="14"/>
          <w:u w:val="single" w:color="auto"/>
          <w:color w:val="0000FF"/>
        </w:rPr>
        <w:t xml:space="preserve"> </w:t>
      </w:r>
      <w:hyperlink r:id="rId88">
        <w:r>
          <w:rPr>
            <w:rFonts w:ascii="Arial" w:cs="Arial" w:eastAsia="Arial" w:hAnsi="Arial"/>
            <w:sz w:val="14"/>
            <w:szCs w:val="14"/>
            <w:u w:val="single" w:color="auto"/>
            <w:color w:val="0000FF"/>
          </w:rPr>
          <w:t>Limited) and Technip S.A. (incorporated by reference from Annex A-1 to the Registration Statement on Form S-4, as amended, filed on October 21, 2016)</w:t>
        </w:r>
      </w:hyperlink>
      <w:r>
        <w:rPr>
          <w:rFonts w:ascii="Arial" w:cs="Arial" w:eastAsia="Arial" w:hAnsi="Arial"/>
          <w:sz w:val="14"/>
          <w:szCs w:val="14"/>
          <w:u w:val="single" w:color="auto"/>
          <w:color w:val="0000FF"/>
        </w:rPr>
        <w:t xml:space="preserve"> </w:t>
      </w:r>
      <w:hyperlink r:id="rId88">
        <w:r>
          <w:rPr>
            <w:rFonts w:ascii="Arial" w:cs="Arial" w:eastAsia="Arial" w:hAnsi="Arial"/>
            <w:sz w:val="14"/>
            <w:szCs w:val="14"/>
            <w:u w:val="single" w:color="auto"/>
            <w:color w:val="0000FF"/>
          </w:rPr>
          <w:t>(File No. 333-213067)</w:t>
        </w:r>
      </w:hyperlink>
    </w:p>
    <w:p>
      <w:pPr>
        <w:spacing w:after="0" w:line="20" w:lineRule="exact"/>
        <w:rPr>
          <w:rFonts w:ascii="Arial" w:cs="Arial" w:eastAsia="Arial" w:hAnsi="Arial"/>
          <w:sz w:val="14"/>
          <w:szCs w:val="14"/>
          <w:u w:val="single" w:color="auto"/>
          <w:color w:val="0000FF"/>
        </w:rPr>
      </w:pPr>
    </w:p>
    <w:p>
      <w:pPr>
        <w:sectPr>
          <w:pgSz w:w="11900" w:h="16900" w:orient="portrait"/>
          <w:cols w:equalWidth="0" w:num="2">
            <w:col w:w="660" w:space="720"/>
            <w:col w:w="9880"/>
          </w:cols>
          <w:pgMar w:left="240" w:top="711" w:right="39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380" w:type="dxa"/>
            <w:vAlign w:val="bottom"/>
          </w:tcPr>
          <w:p>
            <w:pPr>
              <w:ind w:left="40"/>
              <w:spacing w:after="0"/>
              <w:rPr>
                <w:sz w:val="20"/>
                <w:szCs w:val="20"/>
                <w:color w:val="auto"/>
              </w:rPr>
            </w:pPr>
            <w:r>
              <w:rPr>
                <w:rFonts w:ascii="Arial" w:cs="Arial" w:eastAsia="Arial" w:hAnsi="Arial"/>
                <w:sz w:val="14"/>
                <w:szCs w:val="14"/>
                <w:color w:val="auto"/>
              </w:rPr>
              <w:t>2.1.a</w:t>
            </w:r>
          </w:p>
        </w:tc>
        <w:tc>
          <w:tcPr>
            <w:tcW w:w="9660" w:type="dxa"/>
            <w:vAlign w:val="bottom"/>
            <w:tcBorders>
              <w:bottom w:val="single" w:sz="8" w:color="0000FF"/>
            </w:tcBorders>
            <w:gridSpan w:val="38"/>
          </w:tcPr>
          <w:p>
            <w:pPr>
              <w:spacing w:after="0"/>
              <w:rPr>
                <w:rFonts w:ascii="Arial" w:cs="Arial" w:eastAsia="Arial" w:hAnsi="Arial"/>
                <w:sz w:val="14"/>
                <w:szCs w:val="14"/>
                <w:color w:val="0000FF"/>
              </w:rPr>
            </w:pPr>
            <w:hyperlink r:id="rId89">
              <w:r>
                <w:rPr>
                  <w:rFonts w:ascii="Arial" w:cs="Arial" w:eastAsia="Arial" w:hAnsi="Arial"/>
                  <w:sz w:val="14"/>
                  <w:szCs w:val="14"/>
                  <w:color w:val="0000FF"/>
                </w:rPr>
                <w:t>Amendment No. 1 to Business Combination Agreement, dated as of December 14, 2016, by and among FMC Technologies, Inc., TechnipFMC plc (f/k/a</w:t>
              </w:r>
            </w:hyperlink>
          </w:p>
        </w:tc>
        <w:tc>
          <w:tcPr>
            <w:tcW w:w="220" w:type="dxa"/>
            <w:vAlign w:val="bottom"/>
            <w:gridSpan w:val="8"/>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9680" w:type="dxa"/>
            <w:vAlign w:val="bottom"/>
            <w:tcBorders>
              <w:bottom w:val="single" w:sz="8" w:color="0000FF"/>
            </w:tcBorders>
            <w:gridSpan w:val="39"/>
          </w:tcPr>
          <w:p>
            <w:pPr>
              <w:spacing w:after="0" w:line="142" w:lineRule="exact"/>
              <w:rPr>
                <w:rFonts w:ascii="Arial" w:cs="Arial" w:eastAsia="Arial" w:hAnsi="Arial"/>
                <w:sz w:val="14"/>
                <w:szCs w:val="14"/>
                <w:color w:val="0000FF"/>
              </w:rPr>
            </w:pPr>
            <w:hyperlink r:id="rId89">
              <w:r>
                <w:rPr>
                  <w:rFonts w:ascii="Arial" w:cs="Arial" w:eastAsia="Arial" w:hAnsi="Arial"/>
                  <w:sz w:val="14"/>
                  <w:szCs w:val="14"/>
                  <w:color w:val="0000FF"/>
                </w:rPr>
                <w:t>TechnipFMC Limited) and Technip S.A. (incorporated by reference from Exhibit 2.1 to the Current Report on Form 8-K filed on December 14, 2016) (File</w:t>
              </w:r>
            </w:hyperlink>
          </w:p>
        </w:tc>
        <w:tc>
          <w:tcPr>
            <w:tcW w:w="200" w:type="dxa"/>
            <w:vAlign w:val="bottom"/>
            <w:gridSpan w:val="7"/>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89">
              <w:r>
                <w:rPr>
                  <w:rFonts w:ascii="Arial" w:cs="Arial" w:eastAsia="Arial" w:hAnsi="Arial"/>
                  <w:sz w:val="14"/>
                  <w:szCs w:val="14"/>
                  <w:color w:val="0000FF"/>
                </w:rPr>
                <w:t>No. 333-213067)</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2.3</w:t>
            </w:r>
          </w:p>
        </w:tc>
        <w:tc>
          <w:tcPr>
            <w:tcW w:w="9660" w:type="dxa"/>
            <w:vAlign w:val="bottom"/>
            <w:tcBorders>
              <w:bottom w:val="single" w:sz="8" w:color="0000FF"/>
            </w:tcBorders>
            <w:gridSpan w:val="38"/>
            <w:shd w:val="clear" w:color="auto" w:fill="CCEEFF"/>
          </w:tcPr>
          <w:p>
            <w:pPr>
              <w:spacing w:after="0"/>
              <w:rPr>
                <w:rFonts w:ascii="Arial" w:cs="Arial" w:eastAsia="Arial" w:hAnsi="Arial"/>
                <w:sz w:val="14"/>
                <w:szCs w:val="14"/>
                <w:color w:val="0000FF"/>
              </w:rPr>
            </w:pPr>
            <w:hyperlink r:id="rId90">
              <w:r>
                <w:rPr>
                  <w:rFonts w:ascii="Arial" w:cs="Arial" w:eastAsia="Arial" w:hAnsi="Arial"/>
                  <w:sz w:val="14"/>
                  <w:szCs w:val="14"/>
                  <w:color w:val="0000FF"/>
                </w:rPr>
                <w:t>Joinder Agreement, dated as of December 14, 2016, by and among FMC Technologies, Inc., TechnipFMC plc (f/k/a TechnipFMC Limited), Technip S.A.,</w:t>
              </w:r>
            </w:hyperlink>
          </w:p>
        </w:tc>
        <w:tc>
          <w:tcPr>
            <w:tcW w:w="220" w:type="dxa"/>
            <w:vAlign w:val="bottom"/>
            <w:tcBorders>
              <w:bottom w:val="single" w:sz="8" w:color="CCEEFF"/>
            </w:tcBorders>
            <w:gridSpan w:val="8"/>
            <w:shd w:val="clear" w:color="auto" w:fill="CCEEFF"/>
          </w:tcPr>
          <w:p>
            <w:pPr>
              <w:spacing w:after="0"/>
              <w:rPr>
                <w:sz w:val="15"/>
                <w:szCs w:val="15"/>
                <w:color w:val="auto"/>
              </w:rPr>
            </w:pPr>
          </w:p>
        </w:tc>
      </w:tr>
      <w:tr>
        <w:trPr>
          <w:trHeight w:val="142"/>
        </w:trPr>
        <w:tc>
          <w:tcPr>
            <w:tcW w:w="1380" w:type="dxa"/>
            <w:vAlign w:val="bottom"/>
            <w:tcBorders>
              <w:bottom w:val="single" w:sz="8" w:color="CCEEFF"/>
            </w:tcBorders>
            <w:shd w:val="clear" w:color="auto" w:fill="CCEEFF"/>
          </w:tcPr>
          <w:p>
            <w:pPr>
              <w:spacing w:after="0"/>
              <w:rPr>
                <w:sz w:val="12"/>
                <w:szCs w:val="12"/>
                <w:color w:val="auto"/>
              </w:rPr>
            </w:pPr>
          </w:p>
        </w:tc>
        <w:tc>
          <w:tcPr>
            <w:tcW w:w="9600" w:type="dxa"/>
            <w:vAlign w:val="bottom"/>
            <w:tcBorders>
              <w:bottom w:val="single" w:sz="8" w:color="0000FF"/>
            </w:tcBorders>
            <w:gridSpan w:val="35"/>
            <w:shd w:val="clear" w:color="auto" w:fill="CCEEFF"/>
          </w:tcPr>
          <w:p>
            <w:pPr>
              <w:spacing w:after="0" w:line="142" w:lineRule="exact"/>
              <w:rPr>
                <w:rFonts w:ascii="Arial" w:cs="Arial" w:eastAsia="Arial" w:hAnsi="Arial"/>
                <w:sz w:val="14"/>
                <w:szCs w:val="14"/>
                <w:color w:val="0000FF"/>
              </w:rPr>
            </w:pPr>
            <w:hyperlink r:id="rId90">
              <w:r>
                <w:rPr>
                  <w:rFonts w:ascii="Arial" w:cs="Arial" w:eastAsia="Arial" w:hAnsi="Arial"/>
                  <w:sz w:val="14"/>
                  <w:szCs w:val="14"/>
                  <w:color w:val="0000FF"/>
                </w:rPr>
                <w:t>TechnipFMC Holdings Limited, TechnipFMC US Holdings LLC and TechnipFMC US Merger Sub LLC (incorporated by reference from Exhibit 2.2 to the</w:t>
              </w:r>
            </w:hyperlink>
          </w:p>
        </w:tc>
        <w:tc>
          <w:tcPr>
            <w:tcW w:w="280" w:type="dxa"/>
            <w:vAlign w:val="bottom"/>
            <w:tcBorders>
              <w:bottom w:val="single" w:sz="8" w:color="CCEEFF"/>
            </w:tcBorders>
            <w:gridSpan w:val="11"/>
            <w:shd w:val="clear" w:color="auto" w:fill="CCEEFF"/>
          </w:tcPr>
          <w:p>
            <w:pPr>
              <w:spacing w:after="0"/>
              <w:rPr>
                <w:sz w:val="12"/>
                <w:szCs w:val="12"/>
                <w:color w:val="auto"/>
              </w:rPr>
            </w:pPr>
          </w:p>
        </w:tc>
      </w:tr>
      <w:tr>
        <w:trPr>
          <w:trHeight w:val="163"/>
        </w:trPr>
        <w:tc>
          <w:tcPr>
            <w:tcW w:w="1380" w:type="dxa"/>
            <w:vAlign w:val="bottom"/>
            <w:tcBorders>
              <w:bottom w:val="single" w:sz="8" w:color="CCEEFF"/>
            </w:tcBorders>
            <w:shd w:val="clear" w:color="auto" w:fill="CCEEFF"/>
          </w:tcPr>
          <w:p>
            <w:pPr>
              <w:spacing w:after="0"/>
              <w:rPr>
                <w:sz w:val="14"/>
                <w:szCs w:val="14"/>
                <w:color w:val="auto"/>
              </w:rPr>
            </w:pPr>
          </w:p>
        </w:tc>
        <w:tc>
          <w:tcPr>
            <w:tcW w:w="5100" w:type="dxa"/>
            <w:vAlign w:val="bottom"/>
            <w:tcBorders>
              <w:bottom w:val="single" w:sz="8" w:color="0000FF"/>
            </w:tcBorders>
            <w:gridSpan w:val="11"/>
            <w:shd w:val="clear" w:color="auto" w:fill="CCEEFF"/>
          </w:tcPr>
          <w:p>
            <w:pPr>
              <w:spacing w:after="0" w:line="142" w:lineRule="exact"/>
              <w:rPr>
                <w:rFonts w:ascii="Arial" w:cs="Arial" w:eastAsia="Arial" w:hAnsi="Arial"/>
                <w:sz w:val="14"/>
                <w:szCs w:val="14"/>
                <w:color w:val="0000FF"/>
              </w:rPr>
            </w:pPr>
            <w:hyperlink r:id="rId90">
              <w:r>
                <w:rPr>
                  <w:rFonts w:ascii="Arial" w:cs="Arial" w:eastAsia="Arial" w:hAnsi="Arial"/>
                  <w:sz w:val="14"/>
                  <w:szCs w:val="14"/>
                  <w:color w:val="0000FF"/>
                </w:rPr>
                <w:t>Current Report on Form 8-K filed on December 14, 2016) (File No. 333-213067)</w:t>
              </w:r>
            </w:hyperlink>
          </w:p>
        </w:tc>
        <w:tc>
          <w:tcPr>
            <w:tcW w:w="4780" w:type="dxa"/>
            <w:vAlign w:val="bottom"/>
            <w:tcBorders>
              <w:bottom w:val="single" w:sz="8" w:color="CCEEFF"/>
            </w:tcBorders>
            <w:gridSpan w:val="35"/>
            <w:shd w:val="clear" w:color="auto" w:fill="CCEEFF"/>
          </w:tcPr>
          <w:p>
            <w:pPr>
              <w:spacing w:after="0"/>
              <w:rPr>
                <w:sz w:val="14"/>
                <w:szCs w:val="14"/>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3.1</w:t>
            </w:r>
          </w:p>
        </w:tc>
        <w:tc>
          <w:tcPr>
            <w:tcW w:w="9680" w:type="dxa"/>
            <w:vAlign w:val="bottom"/>
            <w:tcBorders>
              <w:bottom w:val="single" w:sz="8" w:color="0000FF"/>
            </w:tcBorders>
            <w:gridSpan w:val="39"/>
          </w:tcPr>
          <w:p>
            <w:pPr>
              <w:spacing w:after="0"/>
              <w:rPr>
                <w:rFonts w:ascii="Arial" w:cs="Arial" w:eastAsia="Arial" w:hAnsi="Arial"/>
                <w:sz w:val="14"/>
                <w:szCs w:val="14"/>
                <w:color w:val="0000FF"/>
              </w:rPr>
            </w:pPr>
            <w:hyperlink r:id="rId91">
              <w:r>
                <w:rPr>
                  <w:rFonts w:ascii="Arial" w:cs="Arial" w:eastAsia="Arial" w:hAnsi="Arial"/>
                  <w:sz w:val="14"/>
                  <w:szCs w:val="14"/>
                  <w:color w:val="0000FF"/>
                </w:rPr>
                <w:t>Articles of Association of TechnipFMC plc (incorporated by reference from Exhibit 3.1 to the Current Report on Form 8-K filed on January 17, 2017) (File</w:t>
              </w:r>
            </w:hyperlink>
          </w:p>
        </w:tc>
        <w:tc>
          <w:tcPr>
            <w:tcW w:w="200" w:type="dxa"/>
            <w:vAlign w:val="bottom"/>
            <w:gridSpan w:val="7"/>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91">
              <w:r>
                <w:rPr>
                  <w:rFonts w:ascii="Arial" w:cs="Arial" w:eastAsia="Arial" w:hAnsi="Arial"/>
                  <w:sz w:val="14"/>
                  <w:szCs w:val="14"/>
                  <w:color w:val="0000FF"/>
                </w:rPr>
                <w:t>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4.1</w:t>
            </w:r>
          </w:p>
        </w:tc>
        <w:tc>
          <w:tcPr>
            <w:tcW w:w="9880" w:type="dxa"/>
            <w:vAlign w:val="bottom"/>
            <w:gridSpan w:val="46"/>
            <w:shd w:val="clear" w:color="auto" w:fill="CCEEFF"/>
          </w:tcPr>
          <w:p>
            <w:pPr>
              <w:spacing w:after="0"/>
              <w:rPr>
                <w:rFonts w:ascii="Arial" w:cs="Arial" w:eastAsia="Arial" w:hAnsi="Arial"/>
                <w:sz w:val="14"/>
                <w:szCs w:val="14"/>
                <w:color w:val="0000FF"/>
              </w:rPr>
            </w:pPr>
            <w:hyperlink r:id="rId92">
              <w:r>
                <w:rPr>
                  <w:rFonts w:ascii="Arial" w:cs="Arial" w:eastAsia="Arial" w:hAnsi="Arial"/>
                  <w:sz w:val="14"/>
                  <w:szCs w:val="14"/>
                  <w:color w:val="0000FF"/>
                </w:rPr>
                <w:t>Indenture, dated March 29, 2017, between TechnipFMC plc and U.S. Bank National Association, as trustee (incorporated by reference from Exhibit 4.1 to</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42"/>
            <w:shd w:val="clear" w:color="auto" w:fill="CCEEFF"/>
          </w:tcPr>
          <w:p>
            <w:pPr>
              <w:spacing w:after="0" w:line="142" w:lineRule="exact"/>
              <w:rPr>
                <w:rFonts w:ascii="Arial" w:cs="Arial" w:eastAsia="Arial" w:hAnsi="Arial"/>
                <w:sz w:val="14"/>
                <w:szCs w:val="14"/>
                <w:color w:val="0000FF"/>
              </w:rPr>
            </w:pPr>
            <w:hyperlink r:id="rId92">
              <w:r>
                <w:rPr>
                  <w:rFonts w:ascii="Arial" w:cs="Arial" w:eastAsia="Arial" w:hAnsi="Arial"/>
                  <w:sz w:val="14"/>
                  <w:szCs w:val="14"/>
                  <w:color w:val="0000FF"/>
                </w:rPr>
                <w:t>the Current Report on Form 8-K filed on March 30, 2017) (File No. 001-37983)</w:t>
              </w:r>
            </w:hyperlink>
          </w:p>
        </w:tc>
        <w:tc>
          <w:tcPr>
            <w:tcW w:w="140" w:type="dxa"/>
            <w:vAlign w:val="bottom"/>
            <w:tcBorders>
              <w:top w:val="single" w:sz="8" w:color="CCEEFF"/>
            </w:tcBorders>
            <w:gridSpan w:val="4"/>
            <w:shd w:val="clear" w:color="auto" w:fill="CCEEFF"/>
          </w:tcPr>
          <w:p>
            <w:pPr>
              <w:spacing w:after="0"/>
              <w:rPr>
                <w:sz w:val="12"/>
                <w:szCs w:val="12"/>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4.1.a</w:t>
            </w:r>
          </w:p>
        </w:tc>
        <w:tc>
          <w:tcPr>
            <w:tcW w:w="9660" w:type="dxa"/>
            <w:vAlign w:val="bottom"/>
            <w:tcBorders>
              <w:bottom w:val="single" w:sz="8" w:color="0000FF"/>
            </w:tcBorders>
            <w:gridSpan w:val="38"/>
          </w:tcPr>
          <w:p>
            <w:pPr>
              <w:spacing w:after="0"/>
              <w:rPr>
                <w:rFonts w:ascii="Arial" w:cs="Arial" w:eastAsia="Arial" w:hAnsi="Arial"/>
                <w:sz w:val="14"/>
                <w:szCs w:val="14"/>
                <w:color w:val="0000FF"/>
              </w:rPr>
            </w:pPr>
            <w:hyperlink r:id="rId93">
              <w:r>
                <w:rPr>
                  <w:rFonts w:ascii="Arial" w:cs="Arial" w:eastAsia="Arial" w:hAnsi="Arial"/>
                  <w:sz w:val="14"/>
                  <w:szCs w:val="14"/>
                  <w:color w:val="0000FF"/>
                </w:rPr>
                <w:t>Second Supplemental Indenture, dated March 29, 2017, between TechnipFMC plc and U.S. Bank National Association, as trustee (including the form of</w:t>
              </w:r>
            </w:hyperlink>
          </w:p>
        </w:tc>
        <w:tc>
          <w:tcPr>
            <w:tcW w:w="220" w:type="dxa"/>
            <w:vAlign w:val="bottom"/>
            <w:gridSpan w:val="8"/>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93">
              <w:r>
                <w:rPr>
                  <w:rFonts w:ascii="Arial" w:cs="Arial" w:eastAsia="Arial" w:hAnsi="Arial"/>
                  <w:sz w:val="14"/>
                  <w:szCs w:val="14"/>
                  <w:color w:val="0000FF"/>
                </w:rPr>
                <w:t>3.</w:t>
              </w:r>
              <w:r>
                <w:rPr>
                  <w:rFonts w:ascii="Arial" w:cs="Arial" w:eastAsia="Arial" w:hAnsi="Arial"/>
                  <w:sz w:val="14"/>
                  <w:szCs w:val="14"/>
                  <w:u w:val="single" w:color="auto"/>
                  <w:color w:val="0000FF"/>
                </w:rPr>
                <w:t>45%</w:t>
              </w:r>
              <w:r>
                <w:rPr>
                  <w:rFonts w:ascii="Arial" w:cs="Arial" w:eastAsia="Arial" w:hAnsi="Arial"/>
                  <w:sz w:val="14"/>
                  <w:szCs w:val="14"/>
                  <w:color w:val="0000FF"/>
                </w:rPr>
                <w:t xml:space="preserve"> Senior Notes due 2022) (incorporated by reference from Exhibit 4.3 to the Current Report on Form 8-K filed on March 30, 2017) (File No. 001-</w:t>
              </w:r>
            </w:hyperlink>
          </w:p>
        </w:tc>
      </w:tr>
      <w:tr>
        <w:trPr>
          <w:trHeight w:val="142"/>
        </w:trPr>
        <w:tc>
          <w:tcPr>
            <w:tcW w:w="1380" w:type="dxa"/>
            <w:vAlign w:val="bottom"/>
          </w:tcPr>
          <w:p>
            <w:pPr>
              <w:spacing w:after="0"/>
              <w:rPr>
                <w:sz w:val="12"/>
                <w:szCs w:val="12"/>
                <w:color w:val="auto"/>
              </w:rPr>
            </w:pPr>
          </w:p>
        </w:tc>
        <w:tc>
          <w:tcPr>
            <w:tcW w:w="1000" w:type="dxa"/>
            <w:vAlign w:val="bottom"/>
            <w:tcBorders>
              <w:top w:val="single" w:sz="8" w:color="0000FF"/>
            </w:tcBorders>
            <w:gridSpan w:val="2"/>
          </w:tcPr>
          <w:p>
            <w:pPr>
              <w:spacing w:after="0" w:line="142" w:lineRule="exact"/>
              <w:rPr>
                <w:rFonts w:ascii="Arial" w:cs="Arial" w:eastAsia="Arial" w:hAnsi="Arial"/>
                <w:sz w:val="14"/>
                <w:szCs w:val="14"/>
                <w:color w:val="0000FF"/>
              </w:rPr>
            </w:pPr>
            <w:hyperlink r:id="rId93">
              <w:r>
                <w:rPr>
                  <w:rFonts w:ascii="Arial" w:cs="Arial" w:eastAsia="Arial" w:hAnsi="Arial"/>
                  <w:sz w:val="14"/>
                  <w:szCs w:val="14"/>
                  <w:color w:val="0000FF"/>
                </w:rPr>
                <w:t>37983)</w:t>
              </w:r>
            </w:hyperlink>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7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4.2</w:t>
            </w:r>
          </w:p>
        </w:tc>
        <w:tc>
          <w:tcPr>
            <w:tcW w:w="9880" w:type="dxa"/>
            <w:vAlign w:val="bottom"/>
            <w:gridSpan w:val="46"/>
            <w:shd w:val="clear" w:color="auto" w:fill="CCEEFF"/>
          </w:tcPr>
          <w:p>
            <w:pPr>
              <w:spacing w:after="0"/>
              <w:rPr>
                <w:rFonts w:ascii="Arial" w:cs="Arial" w:eastAsia="Arial" w:hAnsi="Arial"/>
                <w:sz w:val="14"/>
                <w:szCs w:val="14"/>
                <w:color w:val="0000FF"/>
              </w:rPr>
            </w:pPr>
            <w:hyperlink w:anchor="page143">
              <w:r>
                <w:rPr>
                  <w:rFonts w:ascii="Arial" w:cs="Arial" w:eastAsia="Arial" w:hAnsi="Arial"/>
                  <w:sz w:val="14"/>
                  <w:szCs w:val="14"/>
                  <w:color w:val="0000FF"/>
                </w:rPr>
                <w:t>Description of Registrant’s Securities Registered Pursuant to Section 12 of the Securities Exchange Act of 1934, as amended.</w:t>
              </w:r>
            </w:hyperlink>
          </w:p>
        </w:tc>
      </w:tr>
      <w:tr>
        <w:trPr>
          <w:trHeight w:val="75"/>
        </w:trPr>
        <w:tc>
          <w:tcPr>
            <w:tcW w:w="1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0000FF"/>
            </w:tcBorders>
            <w:shd w:val="clear" w:color="auto" w:fill="CCEEFF"/>
          </w:tcPr>
          <w:p>
            <w:pPr>
              <w:spacing w:after="0"/>
              <w:rPr>
                <w:sz w:val="6"/>
                <w:szCs w:val="6"/>
                <w:color w:val="auto"/>
              </w:rPr>
            </w:pPr>
          </w:p>
        </w:tc>
        <w:tc>
          <w:tcPr>
            <w:tcW w:w="54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0000FF"/>
            </w:tcBorders>
            <w:shd w:val="clear" w:color="auto" w:fill="CCEEFF"/>
          </w:tcPr>
          <w:p>
            <w:pPr>
              <w:spacing w:after="0"/>
              <w:rPr>
                <w:sz w:val="6"/>
                <w:szCs w:val="6"/>
                <w:color w:val="auto"/>
              </w:rPr>
            </w:pPr>
          </w:p>
        </w:tc>
        <w:tc>
          <w:tcPr>
            <w:tcW w:w="240" w:type="dxa"/>
            <w:vAlign w:val="bottom"/>
            <w:tcBorders>
              <w:top w:val="single" w:sz="8" w:color="0000FF"/>
            </w:tcBorders>
            <w:shd w:val="clear" w:color="auto" w:fill="CCEEFF"/>
          </w:tcPr>
          <w:p>
            <w:pPr>
              <w:spacing w:after="0"/>
              <w:rPr>
                <w:sz w:val="6"/>
                <w:szCs w:val="6"/>
                <w:color w:val="auto"/>
              </w:rPr>
            </w:pPr>
          </w:p>
        </w:tc>
        <w:tc>
          <w:tcPr>
            <w:tcW w:w="420" w:type="dxa"/>
            <w:vAlign w:val="bottom"/>
            <w:tcBorders>
              <w:top w:val="single" w:sz="8" w:color="0000FF"/>
            </w:tcBorders>
            <w:shd w:val="clear" w:color="auto" w:fill="CCEEFF"/>
          </w:tcPr>
          <w:p>
            <w:pPr>
              <w:spacing w:after="0"/>
              <w:rPr>
                <w:sz w:val="6"/>
                <w:szCs w:val="6"/>
                <w:color w:val="auto"/>
              </w:rPr>
            </w:pPr>
          </w:p>
        </w:tc>
        <w:tc>
          <w:tcPr>
            <w:tcW w:w="64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1700" w:type="dxa"/>
            <w:vAlign w:val="bottom"/>
            <w:tcBorders>
              <w:top w:val="single" w:sz="8" w:color="0000FF"/>
            </w:tcBorders>
            <w:shd w:val="clear" w:color="auto" w:fill="CCEEFF"/>
          </w:tcPr>
          <w:p>
            <w:pPr>
              <w:spacing w:after="0"/>
              <w:rPr>
                <w:sz w:val="6"/>
                <w:szCs w:val="6"/>
                <w:color w:val="auto"/>
              </w:rPr>
            </w:pPr>
          </w:p>
        </w:tc>
        <w:tc>
          <w:tcPr>
            <w:tcW w:w="480" w:type="dxa"/>
            <w:vAlign w:val="bottom"/>
            <w:tcBorders>
              <w:top w:val="single" w:sz="8" w:color="0000FF"/>
            </w:tcBorders>
            <w:shd w:val="clear" w:color="auto" w:fill="CCEEFF"/>
          </w:tcPr>
          <w:p>
            <w:pPr>
              <w:spacing w:after="0"/>
              <w:rPr>
                <w:sz w:val="6"/>
                <w:szCs w:val="6"/>
                <w:color w:val="auto"/>
              </w:rPr>
            </w:pPr>
          </w:p>
        </w:tc>
        <w:tc>
          <w:tcPr>
            <w:tcW w:w="380" w:type="dxa"/>
            <w:vAlign w:val="bottom"/>
            <w:tcBorders>
              <w:top w:val="single" w:sz="8" w:color="0000FF"/>
            </w:tcBorders>
            <w:shd w:val="clear" w:color="auto" w:fill="CCEEFF"/>
          </w:tcPr>
          <w:p>
            <w:pPr>
              <w:spacing w:after="0"/>
              <w:rPr>
                <w:sz w:val="6"/>
                <w:szCs w:val="6"/>
                <w:color w:val="auto"/>
              </w:rPr>
            </w:pPr>
          </w:p>
        </w:tc>
        <w:tc>
          <w:tcPr>
            <w:tcW w:w="120" w:type="dxa"/>
            <w:vAlign w:val="bottom"/>
            <w:tcBorders>
              <w:top w:val="single" w:sz="8" w:color="0000FF"/>
            </w:tcBorders>
            <w:shd w:val="clear" w:color="auto" w:fill="CCEEFF"/>
          </w:tcPr>
          <w:p>
            <w:pPr>
              <w:spacing w:after="0"/>
              <w:rPr>
                <w:sz w:val="6"/>
                <w:szCs w:val="6"/>
                <w:color w:val="auto"/>
              </w:rPr>
            </w:pPr>
          </w:p>
        </w:tc>
        <w:tc>
          <w:tcPr>
            <w:tcW w:w="220" w:type="dxa"/>
            <w:vAlign w:val="bottom"/>
            <w:tcBorders>
              <w:top w:val="single" w:sz="8" w:color="0000FF"/>
            </w:tcBorders>
            <w:shd w:val="clear" w:color="auto" w:fill="CCEEFF"/>
          </w:tcPr>
          <w:p>
            <w:pPr>
              <w:spacing w:after="0"/>
              <w:rPr>
                <w:sz w:val="6"/>
                <w:szCs w:val="6"/>
                <w:color w:val="auto"/>
              </w:rPr>
            </w:pPr>
          </w:p>
        </w:tc>
        <w:tc>
          <w:tcPr>
            <w:tcW w:w="320" w:type="dxa"/>
            <w:vAlign w:val="bottom"/>
            <w:tcBorders>
              <w:top w:val="single" w:sz="8" w:color="0000FF"/>
            </w:tcBorders>
            <w:shd w:val="clear" w:color="auto" w:fill="CCEEFF"/>
          </w:tcPr>
          <w:p>
            <w:pPr>
              <w:spacing w:after="0"/>
              <w:rPr>
                <w:sz w:val="6"/>
                <w:szCs w:val="6"/>
                <w:color w:val="auto"/>
              </w:rPr>
            </w:pPr>
          </w:p>
        </w:tc>
        <w:tc>
          <w:tcPr>
            <w:tcW w:w="340" w:type="dxa"/>
            <w:vAlign w:val="bottom"/>
            <w:tcBorders>
              <w:top w:val="single" w:sz="8" w:color="0000FF"/>
            </w:tcBorders>
            <w:shd w:val="clear" w:color="auto" w:fill="CCEEFF"/>
          </w:tcPr>
          <w:p>
            <w:pPr>
              <w:spacing w:after="0"/>
              <w:rPr>
                <w:sz w:val="6"/>
                <w:szCs w:val="6"/>
                <w:color w:val="auto"/>
              </w:rPr>
            </w:pPr>
          </w:p>
        </w:tc>
        <w:tc>
          <w:tcPr>
            <w:tcW w:w="140" w:type="dxa"/>
            <w:vAlign w:val="bottom"/>
            <w:tcBorders>
              <w:top w:val="single" w:sz="8" w:color="0000FF"/>
            </w:tcBorders>
            <w:shd w:val="clear" w:color="auto" w:fill="CCEEFF"/>
          </w:tcPr>
          <w:p>
            <w:pPr>
              <w:spacing w:after="0"/>
              <w:rPr>
                <w:sz w:val="6"/>
                <w:szCs w:val="6"/>
                <w:color w:val="auto"/>
              </w:rPr>
            </w:pPr>
          </w:p>
        </w:tc>
        <w:tc>
          <w:tcPr>
            <w:tcW w:w="660" w:type="dxa"/>
            <w:vAlign w:val="bottom"/>
            <w:tcBorders>
              <w:top w:val="single" w:sz="8" w:color="0000FF"/>
            </w:tcBorders>
            <w:shd w:val="clear" w:color="auto" w:fill="CCEEFF"/>
          </w:tcPr>
          <w:p>
            <w:pPr>
              <w:spacing w:after="0"/>
              <w:rPr>
                <w:sz w:val="6"/>
                <w:szCs w:val="6"/>
                <w:color w:val="auto"/>
              </w:rPr>
            </w:pPr>
          </w:p>
        </w:tc>
        <w:tc>
          <w:tcPr>
            <w:tcW w:w="140" w:type="dxa"/>
            <w:vAlign w:val="bottom"/>
            <w:tcBorders>
              <w:top w:val="single" w:sz="8" w:color="0000FF"/>
            </w:tcBorders>
            <w:shd w:val="clear" w:color="auto" w:fill="CCEEFF"/>
          </w:tcPr>
          <w:p>
            <w:pPr>
              <w:spacing w:after="0"/>
              <w:rPr>
                <w:sz w:val="6"/>
                <w:szCs w:val="6"/>
                <w:color w:val="auto"/>
              </w:rPr>
            </w:pPr>
          </w:p>
        </w:tc>
        <w:tc>
          <w:tcPr>
            <w:tcW w:w="100" w:type="dxa"/>
            <w:vAlign w:val="bottom"/>
            <w:tcBorders>
              <w:top w:val="single" w:sz="8" w:color="0000FF"/>
            </w:tcBorders>
            <w:shd w:val="clear" w:color="auto" w:fill="CCEEFF"/>
          </w:tcPr>
          <w:p>
            <w:pPr>
              <w:spacing w:after="0"/>
              <w:rPr>
                <w:sz w:val="6"/>
                <w:szCs w:val="6"/>
                <w:color w:val="auto"/>
              </w:rPr>
            </w:pPr>
          </w:p>
        </w:tc>
        <w:tc>
          <w:tcPr>
            <w:tcW w:w="120" w:type="dxa"/>
            <w:vAlign w:val="bottom"/>
            <w:tcBorders>
              <w:top w:val="single" w:sz="8" w:color="0000FF"/>
            </w:tcBorders>
            <w:shd w:val="clear" w:color="auto" w:fill="CCEEFF"/>
          </w:tcPr>
          <w:p>
            <w:pPr>
              <w:spacing w:after="0"/>
              <w:rPr>
                <w:sz w:val="6"/>
                <w:szCs w:val="6"/>
                <w:color w:val="auto"/>
              </w:rPr>
            </w:pPr>
          </w:p>
        </w:tc>
        <w:tc>
          <w:tcPr>
            <w:tcW w:w="36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0000FF"/>
            </w:tcBorders>
            <w:shd w:val="clear" w:color="auto" w:fill="CCEEFF"/>
          </w:tcPr>
          <w:p>
            <w:pPr>
              <w:spacing w:after="0"/>
              <w:rPr>
                <w:sz w:val="6"/>
                <w:szCs w:val="6"/>
                <w:color w:val="auto"/>
              </w:rPr>
            </w:pPr>
          </w:p>
        </w:tc>
        <w:tc>
          <w:tcPr>
            <w:tcW w:w="20" w:type="dxa"/>
            <w:vAlign w:val="bottom"/>
            <w:tcBorders>
              <w:top w:val="single" w:sz="8" w:color="0000FF"/>
            </w:tcBorders>
            <w:shd w:val="clear" w:color="auto" w:fill="CCEEFF"/>
          </w:tcPr>
          <w:p>
            <w:pPr>
              <w:spacing w:after="0"/>
              <w:rPr>
                <w:sz w:val="6"/>
                <w:szCs w:val="6"/>
                <w:color w:val="auto"/>
              </w:rPr>
            </w:pPr>
          </w:p>
        </w:tc>
        <w:tc>
          <w:tcPr>
            <w:tcW w:w="44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w:t>
            </w:r>
          </w:p>
        </w:tc>
        <w:tc>
          <w:tcPr>
            <w:tcW w:w="9780" w:type="dxa"/>
            <w:vAlign w:val="bottom"/>
            <w:tcBorders>
              <w:bottom w:val="single" w:sz="8" w:color="0000FF"/>
            </w:tcBorders>
            <w:gridSpan w:val="44"/>
          </w:tcPr>
          <w:p>
            <w:pPr>
              <w:spacing w:after="0"/>
              <w:rPr>
                <w:rFonts w:ascii="Arial" w:cs="Arial" w:eastAsia="Arial" w:hAnsi="Arial"/>
                <w:sz w:val="14"/>
                <w:szCs w:val="14"/>
                <w:color w:val="0000FF"/>
              </w:rPr>
            </w:pPr>
            <w:hyperlink r:id="rId94">
              <w:r>
                <w:rPr>
                  <w:rFonts w:ascii="Arial" w:cs="Arial" w:eastAsia="Arial" w:hAnsi="Arial"/>
                  <w:sz w:val="14"/>
                  <w:szCs w:val="14"/>
                  <w:color w:val="0000FF"/>
                </w:rPr>
                <w:t>Amended and Restated FMC Technologies, Inc. Non-Qualified Savings and Investment Plan, dated July 31, 2008 (incorporated by reference from Exhibit</w:t>
              </w:r>
            </w:hyperlink>
          </w:p>
        </w:tc>
        <w:tc>
          <w:tcPr>
            <w:tcW w:w="100" w:type="dxa"/>
            <w:vAlign w:val="bottom"/>
            <w:gridSpan w:val="2"/>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94">
              <w:r>
                <w:rPr>
                  <w:rFonts w:ascii="Arial" w:cs="Arial" w:eastAsia="Arial" w:hAnsi="Arial"/>
                  <w:sz w:val="14"/>
                  <w:szCs w:val="14"/>
                  <w:color w:val="0000FF"/>
                </w:rPr>
                <w:t>10.</w:t>
              </w:r>
              <w:r>
                <w:rPr>
                  <w:rFonts w:ascii="Arial" w:cs="Arial" w:eastAsia="Arial" w:hAnsi="Arial"/>
                  <w:sz w:val="14"/>
                  <w:szCs w:val="14"/>
                  <w:u w:val="single" w:color="auto"/>
                  <w:color w:val="0000FF"/>
                </w:rPr>
                <w:t>9</w:t>
              </w:r>
              <w:r>
                <w:rPr>
                  <w:rFonts w:ascii="Arial" w:cs="Arial" w:eastAsia="Arial" w:hAnsi="Arial"/>
                  <w:sz w:val="14"/>
                  <w:szCs w:val="14"/>
                  <w:color w:val="0000FF"/>
                </w:rPr>
                <w:t xml:space="preserve"> to the Annual Report on Form 10-K of FMC Technologies, Inc. filed on March 1, 2010) (File No. 001-16489)</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10.1.a*</w:t>
            </w:r>
          </w:p>
        </w:tc>
        <w:tc>
          <w:tcPr>
            <w:tcW w:w="9780" w:type="dxa"/>
            <w:vAlign w:val="bottom"/>
            <w:tcBorders>
              <w:bottom w:val="single" w:sz="8" w:color="0000FF"/>
            </w:tcBorders>
            <w:gridSpan w:val="44"/>
            <w:shd w:val="clear" w:color="auto" w:fill="CCEEFF"/>
          </w:tcPr>
          <w:p>
            <w:pPr>
              <w:spacing w:after="0"/>
              <w:rPr>
                <w:rFonts w:ascii="Arial" w:cs="Arial" w:eastAsia="Arial" w:hAnsi="Arial"/>
                <w:sz w:val="14"/>
                <w:szCs w:val="14"/>
                <w:color w:val="0000FF"/>
              </w:rPr>
            </w:pPr>
            <w:hyperlink r:id="rId95">
              <w:r>
                <w:rPr>
                  <w:rFonts w:ascii="Arial" w:cs="Arial" w:eastAsia="Arial" w:hAnsi="Arial"/>
                  <w:sz w:val="14"/>
                  <w:szCs w:val="14"/>
                  <w:color w:val="0000FF"/>
                </w:rPr>
                <w:t>First Amendment of FMC Technologies, Inc. Non-Qualified Savings and Investment Plan, dated October 29, 2009 (incorporated by reference from Exhibit</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6"/>
            <w:shd w:val="clear" w:color="auto" w:fill="CCEEFF"/>
          </w:tcPr>
          <w:p>
            <w:pPr>
              <w:spacing w:after="0" w:line="142" w:lineRule="exact"/>
              <w:rPr>
                <w:rFonts w:ascii="Arial" w:cs="Arial" w:eastAsia="Arial" w:hAnsi="Arial"/>
                <w:sz w:val="14"/>
                <w:szCs w:val="14"/>
                <w:color w:val="0000FF"/>
              </w:rPr>
            </w:pPr>
            <w:hyperlink r:id="rId95">
              <w:r>
                <w:rPr>
                  <w:rFonts w:ascii="Arial" w:cs="Arial" w:eastAsia="Arial" w:hAnsi="Arial"/>
                  <w:sz w:val="14"/>
                  <w:szCs w:val="14"/>
                  <w:color w:val="0000FF"/>
                </w:rPr>
                <w:t>10.</w:t>
              </w:r>
              <w:r>
                <w:rPr>
                  <w:rFonts w:ascii="Arial" w:cs="Arial" w:eastAsia="Arial" w:hAnsi="Arial"/>
                  <w:sz w:val="14"/>
                  <w:szCs w:val="14"/>
                  <w:u w:val="single" w:color="auto"/>
                  <w:color w:val="0000FF"/>
                </w:rPr>
                <w:t>9</w:t>
              </w:r>
              <w:r>
                <w:rPr>
                  <w:rFonts w:ascii="Arial" w:cs="Arial" w:eastAsia="Arial" w:hAnsi="Arial"/>
                  <w:sz w:val="14"/>
                  <w:szCs w:val="14"/>
                  <w:color w:val="0000FF"/>
                </w:rPr>
                <w:t xml:space="preserve"> to the Quarterly Report on Form 10-Q of FMC Technologies, Inc. filed on November 3, 2009) (File No. 001-16489)</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10.1.b*</w:t>
            </w:r>
          </w:p>
        </w:tc>
        <w:tc>
          <w:tcPr>
            <w:tcW w:w="9640" w:type="dxa"/>
            <w:vAlign w:val="bottom"/>
            <w:tcBorders>
              <w:bottom w:val="single" w:sz="8" w:color="0000FF"/>
            </w:tcBorders>
            <w:gridSpan w:val="37"/>
          </w:tcPr>
          <w:p>
            <w:pPr>
              <w:spacing w:after="0"/>
              <w:rPr>
                <w:rFonts w:ascii="Arial" w:cs="Arial" w:eastAsia="Arial" w:hAnsi="Arial"/>
                <w:sz w:val="14"/>
                <w:szCs w:val="14"/>
                <w:color w:val="0000FF"/>
              </w:rPr>
            </w:pPr>
            <w:hyperlink r:id="rId96">
              <w:r>
                <w:rPr>
                  <w:rFonts w:ascii="Arial" w:cs="Arial" w:eastAsia="Arial" w:hAnsi="Arial"/>
                  <w:sz w:val="14"/>
                  <w:szCs w:val="14"/>
                  <w:color w:val="0000FF"/>
                </w:rPr>
                <w:t>Second Amendment of FMC Technologies, Inc. Non-Qualified Savings and Investment Plan, dated December 18, 2015 (incorporated by reference from</w:t>
              </w:r>
            </w:hyperlink>
          </w:p>
        </w:tc>
        <w:tc>
          <w:tcPr>
            <w:tcW w:w="240" w:type="dxa"/>
            <w:vAlign w:val="bottom"/>
            <w:gridSpan w:val="9"/>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96">
              <w:r>
                <w:rPr>
                  <w:rFonts w:ascii="Arial" w:cs="Arial" w:eastAsia="Arial" w:hAnsi="Arial"/>
                  <w:sz w:val="14"/>
                  <w:szCs w:val="14"/>
                  <w:color w:val="0000FF"/>
                </w:rPr>
                <w:t>Exhibit 10.14.b to the Annual Report on Form 10-K of FMC Technologies, Inc. filed on February 24, 2016) (File No. 001-16489)</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10.2*</w:t>
            </w:r>
          </w:p>
        </w:tc>
        <w:tc>
          <w:tcPr>
            <w:tcW w:w="9620" w:type="dxa"/>
            <w:vAlign w:val="bottom"/>
            <w:tcBorders>
              <w:bottom w:val="single" w:sz="8" w:color="0000FF"/>
            </w:tcBorders>
            <w:gridSpan w:val="36"/>
            <w:shd w:val="clear" w:color="auto" w:fill="CCEEFF"/>
          </w:tcPr>
          <w:p>
            <w:pPr>
              <w:spacing w:after="0"/>
              <w:rPr>
                <w:rFonts w:ascii="Arial" w:cs="Arial" w:eastAsia="Arial" w:hAnsi="Arial"/>
                <w:sz w:val="14"/>
                <w:szCs w:val="14"/>
                <w:color w:val="0000FF"/>
              </w:rPr>
            </w:pPr>
            <w:hyperlink r:id="rId97">
              <w:r>
                <w:rPr>
                  <w:rFonts w:ascii="Arial" w:cs="Arial" w:eastAsia="Arial" w:hAnsi="Arial"/>
                  <w:sz w:val="14"/>
                  <w:szCs w:val="14"/>
                  <w:color w:val="0000FF"/>
                </w:rPr>
                <w:t>Amended and Restated TechnipFMC plc Incentive Award Plan (incorporated by reference from Exhibit 10.2 to the Annual Report on Form 10-K filed on</w:t>
              </w:r>
            </w:hyperlink>
          </w:p>
        </w:tc>
        <w:tc>
          <w:tcPr>
            <w:tcW w:w="260" w:type="dxa"/>
            <w:vAlign w:val="bottom"/>
            <w:tcBorders>
              <w:bottom w:val="single" w:sz="8" w:color="CCEEFF"/>
            </w:tcBorders>
            <w:gridSpan w:val="10"/>
            <w:shd w:val="clear" w:color="auto" w:fill="CCEEFF"/>
          </w:tcPr>
          <w:p>
            <w:pPr>
              <w:spacing w:after="0"/>
              <w:rPr>
                <w:sz w:val="15"/>
                <w:szCs w:val="15"/>
                <w:color w:val="auto"/>
              </w:rPr>
            </w:pPr>
          </w:p>
        </w:tc>
      </w:tr>
      <w:tr>
        <w:trPr>
          <w:trHeight w:val="163"/>
        </w:trPr>
        <w:tc>
          <w:tcPr>
            <w:tcW w:w="1380" w:type="dxa"/>
            <w:vAlign w:val="bottom"/>
            <w:tcBorders>
              <w:bottom w:val="single" w:sz="8" w:color="CCEEFF"/>
            </w:tcBorders>
            <w:shd w:val="clear" w:color="auto" w:fill="CCEEFF"/>
          </w:tcPr>
          <w:p>
            <w:pPr>
              <w:spacing w:after="0"/>
              <w:rPr>
                <w:sz w:val="14"/>
                <w:szCs w:val="14"/>
                <w:color w:val="auto"/>
              </w:rPr>
            </w:pPr>
          </w:p>
        </w:tc>
        <w:tc>
          <w:tcPr>
            <w:tcW w:w="2420" w:type="dxa"/>
            <w:vAlign w:val="bottom"/>
            <w:tcBorders>
              <w:bottom w:val="single" w:sz="8" w:color="0000FF"/>
            </w:tcBorders>
            <w:gridSpan w:val="7"/>
            <w:shd w:val="clear" w:color="auto" w:fill="CCEEFF"/>
          </w:tcPr>
          <w:p>
            <w:pPr>
              <w:spacing w:after="0" w:line="142" w:lineRule="exact"/>
              <w:rPr>
                <w:rFonts w:ascii="Arial" w:cs="Arial" w:eastAsia="Arial" w:hAnsi="Arial"/>
                <w:sz w:val="14"/>
                <w:szCs w:val="14"/>
                <w:color w:val="0000FF"/>
              </w:rPr>
            </w:pPr>
            <w:hyperlink r:id="rId97">
              <w:r>
                <w:rPr>
                  <w:rFonts w:ascii="Arial" w:cs="Arial" w:eastAsia="Arial" w:hAnsi="Arial"/>
                  <w:sz w:val="14"/>
                  <w:szCs w:val="14"/>
                  <w:color w:val="0000FF"/>
                </w:rPr>
                <w:t>March 11, 2019) (File No. 001-37983)</w:t>
              </w:r>
            </w:hyperlink>
          </w:p>
        </w:tc>
        <w:tc>
          <w:tcPr>
            <w:tcW w:w="7460" w:type="dxa"/>
            <w:vAlign w:val="bottom"/>
            <w:tcBorders>
              <w:bottom w:val="single" w:sz="8" w:color="CCEEFF"/>
            </w:tcBorders>
            <w:gridSpan w:val="39"/>
            <w:shd w:val="clear" w:color="auto" w:fill="CCEEFF"/>
          </w:tcPr>
          <w:p>
            <w:pPr>
              <w:spacing w:after="0"/>
              <w:rPr>
                <w:sz w:val="14"/>
                <w:szCs w:val="14"/>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10.3*</w:t>
            </w:r>
          </w:p>
        </w:tc>
        <w:tc>
          <w:tcPr>
            <w:tcW w:w="9740" w:type="dxa"/>
            <w:vAlign w:val="bottom"/>
            <w:tcBorders>
              <w:bottom w:val="single" w:sz="8" w:color="0000FF"/>
            </w:tcBorders>
            <w:gridSpan w:val="42"/>
          </w:tcPr>
          <w:p>
            <w:pPr>
              <w:spacing w:after="0"/>
              <w:rPr>
                <w:rFonts w:ascii="Arial" w:cs="Arial" w:eastAsia="Arial" w:hAnsi="Arial"/>
                <w:sz w:val="14"/>
                <w:szCs w:val="14"/>
                <w:color w:val="0000FF"/>
              </w:rPr>
            </w:pPr>
            <w:hyperlink r:id="rId98">
              <w:r>
                <w:rPr>
                  <w:rFonts w:ascii="Arial" w:cs="Arial" w:eastAsia="Arial" w:hAnsi="Arial"/>
                  <w:sz w:val="14"/>
                  <w:szCs w:val="14"/>
                  <w:color w:val="0000FF"/>
                </w:rPr>
                <w:t>Form of Restricted Stock Unit Agreement pursuant to the TechnipFMC plc Incentive Award Plan (Employee) (incorporated by reference from Exhibit 10.1</w:t>
              </w:r>
            </w:hyperlink>
          </w:p>
        </w:tc>
        <w:tc>
          <w:tcPr>
            <w:tcW w:w="140" w:type="dxa"/>
            <w:vAlign w:val="bottom"/>
            <w:gridSpan w:val="4"/>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98">
              <w:r>
                <w:rPr>
                  <w:rFonts w:ascii="Arial" w:cs="Arial" w:eastAsia="Arial" w:hAnsi="Arial"/>
                  <w:sz w:val="14"/>
                  <w:szCs w:val="14"/>
                  <w:color w:val="0000FF"/>
                </w:rPr>
                <w:t>to the Quarterly Report on Form 10-Q filed on August 4, 2017)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10.4*</w:t>
            </w:r>
          </w:p>
        </w:tc>
        <w:tc>
          <w:tcPr>
            <w:tcW w:w="9500" w:type="dxa"/>
            <w:vAlign w:val="bottom"/>
            <w:tcBorders>
              <w:bottom w:val="single" w:sz="8" w:color="0000FF"/>
            </w:tcBorders>
            <w:gridSpan w:val="30"/>
            <w:shd w:val="clear" w:color="auto" w:fill="CCEEFF"/>
          </w:tcPr>
          <w:p>
            <w:pPr>
              <w:spacing w:after="0"/>
              <w:rPr>
                <w:rFonts w:ascii="Arial" w:cs="Arial" w:eastAsia="Arial" w:hAnsi="Arial"/>
                <w:sz w:val="14"/>
                <w:szCs w:val="14"/>
                <w:color w:val="0000FF"/>
              </w:rPr>
            </w:pPr>
            <w:hyperlink r:id="rId99">
              <w:r>
                <w:rPr>
                  <w:rFonts w:ascii="Arial" w:cs="Arial" w:eastAsia="Arial" w:hAnsi="Arial"/>
                  <w:sz w:val="14"/>
                  <w:szCs w:val="14"/>
                  <w:color w:val="0000FF"/>
                </w:rPr>
                <w:t>Form of Restricted Stock Unit Agreement pursuant to the Amended and Restated TechnipFMC plc Incentive Award Plan (Employee) (incorporated by</w:t>
              </w:r>
            </w:hyperlink>
          </w:p>
        </w:tc>
        <w:tc>
          <w:tcPr>
            <w:tcW w:w="380" w:type="dxa"/>
            <w:vAlign w:val="bottom"/>
            <w:tcBorders>
              <w:bottom w:val="single" w:sz="8" w:color="CCEEFF"/>
            </w:tcBorders>
            <w:gridSpan w:val="16"/>
            <w:shd w:val="clear" w:color="auto" w:fill="CCEEFF"/>
          </w:tcPr>
          <w:p>
            <w:pPr>
              <w:spacing w:after="0"/>
              <w:rPr>
                <w:sz w:val="15"/>
                <w:szCs w:val="15"/>
                <w:color w:val="auto"/>
              </w:rPr>
            </w:pPr>
          </w:p>
        </w:tc>
      </w:tr>
      <w:tr>
        <w:trPr>
          <w:trHeight w:val="163"/>
        </w:trPr>
        <w:tc>
          <w:tcPr>
            <w:tcW w:w="1380" w:type="dxa"/>
            <w:vAlign w:val="bottom"/>
            <w:tcBorders>
              <w:bottom w:val="single" w:sz="8" w:color="CCEEFF"/>
            </w:tcBorders>
            <w:shd w:val="clear" w:color="auto" w:fill="CCEEFF"/>
          </w:tcPr>
          <w:p>
            <w:pPr>
              <w:spacing w:after="0"/>
              <w:rPr>
                <w:sz w:val="14"/>
                <w:szCs w:val="14"/>
                <w:color w:val="auto"/>
              </w:rPr>
            </w:pPr>
          </w:p>
        </w:tc>
        <w:tc>
          <w:tcPr>
            <w:tcW w:w="6920" w:type="dxa"/>
            <w:vAlign w:val="bottom"/>
            <w:tcBorders>
              <w:bottom w:val="single" w:sz="8" w:color="0000FF"/>
            </w:tcBorders>
            <w:gridSpan w:val="17"/>
            <w:shd w:val="clear" w:color="auto" w:fill="CCEEFF"/>
          </w:tcPr>
          <w:p>
            <w:pPr>
              <w:spacing w:after="0" w:line="142" w:lineRule="exact"/>
              <w:rPr>
                <w:rFonts w:ascii="Arial" w:cs="Arial" w:eastAsia="Arial" w:hAnsi="Arial"/>
                <w:sz w:val="14"/>
                <w:szCs w:val="14"/>
                <w:color w:val="0000FF"/>
              </w:rPr>
            </w:pPr>
            <w:hyperlink r:id="rId99">
              <w:r>
                <w:rPr>
                  <w:rFonts w:ascii="Arial" w:cs="Arial" w:eastAsia="Arial" w:hAnsi="Arial"/>
                  <w:sz w:val="14"/>
                  <w:szCs w:val="14"/>
                  <w:color w:val="0000FF"/>
                </w:rPr>
                <w:t>reference from Exhibit 10.1 to the Quarterly Report on Form 10-Q filed on May 9, 2019) (File No. 001-37983)</w:t>
              </w:r>
            </w:hyperlink>
          </w:p>
        </w:tc>
        <w:tc>
          <w:tcPr>
            <w:tcW w:w="2960" w:type="dxa"/>
            <w:vAlign w:val="bottom"/>
            <w:tcBorders>
              <w:bottom w:val="single" w:sz="8" w:color="CCEEFF"/>
            </w:tcBorders>
            <w:gridSpan w:val="29"/>
            <w:shd w:val="clear" w:color="auto" w:fill="CCEEFF"/>
          </w:tcPr>
          <w:p>
            <w:pPr>
              <w:spacing w:after="0"/>
              <w:rPr>
                <w:sz w:val="14"/>
                <w:szCs w:val="14"/>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10.5*</w:t>
            </w:r>
          </w:p>
        </w:tc>
        <w:tc>
          <w:tcPr>
            <w:tcW w:w="9780" w:type="dxa"/>
            <w:vAlign w:val="bottom"/>
            <w:tcBorders>
              <w:bottom w:val="single" w:sz="8" w:color="0000FF"/>
            </w:tcBorders>
            <w:gridSpan w:val="44"/>
          </w:tcPr>
          <w:p>
            <w:pPr>
              <w:spacing w:after="0"/>
              <w:rPr>
                <w:rFonts w:ascii="Arial" w:cs="Arial" w:eastAsia="Arial" w:hAnsi="Arial"/>
                <w:sz w:val="14"/>
                <w:szCs w:val="14"/>
                <w:color w:val="0000FF"/>
              </w:rPr>
            </w:pPr>
            <w:hyperlink r:id="rId100">
              <w:r>
                <w:rPr>
                  <w:rFonts w:ascii="Arial" w:cs="Arial" w:eastAsia="Arial" w:hAnsi="Arial"/>
                  <w:sz w:val="14"/>
                  <w:szCs w:val="14"/>
                  <w:color w:val="0000FF"/>
                </w:rPr>
                <w:t>Form of Restricted Stock Unit Agreement pursuant to the TechnipFMC plc Incentive Award Plan (Non-Employee Director) (incorporated by reference from</w:t>
              </w:r>
            </w:hyperlink>
          </w:p>
        </w:tc>
        <w:tc>
          <w:tcPr>
            <w:tcW w:w="100" w:type="dxa"/>
            <w:vAlign w:val="bottom"/>
            <w:gridSpan w:val="2"/>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100">
              <w:r>
                <w:rPr>
                  <w:rFonts w:ascii="Arial" w:cs="Arial" w:eastAsia="Arial" w:hAnsi="Arial"/>
                  <w:sz w:val="14"/>
                  <w:szCs w:val="14"/>
                  <w:color w:val="0000FF"/>
                </w:rPr>
                <w:t>Exhibit 10.2 to the Quarterly Report on Form 10-Q filed on August 4, 2017)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10.6*</w:t>
            </w:r>
          </w:p>
        </w:tc>
        <w:tc>
          <w:tcPr>
            <w:tcW w:w="9580" w:type="dxa"/>
            <w:vAlign w:val="bottom"/>
            <w:tcBorders>
              <w:bottom w:val="single" w:sz="8" w:color="0000FF"/>
            </w:tcBorders>
            <w:gridSpan w:val="34"/>
            <w:shd w:val="clear" w:color="auto" w:fill="CCEEFF"/>
          </w:tcPr>
          <w:p>
            <w:pPr>
              <w:spacing w:after="0"/>
              <w:rPr>
                <w:rFonts w:ascii="Arial" w:cs="Arial" w:eastAsia="Arial" w:hAnsi="Arial"/>
                <w:sz w:val="14"/>
                <w:szCs w:val="14"/>
                <w:color w:val="0000FF"/>
              </w:rPr>
            </w:pPr>
            <w:hyperlink r:id="rId101">
              <w:r>
                <w:rPr>
                  <w:rFonts w:ascii="Arial" w:cs="Arial" w:eastAsia="Arial" w:hAnsi="Arial"/>
                  <w:sz w:val="14"/>
                  <w:szCs w:val="14"/>
                  <w:color w:val="0000FF"/>
                </w:rPr>
                <w:t>Form of Performance Stock Unit Agreement pursuant to the TechnipFMC plc Incentive Award Plan (Employee) (incorporated by reference from Exhibit</w:t>
              </w:r>
            </w:hyperlink>
          </w:p>
        </w:tc>
        <w:tc>
          <w:tcPr>
            <w:tcW w:w="300" w:type="dxa"/>
            <w:vAlign w:val="bottom"/>
            <w:tcBorders>
              <w:bottom w:val="single" w:sz="8" w:color="CCEEFF"/>
            </w:tcBorders>
            <w:gridSpan w:val="12"/>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6"/>
            <w:shd w:val="clear" w:color="auto" w:fill="CCEEFF"/>
          </w:tcPr>
          <w:p>
            <w:pPr>
              <w:spacing w:after="0" w:line="142" w:lineRule="exact"/>
              <w:rPr>
                <w:rFonts w:ascii="Arial" w:cs="Arial" w:eastAsia="Arial" w:hAnsi="Arial"/>
                <w:sz w:val="14"/>
                <w:szCs w:val="14"/>
                <w:color w:val="0000FF"/>
              </w:rPr>
            </w:pPr>
            <w:hyperlink r:id="rId101">
              <w:r>
                <w:rPr>
                  <w:rFonts w:ascii="Arial" w:cs="Arial" w:eastAsia="Arial" w:hAnsi="Arial"/>
                  <w:sz w:val="14"/>
                  <w:szCs w:val="14"/>
                  <w:color w:val="0000FF"/>
                </w:rPr>
                <w:t>10.</w:t>
              </w:r>
              <w:r>
                <w:rPr>
                  <w:rFonts w:ascii="Arial" w:cs="Arial" w:eastAsia="Arial" w:hAnsi="Arial"/>
                  <w:sz w:val="14"/>
                  <w:szCs w:val="14"/>
                  <w:u w:val="single" w:color="auto"/>
                  <w:color w:val="0000FF"/>
                </w:rPr>
                <w:t>3</w:t>
              </w:r>
              <w:r>
                <w:rPr>
                  <w:rFonts w:ascii="Arial" w:cs="Arial" w:eastAsia="Arial" w:hAnsi="Arial"/>
                  <w:sz w:val="14"/>
                  <w:szCs w:val="14"/>
                  <w:color w:val="0000FF"/>
                </w:rPr>
                <w:t xml:space="preserve"> to the Quarterly Report on Form 10-Q filed on August 4, 2017) (File No. 001-37983)</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10.7*</w:t>
            </w:r>
          </w:p>
        </w:tc>
        <w:tc>
          <w:tcPr>
            <w:tcW w:w="9680" w:type="dxa"/>
            <w:vAlign w:val="bottom"/>
            <w:tcBorders>
              <w:bottom w:val="single" w:sz="8" w:color="0000FF"/>
            </w:tcBorders>
            <w:gridSpan w:val="39"/>
          </w:tcPr>
          <w:p>
            <w:pPr>
              <w:spacing w:after="0"/>
              <w:rPr>
                <w:rFonts w:ascii="Arial" w:cs="Arial" w:eastAsia="Arial" w:hAnsi="Arial"/>
                <w:sz w:val="14"/>
                <w:szCs w:val="14"/>
                <w:color w:val="0000FF"/>
              </w:rPr>
            </w:pPr>
            <w:hyperlink r:id="rId102">
              <w:r>
                <w:rPr>
                  <w:rFonts w:ascii="Arial" w:cs="Arial" w:eastAsia="Arial" w:hAnsi="Arial"/>
                  <w:sz w:val="14"/>
                  <w:szCs w:val="14"/>
                  <w:color w:val="0000FF"/>
                </w:rPr>
                <w:t>Form of Performance Stock Unit Agreement pursuant to the Amended and Restated TechnipFMC plc Incentive Award Plan (Employee) (incorporated by</w:t>
              </w:r>
            </w:hyperlink>
          </w:p>
        </w:tc>
        <w:tc>
          <w:tcPr>
            <w:tcW w:w="200" w:type="dxa"/>
            <w:vAlign w:val="bottom"/>
            <w:gridSpan w:val="7"/>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102">
              <w:r>
                <w:rPr>
                  <w:rFonts w:ascii="Arial" w:cs="Arial" w:eastAsia="Arial" w:hAnsi="Arial"/>
                  <w:sz w:val="14"/>
                  <w:szCs w:val="14"/>
                  <w:color w:val="0000FF"/>
                </w:rPr>
                <w:t>reference from Exhibit 10.2 to the Quarterly Report on Form 10-Q filed on May 9, 2019)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10.8*</w:t>
            </w:r>
          </w:p>
        </w:tc>
        <w:tc>
          <w:tcPr>
            <w:tcW w:w="9520" w:type="dxa"/>
            <w:vAlign w:val="bottom"/>
            <w:tcBorders>
              <w:bottom w:val="single" w:sz="8" w:color="0000FF"/>
            </w:tcBorders>
            <w:gridSpan w:val="31"/>
            <w:shd w:val="clear" w:color="auto" w:fill="CCEEFF"/>
          </w:tcPr>
          <w:p>
            <w:pPr>
              <w:spacing w:after="0"/>
              <w:rPr>
                <w:rFonts w:ascii="Arial" w:cs="Arial" w:eastAsia="Arial" w:hAnsi="Arial"/>
                <w:sz w:val="14"/>
                <w:szCs w:val="14"/>
                <w:color w:val="0000FF"/>
              </w:rPr>
            </w:pPr>
            <w:hyperlink r:id="rId103">
              <w:r>
                <w:rPr>
                  <w:rFonts w:ascii="Arial" w:cs="Arial" w:eastAsia="Arial" w:hAnsi="Arial"/>
                  <w:sz w:val="14"/>
                  <w:szCs w:val="14"/>
                  <w:color w:val="0000FF"/>
                </w:rPr>
                <w:t>Performance Stock Unit Agreement pursuant to the TechnipFMC plc Incentive Award Plan, dated as of August 9, 2017, between TechnipFMC plc and</w:t>
              </w:r>
            </w:hyperlink>
          </w:p>
        </w:tc>
        <w:tc>
          <w:tcPr>
            <w:tcW w:w="360" w:type="dxa"/>
            <w:vAlign w:val="bottom"/>
            <w:tcBorders>
              <w:bottom w:val="single" w:sz="8" w:color="CCEEFF"/>
            </w:tcBorders>
            <w:gridSpan w:val="15"/>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6"/>
            <w:shd w:val="clear" w:color="auto" w:fill="CCEEFF"/>
          </w:tcPr>
          <w:p>
            <w:pPr>
              <w:spacing w:after="0" w:line="142" w:lineRule="exact"/>
              <w:rPr>
                <w:rFonts w:ascii="Arial" w:cs="Arial" w:eastAsia="Arial" w:hAnsi="Arial"/>
                <w:sz w:val="14"/>
                <w:szCs w:val="14"/>
                <w:color w:val="0000FF"/>
              </w:rPr>
            </w:pPr>
            <w:hyperlink r:id="rId103">
              <w:r>
                <w:rPr>
                  <w:rFonts w:ascii="Arial" w:cs="Arial" w:eastAsia="Arial" w:hAnsi="Arial"/>
                  <w:sz w:val="14"/>
                  <w:szCs w:val="14"/>
                  <w:color w:val="0000FF"/>
                </w:rPr>
                <w:t>Thierry Pilenko (incorporated by reference from Exhibit 10.4 to the Quarterly Report on Form 10-Q filed on November 9, 2017) (File No. 001-37983)</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10.9*</w:t>
            </w:r>
          </w:p>
        </w:tc>
        <w:tc>
          <w:tcPr>
            <w:tcW w:w="9740" w:type="dxa"/>
            <w:vAlign w:val="bottom"/>
            <w:tcBorders>
              <w:bottom w:val="single" w:sz="8" w:color="0000FF"/>
            </w:tcBorders>
            <w:gridSpan w:val="42"/>
          </w:tcPr>
          <w:p>
            <w:pPr>
              <w:spacing w:after="0"/>
              <w:rPr>
                <w:rFonts w:ascii="Arial" w:cs="Arial" w:eastAsia="Arial" w:hAnsi="Arial"/>
                <w:sz w:val="14"/>
                <w:szCs w:val="14"/>
                <w:color w:val="0000FF"/>
              </w:rPr>
            </w:pPr>
            <w:hyperlink r:id="rId104">
              <w:r>
                <w:rPr>
                  <w:rFonts w:ascii="Arial" w:cs="Arial" w:eastAsia="Arial" w:hAnsi="Arial"/>
                  <w:sz w:val="14"/>
                  <w:szCs w:val="14"/>
                  <w:color w:val="0000FF"/>
                </w:rPr>
                <w:t>Form of Nonqualified Stock Option Agreement pursuant to the TechnipFMC plc Incentive Award Plan (Employee) (incorporated by reference from Exhibit</w:t>
              </w:r>
            </w:hyperlink>
          </w:p>
        </w:tc>
        <w:tc>
          <w:tcPr>
            <w:tcW w:w="140" w:type="dxa"/>
            <w:vAlign w:val="bottom"/>
            <w:gridSpan w:val="4"/>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104">
              <w:r>
                <w:rPr>
                  <w:rFonts w:ascii="Arial" w:cs="Arial" w:eastAsia="Arial" w:hAnsi="Arial"/>
                  <w:sz w:val="14"/>
                  <w:szCs w:val="14"/>
                  <w:color w:val="0000FF"/>
                </w:rPr>
                <w:t>10.</w:t>
              </w:r>
              <w:r>
                <w:rPr>
                  <w:rFonts w:ascii="Arial" w:cs="Arial" w:eastAsia="Arial" w:hAnsi="Arial"/>
                  <w:sz w:val="14"/>
                  <w:szCs w:val="14"/>
                  <w:u w:val="single" w:color="auto"/>
                  <w:color w:val="0000FF"/>
                </w:rPr>
                <w:t>4</w:t>
              </w:r>
              <w:r>
                <w:rPr>
                  <w:rFonts w:ascii="Arial" w:cs="Arial" w:eastAsia="Arial" w:hAnsi="Arial"/>
                  <w:sz w:val="14"/>
                  <w:szCs w:val="14"/>
                  <w:color w:val="0000FF"/>
                </w:rPr>
                <w:t xml:space="preserve"> to the Quarterly Report on Form 10-Q filed on August 4, 2017)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10.10*</w:t>
            </w:r>
          </w:p>
        </w:tc>
        <w:tc>
          <w:tcPr>
            <w:tcW w:w="9820" w:type="dxa"/>
            <w:vAlign w:val="bottom"/>
            <w:tcBorders>
              <w:bottom w:val="single" w:sz="8" w:color="0000FF"/>
            </w:tcBorders>
            <w:gridSpan w:val="45"/>
            <w:shd w:val="clear" w:color="auto" w:fill="CCEEFF"/>
          </w:tcPr>
          <w:p>
            <w:pPr>
              <w:spacing w:after="0"/>
              <w:rPr>
                <w:rFonts w:ascii="Arial" w:cs="Arial" w:eastAsia="Arial" w:hAnsi="Arial"/>
                <w:sz w:val="14"/>
                <w:szCs w:val="14"/>
                <w:color w:val="0000FF"/>
              </w:rPr>
            </w:pPr>
            <w:hyperlink r:id="rId105">
              <w:r>
                <w:rPr>
                  <w:rFonts w:ascii="Arial" w:cs="Arial" w:eastAsia="Arial" w:hAnsi="Arial"/>
                  <w:sz w:val="14"/>
                  <w:szCs w:val="14"/>
                  <w:color w:val="0000FF"/>
                </w:rPr>
                <w:t>Form of Nonqualified Stock Option Agreement pursuant to the Amended and Restated TechnipFMC plc Incentive Award Plan (Employee) (incorporated by</w:t>
              </w:r>
            </w:hyperlink>
          </w:p>
        </w:tc>
        <w:tc>
          <w:tcPr>
            <w:tcW w:w="60" w:type="dxa"/>
            <w:vAlign w:val="bottom"/>
            <w:tcBorders>
              <w:bottom w:val="single" w:sz="8" w:color="CCEEFF"/>
            </w:tcBorders>
            <w:shd w:val="clear" w:color="auto" w:fill="CCEEFF"/>
          </w:tcPr>
          <w:p>
            <w:pPr>
              <w:spacing w:after="0"/>
              <w:rPr>
                <w:sz w:val="15"/>
                <w:szCs w:val="15"/>
                <w:color w:val="auto"/>
              </w:rPr>
            </w:pPr>
          </w:p>
        </w:tc>
      </w:tr>
      <w:tr>
        <w:trPr>
          <w:trHeight w:val="163"/>
        </w:trPr>
        <w:tc>
          <w:tcPr>
            <w:tcW w:w="1380" w:type="dxa"/>
            <w:vAlign w:val="bottom"/>
            <w:tcBorders>
              <w:bottom w:val="single" w:sz="8" w:color="CCEEFF"/>
            </w:tcBorders>
            <w:shd w:val="clear" w:color="auto" w:fill="CCEEFF"/>
          </w:tcPr>
          <w:p>
            <w:pPr>
              <w:spacing w:after="0"/>
              <w:rPr>
                <w:sz w:val="14"/>
                <w:szCs w:val="14"/>
                <w:color w:val="auto"/>
              </w:rPr>
            </w:pPr>
          </w:p>
        </w:tc>
        <w:tc>
          <w:tcPr>
            <w:tcW w:w="6920" w:type="dxa"/>
            <w:vAlign w:val="bottom"/>
            <w:tcBorders>
              <w:bottom w:val="single" w:sz="8" w:color="0000FF"/>
            </w:tcBorders>
            <w:gridSpan w:val="17"/>
            <w:shd w:val="clear" w:color="auto" w:fill="CCEEFF"/>
          </w:tcPr>
          <w:p>
            <w:pPr>
              <w:spacing w:after="0" w:line="142" w:lineRule="exact"/>
              <w:rPr>
                <w:rFonts w:ascii="Arial" w:cs="Arial" w:eastAsia="Arial" w:hAnsi="Arial"/>
                <w:sz w:val="14"/>
                <w:szCs w:val="14"/>
                <w:color w:val="0000FF"/>
              </w:rPr>
            </w:pPr>
            <w:hyperlink r:id="rId105">
              <w:r>
                <w:rPr>
                  <w:rFonts w:ascii="Arial" w:cs="Arial" w:eastAsia="Arial" w:hAnsi="Arial"/>
                  <w:sz w:val="14"/>
                  <w:szCs w:val="14"/>
                  <w:color w:val="0000FF"/>
                </w:rPr>
                <w:t>reference from Exhibit 10.3 to the Quarterly Report on Form 10-Q filed on May 9, 2019) (File No. 001-37983)</w:t>
              </w:r>
            </w:hyperlink>
          </w:p>
        </w:tc>
        <w:tc>
          <w:tcPr>
            <w:tcW w:w="2960" w:type="dxa"/>
            <w:vAlign w:val="bottom"/>
            <w:tcBorders>
              <w:bottom w:val="single" w:sz="8" w:color="CCEEFF"/>
            </w:tcBorders>
            <w:gridSpan w:val="29"/>
            <w:shd w:val="clear" w:color="auto" w:fill="CCEEFF"/>
          </w:tcPr>
          <w:p>
            <w:pPr>
              <w:spacing w:after="0"/>
              <w:rPr>
                <w:sz w:val="14"/>
                <w:szCs w:val="14"/>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10.11*</w:t>
            </w:r>
          </w:p>
        </w:tc>
        <w:tc>
          <w:tcPr>
            <w:tcW w:w="9720" w:type="dxa"/>
            <w:vAlign w:val="bottom"/>
            <w:tcBorders>
              <w:bottom w:val="single" w:sz="8" w:color="0000FF"/>
            </w:tcBorders>
            <w:gridSpan w:val="41"/>
          </w:tcPr>
          <w:p>
            <w:pPr>
              <w:spacing w:after="0"/>
              <w:rPr>
                <w:rFonts w:ascii="Arial" w:cs="Arial" w:eastAsia="Arial" w:hAnsi="Arial"/>
                <w:sz w:val="14"/>
                <w:szCs w:val="14"/>
                <w:color w:val="0000FF"/>
              </w:rPr>
            </w:pPr>
            <w:hyperlink r:id="rId106">
              <w:r>
                <w:rPr>
                  <w:rFonts w:ascii="Arial" w:cs="Arial" w:eastAsia="Arial" w:hAnsi="Arial"/>
                  <w:sz w:val="14"/>
                  <w:szCs w:val="14"/>
                  <w:color w:val="0000FF"/>
                </w:rPr>
                <w:t>2011 Technip Incentive Reward Plan (Stock Option Plan Rules) June 17, 2011 allocation (incorporated by reference from Exhibit 99.2 to the Registration</w:t>
              </w:r>
            </w:hyperlink>
          </w:p>
        </w:tc>
        <w:tc>
          <w:tcPr>
            <w:tcW w:w="160" w:type="dxa"/>
            <w:vAlign w:val="bottom"/>
            <w:gridSpan w:val="5"/>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106">
              <w:r>
                <w:rPr>
                  <w:rFonts w:ascii="Arial" w:cs="Arial" w:eastAsia="Arial" w:hAnsi="Arial"/>
                  <w:sz w:val="14"/>
                  <w:szCs w:val="14"/>
                  <w:color w:val="0000FF"/>
                </w:rPr>
                <w:t>Statement on Form S-8 of TechnipFMC plc, filed on February 27, 2017) (File No. 333-216289)</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10.12*</w:t>
            </w:r>
          </w:p>
        </w:tc>
        <w:tc>
          <w:tcPr>
            <w:tcW w:w="9880" w:type="dxa"/>
            <w:vAlign w:val="bottom"/>
            <w:gridSpan w:val="46"/>
            <w:shd w:val="clear" w:color="auto" w:fill="CCEEFF"/>
          </w:tcPr>
          <w:p>
            <w:pPr>
              <w:spacing w:after="0"/>
              <w:rPr>
                <w:rFonts w:ascii="Arial" w:cs="Arial" w:eastAsia="Arial" w:hAnsi="Arial"/>
                <w:sz w:val="14"/>
                <w:szCs w:val="14"/>
                <w:color w:val="0000FF"/>
              </w:rPr>
            </w:pPr>
            <w:hyperlink r:id="rId107">
              <w:r>
                <w:rPr>
                  <w:rFonts w:ascii="Arial" w:cs="Arial" w:eastAsia="Arial" w:hAnsi="Arial"/>
                  <w:sz w:val="14"/>
                  <w:szCs w:val="14"/>
                  <w:color w:val="0000FF"/>
                </w:rPr>
                <w:t>2012 Technip Incentive and Reward Plan (Stock Option Plan Rules) June 15, 2011 allocation (incorporated by reference from Exhibit 99.3 to the</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9160" w:type="dxa"/>
            <w:vAlign w:val="bottom"/>
            <w:tcBorders>
              <w:top w:val="single" w:sz="8" w:color="0000FF"/>
            </w:tcBorders>
            <w:gridSpan w:val="26"/>
            <w:shd w:val="clear" w:color="auto" w:fill="CCEEFF"/>
          </w:tcPr>
          <w:p>
            <w:pPr>
              <w:spacing w:after="0" w:line="142" w:lineRule="exact"/>
              <w:rPr>
                <w:rFonts w:ascii="Arial" w:cs="Arial" w:eastAsia="Arial" w:hAnsi="Arial"/>
                <w:sz w:val="14"/>
                <w:szCs w:val="14"/>
                <w:color w:val="0000FF"/>
              </w:rPr>
            </w:pPr>
            <w:hyperlink r:id="rId107">
              <w:r>
                <w:rPr>
                  <w:rFonts w:ascii="Arial" w:cs="Arial" w:eastAsia="Arial" w:hAnsi="Arial"/>
                  <w:sz w:val="14"/>
                  <w:szCs w:val="14"/>
                  <w:color w:val="0000FF"/>
                </w:rPr>
                <w:t>Registration Statement on Form S-8 of TechnipFMC plc, filed on February 27, 2017) (File No. 333-216289)</w:t>
              </w:r>
            </w:hyperlink>
          </w:p>
        </w:tc>
        <w:tc>
          <w:tcPr>
            <w:tcW w:w="720" w:type="dxa"/>
            <w:vAlign w:val="bottom"/>
            <w:tcBorders>
              <w:top w:val="single" w:sz="8" w:color="CCEEFF"/>
            </w:tcBorders>
            <w:gridSpan w:val="20"/>
            <w:shd w:val="clear" w:color="auto" w:fill="CCEEFF"/>
          </w:tcPr>
          <w:p>
            <w:pPr>
              <w:spacing w:after="0"/>
              <w:rPr>
                <w:sz w:val="12"/>
                <w:szCs w:val="12"/>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10.13*</w:t>
            </w:r>
          </w:p>
        </w:tc>
        <w:tc>
          <w:tcPr>
            <w:tcW w:w="9600" w:type="dxa"/>
            <w:vAlign w:val="bottom"/>
            <w:tcBorders>
              <w:bottom w:val="single" w:sz="8" w:color="0000FF"/>
            </w:tcBorders>
            <w:gridSpan w:val="35"/>
          </w:tcPr>
          <w:p>
            <w:pPr>
              <w:spacing w:after="0"/>
              <w:rPr>
                <w:rFonts w:ascii="Arial" w:cs="Arial" w:eastAsia="Arial" w:hAnsi="Arial"/>
                <w:sz w:val="14"/>
                <w:szCs w:val="14"/>
                <w:color w:val="0000FF"/>
              </w:rPr>
            </w:pPr>
            <w:hyperlink r:id="rId108">
              <w:r>
                <w:rPr>
                  <w:rFonts w:ascii="Arial" w:cs="Arial" w:eastAsia="Arial" w:hAnsi="Arial"/>
                  <w:sz w:val="14"/>
                  <w:szCs w:val="14"/>
                  <w:color w:val="0000FF"/>
                </w:rPr>
                <w:t>2012 Technip Incentive and Reward Plan (Stock Option Plan Rules) December 14, 2011 allocation (incorporated by reference from Exhibit 10.10 to the</w:t>
              </w:r>
            </w:hyperlink>
          </w:p>
        </w:tc>
        <w:tc>
          <w:tcPr>
            <w:tcW w:w="280" w:type="dxa"/>
            <w:vAlign w:val="bottom"/>
            <w:gridSpan w:val="11"/>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108">
              <w:r>
                <w:rPr>
                  <w:rFonts w:ascii="Arial" w:cs="Arial" w:eastAsia="Arial" w:hAnsi="Arial"/>
                  <w:sz w:val="14"/>
                  <w:szCs w:val="14"/>
                  <w:color w:val="0000FF"/>
                </w:rPr>
                <w:t>Annual Report on Form 10-K filed on April 2, 2018)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10.14*</w:t>
            </w:r>
          </w:p>
        </w:tc>
        <w:tc>
          <w:tcPr>
            <w:tcW w:w="9880" w:type="dxa"/>
            <w:vAlign w:val="bottom"/>
            <w:gridSpan w:val="46"/>
            <w:shd w:val="clear" w:color="auto" w:fill="CCEEFF"/>
          </w:tcPr>
          <w:p>
            <w:pPr>
              <w:spacing w:after="0"/>
              <w:rPr>
                <w:rFonts w:ascii="Arial" w:cs="Arial" w:eastAsia="Arial" w:hAnsi="Arial"/>
                <w:sz w:val="14"/>
                <w:szCs w:val="14"/>
                <w:color w:val="0000FF"/>
              </w:rPr>
            </w:pPr>
            <w:hyperlink r:id="rId109">
              <w:r>
                <w:rPr>
                  <w:rFonts w:ascii="Arial" w:cs="Arial" w:eastAsia="Arial" w:hAnsi="Arial"/>
                  <w:sz w:val="14"/>
                  <w:szCs w:val="14"/>
                  <w:color w:val="0000FF"/>
                </w:rPr>
                <w:t>2013 Technip Incentive and Reward Plan (Rules of the Performance Shares Plan) June 14, 2013 allocation (incorporated by reference from Exhibit 99.4 to</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45"/>
            <w:shd w:val="clear" w:color="auto" w:fill="CCEEFF"/>
          </w:tcPr>
          <w:p>
            <w:pPr>
              <w:spacing w:after="0" w:line="142" w:lineRule="exact"/>
              <w:rPr>
                <w:rFonts w:ascii="Arial" w:cs="Arial" w:eastAsia="Arial" w:hAnsi="Arial"/>
                <w:sz w:val="14"/>
                <w:szCs w:val="14"/>
                <w:color w:val="0000FF"/>
              </w:rPr>
            </w:pPr>
            <w:hyperlink r:id="rId109">
              <w:r>
                <w:rPr>
                  <w:rFonts w:ascii="Arial" w:cs="Arial" w:eastAsia="Arial" w:hAnsi="Arial"/>
                  <w:sz w:val="14"/>
                  <w:szCs w:val="14"/>
                  <w:color w:val="0000FF"/>
                </w:rPr>
                <w:t>the Registration Statement on Form S-8 of TechnipFMC plc, filed on February 27, 2017) (File No. 333-216289)</w:t>
              </w:r>
            </w:hyperlink>
          </w:p>
        </w:tc>
        <w:tc>
          <w:tcPr>
            <w:tcW w:w="60" w:type="dxa"/>
            <w:vAlign w:val="bottom"/>
            <w:tcBorders>
              <w:top w:val="single" w:sz="8" w:color="CCEEFF"/>
            </w:tcBorders>
            <w:shd w:val="clear" w:color="auto" w:fill="CCEEFF"/>
          </w:tcPr>
          <w:p>
            <w:pPr>
              <w:spacing w:after="0"/>
              <w:rPr>
                <w:sz w:val="12"/>
                <w:szCs w:val="12"/>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10.15*</w:t>
            </w:r>
          </w:p>
        </w:tc>
        <w:tc>
          <w:tcPr>
            <w:tcW w:w="9880" w:type="dxa"/>
            <w:vAlign w:val="bottom"/>
            <w:gridSpan w:val="46"/>
          </w:tcPr>
          <w:p>
            <w:pPr>
              <w:spacing w:after="0"/>
              <w:rPr>
                <w:rFonts w:ascii="Arial" w:cs="Arial" w:eastAsia="Arial" w:hAnsi="Arial"/>
                <w:sz w:val="14"/>
                <w:szCs w:val="14"/>
                <w:color w:val="0000FF"/>
              </w:rPr>
            </w:pPr>
            <w:hyperlink r:id="rId110">
              <w:r>
                <w:rPr>
                  <w:rFonts w:ascii="Arial" w:cs="Arial" w:eastAsia="Arial" w:hAnsi="Arial"/>
                  <w:sz w:val="14"/>
                  <w:szCs w:val="14"/>
                  <w:color w:val="0000FF"/>
                </w:rPr>
                <w:t>2013 Technip Incentive and Reward Plan (Stock Option Plan Rules) June 14, 2013 allocation (incorporated by reference from Exhibit 99.5 to the</w:t>
              </w:r>
            </w:hyperlink>
          </w:p>
        </w:tc>
      </w:tr>
      <w:tr>
        <w:trPr>
          <w:trHeight w:val="142"/>
        </w:trPr>
        <w:tc>
          <w:tcPr>
            <w:tcW w:w="1380" w:type="dxa"/>
            <w:vAlign w:val="bottom"/>
          </w:tcPr>
          <w:p>
            <w:pPr>
              <w:spacing w:after="0"/>
              <w:rPr>
                <w:sz w:val="12"/>
                <w:szCs w:val="12"/>
                <w:color w:val="auto"/>
              </w:rPr>
            </w:pPr>
          </w:p>
        </w:tc>
        <w:tc>
          <w:tcPr>
            <w:tcW w:w="9160" w:type="dxa"/>
            <w:vAlign w:val="bottom"/>
            <w:tcBorders>
              <w:top w:val="single" w:sz="8" w:color="0000FF"/>
            </w:tcBorders>
            <w:gridSpan w:val="26"/>
          </w:tcPr>
          <w:p>
            <w:pPr>
              <w:spacing w:after="0" w:line="142" w:lineRule="exact"/>
              <w:rPr>
                <w:rFonts w:ascii="Arial" w:cs="Arial" w:eastAsia="Arial" w:hAnsi="Arial"/>
                <w:sz w:val="14"/>
                <w:szCs w:val="14"/>
                <w:color w:val="0000FF"/>
              </w:rPr>
            </w:pPr>
            <w:hyperlink r:id="rId110">
              <w:r>
                <w:rPr>
                  <w:rFonts w:ascii="Arial" w:cs="Arial" w:eastAsia="Arial" w:hAnsi="Arial"/>
                  <w:sz w:val="14"/>
                  <w:szCs w:val="14"/>
                  <w:color w:val="0000FF"/>
                </w:rPr>
                <w:t>Registration Statement on Form S-8 of TechnipFMC plc, filed on February 27, 2017) (File No. 333-216289)</w:t>
              </w:r>
            </w:hyperlink>
          </w:p>
        </w:tc>
        <w:tc>
          <w:tcPr>
            <w:tcW w:w="720" w:type="dxa"/>
            <w:vAlign w:val="bottom"/>
            <w:gridSpan w:val="20"/>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10.16*</w:t>
            </w:r>
          </w:p>
        </w:tc>
        <w:tc>
          <w:tcPr>
            <w:tcW w:w="9560" w:type="dxa"/>
            <w:vAlign w:val="bottom"/>
            <w:tcBorders>
              <w:bottom w:val="single" w:sz="8" w:color="0000FF"/>
            </w:tcBorders>
            <w:gridSpan w:val="33"/>
            <w:shd w:val="clear" w:color="auto" w:fill="CCEEFF"/>
          </w:tcPr>
          <w:p>
            <w:pPr>
              <w:spacing w:after="0"/>
              <w:rPr>
                <w:rFonts w:ascii="Arial" w:cs="Arial" w:eastAsia="Arial" w:hAnsi="Arial"/>
                <w:sz w:val="14"/>
                <w:szCs w:val="14"/>
                <w:color w:val="0000FF"/>
              </w:rPr>
            </w:pPr>
            <w:hyperlink r:id="rId111">
              <w:r>
                <w:rPr>
                  <w:rFonts w:ascii="Arial" w:cs="Arial" w:eastAsia="Arial" w:hAnsi="Arial"/>
                  <w:sz w:val="14"/>
                  <w:szCs w:val="14"/>
                  <w:color w:val="0000FF"/>
                </w:rPr>
                <w:t>2013 Technip Incentive and Reward Plan (Rules of the Performance Shares Plan) January 10, 2014 allocation (incorporated by reference from Exhibit</w:t>
              </w:r>
            </w:hyperlink>
          </w:p>
        </w:tc>
        <w:tc>
          <w:tcPr>
            <w:tcW w:w="320" w:type="dxa"/>
            <w:vAlign w:val="bottom"/>
            <w:tcBorders>
              <w:bottom w:val="single" w:sz="8" w:color="CCEEFF"/>
            </w:tcBorders>
            <w:gridSpan w:val="13"/>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6"/>
            <w:shd w:val="clear" w:color="auto" w:fill="CCEEFF"/>
          </w:tcPr>
          <w:p>
            <w:pPr>
              <w:spacing w:after="0" w:line="142" w:lineRule="exact"/>
              <w:rPr>
                <w:rFonts w:ascii="Arial" w:cs="Arial" w:eastAsia="Arial" w:hAnsi="Arial"/>
                <w:sz w:val="14"/>
                <w:szCs w:val="14"/>
                <w:color w:val="0000FF"/>
              </w:rPr>
            </w:pPr>
            <w:hyperlink r:id="rId111">
              <w:r>
                <w:rPr>
                  <w:rFonts w:ascii="Arial" w:cs="Arial" w:eastAsia="Arial" w:hAnsi="Arial"/>
                  <w:sz w:val="14"/>
                  <w:szCs w:val="14"/>
                  <w:color w:val="0000FF"/>
                </w:rPr>
                <w:t>99.</w:t>
              </w:r>
              <w:r>
                <w:rPr>
                  <w:rFonts w:ascii="Arial" w:cs="Arial" w:eastAsia="Arial" w:hAnsi="Arial"/>
                  <w:sz w:val="14"/>
                  <w:szCs w:val="14"/>
                  <w:u w:val="single" w:color="auto"/>
                  <w:color w:val="0000FF"/>
                </w:rPr>
                <w:t>6</w:t>
              </w:r>
              <w:r>
                <w:rPr>
                  <w:rFonts w:ascii="Arial" w:cs="Arial" w:eastAsia="Arial" w:hAnsi="Arial"/>
                  <w:sz w:val="14"/>
                  <w:szCs w:val="14"/>
                  <w:color w:val="0000FF"/>
                </w:rPr>
                <w:t xml:space="preserve"> to the Registration Statement on Form S-8 of TechnipFMC plc, filed on February 27, 2017) (File No. 333-216289)</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10.17*</w:t>
            </w:r>
          </w:p>
        </w:tc>
        <w:tc>
          <w:tcPr>
            <w:tcW w:w="9880" w:type="dxa"/>
            <w:vAlign w:val="bottom"/>
            <w:gridSpan w:val="46"/>
          </w:tcPr>
          <w:p>
            <w:pPr>
              <w:spacing w:after="0"/>
              <w:rPr>
                <w:rFonts w:ascii="Arial" w:cs="Arial" w:eastAsia="Arial" w:hAnsi="Arial"/>
                <w:sz w:val="14"/>
                <w:szCs w:val="14"/>
                <w:color w:val="0000FF"/>
              </w:rPr>
            </w:pPr>
            <w:hyperlink r:id="rId112">
              <w:r>
                <w:rPr>
                  <w:rFonts w:ascii="Arial" w:cs="Arial" w:eastAsia="Arial" w:hAnsi="Arial"/>
                  <w:sz w:val="14"/>
                  <w:szCs w:val="14"/>
                  <w:color w:val="0000FF"/>
                </w:rPr>
                <w:t>2013 Technip Incentive and Reward Plan (Stock Option Plan Rules) January 10, 2014 allocation (incorporated by reference from Exhibit 99.7 to the</w:t>
              </w:r>
            </w:hyperlink>
          </w:p>
        </w:tc>
      </w:tr>
      <w:tr>
        <w:trPr>
          <w:trHeight w:val="142"/>
        </w:trPr>
        <w:tc>
          <w:tcPr>
            <w:tcW w:w="1380" w:type="dxa"/>
            <w:vAlign w:val="bottom"/>
          </w:tcPr>
          <w:p>
            <w:pPr>
              <w:spacing w:after="0"/>
              <w:rPr>
                <w:sz w:val="12"/>
                <w:szCs w:val="12"/>
                <w:color w:val="auto"/>
              </w:rPr>
            </w:pPr>
          </w:p>
        </w:tc>
        <w:tc>
          <w:tcPr>
            <w:tcW w:w="9360" w:type="dxa"/>
            <w:vAlign w:val="bottom"/>
            <w:tcBorders>
              <w:top w:val="single" w:sz="8" w:color="0000FF"/>
            </w:tcBorders>
            <w:gridSpan w:val="27"/>
          </w:tcPr>
          <w:p>
            <w:pPr>
              <w:spacing w:after="0" w:line="142" w:lineRule="exact"/>
              <w:rPr>
                <w:rFonts w:ascii="Arial" w:cs="Arial" w:eastAsia="Arial" w:hAnsi="Arial"/>
                <w:sz w:val="14"/>
                <w:szCs w:val="14"/>
                <w:color w:val="0000FF"/>
              </w:rPr>
            </w:pPr>
            <w:hyperlink r:id="rId112">
              <w:r>
                <w:rPr>
                  <w:rFonts w:ascii="Arial" w:cs="Arial" w:eastAsia="Arial" w:hAnsi="Arial"/>
                  <w:sz w:val="14"/>
                  <w:szCs w:val="14"/>
                  <w:color w:val="0000FF"/>
                </w:rPr>
                <w:t>Registration Statement on Form S-8 of TechnipFMC plc, filed on February 27, 2017) (File No. 333-216289)</w:t>
              </w:r>
            </w:hyperlink>
          </w:p>
        </w:tc>
        <w:tc>
          <w:tcPr>
            <w:tcW w:w="520" w:type="dxa"/>
            <w:vAlign w:val="bottom"/>
            <w:gridSpan w:val="19"/>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10.18*</w:t>
            </w:r>
          </w:p>
        </w:tc>
        <w:tc>
          <w:tcPr>
            <w:tcW w:w="9700" w:type="dxa"/>
            <w:vAlign w:val="bottom"/>
            <w:tcBorders>
              <w:bottom w:val="single" w:sz="8" w:color="0000FF"/>
            </w:tcBorders>
            <w:gridSpan w:val="40"/>
            <w:shd w:val="clear" w:color="auto" w:fill="CCEEFF"/>
          </w:tcPr>
          <w:p>
            <w:pPr>
              <w:spacing w:after="0"/>
              <w:rPr>
                <w:rFonts w:ascii="Arial" w:cs="Arial" w:eastAsia="Arial" w:hAnsi="Arial"/>
                <w:sz w:val="14"/>
                <w:szCs w:val="14"/>
                <w:color w:val="0000FF"/>
              </w:rPr>
            </w:pPr>
            <w:hyperlink r:id="rId113">
              <w:r>
                <w:rPr>
                  <w:rFonts w:ascii="Arial" w:cs="Arial" w:eastAsia="Arial" w:hAnsi="Arial"/>
                  <w:sz w:val="14"/>
                  <w:szCs w:val="14"/>
                  <w:color w:val="0000FF"/>
                </w:rPr>
                <w:t>2014 Technip Incentive and Reward Plan (Rules of the Performance Shares Plan) December 10, 2014 allocation (incorporated by reference from Exhibit</w:t>
              </w:r>
            </w:hyperlink>
          </w:p>
        </w:tc>
        <w:tc>
          <w:tcPr>
            <w:tcW w:w="180" w:type="dxa"/>
            <w:vAlign w:val="bottom"/>
            <w:tcBorders>
              <w:bottom w:val="single" w:sz="8" w:color="CCEEFF"/>
            </w:tcBorders>
            <w:gridSpan w:val="6"/>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6"/>
            <w:shd w:val="clear" w:color="auto" w:fill="CCEEFF"/>
          </w:tcPr>
          <w:p>
            <w:pPr>
              <w:spacing w:after="0" w:line="142" w:lineRule="exact"/>
              <w:rPr>
                <w:rFonts w:ascii="Arial" w:cs="Arial" w:eastAsia="Arial" w:hAnsi="Arial"/>
                <w:sz w:val="14"/>
                <w:szCs w:val="14"/>
                <w:color w:val="0000FF"/>
              </w:rPr>
            </w:pPr>
            <w:hyperlink r:id="rId113">
              <w:r>
                <w:rPr>
                  <w:rFonts w:ascii="Arial" w:cs="Arial" w:eastAsia="Arial" w:hAnsi="Arial"/>
                  <w:sz w:val="14"/>
                  <w:szCs w:val="14"/>
                  <w:color w:val="0000FF"/>
                </w:rPr>
                <w:t>99.</w:t>
              </w:r>
              <w:r>
                <w:rPr>
                  <w:rFonts w:ascii="Arial" w:cs="Arial" w:eastAsia="Arial" w:hAnsi="Arial"/>
                  <w:sz w:val="14"/>
                  <w:szCs w:val="14"/>
                  <w:u w:val="single" w:color="auto"/>
                  <w:color w:val="0000FF"/>
                </w:rPr>
                <w:t>8</w:t>
              </w:r>
              <w:r>
                <w:rPr>
                  <w:rFonts w:ascii="Arial" w:cs="Arial" w:eastAsia="Arial" w:hAnsi="Arial"/>
                  <w:sz w:val="14"/>
                  <w:szCs w:val="14"/>
                  <w:color w:val="0000FF"/>
                </w:rPr>
                <w:t xml:space="preserve"> to the Registration Statement on Form S-8 of TechnipFMC plc, filed on February 27, 2017) (File No. 333-216289)</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10.19*</w:t>
            </w:r>
          </w:p>
        </w:tc>
        <w:tc>
          <w:tcPr>
            <w:tcW w:w="9480" w:type="dxa"/>
            <w:vAlign w:val="bottom"/>
            <w:tcBorders>
              <w:bottom w:val="single" w:sz="8" w:color="0000FF"/>
            </w:tcBorders>
            <w:gridSpan w:val="29"/>
          </w:tcPr>
          <w:p>
            <w:pPr>
              <w:spacing w:after="0"/>
              <w:rPr>
                <w:rFonts w:ascii="Arial" w:cs="Arial" w:eastAsia="Arial" w:hAnsi="Arial"/>
                <w:sz w:val="14"/>
                <w:szCs w:val="14"/>
                <w:color w:val="0000FF"/>
              </w:rPr>
            </w:pPr>
            <w:hyperlink r:id="rId114">
              <w:r>
                <w:rPr>
                  <w:rFonts w:ascii="Arial" w:cs="Arial" w:eastAsia="Arial" w:hAnsi="Arial"/>
                  <w:sz w:val="14"/>
                  <w:szCs w:val="14"/>
                  <w:color w:val="0000FF"/>
                </w:rPr>
                <w:t>2015 Technip Incentive and Reward Plan (Stock Option Plan Rules) September 7, 2015 allocation (incorporated by reference from Exhibit 99.9 to the</w:t>
              </w:r>
            </w:hyperlink>
          </w:p>
        </w:tc>
        <w:tc>
          <w:tcPr>
            <w:tcW w:w="400" w:type="dxa"/>
            <w:vAlign w:val="bottom"/>
            <w:gridSpan w:val="17"/>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114">
              <w:r>
                <w:rPr>
                  <w:rFonts w:ascii="Arial" w:cs="Arial" w:eastAsia="Arial" w:hAnsi="Arial"/>
                  <w:sz w:val="14"/>
                  <w:szCs w:val="14"/>
                  <w:color w:val="0000FF"/>
                </w:rPr>
                <w:t>Registration Statement on Form S-8 of TechnipFMC plc, filed on February 27, 2017) (File No. 333-216289)</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10.20*</w:t>
            </w:r>
          </w:p>
        </w:tc>
        <w:tc>
          <w:tcPr>
            <w:tcW w:w="9780" w:type="dxa"/>
            <w:vAlign w:val="bottom"/>
            <w:tcBorders>
              <w:bottom w:val="single" w:sz="8" w:color="0000FF"/>
            </w:tcBorders>
            <w:gridSpan w:val="44"/>
            <w:shd w:val="clear" w:color="auto" w:fill="CCEEFF"/>
          </w:tcPr>
          <w:p>
            <w:pPr>
              <w:spacing w:after="0"/>
              <w:rPr>
                <w:rFonts w:ascii="Arial" w:cs="Arial" w:eastAsia="Arial" w:hAnsi="Arial"/>
                <w:sz w:val="14"/>
                <w:szCs w:val="14"/>
                <w:color w:val="0000FF"/>
              </w:rPr>
            </w:pPr>
            <w:hyperlink r:id="rId115">
              <w:r>
                <w:rPr>
                  <w:rFonts w:ascii="Arial" w:cs="Arial" w:eastAsia="Arial" w:hAnsi="Arial"/>
                  <w:sz w:val="14"/>
                  <w:szCs w:val="14"/>
                  <w:color w:val="0000FF"/>
                </w:rPr>
                <w:t>2016 Technip Incentive and Reward Plan (Rules of the Performance Shares Plan) July 1, 2016 allocation (incorporated by reference from Exhibit 99.10 to</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6"/>
            <w:shd w:val="clear" w:color="auto" w:fill="CCEEFF"/>
          </w:tcPr>
          <w:p>
            <w:pPr>
              <w:spacing w:after="0" w:line="142" w:lineRule="exact"/>
              <w:rPr>
                <w:rFonts w:ascii="Arial" w:cs="Arial" w:eastAsia="Arial" w:hAnsi="Arial"/>
                <w:sz w:val="14"/>
                <w:szCs w:val="14"/>
                <w:color w:val="0000FF"/>
              </w:rPr>
            </w:pPr>
            <w:hyperlink r:id="rId115">
              <w:r>
                <w:rPr>
                  <w:rFonts w:ascii="Arial" w:cs="Arial" w:eastAsia="Arial" w:hAnsi="Arial"/>
                  <w:sz w:val="14"/>
                  <w:szCs w:val="14"/>
                  <w:color w:val="0000FF"/>
                </w:rPr>
                <w:t>the Registration Statement on Form S-8 of TechnipFMC plc, filed on February 27, 2017) (File No. 333-216289)</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10.21*</w:t>
            </w:r>
          </w:p>
        </w:tc>
        <w:tc>
          <w:tcPr>
            <w:tcW w:w="9880" w:type="dxa"/>
            <w:vAlign w:val="bottom"/>
            <w:gridSpan w:val="46"/>
          </w:tcPr>
          <w:p>
            <w:pPr>
              <w:spacing w:after="0"/>
              <w:rPr>
                <w:rFonts w:ascii="Arial" w:cs="Arial" w:eastAsia="Arial" w:hAnsi="Arial"/>
                <w:sz w:val="14"/>
                <w:szCs w:val="14"/>
                <w:color w:val="0000FF"/>
              </w:rPr>
            </w:pPr>
            <w:hyperlink r:id="rId116">
              <w:r>
                <w:rPr>
                  <w:rFonts w:ascii="Arial" w:cs="Arial" w:eastAsia="Arial" w:hAnsi="Arial"/>
                  <w:sz w:val="14"/>
                  <w:szCs w:val="14"/>
                  <w:color w:val="0000FF"/>
                </w:rPr>
                <w:t>2016 Technip Incentive and Reward Plan (Stock Option Plan Rules) July 1, 2016 allocation (incorporated by reference from Exhibit 99.11 to the</w:t>
              </w:r>
            </w:hyperlink>
          </w:p>
        </w:tc>
      </w:tr>
      <w:tr>
        <w:trPr>
          <w:trHeight w:val="142"/>
        </w:trPr>
        <w:tc>
          <w:tcPr>
            <w:tcW w:w="1380" w:type="dxa"/>
            <w:vAlign w:val="bottom"/>
          </w:tcPr>
          <w:p>
            <w:pPr>
              <w:spacing w:after="0"/>
              <w:rPr>
                <w:sz w:val="12"/>
                <w:szCs w:val="12"/>
                <w:color w:val="auto"/>
              </w:rPr>
            </w:pPr>
          </w:p>
        </w:tc>
        <w:tc>
          <w:tcPr>
            <w:tcW w:w="9100" w:type="dxa"/>
            <w:vAlign w:val="bottom"/>
            <w:tcBorders>
              <w:top w:val="single" w:sz="8" w:color="0000FF"/>
            </w:tcBorders>
            <w:gridSpan w:val="25"/>
          </w:tcPr>
          <w:p>
            <w:pPr>
              <w:spacing w:after="0" w:line="142" w:lineRule="exact"/>
              <w:rPr>
                <w:rFonts w:ascii="Arial" w:cs="Arial" w:eastAsia="Arial" w:hAnsi="Arial"/>
                <w:sz w:val="14"/>
                <w:szCs w:val="14"/>
                <w:color w:val="0000FF"/>
              </w:rPr>
            </w:pPr>
            <w:hyperlink r:id="rId116">
              <w:r>
                <w:rPr>
                  <w:rFonts w:ascii="Arial" w:cs="Arial" w:eastAsia="Arial" w:hAnsi="Arial"/>
                  <w:sz w:val="14"/>
                  <w:szCs w:val="14"/>
                  <w:color w:val="0000FF"/>
                </w:rPr>
                <w:t>Registration Statement on Form S-8 of TechnipFMC plc, filed on February 27, 2017) (File No. 333-216289)</w:t>
              </w:r>
            </w:hyperlink>
          </w:p>
        </w:tc>
        <w:tc>
          <w:tcPr>
            <w:tcW w:w="780" w:type="dxa"/>
            <w:vAlign w:val="bottom"/>
            <w:gridSpan w:val="21"/>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10.22*</w:t>
            </w:r>
          </w:p>
        </w:tc>
        <w:tc>
          <w:tcPr>
            <w:tcW w:w="9620" w:type="dxa"/>
            <w:vAlign w:val="bottom"/>
            <w:tcBorders>
              <w:bottom w:val="single" w:sz="8" w:color="0000FF"/>
            </w:tcBorders>
            <w:gridSpan w:val="36"/>
            <w:shd w:val="clear" w:color="auto" w:fill="CCEEFF"/>
          </w:tcPr>
          <w:p>
            <w:pPr>
              <w:spacing w:after="0"/>
              <w:rPr>
                <w:rFonts w:ascii="Arial" w:cs="Arial" w:eastAsia="Arial" w:hAnsi="Arial"/>
                <w:sz w:val="14"/>
                <w:szCs w:val="14"/>
                <w:color w:val="0000FF"/>
              </w:rPr>
            </w:pPr>
            <w:hyperlink r:id="rId117">
              <w:r>
                <w:rPr>
                  <w:rFonts w:ascii="Arial" w:cs="Arial" w:eastAsia="Arial" w:hAnsi="Arial"/>
                  <w:sz w:val="14"/>
                  <w:szCs w:val="14"/>
                  <w:color w:val="0000FF"/>
                </w:rPr>
                <w:t>2016 Technip Incentive and Reward Plan (Rules of the Performance Shares Plan) December 6, 2016 allocation (incorporated by reference from Exhibit</w:t>
              </w:r>
            </w:hyperlink>
          </w:p>
        </w:tc>
        <w:tc>
          <w:tcPr>
            <w:tcW w:w="260" w:type="dxa"/>
            <w:vAlign w:val="bottom"/>
            <w:tcBorders>
              <w:bottom w:val="single" w:sz="8" w:color="CCEEFF"/>
            </w:tcBorders>
            <w:gridSpan w:val="10"/>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6"/>
            <w:shd w:val="clear" w:color="auto" w:fill="CCEEFF"/>
          </w:tcPr>
          <w:p>
            <w:pPr>
              <w:spacing w:after="0" w:line="142" w:lineRule="exact"/>
              <w:rPr>
                <w:rFonts w:ascii="Arial" w:cs="Arial" w:eastAsia="Arial" w:hAnsi="Arial"/>
                <w:sz w:val="14"/>
                <w:szCs w:val="14"/>
                <w:color w:val="0000FF"/>
              </w:rPr>
            </w:pPr>
            <w:hyperlink r:id="rId117">
              <w:r>
                <w:rPr>
                  <w:rFonts w:ascii="Arial" w:cs="Arial" w:eastAsia="Arial" w:hAnsi="Arial"/>
                  <w:sz w:val="14"/>
                  <w:szCs w:val="14"/>
                  <w:color w:val="0000FF"/>
                </w:rPr>
                <w:t>99.</w:t>
              </w:r>
              <w:r>
                <w:rPr>
                  <w:rFonts w:ascii="Arial" w:cs="Arial" w:eastAsia="Arial" w:hAnsi="Arial"/>
                  <w:sz w:val="14"/>
                  <w:szCs w:val="14"/>
                  <w:u w:val="single" w:color="auto"/>
                  <w:color w:val="0000FF"/>
                </w:rPr>
                <w:t>12</w:t>
              </w:r>
              <w:r>
                <w:rPr>
                  <w:rFonts w:ascii="Arial" w:cs="Arial" w:eastAsia="Arial" w:hAnsi="Arial"/>
                  <w:sz w:val="14"/>
                  <w:szCs w:val="14"/>
                  <w:color w:val="0000FF"/>
                </w:rPr>
                <w:t xml:space="preserve"> to the Registration Statement on Form S-8 of TechnipFMC plc, filed on February 27, 2017) (File No. 333-216289)</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10.23*</w:t>
            </w:r>
          </w:p>
        </w:tc>
        <w:tc>
          <w:tcPr>
            <w:tcW w:w="9880" w:type="dxa"/>
            <w:vAlign w:val="bottom"/>
            <w:gridSpan w:val="46"/>
          </w:tcPr>
          <w:p>
            <w:pPr>
              <w:spacing w:after="0"/>
              <w:rPr>
                <w:rFonts w:ascii="Arial" w:cs="Arial" w:eastAsia="Arial" w:hAnsi="Arial"/>
                <w:sz w:val="14"/>
                <w:szCs w:val="14"/>
                <w:color w:val="0000FF"/>
              </w:rPr>
            </w:pPr>
            <w:hyperlink r:id="rId118">
              <w:r>
                <w:rPr>
                  <w:rFonts w:ascii="Arial" w:cs="Arial" w:eastAsia="Arial" w:hAnsi="Arial"/>
                  <w:sz w:val="14"/>
                  <w:szCs w:val="14"/>
                  <w:color w:val="0000FF"/>
                </w:rPr>
                <w:t>Form of TechnipFMC plc Executive Severance Agreement (incorporated by reference from Exhibit 10.5 to the Quarterly Report on Form 10-Q filed on</w:t>
              </w:r>
            </w:hyperlink>
          </w:p>
        </w:tc>
      </w:tr>
      <w:tr>
        <w:trPr>
          <w:trHeight w:val="142"/>
        </w:trPr>
        <w:tc>
          <w:tcPr>
            <w:tcW w:w="1380" w:type="dxa"/>
            <w:vAlign w:val="bottom"/>
          </w:tcPr>
          <w:p>
            <w:pPr>
              <w:spacing w:after="0"/>
              <w:rPr>
                <w:sz w:val="12"/>
                <w:szCs w:val="12"/>
                <w:color w:val="auto"/>
              </w:rPr>
            </w:pPr>
          </w:p>
        </w:tc>
        <w:tc>
          <w:tcPr>
            <w:tcW w:w="9500" w:type="dxa"/>
            <w:vAlign w:val="bottom"/>
            <w:tcBorders>
              <w:top w:val="single" w:sz="8" w:color="0000FF"/>
            </w:tcBorders>
            <w:gridSpan w:val="30"/>
          </w:tcPr>
          <w:p>
            <w:pPr>
              <w:spacing w:after="0" w:line="142" w:lineRule="exact"/>
              <w:rPr>
                <w:rFonts w:ascii="Arial" w:cs="Arial" w:eastAsia="Arial" w:hAnsi="Arial"/>
                <w:sz w:val="14"/>
                <w:szCs w:val="14"/>
                <w:color w:val="0000FF"/>
              </w:rPr>
            </w:pPr>
            <w:hyperlink r:id="rId118">
              <w:r>
                <w:rPr>
                  <w:rFonts w:ascii="Arial" w:cs="Arial" w:eastAsia="Arial" w:hAnsi="Arial"/>
                  <w:sz w:val="14"/>
                  <w:szCs w:val="14"/>
                  <w:color w:val="0000FF"/>
                </w:rPr>
                <w:t>August 4, 2017) (File No. 001-37983)</w:t>
              </w:r>
            </w:hyperlink>
          </w:p>
        </w:tc>
        <w:tc>
          <w:tcPr>
            <w:tcW w:w="380" w:type="dxa"/>
            <w:vAlign w:val="bottom"/>
            <w:gridSpan w:val="16"/>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10.24*</w:t>
            </w:r>
          </w:p>
        </w:tc>
        <w:tc>
          <w:tcPr>
            <w:tcW w:w="9540" w:type="dxa"/>
            <w:vAlign w:val="bottom"/>
            <w:tcBorders>
              <w:bottom w:val="single" w:sz="8" w:color="0000FF"/>
            </w:tcBorders>
            <w:gridSpan w:val="32"/>
            <w:shd w:val="clear" w:color="auto" w:fill="CCEEFF"/>
          </w:tcPr>
          <w:p>
            <w:pPr>
              <w:spacing w:after="0"/>
              <w:rPr>
                <w:rFonts w:ascii="Arial" w:cs="Arial" w:eastAsia="Arial" w:hAnsi="Arial"/>
                <w:sz w:val="14"/>
                <w:szCs w:val="14"/>
                <w:color w:val="0000FF"/>
              </w:rPr>
            </w:pPr>
            <w:hyperlink r:id="rId119">
              <w:r>
                <w:rPr>
                  <w:rFonts w:ascii="Arial" w:cs="Arial" w:eastAsia="Arial" w:hAnsi="Arial"/>
                  <w:sz w:val="14"/>
                  <w:szCs w:val="14"/>
                  <w:color w:val="0000FF"/>
                </w:rPr>
                <w:t>Service Agreement between TechnipFMC plc and Thierry Pilenko dated January 16, 2017 (incorporated by reference from Exhibit 10.21 to the Annual</w:t>
              </w:r>
            </w:hyperlink>
          </w:p>
        </w:tc>
        <w:tc>
          <w:tcPr>
            <w:tcW w:w="340" w:type="dxa"/>
            <w:vAlign w:val="bottom"/>
            <w:tcBorders>
              <w:bottom w:val="single" w:sz="8" w:color="CCEEFF"/>
            </w:tcBorders>
            <w:gridSpan w:val="14"/>
            <w:shd w:val="clear" w:color="auto" w:fill="CCEEFF"/>
          </w:tcPr>
          <w:p>
            <w:pPr>
              <w:spacing w:after="0"/>
              <w:rPr>
                <w:sz w:val="15"/>
                <w:szCs w:val="15"/>
                <w:color w:val="auto"/>
              </w:rPr>
            </w:pPr>
          </w:p>
        </w:tc>
      </w:tr>
      <w:tr>
        <w:trPr>
          <w:trHeight w:val="163"/>
        </w:trPr>
        <w:tc>
          <w:tcPr>
            <w:tcW w:w="1380" w:type="dxa"/>
            <w:vAlign w:val="bottom"/>
            <w:tcBorders>
              <w:bottom w:val="single" w:sz="8" w:color="CCEEFF"/>
            </w:tcBorders>
            <w:shd w:val="clear" w:color="auto" w:fill="CCEEFF"/>
          </w:tcPr>
          <w:p>
            <w:pPr>
              <w:spacing w:after="0"/>
              <w:rPr>
                <w:sz w:val="14"/>
                <w:szCs w:val="14"/>
                <w:color w:val="auto"/>
              </w:rPr>
            </w:pPr>
          </w:p>
        </w:tc>
        <w:tc>
          <w:tcPr>
            <w:tcW w:w="4120" w:type="dxa"/>
            <w:vAlign w:val="bottom"/>
            <w:tcBorders>
              <w:bottom w:val="single" w:sz="8" w:color="0000FF"/>
            </w:tcBorders>
            <w:gridSpan w:val="8"/>
            <w:shd w:val="clear" w:color="auto" w:fill="CCEEFF"/>
          </w:tcPr>
          <w:p>
            <w:pPr>
              <w:spacing w:after="0" w:line="142" w:lineRule="exact"/>
              <w:rPr>
                <w:rFonts w:ascii="Arial" w:cs="Arial" w:eastAsia="Arial" w:hAnsi="Arial"/>
                <w:sz w:val="14"/>
                <w:szCs w:val="14"/>
                <w:color w:val="0000FF"/>
              </w:rPr>
            </w:pPr>
            <w:hyperlink r:id="rId119">
              <w:r>
                <w:rPr>
                  <w:rFonts w:ascii="Arial" w:cs="Arial" w:eastAsia="Arial" w:hAnsi="Arial"/>
                  <w:sz w:val="14"/>
                  <w:szCs w:val="14"/>
                  <w:color w:val="0000FF"/>
                </w:rPr>
                <w:t>Report on Form 10-K filed on April 2, 2018) (File No. 001-37983)</w:t>
              </w:r>
            </w:hyperlink>
          </w:p>
        </w:tc>
        <w:tc>
          <w:tcPr>
            <w:tcW w:w="5760" w:type="dxa"/>
            <w:vAlign w:val="bottom"/>
            <w:tcBorders>
              <w:bottom w:val="single" w:sz="8" w:color="CCEEFF"/>
            </w:tcBorders>
            <w:gridSpan w:val="38"/>
            <w:shd w:val="clear" w:color="auto" w:fill="CCEEFF"/>
          </w:tcPr>
          <w:p>
            <w:pPr>
              <w:spacing w:after="0"/>
              <w:rPr>
                <w:sz w:val="14"/>
                <w:szCs w:val="14"/>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10.25*</w:t>
            </w:r>
          </w:p>
        </w:tc>
        <w:tc>
          <w:tcPr>
            <w:tcW w:w="9620" w:type="dxa"/>
            <w:vAlign w:val="bottom"/>
            <w:tcBorders>
              <w:bottom w:val="single" w:sz="8" w:color="0000FF"/>
            </w:tcBorders>
            <w:gridSpan w:val="36"/>
          </w:tcPr>
          <w:p>
            <w:pPr>
              <w:spacing w:after="0"/>
              <w:rPr>
                <w:rFonts w:ascii="Arial" w:cs="Arial" w:eastAsia="Arial" w:hAnsi="Arial"/>
                <w:sz w:val="14"/>
                <w:szCs w:val="14"/>
                <w:color w:val="0000FF"/>
              </w:rPr>
            </w:pPr>
            <w:hyperlink r:id="rId120">
              <w:r>
                <w:rPr>
                  <w:rFonts w:ascii="Arial" w:cs="Arial" w:eastAsia="Arial" w:hAnsi="Arial"/>
                  <w:sz w:val="14"/>
                  <w:szCs w:val="14"/>
                  <w:color w:val="0000FF"/>
                </w:rPr>
                <w:t>Letter Agreement between TechnipFMC plc and Thierry Pilenko dated September 20, 2017 (incorporated by reference from Exhibit 10.22 to the Annual</w:t>
              </w:r>
            </w:hyperlink>
          </w:p>
        </w:tc>
        <w:tc>
          <w:tcPr>
            <w:tcW w:w="260" w:type="dxa"/>
            <w:vAlign w:val="bottom"/>
            <w:gridSpan w:val="10"/>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120">
              <w:r>
                <w:rPr>
                  <w:rFonts w:ascii="Arial" w:cs="Arial" w:eastAsia="Arial" w:hAnsi="Arial"/>
                  <w:sz w:val="14"/>
                  <w:szCs w:val="14"/>
                  <w:color w:val="0000FF"/>
                </w:rPr>
                <w:t>Report on Form 10-K filed on April 2, 2018)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10.26</w:t>
            </w:r>
          </w:p>
        </w:tc>
        <w:tc>
          <w:tcPr>
            <w:tcW w:w="9760" w:type="dxa"/>
            <w:vAlign w:val="bottom"/>
            <w:tcBorders>
              <w:bottom w:val="single" w:sz="8" w:color="0000FF"/>
            </w:tcBorders>
            <w:gridSpan w:val="43"/>
            <w:shd w:val="clear" w:color="auto" w:fill="CCEEFF"/>
          </w:tcPr>
          <w:p>
            <w:pPr>
              <w:spacing w:after="0"/>
              <w:rPr>
                <w:rFonts w:ascii="Arial" w:cs="Arial" w:eastAsia="Arial" w:hAnsi="Arial"/>
                <w:sz w:val="14"/>
                <w:szCs w:val="14"/>
                <w:color w:val="0000FF"/>
              </w:rPr>
            </w:pPr>
            <w:hyperlink r:id="rId121">
              <w:r>
                <w:rPr>
                  <w:rFonts w:ascii="Arial" w:cs="Arial" w:eastAsia="Arial" w:hAnsi="Arial"/>
                  <w:sz w:val="14"/>
                  <w:szCs w:val="14"/>
                  <w:color w:val="0000FF"/>
                </w:rPr>
                <w:t>Form of Executive Director Appointment Letter (incorporated by reference from Exhibit 10.2 to the Current Report on Form 8-K filed on January 17, 2017)</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6"/>
            <w:shd w:val="clear" w:color="auto" w:fill="CCEEFF"/>
          </w:tcPr>
          <w:p>
            <w:pPr>
              <w:spacing w:after="0" w:line="142" w:lineRule="exact"/>
              <w:rPr>
                <w:rFonts w:ascii="Arial" w:cs="Arial" w:eastAsia="Arial" w:hAnsi="Arial"/>
                <w:sz w:val="14"/>
                <w:szCs w:val="14"/>
                <w:color w:val="0000FF"/>
              </w:rPr>
            </w:pPr>
            <w:hyperlink r:id="rId121">
              <w:r>
                <w:rPr>
                  <w:rFonts w:ascii="Arial" w:cs="Arial" w:eastAsia="Arial" w:hAnsi="Arial"/>
                  <w:sz w:val="14"/>
                  <w:szCs w:val="14"/>
                  <w:color w:val="0000FF"/>
                </w:rPr>
                <w:t>(File No. 001-37983)</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10.27</w:t>
            </w:r>
          </w:p>
        </w:tc>
        <w:tc>
          <w:tcPr>
            <w:tcW w:w="9660" w:type="dxa"/>
            <w:vAlign w:val="bottom"/>
            <w:tcBorders>
              <w:bottom w:val="single" w:sz="8" w:color="0000FF"/>
            </w:tcBorders>
            <w:gridSpan w:val="38"/>
          </w:tcPr>
          <w:p>
            <w:pPr>
              <w:spacing w:after="0"/>
              <w:rPr>
                <w:rFonts w:ascii="Arial" w:cs="Arial" w:eastAsia="Arial" w:hAnsi="Arial"/>
                <w:sz w:val="14"/>
                <w:szCs w:val="14"/>
                <w:color w:val="0000FF"/>
              </w:rPr>
            </w:pPr>
            <w:hyperlink r:id="rId122">
              <w:r>
                <w:rPr>
                  <w:rFonts w:ascii="Arial" w:cs="Arial" w:eastAsia="Arial" w:hAnsi="Arial"/>
                  <w:sz w:val="14"/>
                  <w:szCs w:val="14"/>
                  <w:color w:val="0000FF"/>
                </w:rPr>
                <w:t>Form of Non-Executive Director Appointment Letter (incorporated by reference from Exhibit 10.3 to the Current Report on Form 8-K filed on January 17,</w:t>
              </w:r>
            </w:hyperlink>
          </w:p>
        </w:tc>
        <w:tc>
          <w:tcPr>
            <w:tcW w:w="220" w:type="dxa"/>
            <w:vAlign w:val="bottom"/>
            <w:gridSpan w:val="8"/>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6"/>
          </w:tcPr>
          <w:p>
            <w:pPr>
              <w:spacing w:after="0" w:line="142" w:lineRule="exact"/>
              <w:rPr>
                <w:rFonts w:ascii="Arial" w:cs="Arial" w:eastAsia="Arial" w:hAnsi="Arial"/>
                <w:sz w:val="14"/>
                <w:szCs w:val="14"/>
                <w:color w:val="0000FF"/>
              </w:rPr>
            </w:pPr>
            <w:hyperlink r:id="rId122">
              <w:r>
                <w:rPr>
                  <w:rFonts w:ascii="Arial" w:cs="Arial" w:eastAsia="Arial" w:hAnsi="Arial"/>
                  <w:sz w:val="14"/>
                  <w:szCs w:val="14"/>
                  <w:color w:val="0000FF"/>
                </w:rPr>
                <w:t>2017)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10.28</w:t>
            </w:r>
          </w:p>
        </w:tc>
        <w:tc>
          <w:tcPr>
            <w:tcW w:w="9880" w:type="dxa"/>
            <w:vAlign w:val="bottom"/>
            <w:gridSpan w:val="46"/>
            <w:shd w:val="clear" w:color="auto" w:fill="CCEEFF"/>
          </w:tcPr>
          <w:p>
            <w:pPr>
              <w:spacing w:after="0"/>
              <w:rPr>
                <w:rFonts w:ascii="Arial" w:cs="Arial" w:eastAsia="Arial" w:hAnsi="Arial"/>
                <w:sz w:val="14"/>
                <w:szCs w:val="14"/>
                <w:color w:val="0000FF"/>
              </w:rPr>
            </w:pPr>
            <w:hyperlink r:id="rId123">
              <w:r>
                <w:rPr>
                  <w:rFonts w:ascii="Arial" w:cs="Arial" w:eastAsia="Arial" w:hAnsi="Arial"/>
                  <w:sz w:val="14"/>
                  <w:szCs w:val="14"/>
                  <w:color w:val="0000FF"/>
                </w:rPr>
                <w:t>Form of Director Deed of Indemnity (Directors) (incorporated by reference from Exhibit 10.2 to the Current Report on Form 8-K filed on January 17, 2017)</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42"/>
            <w:shd w:val="clear" w:color="auto" w:fill="CCEEFF"/>
          </w:tcPr>
          <w:p>
            <w:pPr>
              <w:spacing w:after="0" w:line="142" w:lineRule="exact"/>
              <w:rPr>
                <w:rFonts w:ascii="Arial" w:cs="Arial" w:eastAsia="Arial" w:hAnsi="Arial"/>
                <w:sz w:val="14"/>
                <w:szCs w:val="14"/>
                <w:color w:val="0000FF"/>
              </w:rPr>
            </w:pPr>
            <w:hyperlink r:id="rId123">
              <w:r>
                <w:rPr>
                  <w:rFonts w:ascii="Arial" w:cs="Arial" w:eastAsia="Arial" w:hAnsi="Arial"/>
                  <w:sz w:val="14"/>
                  <w:szCs w:val="14"/>
                  <w:color w:val="0000FF"/>
                </w:rPr>
                <w:t>(File No. 001-37983)</w:t>
              </w:r>
            </w:hyperlink>
          </w:p>
        </w:tc>
        <w:tc>
          <w:tcPr>
            <w:tcW w:w="140" w:type="dxa"/>
            <w:vAlign w:val="bottom"/>
            <w:tcBorders>
              <w:top w:val="single" w:sz="8" w:color="CCEEFF"/>
            </w:tcBorders>
            <w:gridSpan w:val="4"/>
            <w:shd w:val="clear" w:color="auto" w:fill="CCEEFF"/>
          </w:tcPr>
          <w:p>
            <w:pPr>
              <w:spacing w:after="0"/>
              <w:rPr>
                <w:sz w:val="12"/>
                <w:szCs w:val="12"/>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10.29</w:t>
            </w:r>
          </w:p>
        </w:tc>
        <w:tc>
          <w:tcPr>
            <w:tcW w:w="9880" w:type="dxa"/>
            <w:vAlign w:val="bottom"/>
            <w:gridSpan w:val="46"/>
          </w:tcPr>
          <w:p>
            <w:pPr>
              <w:spacing w:after="0"/>
              <w:rPr>
                <w:rFonts w:ascii="Arial" w:cs="Arial" w:eastAsia="Arial" w:hAnsi="Arial"/>
                <w:sz w:val="14"/>
                <w:szCs w:val="14"/>
                <w:color w:val="0000FF"/>
              </w:rPr>
            </w:pPr>
            <w:hyperlink r:id="rId124">
              <w:r>
                <w:rPr>
                  <w:rFonts w:ascii="Arial" w:cs="Arial" w:eastAsia="Arial" w:hAnsi="Arial"/>
                  <w:sz w:val="14"/>
                  <w:szCs w:val="14"/>
                  <w:color w:val="0000FF"/>
                </w:rPr>
                <w:t>Form of Deed of Indemnity (Executive Officers) (incorporated by reference from Exhibit 10.3 to the Current Report on Form 8-K filed on January 17, 2017)</w:t>
              </w:r>
            </w:hyperlink>
          </w:p>
        </w:tc>
      </w:tr>
      <w:tr>
        <w:trPr>
          <w:trHeight w:val="142"/>
        </w:trPr>
        <w:tc>
          <w:tcPr>
            <w:tcW w:w="1380" w:type="dxa"/>
            <w:vAlign w:val="bottom"/>
          </w:tcPr>
          <w:p>
            <w:pPr>
              <w:spacing w:after="0"/>
              <w:rPr>
                <w:sz w:val="12"/>
                <w:szCs w:val="12"/>
                <w:color w:val="auto"/>
              </w:rPr>
            </w:pPr>
          </w:p>
        </w:tc>
        <w:tc>
          <w:tcPr>
            <w:tcW w:w="9780" w:type="dxa"/>
            <w:vAlign w:val="bottom"/>
            <w:tcBorders>
              <w:top w:val="single" w:sz="8" w:color="0000FF"/>
            </w:tcBorders>
            <w:gridSpan w:val="44"/>
          </w:tcPr>
          <w:p>
            <w:pPr>
              <w:spacing w:after="0" w:line="142" w:lineRule="exact"/>
              <w:rPr>
                <w:rFonts w:ascii="Arial" w:cs="Arial" w:eastAsia="Arial" w:hAnsi="Arial"/>
                <w:sz w:val="14"/>
                <w:szCs w:val="14"/>
                <w:color w:val="0000FF"/>
              </w:rPr>
            </w:pPr>
            <w:hyperlink r:id="rId124">
              <w:r>
                <w:rPr>
                  <w:rFonts w:ascii="Arial" w:cs="Arial" w:eastAsia="Arial" w:hAnsi="Arial"/>
                  <w:sz w:val="14"/>
                  <w:szCs w:val="14"/>
                  <w:color w:val="0000FF"/>
                </w:rPr>
                <w:t>(File No. 001-37983)</w:t>
              </w:r>
            </w:hyperlink>
          </w:p>
        </w:tc>
        <w:tc>
          <w:tcPr>
            <w:tcW w:w="100" w:type="dxa"/>
            <w:vAlign w:val="bottom"/>
            <w:gridSpan w:val="2"/>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1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bl>
    <w:p>
      <w:pPr>
        <w:sectPr>
          <w:pgSz w:w="11900" w:h="16900" w:orient="portrait"/>
          <w:cols w:equalWidth="0" w:num="1">
            <w:col w:w="11260"/>
          </w:cols>
          <w:pgMar w:left="240" w:top="711" w:right="399" w:bottom="0" w:gutter="0" w:footer="0" w:header="0"/>
          <w:type w:val="continuous"/>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10.30</w:t>
            </w:r>
          </w:p>
        </w:tc>
        <w:tc>
          <w:tcPr>
            <w:tcW w:w="9880" w:type="dxa"/>
            <w:vAlign w:val="bottom"/>
            <w:gridSpan w:val="14"/>
            <w:shd w:val="clear" w:color="auto" w:fill="CCEEFF"/>
          </w:tcPr>
          <w:p>
            <w:pPr>
              <w:spacing w:after="0"/>
              <w:rPr>
                <w:rFonts w:ascii="Arial" w:cs="Arial" w:eastAsia="Arial" w:hAnsi="Arial"/>
                <w:sz w:val="14"/>
                <w:szCs w:val="14"/>
                <w:color w:val="0000FF"/>
              </w:rPr>
            </w:pPr>
            <w:hyperlink r:id="rId125">
              <w:r>
                <w:rPr>
                  <w:rFonts w:ascii="Arial" w:cs="Arial" w:eastAsia="Arial" w:hAnsi="Arial"/>
                  <w:sz w:val="14"/>
                  <w:szCs w:val="14"/>
                  <w:color w:val="0000FF"/>
                </w:rPr>
                <w:t>Form of Director Deed of Indemnity (Executive Directors) (incorporated by reference from Exhibit 10.4 to the Current Report on Form 8-K filed on January</w:t>
              </w:r>
            </w:hyperlink>
          </w:p>
        </w:tc>
      </w:tr>
      <w:tr>
        <w:trPr>
          <w:trHeight w:val="163"/>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198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4"/>
                <w:szCs w:val="14"/>
                <w:color w:val="0000FF"/>
              </w:rPr>
            </w:pPr>
            <w:hyperlink r:id="rId125">
              <w:r>
                <w:rPr>
                  <w:rFonts w:ascii="Arial" w:cs="Arial" w:eastAsia="Arial" w:hAnsi="Arial"/>
                  <w:sz w:val="14"/>
                  <w:szCs w:val="14"/>
                  <w:color w:val="0000FF"/>
                </w:rPr>
                <w:t>17, 2017) (File No. 001-37983)</w:t>
              </w:r>
            </w:hyperlink>
          </w:p>
        </w:tc>
        <w:tc>
          <w:tcPr>
            <w:tcW w:w="778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10.31</w:t>
            </w:r>
          </w:p>
        </w:tc>
        <w:tc>
          <w:tcPr>
            <w:tcW w:w="9720" w:type="dxa"/>
            <w:vAlign w:val="bottom"/>
            <w:tcBorders>
              <w:bottom w:val="single" w:sz="8" w:color="0000FF"/>
            </w:tcBorders>
            <w:gridSpan w:val="12"/>
          </w:tcPr>
          <w:p>
            <w:pPr>
              <w:spacing w:after="0"/>
              <w:rPr>
                <w:rFonts w:ascii="Arial" w:cs="Arial" w:eastAsia="Arial" w:hAnsi="Arial"/>
                <w:sz w:val="14"/>
                <w:szCs w:val="14"/>
                <w:color w:val="0000FF"/>
              </w:rPr>
            </w:pPr>
            <w:hyperlink r:id="rId126">
              <w:r>
                <w:rPr>
                  <w:rFonts w:ascii="Arial" w:cs="Arial" w:eastAsia="Arial" w:hAnsi="Arial"/>
                  <w:sz w:val="14"/>
                  <w:szCs w:val="14"/>
                  <w:u w:val="single" w:color="auto"/>
                  <w:color w:val="0000FF"/>
                </w:rPr>
                <w:t>US$</w:t>
              </w:r>
              <w:r>
                <w:rPr>
                  <w:rFonts w:ascii="Arial" w:cs="Arial" w:eastAsia="Arial" w:hAnsi="Arial"/>
                  <w:sz w:val="14"/>
                  <w:szCs w:val="14"/>
                  <w:color w:val="0000FF"/>
                </w:rPr>
                <w:t>2,500,000,000 Facility Agreement, dated January 12, 2017, by and among FMC Technologies, Inc., Technip Eurocash SNC and TechnipFMC plc, as</w:t>
              </w:r>
            </w:hyperlink>
          </w:p>
        </w:tc>
        <w:tc>
          <w:tcPr>
            <w:tcW w:w="160" w:type="dxa"/>
            <w:vAlign w:val="bottom"/>
            <w:gridSpan w:val="2"/>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14"/>
          </w:tcPr>
          <w:p>
            <w:pPr>
              <w:spacing w:after="0" w:line="142" w:lineRule="exact"/>
              <w:rPr>
                <w:rFonts w:ascii="Arial" w:cs="Arial" w:eastAsia="Arial" w:hAnsi="Arial"/>
                <w:sz w:val="14"/>
                <w:szCs w:val="14"/>
                <w:color w:val="0000FF"/>
              </w:rPr>
            </w:pPr>
            <w:hyperlink r:id="rId126">
              <w:r>
                <w:rPr>
                  <w:rFonts w:ascii="Arial" w:cs="Arial" w:eastAsia="Arial" w:hAnsi="Arial"/>
                  <w:sz w:val="14"/>
                  <w:szCs w:val="14"/>
                  <w:color w:val="0000FF"/>
                </w:rPr>
                <w:t>borrowers; JPMorgan Chase Bank, N.A., as agent; SG Americas Securities, LLC as syndication agent; and the other lenders party thereto (incorporated</w:t>
              </w:r>
            </w:hyperlink>
          </w:p>
        </w:tc>
      </w:tr>
      <w:tr>
        <w:trPr>
          <w:trHeight w:val="142"/>
        </w:trPr>
        <w:tc>
          <w:tcPr>
            <w:tcW w:w="1380" w:type="dxa"/>
            <w:vAlign w:val="bottom"/>
          </w:tcPr>
          <w:p>
            <w:pPr>
              <w:spacing w:after="0"/>
              <w:rPr>
                <w:sz w:val="12"/>
                <w:szCs w:val="12"/>
                <w:color w:val="auto"/>
              </w:rPr>
            </w:pPr>
          </w:p>
        </w:tc>
        <w:tc>
          <w:tcPr>
            <w:tcW w:w="9660" w:type="dxa"/>
            <w:vAlign w:val="bottom"/>
            <w:tcBorders>
              <w:top w:val="single" w:sz="8" w:color="0000FF"/>
            </w:tcBorders>
            <w:gridSpan w:val="11"/>
          </w:tcPr>
          <w:p>
            <w:pPr>
              <w:spacing w:after="0" w:line="142" w:lineRule="exact"/>
              <w:rPr>
                <w:rFonts w:ascii="Arial" w:cs="Arial" w:eastAsia="Arial" w:hAnsi="Arial"/>
                <w:sz w:val="14"/>
                <w:szCs w:val="14"/>
                <w:color w:val="0000FF"/>
              </w:rPr>
            </w:pPr>
            <w:hyperlink r:id="rId126">
              <w:r>
                <w:rPr>
                  <w:rFonts w:ascii="Arial" w:cs="Arial" w:eastAsia="Arial" w:hAnsi="Arial"/>
                  <w:sz w:val="14"/>
                  <w:szCs w:val="14"/>
                  <w:color w:val="0000FF"/>
                </w:rPr>
                <w:t>by reference from Exhibit 10.1 to the Current Report on Form 8-K filed on January 17, 2017) (File No. 001-37983)</w:t>
              </w:r>
            </w:hyperlink>
          </w:p>
        </w:tc>
        <w:tc>
          <w:tcPr>
            <w:tcW w:w="220" w:type="dxa"/>
            <w:vAlign w:val="bottom"/>
            <w:gridSpan w:val="3"/>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10.32</w:t>
            </w:r>
          </w:p>
        </w:tc>
        <w:tc>
          <w:tcPr>
            <w:tcW w:w="9880" w:type="dxa"/>
            <w:vAlign w:val="bottom"/>
            <w:gridSpan w:val="14"/>
            <w:shd w:val="clear" w:color="auto" w:fill="CCEEFF"/>
          </w:tcPr>
          <w:p>
            <w:pPr>
              <w:spacing w:after="0"/>
              <w:rPr>
                <w:rFonts w:ascii="Arial" w:cs="Arial" w:eastAsia="Arial" w:hAnsi="Arial"/>
                <w:sz w:val="14"/>
                <w:szCs w:val="14"/>
                <w:color w:val="0000FF"/>
              </w:rPr>
            </w:pPr>
            <w:hyperlink r:id="rId127">
              <w:r>
                <w:rPr>
                  <w:rFonts w:ascii="Arial" w:cs="Arial" w:eastAsia="Arial" w:hAnsi="Arial"/>
                  <w:sz w:val="14"/>
                  <w:szCs w:val="14"/>
                  <w:color w:val="0000FF"/>
                </w:rPr>
                <w:t>Form of Commercial Paper Dealer Agreement, by and among FMC Technologies, Inc., as Issuer, TechnipFMC plc, as Guarantor, and the Dealer party</w:t>
              </w:r>
            </w:hyperlink>
          </w:p>
        </w:tc>
      </w:tr>
      <w:tr>
        <w:trPr>
          <w:trHeight w:val="163"/>
        </w:trPr>
        <w:tc>
          <w:tcPr>
            <w:tcW w:w="1380" w:type="dxa"/>
            <w:vAlign w:val="bottom"/>
            <w:tcBorders>
              <w:top w:val="single" w:sz="8" w:color="CCEEFF"/>
            </w:tcBorders>
            <w:shd w:val="clear" w:color="auto" w:fill="CCEEFF"/>
          </w:tcPr>
          <w:p>
            <w:pPr>
              <w:spacing w:after="0"/>
              <w:rPr>
                <w:sz w:val="14"/>
                <w:szCs w:val="14"/>
                <w:color w:val="auto"/>
              </w:rPr>
            </w:pPr>
          </w:p>
        </w:tc>
        <w:tc>
          <w:tcPr>
            <w:tcW w:w="9540" w:type="dxa"/>
            <w:vAlign w:val="bottom"/>
            <w:tcBorders>
              <w:top w:val="single" w:sz="8" w:color="0000FF"/>
            </w:tcBorders>
            <w:gridSpan w:val="10"/>
            <w:shd w:val="clear" w:color="auto" w:fill="CCEEFF"/>
          </w:tcPr>
          <w:p>
            <w:pPr>
              <w:spacing w:after="0" w:line="142" w:lineRule="exact"/>
              <w:rPr>
                <w:rFonts w:ascii="Arial" w:cs="Arial" w:eastAsia="Arial" w:hAnsi="Arial"/>
                <w:sz w:val="14"/>
                <w:szCs w:val="14"/>
                <w:color w:val="0000FF"/>
              </w:rPr>
            </w:pPr>
            <w:hyperlink r:id="rId127">
              <w:r>
                <w:rPr>
                  <w:rFonts w:ascii="Arial" w:cs="Arial" w:eastAsia="Arial" w:hAnsi="Arial"/>
                  <w:sz w:val="14"/>
                  <w:szCs w:val="14"/>
                  <w:color w:val="0000FF"/>
                </w:rPr>
                <w:t>thereto (incorporated by reference from Exhibit 10.1 to the Current Report on Form 8-K filed on September 20, 2017) (File No. 001-37983)</w:t>
              </w:r>
            </w:hyperlink>
          </w:p>
        </w:tc>
        <w:tc>
          <w:tcPr>
            <w:tcW w:w="340" w:type="dxa"/>
            <w:vAlign w:val="bottom"/>
            <w:tcBorders>
              <w:top w:val="single" w:sz="8" w:color="CCEEFF"/>
            </w:tcBorders>
            <w:gridSpan w:val="4"/>
            <w:shd w:val="clear" w:color="auto" w:fill="CCEEFF"/>
          </w:tcPr>
          <w:p>
            <w:pPr>
              <w:spacing w:after="0"/>
              <w:rPr>
                <w:sz w:val="14"/>
                <w:szCs w:val="14"/>
                <w:color w:val="auto"/>
              </w:rPr>
            </w:pPr>
          </w:p>
        </w:tc>
      </w:tr>
      <w:tr>
        <w:trPr>
          <w:trHeight w:val="176"/>
        </w:trPr>
        <w:tc>
          <w:tcPr>
            <w:tcW w:w="1380" w:type="dxa"/>
            <w:vAlign w:val="bottom"/>
            <w:tcBorders>
              <w:top w:val="single" w:sz="8" w:color="CCEEFF"/>
            </w:tcBorders>
          </w:tcPr>
          <w:p>
            <w:pPr>
              <w:ind w:left="40"/>
              <w:spacing w:after="0"/>
              <w:rPr>
                <w:sz w:val="20"/>
                <w:szCs w:val="20"/>
                <w:color w:val="auto"/>
              </w:rPr>
            </w:pPr>
            <w:r>
              <w:rPr>
                <w:rFonts w:ascii="Arial" w:cs="Arial" w:eastAsia="Arial" w:hAnsi="Arial"/>
                <w:sz w:val="14"/>
                <w:szCs w:val="14"/>
                <w:color w:val="auto"/>
              </w:rPr>
              <w:t>21.1</w:t>
            </w:r>
          </w:p>
        </w:tc>
        <w:tc>
          <w:tcPr>
            <w:tcW w:w="8780" w:type="dxa"/>
            <w:vAlign w:val="bottom"/>
            <w:tcBorders>
              <w:top w:val="single" w:sz="8" w:color="0000FF"/>
            </w:tcBorders>
            <w:gridSpan w:val="9"/>
          </w:tcPr>
          <w:p>
            <w:pPr>
              <w:spacing w:after="0"/>
              <w:rPr>
                <w:rFonts w:ascii="Arial" w:cs="Arial" w:eastAsia="Arial" w:hAnsi="Arial"/>
                <w:sz w:val="14"/>
                <w:szCs w:val="14"/>
                <w:color w:val="0000FF"/>
              </w:rPr>
            </w:pPr>
            <w:hyperlink w:anchor="page147">
              <w:r>
                <w:rPr>
                  <w:rFonts w:ascii="Arial" w:cs="Arial" w:eastAsia="Arial" w:hAnsi="Arial"/>
                  <w:sz w:val="14"/>
                  <w:szCs w:val="14"/>
                  <w:color w:val="0000FF"/>
                </w:rPr>
                <w:t>List of Significant Subsidiaries</w:t>
              </w:r>
            </w:hyperlink>
          </w:p>
        </w:tc>
        <w:tc>
          <w:tcPr>
            <w:tcW w:w="1100" w:type="dxa"/>
            <w:vAlign w:val="bottom"/>
            <w:tcBorders>
              <w:top w:val="single" w:sz="8" w:color="CCEEFF"/>
            </w:tcBorders>
            <w:gridSpan w:val="5"/>
          </w:tcPr>
          <w:p>
            <w:pPr>
              <w:spacing w:after="0"/>
              <w:rPr>
                <w:sz w:val="15"/>
                <w:szCs w:val="15"/>
                <w:color w:val="auto"/>
              </w:rPr>
            </w:pPr>
          </w:p>
        </w:tc>
      </w:tr>
      <w:tr>
        <w:trPr>
          <w:trHeight w:val="75"/>
        </w:trPr>
        <w:tc>
          <w:tcPr>
            <w:tcW w:w="1380" w:type="dxa"/>
            <w:vAlign w:val="bottom"/>
          </w:tcPr>
          <w:p>
            <w:pPr>
              <w:spacing w:after="0"/>
              <w:rPr>
                <w:sz w:val="6"/>
                <w:szCs w:val="6"/>
                <w:color w:val="auto"/>
              </w:rPr>
            </w:pPr>
          </w:p>
        </w:tc>
        <w:tc>
          <w:tcPr>
            <w:tcW w:w="1920" w:type="dxa"/>
            <w:vAlign w:val="bottom"/>
            <w:tcBorders>
              <w:top w:val="single" w:sz="8" w:color="0000FF"/>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23.1</w:t>
            </w:r>
          </w:p>
        </w:tc>
        <w:tc>
          <w:tcPr>
            <w:tcW w:w="9880" w:type="dxa"/>
            <w:vAlign w:val="bottom"/>
            <w:gridSpan w:val="14"/>
            <w:shd w:val="clear" w:color="auto" w:fill="CCEEFF"/>
          </w:tcPr>
          <w:p>
            <w:pPr>
              <w:spacing w:after="0"/>
              <w:rPr>
                <w:rFonts w:ascii="Arial" w:cs="Arial" w:eastAsia="Arial" w:hAnsi="Arial"/>
                <w:sz w:val="14"/>
                <w:szCs w:val="14"/>
                <w:color w:val="0000FF"/>
              </w:rPr>
            </w:pPr>
            <w:hyperlink w:anchor="page148">
              <w:r>
                <w:rPr>
                  <w:rFonts w:ascii="Arial" w:cs="Arial" w:eastAsia="Arial" w:hAnsi="Arial"/>
                  <w:sz w:val="14"/>
                  <w:szCs w:val="14"/>
                  <w:color w:val="0000FF"/>
                </w:rPr>
                <w:t>Consent of PricewaterhouseCoopers LLP</w:t>
              </w:r>
            </w:hyperlink>
          </w:p>
        </w:tc>
      </w:tr>
      <w:tr>
        <w:trPr>
          <w:trHeight w:val="75"/>
        </w:trPr>
        <w:tc>
          <w:tcPr>
            <w:tcW w:w="1380" w:type="dxa"/>
            <w:vAlign w:val="bottom"/>
            <w:tcBorders>
              <w:top w:val="single" w:sz="8" w:color="CCEEFF"/>
            </w:tcBorders>
            <w:shd w:val="clear" w:color="auto" w:fill="CCEEFF"/>
          </w:tcPr>
          <w:p>
            <w:pPr>
              <w:spacing w:after="0"/>
              <w:rPr>
                <w:sz w:val="6"/>
                <w:szCs w:val="6"/>
                <w:color w:val="auto"/>
              </w:rPr>
            </w:pPr>
          </w:p>
        </w:tc>
        <w:tc>
          <w:tcPr>
            <w:tcW w:w="192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0000FF"/>
            </w:tcBorders>
            <w:shd w:val="clear" w:color="auto" w:fill="CCEEFF"/>
          </w:tcPr>
          <w:p>
            <w:pPr>
              <w:spacing w:after="0"/>
              <w:rPr>
                <w:sz w:val="6"/>
                <w:szCs w:val="6"/>
                <w:color w:val="auto"/>
              </w:rPr>
            </w:pPr>
          </w:p>
        </w:tc>
        <w:tc>
          <w:tcPr>
            <w:tcW w:w="680" w:type="dxa"/>
            <w:vAlign w:val="bottom"/>
            <w:tcBorders>
              <w:top w:val="single" w:sz="8" w:color="0000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31.1</w:t>
            </w:r>
          </w:p>
        </w:tc>
        <w:tc>
          <w:tcPr>
            <w:tcW w:w="9880" w:type="dxa"/>
            <w:vAlign w:val="bottom"/>
            <w:gridSpan w:val="14"/>
          </w:tcPr>
          <w:p>
            <w:pPr>
              <w:spacing w:after="0"/>
              <w:rPr>
                <w:rFonts w:ascii="Arial" w:cs="Arial" w:eastAsia="Arial" w:hAnsi="Arial"/>
                <w:sz w:val="14"/>
                <w:szCs w:val="14"/>
                <w:color w:val="0000FF"/>
              </w:rPr>
            </w:pPr>
            <w:hyperlink w:anchor="page149">
              <w:r>
                <w:rPr>
                  <w:rFonts w:ascii="Arial" w:cs="Arial" w:eastAsia="Arial" w:hAnsi="Arial"/>
                  <w:sz w:val="14"/>
                  <w:szCs w:val="14"/>
                  <w:color w:val="0000FF"/>
                </w:rPr>
                <w:t>Certification of Chief Executive Officer pursuant to Rule 13a-14(a) and Rule 15d-14(a)</w:t>
              </w:r>
            </w:hyperlink>
          </w:p>
        </w:tc>
      </w:tr>
      <w:tr>
        <w:trPr>
          <w:trHeight w:val="75"/>
        </w:trPr>
        <w:tc>
          <w:tcPr>
            <w:tcW w:w="1380" w:type="dxa"/>
            <w:vAlign w:val="bottom"/>
          </w:tcPr>
          <w:p>
            <w:pPr>
              <w:spacing w:after="0"/>
              <w:rPr>
                <w:sz w:val="6"/>
                <w:szCs w:val="6"/>
                <w:color w:val="auto"/>
              </w:rPr>
            </w:pPr>
          </w:p>
        </w:tc>
        <w:tc>
          <w:tcPr>
            <w:tcW w:w="192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680" w:type="dxa"/>
            <w:vAlign w:val="bottom"/>
            <w:tcBorders>
              <w:top w:val="single" w:sz="8" w:color="0000FF"/>
            </w:tcBorders>
          </w:tcPr>
          <w:p>
            <w:pPr>
              <w:spacing w:after="0"/>
              <w:rPr>
                <w:sz w:val="6"/>
                <w:szCs w:val="6"/>
                <w:color w:val="auto"/>
              </w:rPr>
            </w:pPr>
          </w:p>
        </w:tc>
        <w:tc>
          <w:tcPr>
            <w:tcW w:w="150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2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7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31.2</w:t>
            </w:r>
          </w:p>
        </w:tc>
        <w:tc>
          <w:tcPr>
            <w:tcW w:w="9880" w:type="dxa"/>
            <w:vAlign w:val="bottom"/>
            <w:gridSpan w:val="14"/>
            <w:shd w:val="clear" w:color="auto" w:fill="CCEEFF"/>
          </w:tcPr>
          <w:p>
            <w:pPr>
              <w:spacing w:after="0"/>
              <w:rPr>
                <w:rFonts w:ascii="Arial" w:cs="Arial" w:eastAsia="Arial" w:hAnsi="Arial"/>
                <w:sz w:val="14"/>
                <w:szCs w:val="14"/>
                <w:color w:val="0000FF"/>
              </w:rPr>
            </w:pPr>
            <w:hyperlink w:anchor="page150">
              <w:r>
                <w:rPr>
                  <w:rFonts w:ascii="Arial" w:cs="Arial" w:eastAsia="Arial" w:hAnsi="Arial"/>
                  <w:sz w:val="14"/>
                  <w:szCs w:val="14"/>
                  <w:color w:val="0000FF"/>
                </w:rPr>
                <w:t>Certification of Chief Financial Officer pursuant to Rule 13a-14(a) and Rule 15d-14(a)</w:t>
              </w:r>
            </w:hyperlink>
          </w:p>
        </w:tc>
      </w:tr>
      <w:tr>
        <w:trPr>
          <w:trHeight w:val="75"/>
        </w:trPr>
        <w:tc>
          <w:tcPr>
            <w:tcW w:w="1380" w:type="dxa"/>
            <w:vAlign w:val="bottom"/>
            <w:tcBorders>
              <w:top w:val="single" w:sz="8" w:color="CCEEFF"/>
            </w:tcBorders>
            <w:shd w:val="clear" w:color="auto" w:fill="CCEEFF"/>
          </w:tcPr>
          <w:p>
            <w:pPr>
              <w:spacing w:after="0"/>
              <w:rPr>
                <w:sz w:val="6"/>
                <w:szCs w:val="6"/>
                <w:color w:val="auto"/>
              </w:rPr>
            </w:pPr>
          </w:p>
        </w:tc>
        <w:tc>
          <w:tcPr>
            <w:tcW w:w="192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0000FF"/>
            </w:tcBorders>
            <w:shd w:val="clear" w:color="auto" w:fill="CCEEFF"/>
          </w:tcPr>
          <w:p>
            <w:pPr>
              <w:spacing w:after="0"/>
              <w:rPr>
                <w:sz w:val="6"/>
                <w:szCs w:val="6"/>
                <w:color w:val="auto"/>
              </w:rPr>
            </w:pPr>
          </w:p>
        </w:tc>
        <w:tc>
          <w:tcPr>
            <w:tcW w:w="680" w:type="dxa"/>
            <w:vAlign w:val="bottom"/>
            <w:tcBorders>
              <w:top w:val="single" w:sz="8" w:color="0000FF"/>
            </w:tcBorders>
            <w:shd w:val="clear" w:color="auto" w:fill="CCEEFF"/>
          </w:tcPr>
          <w:p>
            <w:pPr>
              <w:spacing w:after="0"/>
              <w:rPr>
                <w:sz w:val="6"/>
                <w:szCs w:val="6"/>
                <w:color w:val="auto"/>
              </w:rPr>
            </w:pPr>
          </w:p>
        </w:tc>
        <w:tc>
          <w:tcPr>
            <w:tcW w:w="150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0000FF"/>
            </w:tcBorders>
            <w:shd w:val="clear" w:color="auto" w:fill="CCEEFF"/>
          </w:tcPr>
          <w:p>
            <w:pPr>
              <w:spacing w:after="0"/>
              <w:rPr>
                <w:sz w:val="6"/>
                <w:szCs w:val="6"/>
                <w:color w:val="auto"/>
              </w:rPr>
            </w:pPr>
          </w:p>
        </w:tc>
        <w:tc>
          <w:tcPr>
            <w:tcW w:w="120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32.1**</w:t>
            </w:r>
          </w:p>
        </w:tc>
        <w:tc>
          <w:tcPr>
            <w:tcW w:w="9880" w:type="dxa"/>
            <w:vAlign w:val="bottom"/>
            <w:gridSpan w:val="14"/>
          </w:tcPr>
          <w:p>
            <w:pPr>
              <w:spacing w:after="0"/>
              <w:rPr>
                <w:rFonts w:ascii="Arial" w:cs="Arial" w:eastAsia="Arial" w:hAnsi="Arial"/>
                <w:sz w:val="14"/>
                <w:szCs w:val="14"/>
                <w:color w:val="0000FF"/>
              </w:rPr>
            </w:pPr>
            <w:hyperlink w:anchor="page151">
              <w:r>
                <w:rPr>
                  <w:rFonts w:ascii="Arial" w:cs="Arial" w:eastAsia="Arial" w:hAnsi="Arial"/>
                  <w:sz w:val="14"/>
                  <w:szCs w:val="14"/>
                  <w:color w:val="0000FF"/>
                </w:rPr>
                <w:t>Certification of Chief Executive Officer pursuant to 18 U.S.C. 1350</w:t>
              </w:r>
            </w:hyperlink>
          </w:p>
        </w:tc>
      </w:tr>
      <w:tr>
        <w:trPr>
          <w:trHeight w:val="75"/>
        </w:trPr>
        <w:tc>
          <w:tcPr>
            <w:tcW w:w="1380" w:type="dxa"/>
            <w:vAlign w:val="bottom"/>
          </w:tcPr>
          <w:p>
            <w:pPr>
              <w:spacing w:after="0"/>
              <w:rPr>
                <w:sz w:val="6"/>
                <w:szCs w:val="6"/>
                <w:color w:val="auto"/>
              </w:rPr>
            </w:pPr>
          </w:p>
        </w:tc>
        <w:tc>
          <w:tcPr>
            <w:tcW w:w="192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680" w:type="dxa"/>
            <w:vAlign w:val="bottom"/>
            <w:tcBorders>
              <w:top w:val="single" w:sz="8" w:color="0000FF"/>
            </w:tcBorders>
          </w:tcPr>
          <w:p>
            <w:pPr>
              <w:spacing w:after="0"/>
              <w:rPr>
                <w:sz w:val="6"/>
                <w:szCs w:val="6"/>
                <w:color w:val="auto"/>
              </w:rPr>
            </w:pPr>
          </w:p>
        </w:tc>
        <w:tc>
          <w:tcPr>
            <w:tcW w:w="150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32.2**</w:t>
            </w:r>
          </w:p>
        </w:tc>
        <w:tc>
          <w:tcPr>
            <w:tcW w:w="9880" w:type="dxa"/>
            <w:vAlign w:val="bottom"/>
            <w:gridSpan w:val="14"/>
            <w:shd w:val="clear" w:color="auto" w:fill="CCEEFF"/>
          </w:tcPr>
          <w:p>
            <w:pPr>
              <w:spacing w:after="0"/>
              <w:rPr>
                <w:rFonts w:ascii="Arial" w:cs="Arial" w:eastAsia="Arial" w:hAnsi="Arial"/>
                <w:sz w:val="14"/>
                <w:szCs w:val="14"/>
                <w:color w:val="0000FF"/>
              </w:rPr>
            </w:pPr>
            <w:hyperlink w:anchor="page152">
              <w:r>
                <w:rPr>
                  <w:rFonts w:ascii="Arial" w:cs="Arial" w:eastAsia="Arial" w:hAnsi="Arial"/>
                  <w:sz w:val="14"/>
                  <w:szCs w:val="14"/>
                  <w:color w:val="0000FF"/>
                </w:rPr>
                <w:t>Certification of Chief Financial Officer pursuant to 18 U.S.C. 1350</w:t>
              </w:r>
            </w:hyperlink>
          </w:p>
        </w:tc>
      </w:tr>
      <w:tr>
        <w:trPr>
          <w:trHeight w:val="75"/>
        </w:trPr>
        <w:tc>
          <w:tcPr>
            <w:tcW w:w="1380" w:type="dxa"/>
            <w:vAlign w:val="bottom"/>
            <w:tcBorders>
              <w:top w:val="single" w:sz="8" w:color="CCEEFF"/>
            </w:tcBorders>
            <w:shd w:val="clear" w:color="auto" w:fill="CCEEFF"/>
          </w:tcPr>
          <w:p>
            <w:pPr>
              <w:spacing w:after="0"/>
              <w:rPr>
                <w:sz w:val="6"/>
                <w:szCs w:val="6"/>
                <w:color w:val="auto"/>
              </w:rPr>
            </w:pPr>
          </w:p>
        </w:tc>
        <w:tc>
          <w:tcPr>
            <w:tcW w:w="192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0000FF"/>
            </w:tcBorders>
            <w:shd w:val="clear" w:color="auto" w:fill="CCEEFF"/>
          </w:tcPr>
          <w:p>
            <w:pPr>
              <w:spacing w:after="0"/>
              <w:rPr>
                <w:sz w:val="6"/>
                <w:szCs w:val="6"/>
                <w:color w:val="auto"/>
              </w:rPr>
            </w:pPr>
          </w:p>
        </w:tc>
        <w:tc>
          <w:tcPr>
            <w:tcW w:w="680" w:type="dxa"/>
            <w:vAlign w:val="bottom"/>
            <w:tcBorders>
              <w:top w:val="single" w:sz="8" w:color="0000FF"/>
            </w:tcBorders>
            <w:shd w:val="clear" w:color="auto" w:fill="CCEEFF"/>
          </w:tcPr>
          <w:p>
            <w:pPr>
              <w:spacing w:after="0"/>
              <w:rPr>
                <w:sz w:val="6"/>
                <w:szCs w:val="6"/>
                <w:color w:val="auto"/>
              </w:rPr>
            </w:pPr>
          </w:p>
        </w:tc>
        <w:tc>
          <w:tcPr>
            <w:tcW w:w="150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r>
        <w:trPr>
          <w:trHeight w:val="194"/>
        </w:trPr>
        <w:tc>
          <w:tcPr>
            <w:tcW w:w="1380" w:type="dxa"/>
            <w:vAlign w:val="bottom"/>
          </w:tcPr>
          <w:p>
            <w:pPr>
              <w:ind w:left="40"/>
              <w:spacing w:after="0"/>
              <w:rPr>
                <w:sz w:val="20"/>
                <w:szCs w:val="20"/>
                <w:color w:val="auto"/>
              </w:rPr>
            </w:pPr>
            <w:r>
              <w:rPr>
                <w:rFonts w:ascii="Arial" w:cs="Arial" w:eastAsia="Arial" w:hAnsi="Arial"/>
                <w:sz w:val="14"/>
                <w:szCs w:val="14"/>
                <w:color w:val="auto"/>
              </w:rPr>
              <w:t>101.INS</w:t>
            </w:r>
          </w:p>
        </w:tc>
        <w:tc>
          <w:tcPr>
            <w:tcW w:w="9880" w:type="dxa"/>
            <w:vAlign w:val="bottom"/>
            <w:gridSpan w:val="14"/>
          </w:tcPr>
          <w:p>
            <w:pPr>
              <w:spacing w:after="0"/>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w:t>
            </w:r>
          </w:p>
        </w:tc>
      </w:tr>
      <w:tr>
        <w:trPr>
          <w:trHeight w:val="178"/>
        </w:trPr>
        <w:tc>
          <w:tcPr>
            <w:tcW w:w="1380" w:type="dxa"/>
            <w:vAlign w:val="bottom"/>
          </w:tcPr>
          <w:p>
            <w:pPr>
              <w:spacing w:after="0"/>
              <w:rPr>
                <w:sz w:val="15"/>
                <w:szCs w:val="15"/>
                <w:color w:val="auto"/>
              </w:rPr>
            </w:pPr>
          </w:p>
        </w:tc>
        <w:tc>
          <w:tcPr>
            <w:tcW w:w="9880" w:type="dxa"/>
            <w:vAlign w:val="bottom"/>
            <w:gridSpan w:val="14"/>
          </w:tcPr>
          <w:p>
            <w:pPr>
              <w:spacing w:after="0"/>
              <w:rPr>
                <w:sz w:val="20"/>
                <w:szCs w:val="20"/>
                <w:color w:val="auto"/>
              </w:rPr>
            </w:pPr>
            <w:r>
              <w:rPr>
                <w:rFonts w:ascii="Arial" w:cs="Arial" w:eastAsia="Arial" w:hAnsi="Arial"/>
                <w:sz w:val="14"/>
                <w:szCs w:val="14"/>
                <w:color w:val="auto"/>
              </w:rPr>
              <w:t>XBRL document.</w:t>
            </w:r>
          </w:p>
        </w:tc>
      </w:tr>
      <w:tr>
        <w:trPr>
          <w:trHeight w:val="210"/>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101.SCH</w:t>
            </w:r>
          </w:p>
        </w:tc>
        <w:tc>
          <w:tcPr>
            <w:tcW w:w="9880" w:type="dxa"/>
            <w:vAlign w:val="bottom"/>
            <w:gridSpan w:val="14"/>
            <w:shd w:val="clear" w:color="auto" w:fill="CCEEFF"/>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66"/>
        </w:trPr>
        <w:tc>
          <w:tcPr>
            <w:tcW w:w="138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r>
      <w:tr>
        <w:trPr>
          <w:trHeight w:val="204"/>
        </w:trPr>
        <w:tc>
          <w:tcPr>
            <w:tcW w:w="1380" w:type="dxa"/>
            <w:vAlign w:val="bottom"/>
          </w:tcPr>
          <w:p>
            <w:pPr>
              <w:ind w:left="40"/>
              <w:spacing w:after="0"/>
              <w:rPr>
                <w:sz w:val="20"/>
                <w:szCs w:val="20"/>
                <w:color w:val="auto"/>
              </w:rPr>
            </w:pPr>
            <w:r>
              <w:rPr>
                <w:rFonts w:ascii="Arial" w:cs="Arial" w:eastAsia="Arial" w:hAnsi="Arial"/>
                <w:sz w:val="14"/>
                <w:szCs w:val="14"/>
                <w:color w:val="auto"/>
              </w:rPr>
              <w:t>101.CAL</w:t>
            </w:r>
          </w:p>
        </w:tc>
        <w:tc>
          <w:tcPr>
            <w:tcW w:w="9880" w:type="dxa"/>
            <w:vAlign w:val="bottom"/>
            <w:gridSpan w:val="14"/>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66"/>
        </w:trPr>
        <w:tc>
          <w:tcPr>
            <w:tcW w:w="13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4"/>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101.DEF</w:t>
            </w:r>
          </w:p>
        </w:tc>
        <w:tc>
          <w:tcPr>
            <w:tcW w:w="9880" w:type="dxa"/>
            <w:vAlign w:val="bottom"/>
            <w:gridSpan w:val="14"/>
            <w:shd w:val="clear" w:color="auto" w:fill="CCEEFF"/>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66"/>
        </w:trPr>
        <w:tc>
          <w:tcPr>
            <w:tcW w:w="138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r>
      <w:tr>
        <w:trPr>
          <w:trHeight w:val="204"/>
        </w:trPr>
        <w:tc>
          <w:tcPr>
            <w:tcW w:w="1380" w:type="dxa"/>
            <w:vAlign w:val="bottom"/>
          </w:tcPr>
          <w:p>
            <w:pPr>
              <w:ind w:left="40"/>
              <w:spacing w:after="0"/>
              <w:rPr>
                <w:sz w:val="20"/>
                <w:szCs w:val="20"/>
                <w:color w:val="auto"/>
              </w:rPr>
            </w:pPr>
            <w:r>
              <w:rPr>
                <w:rFonts w:ascii="Arial" w:cs="Arial" w:eastAsia="Arial" w:hAnsi="Arial"/>
                <w:sz w:val="14"/>
                <w:szCs w:val="14"/>
                <w:color w:val="auto"/>
              </w:rPr>
              <w:t>101.LAB</w:t>
            </w:r>
          </w:p>
        </w:tc>
        <w:tc>
          <w:tcPr>
            <w:tcW w:w="9880" w:type="dxa"/>
            <w:vAlign w:val="bottom"/>
            <w:gridSpan w:val="14"/>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66"/>
        </w:trPr>
        <w:tc>
          <w:tcPr>
            <w:tcW w:w="13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4"/>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101.PRE</w:t>
            </w:r>
          </w:p>
        </w:tc>
        <w:tc>
          <w:tcPr>
            <w:tcW w:w="9880" w:type="dxa"/>
            <w:vAlign w:val="bottom"/>
            <w:gridSpan w:val="14"/>
            <w:shd w:val="clear" w:color="auto" w:fill="CCEEFF"/>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66"/>
        </w:trPr>
        <w:tc>
          <w:tcPr>
            <w:tcW w:w="138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r>
    </w:tbl>
    <w:p>
      <w:pPr>
        <w:spacing w:after="0" w:line="32" w:lineRule="exact"/>
        <w:rPr>
          <w:sz w:val="20"/>
          <w:szCs w:val="20"/>
          <w:color w:val="auto"/>
        </w:rPr>
      </w:pPr>
    </w:p>
    <w:p>
      <w:pPr>
        <w:ind w:right="4180" w:firstLine="35"/>
        <w:spacing w:after="0" w:line="543" w:lineRule="auto"/>
        <w:tabs>
          <w:tab w:leader="none" w:pos="1378" w:val="left"/>
        </w:tabs>
        <w:numPr>
          <w:ilvl w:val="1"/>
          <w:numId w:val="58"/>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 * Indicates a management contract or compensatory plan or arrangement.</w:t>
      </w:r>
    </w:p>
    <w:p>
      <w:pPr>
        <w:ind w:left="160" w:hanging="152"/>
        <w:spacing w:after="0"/>
        <w:tabs>
          <w:tab w:leader="none" w:pos="1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Furnished with this Form 10-K.</w:t>
      </w: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60"/>
          </w:cols>
          <w:pgMar w:left="240" w:top="127" w:right="399" w:bottom="1440" w:gutter="0" w:footer="0" w:header="0"/>
        </w:sectPr>
      </w:pPr>
    </w:p>
    <w:bookmarkStart w:id="140" w:name="page141"/>
    <w:bookmarkEnd w:id="140"/>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TechnipFMC plc</w:t>
      </w:r>
    </w:p>
    <w:p>
      <w:pPr>
        <w:ind w:left="528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5280"/>
        <w:spacing w:after="0"/>
        <w:tabs>
          <w:tab w:leader="none" w:pos="7200" w:val="left"/>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4"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Krisztina Doroghazi</w:t>
      </w:r>
    </w:p>
    <w:p>
      <w:pPr>
        <w:spacing w:after="0" w:line="19"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Senior Vice President, Controller and Chief Accounting Officer</w:t>
      </w:r>
    </w:p>
    <w:p>
      <w:pPr>
        <w:spacing w:after="0" w:line="1"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(Principal Accounting Officer and a Duly Authorized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171" w:lineRule="exact"/>
        <w:rPr>
          <w:sz w:val="20"/>
          <w:szCs w:val="20"/>
          <w:color w:val="auto"/>
        </w:rPr>
      </w:pPr>
    </w:p>
    <w:p>
      <w:pPr>
        <w:ind w:right="380"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p>
      <w:pPr>
        <w:ind w:left="1820"/>
        <w:spacing w:after="0"/>
        <w:tabs>
          <w:tab w:leader="none" w:pos="744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9037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18" w:lineRule="exact"/>
        <w:rPr>
          <w:sz w:val="20"/>
          <w:szCs w:val="20"/>
          <w:color w:val="auto"/>
        </w:rPr>
      </w:pPr>
    </w:p>
    <w:tbl>
      <w:tblPr>
        <w:tblLayout w:type="fixed"/>
        <w:tblInd w:w="1400" w:type="dxa"/>
        <w:tblCellMar>
          <w:top w:w="0" w:type="dxa"/>
          <w:left w:w="0" w:type="dxa"/>
          <w:bottom w:w="0" w:type="dxa"/>
          <w:right w:w="0" w:type="dxa"/>
        </w:tblCellMar>
      </w:tblP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6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OUGLAS</w:t>
            </w:r>
            <w:r>
              <w:rPr>
                <w:rFonts w:ascii="Arial" w:cs="Arial" w:eastAsia="Arial" w:hAnsi="Arial"/>
                <w:sz w:val="18"/>
                <w:szCs w:val="18"/>
                <w:color w:val="auto"/>
              </w:rPr>
              <w:t xml:space="preserve"> J. P</w:t>
            </w:r>
            <w:r>
              <w:rPr>
                <w:rFonts w:ascii="Arial" w:cs="Arial" w:eastAsia="Arial" w:hAnsi="Arial"/>
                <w:sz w:val="14"/>
                <w:szCs w:val="14"/>
                <w:color w:val="auto"/>
              </w:rPr>
              <w:t>FERDEHIRT</w:t>
            </w:r>
          </w:p>
        </w:tc>
      </w:tr>
      <w:tr>
        <w:trPr>
          <w:trHeight w:val="176"/>
        </w:trPr>
        <w:tc>
          <w:tcPr>
            <w:tcW w:w="3300" w:type="dxa"/>
            <w:vAlign w:val="bottom"/>
          </w:tcPr>
          <w:p>
            <w:pPr>
              <w:spacing w:after="0"/>
              <w:rPr>
                <w:sz w:val="15"/>
                <w:szCs w:val="15"/>
                <w:color w:val="auto"/>
              </w:rPr>
            </w:pPr>
          </w:p>
        </w:tc>
        <w:tc>
          <w:tcPr>
            <w:tcW w:w="6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Douglas J. Pferdehirt</w:t>
            </w:r>
          </w:p>
        </w:tc>
      </w:tr>
      <w:tr>
        <w:trPr>
          <w:trHeight w:val="162"/>
        </w:trPr>
        <w:tc>
          <w:tcPr>
            <w:tcW w:w="3300" w:type="dxa"/>
            <w:vAlign w:val="bottom"/>
          </w:tcPr>
          <w:p>
            <w:pPr>
              <w:spacing w:after="0"/>
              <w:rPr>
                <w:sz w:val="14"/>
                <w:szCs w:val="14"/>
                <w:color w:val="auto"/>
              </w:rPr>
            </w:pPr>
          </w:p>
        </w:tc>
        <w:tc>
          <w:tcPr>
            <w:tcW w:w="6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Chairman and Chief Executive Officer</w:t>
            </w:r>
          </w:p>
        </w:tc>
      </w:tr>
      <w:tr>
        <w:trPr>
          <w:trHeight w:val="190"/>
        </w:trPr>
        <w:tc>
          <w:tcPr>
            <w:tcW w:w="3300" w:type="dxa"/>
            <w:vAlign w:val="bottom"/>
          </w:tcPr>
          <w:p>
            <w:pPr>
              <w:spacing w:after="0"/>
              <w:rPr>
                <w:sz w:val="16"/>
                <w:szCs w:val="16"/>
                <w:color w:val="auto"/>
              </w:rPr>
            </w:pPr>
          </w:p>
        </w:tc>
        <w:tc>
          <w:tcPr>
            <w:tcW w:w="6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46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20" w:type="dxa"/>
            <w:vAlign w:val="bottom"/>
            <w:tcBorders>
              <w:bottom w:val="single" w:sz="8" w:color="auto"/>
            </w:tcBorders>
            <w:gridSpan w:val="2"/>
          </w:tcPr>
          <w:p>
            <w:pPr>
              <w:jc w:val="center"/>
              <w:ind w:right="1982"/>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ARYANN</w:t>
            </w:r>
            <w:r>
              <w:rPr>
                <w:rFonts w:ascii="Arial" w:cs="Arial" w:eastAsia="Arial" w:hAnsi="Arial"/>
                <w:sz w:val="18"/>
                <w:szCs w:val="18"/>
                <w:color w:val="auto"/>
                <w:w w:val="99"/>
              </w:rPr>
              <w:t xml:space="preserve"> T. M</w:t>
            </w:r>
            <w:r>
              <w:rPr>
                <w:rFonts w:ascii="Arial" w:cs="Arial" w:eastAsia="Arial" w:hAnsi="Arial"/>
                <w:sz w:val="14"/>
                <w:szCs w:val="14"/>
                <w:color w:val="auto"/>
                <w:w w:val="99"/>
              </w:rPr>
              <w:t>ANNEN</w:t>
            </w:r>
          </w:p>
        </w:tc>
      </w:tr>
      <w:tr>
        <w:trPr>
          <w:trHeight w:val="176"/>
        </w:trPr>
        <w:tc>
          <w:tcPr>
            <w:tcW w:w="3300" w:type="dxa"/>
            <w:vAlign w:val="bottom"/>
          </w:tcPr>
          <w:p>
            <w:pPr>
              <w:spacing w:after="0"/>
              <w:rPr>
                <w:sz w:val="15"/>
                <w:szCs w:val="15"/>
                <w:color w:val="auto"/>
              </w:rPr>
            </w:pPr>
          </w:p>
        </w:tc>
        <w:tc>
          <w:tcPr>
            <w:tcW w:w="6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Maryann T. Mannen</w:t>
            </w:r>
          </w:p>
        </w:tc>
      </w:tr>
      <w:tr>
        <w:trPr>
          <w:trHeight w:val="162"/>
        </w:trPr>
        <w:tc>
          <w:tcPr>
            <w:tcW w:w="3300" w:type="dxa"/>
            <w:vAlign w:val="bottom"/>
          </w:tcPr>
          <w:p>
            <w:pPr>
              <w:spacing w:after="0"/>
              <w:rPr>
                <w:sz w:val="14"/>
                <w:szCs w:val="14"/>
                <w:color w:val="auto"/>
              </w:rPr>
            </w:pPr>
          </w:p>
        </w:tc>
        <w:tc>
          <w:tcPr>
            <w:tcW w:w="6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190"/>
        </w:trPr>
        <w:tc>
          <w:tcPr>
            <w:tcW w:w="3300" w:type="dxa"/>
            <w:vAlign w:val="bottom"/>
          </w:tcPr>
          <w:p>
            <w:pPr>
              <w:spacing w:after="0"/>
              <w:rPr>
                <w:sz w:val="16"/>
                <w:szCs w:val="16"/>
                <w:color w:val="auto"/>
              </w:rPr>
            </w:pPr>
          </w:p>
        </w:tc>
        <w:tc>
          <w:tcPr>
            <w:tcW w:w="6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6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LEAZAR</w:t>
            </w:r>
            <w:r>
              <w:rPr>
                <w:rFonts w:ascii="Arial" w:cs="Arial" w:eastAsia="Arial" w:hAnsi="Arial"/>
                <w:sz w:val="18"/>
                <w:szCs w:val="18"/>
                <w:color w:val="auto"/>
              </w:rPr>
              <w:t xml:space="preserve"> D</w:t>
            </w:r>
            <w:r>
              <w:rPr>
                <w:rFonts w:ascii="Arial" w:cs="Arial" w:eastAsia="Arial" w:hAnsi="Arial"/>
                <w:sz w:val="14"/>
                <w:szCs w:val="14"/>
                <w:color w:val="auto"/>
              </w:rPr>
              <w:t>E</w:t>
            </w:r>
            <w:r>
              <w:rPr>
                <w:rFonts w:ascii="Arial" w:cs="Arial" w:eastAsia="Arial" w:hAnsi="Arial"/>
                <w:sz w:val="18"/>
                <w:szCs w:val="18"/>
                <w:color w:val="auto"/>
              </w:rPr>
              <w:t xml:space="preserve"> C</w:t>
            </w:r>
            <w:r>
              <w:rPr>
                <w:rFonts w:ascii="Arial" w:cs="Arial" w:eastAsia="Arial" w:hAnsi="Arial"/>
                <w:sz w:val="14"/>
                <w:szCs w:val="14"/>
                <w:color w:val="auto"/>
              </w:rPr>
              <w:t>ARVALHO</w:t>
            </w:r>
            <w:r>
              <w:rPr>
                <w:rFonts w:ascii="Arial" w:cs="Arial" w:eastAsia="Arial" w:hAnsi="Arial"/>
                <w:sz w:val="18"/>
                <w:szCs w:val="18"/>
                <w:color w:val="auto"/>
              </w:rPr>
              <w:t xml:space="preserve"> F</w:t>
            </w:r>
            <w:r>
              <w:rPr>
                <w:rFonts w:ascii="Arial" w:cs="Arial" w:eastAsia="Arial" w:hAnsi="Arial"/>
                <w:sz w:val="14"/>
                <w:szCs w:val="14"/>
                <w:color w:val="auto"/>
              </w:rPr>
              <w:t>ILHO</w:t>
            </w:r>
          </w:p>
        </w:tc>
      </w:tr>
      <w:tr>
        <w:trPr>
          <w:trHeight w:val="176"/>
        </w:trPr>
        <w:tc>
          <w:tcPr>
            <w:tcW w:w="3300" w:type="dxa"/>
            <w:vAlign w:val="bottom"/>
          </w:tcPr>
          <w:p>
            <w:pPr>
              <w:spacing w:after="0"/>
              <w:rPr>
                <w:sz w:val="15"/>
                <w:szCs w:val="15"/>
                <w:color w:val="auto"/>
              </w:rPr>
            </w:pPr>
          </w:p>
        </w:tc>
        <w:tc>
          <w:tcPr>
            <w:tcW w:w="6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Eleazar de Carvalho Filho,</w:t>
            </w:r>
          </w:p>
        </w:tc>
      </w:tr>
      <w:tr>
        <w:trPr>
          <w:trHeight w:val="190"/>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Director</w:t>
            </w:r>
          </w:p>
        </w:tc>
      </w:tr>
      <w:tr>
        <w:trPr>
          <w:trHeight w:val="600"/>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46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20" w:type="dxa"/>
            <w:vAlign w:val="bottom"/>
            <w:tcBorders>
              <w:bottom w:val="single" w:sz="8" w:color="auto"/>
            </w:tcBorders>
            <w:gridSpan w:val="2"/>
          </w:tcPr>
          <w:p>
            <w:pPr>
              <w:jc w:val="center"/>
              <w:ind w:right="2002"/>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RNAUD</w:t>
            </w:r>
            <w:r>
              <w:rPr>
                <w:rFonts w:ascii="Arial" w:cs="Arial" w:eastAsia="Arial" w:hAnsi="Arial"/>
                <w:sz w:val="18"/>
                <w:szCs w:val="18"/>
                <w:color w:val="auto"/>
              </w:rPr>
              <w:t xml:space="preserve"> C</w:t>
            </w:r>
            <w:r>
              <w:rPr>
                <w:rFonts w:ascii="Arial" w:cs="Arial" w:eastAsia="Arial" w:hAnsi="Arial"/>
                <w:sz w:val="14"/>
                <w:szCs w:val="14"/>
                <w:color w:val="auto"/>
              </w:rPr>
              <w:t>AUDOUX</w:t>
            </w:r>
          </w:p>
        </w:tc>
      </w:tr>
      <w:tr>
        <w:trPr>
          <w:trHeight w:val="176"/>
        </w:trPr>
        <w:tc>
          <w:tcPr>
            <w:tcW w:w="3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720" w:type="dxa"/>
            <w:vAlign w:val="bottom"/>
            <w:gridSpan w:val="2"/>
          </w:tcPr>
          <w:p>
            <w:pPr>
              <w:jc w:val="center"/>
              <w:ind w:right="2402"/>
              <w:spacing w:after="0"/>
              <w:rPr>
                <w:sz w:val="20"/>
                <w:szCs w:val="20"/>
                <w:color w:val="auto"/>
              </w:rPr>
            </w:pPr>
            <w:r>
              <w:rPr>
                <w:rFonts w:ascii="Arial" w:cs="Arial" w:eastAsia="Arial" w:hAnsi="Arial"/>
                <w:sz w:val="14"/>
                <w:szCs w:val="14"/>
                <w:b w:val="1"/>
                <w:bCs w:val="1"/>
                <w:color w:val="auto"/>
              </w:rPr>
              <w:t>Arnaud Caudoux,</w:t>
            </w:r>
          </w:p>
        </w:tc>
      </w:tr>
      <w:tr>
        <w:trPr>
          <w:trHeight w:val="190"/>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46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20" w:type="dxa"/>
            <w:vAlign w:val="bottom"/>
            <w:tcBorders>
              <w:bottom w:val="single" w:sz="8" w:color="auto"/>
            </w:tcBorders>
            <w:gridSpan w:val="2"/>
          </w:tcPr>
          <w:p>
            <w:pPr>
              <w:jc w:val="center"/>
              <w:ind w:right="2002"/>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ASCAL</w:t>
            </w:r>
            <w:r>
              <w:rPr>
                <w:rFonts w:ascii="Arial" w:cs="Arial" w:eastAsia="Arial" w:hAnsi="Arial"/>
                <w:sz w:val="18"/>
                <w:szCs w:val="18"/>
                <w:color w:val="auto"/>
              </w:rPr>
              <w:t xml:space="preserve"> C</w:t>
            </w:r>
            <w:r>
              <w:rPr>
                <w:rFonts w:ascii="Arial" w:cs="Arial" w:eastAsia="Arial" w:hAnsi="Arial"/>
                <w:sz w:val="14"/>
                <w:szCs w:val="14"/>
                <w:color w:val="auto"/>
              </w:rPr>
              <w:t>OLOMBANI</w:t>
            </w:r>
          </w:p>
        </w:tc>
      </w:tr>
      <w:tr>
        <w:trPr>
          <w:trHeight w:val="245"/>
        </w:trPr>
        <w:tc>
          <w:tcPr>
            <w:tcW w:w="3300" w:type="dxa"/>
            <w:vAlign w:val="bottom"/>
          </w:tcPr>
          <w:p>
            <w:pPr>
              <w:spacing w:after="0"/>
              <w:rPr>
                <w:sz w:val="21"/>
                <w:szCs w:val="21"/>
                <w:color w:val="auto"/>
              </w:rPr>
            </w:pPr>
          </w:p>
        </w:tc>
        <w:tc>
          <w:tcPr>
            <w:tcW w:w="6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Pascal Colombani, Director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46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20" w:type="dxa"/>
            <w:vAlign w:val="bottom"/>
            <w:tcBorders>
              <w:bottom w:val="single" w:sz="8" w:color="auto"/>
            </w:tcBorders>
            <w:gridSpan w:val="2"/>
          </w:tcPr>
          <w:p>
            <w:pPr>
              <w:jc w:val="center"/>
              <w:ind w:right="200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ARIE</w:t>
            </w:r>
            <w:r>
              <w:rPr>
                <w:rFonts w:ascii="Arial" w:cs="Arial" w:eastAsia="Arial" w:hAnsi="Arial"/>
                <w:sz w:val="18"/>
                <w:szCs w:val="18"/>
                <w:color w:val="auto"/>
              </w:rPr>
              <w:t>-A</w:t>
            </w:r>
            <w:r>
              <w:rPr>
                <w:rFonts w:ascii="Arial" w:cs="Arial" w:eastAsia="Arial" w:hAnsi="Arial"/>
                <w:sz w:val="14"/>
                <w:szCs w:val="14"/>
                <w:color w:val="auto"/>
              </w:rPr>
              <w:t>NGE</w:t>
            </w:r>
            <w:r>
              <w:rPr>
                <w:rFonts w:ascii="Arial" w:cs="Arial" w:eastAsia="Arial" w:hAnsi="Arial"/>
                <w:sz w:val="18"/>
                <w:szCs w:val="18"/>
                <w:color w:val="auto"/>
              </w:rPr>
              <w:t xml:space="preserve"> D</w:t>
            </w:r>
            <w:r>
              <w:rPr>
                <w:rFonts w:ascii="Arial" w:cs="Arial" w:eastAsia="Arial" w:hAnsi="Arial"/>
                <w:sz w:val="14"/>
                <w:szCs w:val="14"/>
                <w:color w:val="auto"/>
              </w:rPr>
              <w:t>EBON</w:t>
            </w:r>
          </w:p>
        </w:tc>
      </w:tr>
      <w:tr>
        <w:trPr>
          <w:trHeight w:val="176"/>
        </w:trPr>
        <w:tc>
          <w:tcPr>
            <w:tcW w:w="3300" w:type="dxa"/>
            <w:vAlign w:val="bottom"/>
          </w:tcPr>
          <w:p>
            <w:pPr>
              <w:spacing w:after="0"/>
              <w:rPr>
                <w:sz w:val="15"/>
                <w:szCs w:val="15"/>
                <w:color w:val="auto"/>
              </w:rPr>
            </w:pPr>
          </w:p>
        </w:tc>
        <w:tc>
          <w:tcPr>
            <w:tcW w:w="6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Marie-Ange Debon,</w:t>
            </w:r>
          </w:p>
        </w:tc>
      </w:tr>
      <w:tr>
        <w:trPr>
          <w:trHeight w:val="190"/>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46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20" w:type="dxa"/>
            <w:vAlign w:val="bottom"/>
            <w:tcBorders>
              <w:bottom w:val="single" w:sz="8" w:color="auto"/>
            </w:tcBorders>
            <w:gridSpan w:val="2"/>
          </w:tcPr>
          <w:p>
            <w:pPr>
              <w:jc w:val="center"/>
              <w:ind w:right="2002"/>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LAIRE</w:t>
            </w:r>
            <w:r>
              <w:rPr>
                <w:rFonts w:ascii="Arial" w:cs="Arial" w:eastAsia="Arial" w:hAnsi="Arial"/>
                <w:sz w:val="18"/>
                <w:szCs w:val="18"/>
                <w:color w:val="auto"/>
              </w:rPr>
              <w:t xml:space="preserve"> S. F</w:t>
            </w:r>
            <w:r>
              <w:rPr>
                <w:rFonts w:ascii="Arial" w:cs="Arial" w:eastAsia="Arial" w:hAnsi="Arial"/>
                <w:sz w:val="14"/>
                <w:szCs w:val="14"/>
                <w:color w:val="auto"/>
              </w:rPr>
              <w:t>ARLEY</w:t>
            </w:r>
          </w:p>
        </w:tc>
      </w:tr>
      <w:tr>
        <w:trPr>
          <w:trHeight w:val="176"/>
        </w:trPr>
        <w:tc>
          <w:tcPr>
            <w:tcW w:w="3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720" w:type="dxa"/>
            <w:vAlign w:val="bottom"/>
            <w:gridSpan w:val="2"/>
          </w:tcPr>
          <w:p>
            <w:pPr>
              <w:jc w:val="center"/>
              <w:ind w:right="2382"/>
              <w:spacing w:after="0"/>
              <w:rPr>
                <w:sz w:val="20"/>
                <w:szCs w:val="20"/>
                <w:color w:val="auto"/>
              </w:rPr>
            </w:pPr>
            <w:r>
              <w:rPr>
                <w:rFonts w:ascii="Arial" w:cs="Arial" w:eastAsia="Arial" w:hAnsi="Arial"/>
                <w:sz w:val="14"/>
                <w:szCs w:val="14"/>
                <w:b w:val="1"/>
                <w:bCs w:val="1"/>
                <w:color w:val="auto"/>
              </w:rPr>
              <w:t>Claire S. Farley,</w:t>
            </w:r>
          </w:p>
        </w:tc>
      </w:tr>
      <w:tr>
        <w:trPr>
          <w:trHeight w:val="190"/>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460" w:type="dxa"/>
            <w:vAlign w:val="bottom"/>
            <w:tcBorders>
              <w:bottom w:val="single" w:sz="8" w:color="auto"/>
            </w:tcBorders>
          </w:tcPr>
          <w:p>
            <w:pPr>
              <w:ind w:left="22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214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IDIER</w:t>
            </w:r>
            <w:r>
              <w:rPr>
                <w:rFonts w:ascii="Arial" w:cs="Arial" w:eastAsia="Arial" w:hAnsi="Arial"/>
                <w:sz w:val="18"/>
                <w:szCs w:val="18"/>
                <w:color w:val="auto"/>
              </w:rPr>
              <w:t xml:space="preserve"> H</w:t>
            </w:r>
            <w:r>
              <w:rPr>
                <w:rFonts w:ascii="Arial" w:cs="Arial" w:eastAsia="Arial" w:hAnsi="Arial"/>
                <w:sz w:val="14"/>
                <w:szCs w:val="14"/>
                <w:color w:val="auto"/>
              </w:rPr>
              <w:t>OUSSIN</w:t>
            </w:r>
          </w:p>
        </w:tc>
      </w:tr>
      <w:tr>
        <w:trPr>
          <w:trHeight w:val="176"/>
        </w:trPr>
        <w:tc>
          <w:tcPr>
            <w:tcW w:w="3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720" w:type="dxa"/>
            <w:vAlign w:val="bottom"/>
            <w:gridSpan w:val="2"/>
          </w:tcPr>
          <w:p>
            <w:pPr>
              <w:jc w:val="center"/>
              <w:ind w:right="2382"/>
              <w:spacing w:after="0"/>
              <w:rPr>
                <w:sz w:val="20"/>
                <w:szCs w:val="20"/>
                <w:color w:val="auto"/>
              </w:rPr>
            </w:pPr>
            <w:r>
              <w:rPr>
                <w:rFonts w:ascii="Arial" w:cs="Arial" w:eastAsia="Arial" w:hAnsi="Arial"/>
                <w:sz w:val="14"/>
                <w:szCs w:val="14"/>
                <w:b w:val="1"/>
                <w:bCs w:val="1"/>
                <w:color w:val="auto"/>
              </w:rPr>
              <w:t>Didier Houssin,</w:t>
            </w:r>
          </w:p>
        </w:tc>
      </w:tr>
      <w:tr>
        <w:trPr>
          <w:trHeight w:val="190"/>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460" w:type="dxa"/>
            <w:vAlign w:val="bottom"/>
            <w:tcBorders>
              <w:bottom w:val="single" w:sz="8" w:color="auto"/>
            </w:tcBorders>
          </w:tcPr>
          <w:p>
            <w:pPr>
              <w:ind w:left="22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2142"/>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M</w:t>
            </w:r>
            <w:r>
              <w:rPr>
                <w:rFonts w:ascii="Arial" w:cs="Arial" w:eastAsia="Arial" w:hAnsi="Arial"/>
                <w:sz w:val="14"/>
                <w:szCs w:val="14"/>
                <w:color w:val="auto"/>
              </w:rPr>
              <w:t>ELLBYE</w:t>
            </w:r>
          </w:p>
        </w:tc>
      </w:tr>
      <w:tr>
        <w:trPr>
          <w:trHeight w:val="176"/>
        </w:trPr>
        <w:tc>
          <w:tcPr>
            <w:tcW w:w="3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Peter Mellbye,</w:t>
            </w:r>
          </w:p>
        </w:tc>
      </w:tr>
      <w:tr>
        <w:trPr>
          <w:trHeight w:val="190"/>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600" w:type="dxa"/>
            <w:vAlign w:val="bottom"/>
            <w:tcBorders>
              <w:bottom w:val="single" w:sz="8" w:color="auto"/>
            </w:tcBorders>
            <w:gridSpan w:val="2"/>
          </w:tcPr>
          <w:p>
            <w:pPr>
              <w:ind w:left="2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Borders>
              <w:bottom w:val="single" w:sz="8" w:color="auto"/>
            </w:tcBorders>
          </w:tcPr>
          <w:p>
            <w:pPr>
              <w:jc w:val="center"/>
              <w:ind w:right="2142"/>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O’L</w:t>
            </w:r>
            <w:r>
              <w:rPr>
                <w:rFonts w:ascii="Arial" w:cs="Arial" w:eastAsia="Arial" w:hAnsi="Arial"/>
                <w:sz w:val="14"/>
                <w:szCs w:val="14"/>
                <w:color w:val="auto"/>
              </w:rPr>
              <w:t>EARY</w:t>
            </w:r>
          </w:p>
        </w:tc>
      </w:tr>
      <w:tr>
        <w:trPr>
          <w:trHeight w:val="176"/>
        </w:trPr>
        <w:tc>
          <w:tcPr>
            <w:tcW w:w="3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John O’Leary,</w:t>
            </w:r>
          </w:p>
        </w:tc>
      </w:tr>
      <w:tr>
        <w:trPr>
          <w:trHeight w:val="190"/>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600" w:type="dxa"/>
            <w:vAlign w:val="bottom"/>
            <w:tcBorders>
              <w:bottom w:val="single" w:sz="8" w:color="auto"/>
            </w:tcBorders>
            <w:gridSpan w:val="2"/>
          </w:tcPr>
          <w:p>
            <w:pPr>
              <w:ind w:left="24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80" w:type="dxa"/>
            <w:vAlign w:val="bottom"/>
            <w:tcBorders>
              <w:bottom w:val="single" w:sz="8" w:color="auto"/>
            </w:tcBorders>
          </w:tcPr>
          <w:p>
            <w:pPr>
              <w:jc w:val="center"/>
              <w:ind w:right="2182"/>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LIVIER</w:t>
            </w:r>
            <w:r>
              <w:rPr>
                <w:rFonts w:ascii="Arial" w:cs="Arial" w:eastAsia="Arial" w:hAnsi="Arial"/>
                <w:sz w:val="18"/>
                <w:szCs w:val="18"/>
                <w:color w:val="auto"/>
              </w:rPr>
              <w:t xml:space="preserve"> P</w:t>
            </w:r>
            <w:r>
              <w:rPr>
                <w:rFonts w:ascii="Arial" w:cs="Arial" w:eastAsia="Arial" w:hAnsi="Arial"/>
                <w:sz w:val="14"/>
                <w:szCs w:val="14"/>
                <w:color w:val="auto"/>
              </w:rPr>
              <w:t>IOU</w:t>
            </w:r>
          </w:p>
        </w:tc>
      </w:tr>
      <w:tr>
        <w:trPr>
          <w:trHeight w:val="176"/>
        </w:trPr>
        <w:tc>
          <w:tcPr>
            <w:tcW w:w="3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80" w:type="dxa"/>
            <w:vAlign w:val="bottom"/>
          </w:tcPr>
          <w:p>
            <w:pPr>
              <w:jc w:val="center"/>
              <w:ind w:right="2542"/>
              <w:spacing w:after="0"/>
              <w:rPr>
                <w:sz w:val="20"/>
                <w:szCs w:val="20"/>
                <w:color w:val="auto"/>
              </w:rPr>
            </w:pPr>
            <w:r>
              <w:rPr>
                <w:rFonts w:ascii="Arial" w:cs="Arial" w:eastAsia="Arial" w:hAnsi="Arial"/>
                <w:sz w:val="14"/>
                <w:szCs w:val="14"/>
                <w:b w:val="1"/>
                <w:bCs w:val="1"/>
                <w:color w:val="auto"/>
              </w:rPr>
              <w:t>Oliver Piou,</w:t>
            </w:r>
          </w:p>
        </w:tc>
      </w:tr>
      <w:tr>
        <w:trPr>
          <w:trHeight w:val="190"/>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46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AY</w:t>
            </w:r>
            <w:r>
              <w:rPr>
                <w:rFonts w:ascii="Arial" w:cs="Arial" w:eastAsia="Arial" w:hAnsi="Arial"/>
                <w:sz w:val="18"/>
                <w:szCs w:val="18"/>
                <w:color w:val="auto"/>
                <w:w w:val="99"/>
              </w:rPr>
              <w:t xml:space="preserve"> G. P</w:t>
            </w:r>
            <w:r>
              <w:rPr>
                <w:rFonts w:ascii="Arial" w:cs="Arial" w:eastAsia="Arial" w:hAnsi="Arial"/>
                <w:sz w:val="14"/>
                <w:szCs w:val="14"/>
                <w:color w:val="auto"/>
                <w:w w:val="99"/>
              </w:rPr>
              <w:t>RIESTLY</w:t>
            </w:r>
          </w:p>
        </w:tc>
      </w:tr>
      <w:tr>
        <w:trPr>
          <w:trHeight w:val="176"/>
        </w:trPr>
        <w:tc>
          <w:tcPr>
            <w:tcW w:w="3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720" w:type="dxa"/>
            <w:vAlign w:val="bottom"/>
            <w:gridSpan w:val="2"/>
          </w:tcPr>
          <w:p>
            <w:pPr>
              <w:jc w:val="center"/>
              <w:ind w:right="2402"/>
              <w:spacing w:after="0"/>
              <w:rPr>
                <w:sz w:val="20"/>
                <w:szCs w:val="20"/>
                <w:color w:val="auto"/>
              </w:rPr>
            </w:pPr>
            <w:r>
              <w:rPr>
                <w:rFonts w:ascii="Arial" w:cs="Arial" w:eastAsia="Arial" w:hAnsi="Arial"/>
                <w:sz w:val="14"/>
                <w:szCs w:val="14"/>
                <w:b w:val="1"/>
                <w:bCs w:val="1"/>
                <w:color w:val="auto"/>
              </w:rPr>
              <w:t>Kay G. Priestly,</w:t>
            </w:r>
          </w:p>
        </w:tc>
      </w:tr>
      <w:tr>
        <w:trPr>
          <w:trHeight w:val="190"/>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46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2142"/>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OSEPH</w:t>
            </w:r>
            <w:r>
              <w:rPr>
                <w:rFonts w:ascii="Arial" w:cs="Arial" w:eastAsia="Arial" w:hAnsi="Arial"/>
                <w:sz w:val="18"/>
                <w:szCs w:val="18"/>
                <w:color w:val="auto"/>
              </w:rPr>
              <w:t xml:space="preserve"> R</w:t>
            </w:r>
            <w:r>
              <w:rPr>
                <w:rFonts w:ascii="Arial" w:cs="Arial" w:eastAsia="Arial" w:hAnsi="Arial"/>
                <w:sz w:val="14"/>
                <w:szCs w:val="14"/>
                <w:color w:val="auto"/>
              </w:rPr>
              <w:t>INALDI</w:t>
            </w:r>
          </w:p>
        </w:tc>
      </w:tr>
      <w:tr>
        <w:trPr>
          <w:trHeight w:val="176"/>
        </w:trPr>
        <w:tc>
          <w:tcPr>
            <w:tcW w:w="3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720" w:type="dxa"/>
            <w:vAlign w:val="bottom"/>
            <w:gridSpan w:val="2"/>
          </w:tcPr>
          <w:p>
            <w:pPr>
              <w:jc w:val="center"/>
              <w:ind w:right="2382"/>
              <w:spacing w:after="0"/>
              <w:rPr>
                <w:sz w:val="20"/>
                <w:szCs w:val="20"/>
                <w:color w:val="auto"/>
              </w:rPr>
            </w:pPr>
            <w:r>
              <w:rPr>
                <w:rFonts w:ascii="Arial" w:cs="Arial" w:eastAsia="Arial" w:hAnsi="Arial"/>
                <w:sz w:val="14"/>
                <w:szCs w:val="14"/>
                <w:b w:val="1"/>
                <w:bCs w:val="1"/>
                <w:color w:val="auto"/>
              </w:rPr>
              <w:t>Joseph Rinaldi,</w:t>
            </w:r>
          </w:p>
        </w:tc>
      </w:tr>
      <w:tr>
        <w:trPr>
          <w:trHeight w:val="190"/>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Pr>
          <w:p>
            <w:pPr>
              <w:jc w:val="center"/>
              <w:ind w:right="2522"/>
              <w:spacing w:after="0"/>
              <w:rPr>
                <w:sz w:val="20"/>
                <w:szCs w:val="20"/>
                <w:color w:val="auto"/>
              </w:rPr>
            </w:pPr>
            <w:r>
              <w:rPr>
                <w:rFonts w:ascii="Arial" w:cs="Arial" w:eastAsia="Arial" w:hAnsi="Arial"/>
                <w:sz w:val="14"/>
                <w:szCs w:val="14"/>
                <w:b w:val="1"/>
                <w:bCs w:val="1"/>
                <w:color w:val="auto"/>
              </w:rPr>
              <w:t>Director</w:t>
            </w:r>
          </w:p>
        </w:tc>
      </w:tr>
    </w:tbl>
    <w:p>
      <w:pPr>
        <w:sectPr>
          <w:pgSz w:w="11900" w:h="16838" w:orient="portrait"/>
          <w:cols w:equalWidth="0" w:num="1">
            <w:col w:w="11320"/>
          </w:cols>
          <w:pgMar w:left="240" w:top="549" w:right="339" w:bottom="0" w:gutter="0" w:footer="0" w:header="0"/>
        </w:sectPr>
      </w:pPr>
    </w:p>
    <w:bookmarkStart w:id="141" w:name="page142"/>
    <w:bookmarkEnd w:id="141"/>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40" w:type="dxa"/>
            <w:vAlign w:val="bottom"/>
            <w:tcBorders>
              <w:bottom w:val="single" w:sz="8" w:color="auto"/>
            </w:tcBorders>
          </w:tcPr>
          <w:p>
            <w:pPr>
              <w:jc w:val="center"/>
              <w:ind w:right="1959"/>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M. R</w:t>
            </w:r>
            <w:r>
              <w:rPr>
                <w:rFonts w:ascii="Arial" w:cs="Arial" w:eastAsia="Arial" w:hAnsi="Arial"/>
                <w:sz w:val="14"/>
                <w:szCs w:val="14"/>
                <w:color w:val="auto"/>
              </w:rPr>
              <w:t>INGLER</w:t>
            </w:r>
          </w:p>
        </w:tc>
      </w:tr>
      <w:tr>
        <w:trPr>
          <w:trHeight w:val="176"/>
        </w:trPr>
        <w:tc>
          <w:tcPr>
            <w:tcW w:w="33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740" w:type="dxa"/>
            <w:vAlign w:val="bottom"/>
          </w:tcPr>
          <w:p>
            <w:pPr>
              <w:jc w:val="center"/>
              <w:ind w:right="2359"/>
              <w:spacing w:after="0"/>
              <w:rPr>
                <w:sz w:val="20"/>
                <w:szCs w:val="20"/>
                <w:color w:val="auto"/>
              </w:rPr>
            </w:pPr>
            <w:r>
              <w:rPr>
                <w:rFonts w:ascii="Arial" w:cs="Arial" w:eastAsia="Arial" w:hAnsi="Arial"/>
                <w:sz w:val="14"/>
                <w:szCs w:val="14"/>
                <w:b w:val="1"/>
                <w:bCs w:val="1"/>
                <w:color w:val="auto"/>
              </w:rPr>
              <w:t>James M. Ringler,</w:t>
            </w:r>
          </w:p>
        </w:tc>
      </w:tr>
      <w:tr>
        <w:trPr>
          <w:trHeight w:val="190"/>
        </w:trPr>
        <w:tc>
          <w:tcPr>
            <w:tcW w:w="3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740" w:type="dxa"/>
            <w:vAlign w:val="bottom"/>
          </w:tcPr>
          <w:p>
            <w:pPr>
              <w:jc w:val="center"/>
              <w:ind w:right="2359"/>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300" w:type="dxa"/>
            <w:vAlign w:val="bottom"/>
          </w:tcPr>
          <w:p>
            <w:pPr>
              <w:spacing w:after="0"/>
              <w:rPr>
                <w:sz w:val="20"/>
                <w:szCs w:val="20"/>
                <w:color w:val="auto"/>
              </w:rPr>
            </w:pPr>
            <w:r>
              <w:rPr>
                <w:rFonts w:ascii="Arial" w:cs="Arial" w:eastAsia="Arial" w:hAnsi="Arial"/>
                <w:sz w:val="18"/>
                <w:szCs w:val="18"/>
                <w:color w:val="auto"/>
              </w:rPr>
              <w:t>March 2, 2020</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40" w:type="dxa"/>
            <w:vAlign w:val="bottom"/>
            <w:tcBorders>
              <w:bottom w:val="single" w:sz="8" w:color="auto"/>
            </w:tcBorders>
          </w:tcPr>
          <w:p>
            <w:pPr>
              <w:jc w:val="center"/>
              <w:ind w:right="1959"/>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Y</w:t>
            </w:r>
            <w:r>
              <w:rPr>
                <w:rFonts w:ascii="Arial" w:cs="Arial" w:eastAsia="Arial" w:hAnsi="Arial"/>
                <w:sz w:val="14"/>
                <w:szCs w:val="14"/>
                <w:color w:val="auto"/>
              </w:rPr>
              <w:t>EARWOOD</w:t>
            </w:r>
          </w:p>
        </w:tc>
      </w:tr>
      <w:tr>
        <w:trPr>
          <w:trHeight w:val="245"/>
        </w:trPr>
        <w:tc>
          <w:tcPr>
            <w:tcW w:w="3300" w:type="dxa"/>
            <w:vAlign w:val="bottom"/>
          </w:tcPr>
          <w:p>
            <w:pPr>
              <w:spacing w:after="0"/>
              <w:rPr>
                <w:sz w:val="21"/>
                <w:szCs w:val="21"/>
                <w:color w:val="auto"/>
              </w:rPr>
            </w:pPr>
          </w:p>
        </w:tc>
        <w:tc>
          <w:tcPr>
            <w:tcW w:w="6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John Yearwood, Director</w:t>
            </w:r>
          </w:p>
        </w:tc>
      </w:tr>
      <w:tr>
        <w:trPr>
          <w:trHeight w:val="444"/>
        </w:trPr>
        <w:tc>
          <w:tcPr>
            <w:tcW w:w="3300" w:type="dxa"/>
            <w:vAlign w:val="bottom"/>
          </w:tcPr>
          <w:p>
            <w:pPr>
              <w:spacing w:after="0"/>
              <w:rPr>
                <w:sz w:val="24"/>
                <w:szCs w:val="24"/>
                <w:color w:val="auto"/>
              </w:rPr>
            </w:pPr>
          </w:p>
        </w:tc>
        <w:tc>
          <w:tcPr>
            <w:tcW w:w="2440" w:type="dxa"/>
            <w:vAlign w:val="bottom"/>
          </w:tcPr>
          <w:p>
            <w:pPr>
              <w:jc w:val="right"/>
              <w:ind w:right="1194"/>
              <w:spacing w:after="0"/>
              <w:rPr>
                <w:sz w:val="20"/>
                <w:szCs w:val="20"/>
                <w:color w:val="auto"/>
              </w:rPr>
            </w:pPr>
            <w:r>
              <w:rPr>
                <w:rFonts w:ascii="Arial" w:cs="Arial" w:eastAsia="Arial" w:hAnsi="Arial"/>
                <w:sz w:val="18"/>
                <w:szCs w:val="18"/>
                <w:color w:val="auto"/>
              </w:rPr>
              <w:t>140</w:t>
            </w:r>
          </w:p>
        </w:tc>
        <w:tc>
          <w:tcPr>
            <w:tcW w:w="3740" w:type="dxa"/>
            <w:vAlign w:val="bottom"/>
          </w:tcPr>
          <w:p>
            <w:pPr>
              <w:spacing w:after="0"/>
              <w:rPr>
                <w:sz w:val="24"/>
                <w:szCs w:val="24"/>
                <w:color w:val="auto"/>
              </w:rPr>
            </w:pPr>
          </w:p>
        </w:tc>
      </w:tr>
    </w:tbl>
    <w:p>
      <w:pPr>
        <w:sectPr>
          <w:pgSz w:w="11900" w:h="16838" w:orient="portrait"/>
          <w:cols w:equalWidth="0" w:num="1">
            <w:col w:w="9680"/>
          </w:cols>
          <w:pgMar w:left="1440" w:top="314" w:right="7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4.2</w:t>
      </w:r>
    </w:p>
    <w:p>
      <w:pPr>
        <w:spacing w:after="0" w:line="33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SECURITIES REGISTERED PURSUANT TO SECTION 12 OF THE SECURITIES EXCHANGE ACT OF 1934, AS AMENDED</w:t>
      </w:r>
    </w:p>
    <w:p>
      <w:pPr>
        <w:spacing w:after="0" w:line="27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TechnipFMC plc, a public limited company incorporated and organized under the laws of England and Wales (the “Company,” “we” or “our”), currently has one class of securities registered under Section 12 of the Securities Exchange Act of 1934, as amended, the Company’s ordinary shares, $1.00 nominal value per share (the “Shares”).</w:t>
      </w:r>
    </w:p>
    <w:p>
      <w:pPr>
        <w:spacing w:after="0" w:line="2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summary includes a brief description of the Shares as well as certain related information. The following summary does not purport to be complete and is subject to, and qualified in its entirety by reference to, the full text of our Articles of Association (the “Articles”) and applicable provisions of the laws of England and Wales.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English law, persons who are neither residents nor nationals of the United Kingdom may freely hold, vote and transfer the Shares in the same manner and under the same terms as U.K. residents or nationals.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Company’s board of directors (the “Board”) is authorized in the Articles to exercise all of the powers of the Company to allot and issue Shares, and to grant rights to subscribe for or to convert any security into Shares, up to a maximum aggregate nominal amount (i.e., nominal value), representing 20% of the number of shares in the capital of the Company as of the date of the adoption of the Articles and after the consummation of the transactions contemplated to occur on the date of the Articles (in addition to any authority to allot that has not yet expired granted to the Board prior to the date of the adoption of these Articles) for a period expiring (unless previously renewed, varied or revoked by the Company in general meeting) on the date which is five years from the date of the adoption of the Articles. Renewal of such authorization is expected to be sought at least once every five years, and possibly more frequently.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English law, the Company may only pay dividends out of profits available for that purpose. The Company’s profits available for distribution are its accumulated, realized profits, to the extent that they have not been previously utilized by distribution or capitalization, less its accumulated, realized losses, to the extent that they have not been previously written off in a reduction or reorganization of capital duly made. The amount of the Company’s distributable reserves is a cumulative calculation. The Company may be profitable in a single financial year but unable to pay a dividend if the profits for that year do not offset all previous years’ accumulated, realized losses.</w:t>
      </w:r>
    </w:p>
    <w:p>
      <w:pPr>
        <w:spacing w:after="0" w:line="18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Articles permit the Company’s shareholders, by ordinary resolution, to declare dividends but no dividend shall exceed the amount recommended by the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directors may decide to pay interim dividends. The entitlement to a dividend lapses if unclaimed for 12 years.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Articles also permit a scrip dividend scheme under which the Board may offer any holders of the Shares the right to elect to receive shares, credited as fully paid, instead of cash in respect of the whole (or some part determined by the Board), all or any dividend subject to certain terms and conditions set out in the Articles.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voting at a general meeting must be taken by poll. Subject to any relevant special rights or restrictions attached to any shares, on a poll taken at a general meeting, each qualifying Company shareholder present in person or by proxy (or, in the case of a corporation, a corporate representative) and entitled to vote on the resolution has one vote for every Share held by such Company shareholder.</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case of joint holders, the vote of the senior holder who tenders a vote shall be accepted to the exclusion of the votes of the other joint holders. The necessary quorum for a general meeting is the Company’s shareholders who together represent at least a majority of the voting rights of all the Company’s shareholders entitled to vote at the meeting, present in person or by</w:t>
      </w:r>
    </w:p>
    <w:p>
      <w:pPr>
        <w:sectPr>
          <w:pgSz w:w="11900" w:h="16838" w:orient="portrait"/>
          <w:cols w:equalWidth="0" w:num="1">
            <w:col w:w="11420"/>
          </w:cols>
          <w:pgMar w:left="240" w:top="769" w:right="239" w:bottom="1440" w:gutter="0" w:footer="0" w:header="0"/>
        </w:sectPr>
      </w:pPr>
    </w:p>
    <w:bookmarkStart w:id="143" w:name="page144"/>
    <w:bookmarkEnd w:id="143"/>
    <w:p>
      <w:pPr>
        <w:ind w:right="20"/>
        <w:spacing w:after="0" w:line="264" w:lineRule="auto"/>
        <w:rPr>
          <w:sz w:val="20"/>
          <w:szCs w:val="20"/>
          <w:color w:val="auto"/>
        </w:rPr>
      </w:pPr>
      <w:r>
        <w:rPr>
          <w:rFonts w:ascii="Arial" w:cs="Arial" w:eastAsia="Arial" w:hAnsi="Arial"/>
          <w:sz w:val="18"/>
          <w:szCs w:val="18"/>
          <w:color w:val="auto"/>
        </w:rPr>
        <w:t>proxy, save that if the Company has only one shareholder entitled to attend and vote at the general meeting, one qualifying Company shareholder present at the meeting and entitled to vote is a quorum. If a meeting is adjourned for lack of quorum, the quorum of the adjourned meeting will be one qualifying person present and entitled to vote.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the Articles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Under English law, shareholders may amend the articles of association of a company by special resolution (i.e., a resolution approved by at least 75% of the shareholders). However, certain provisions of the Articles require a higher threshold of shareholder consent or satisfaction of other procedures before such provision or provisions can be varied.</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article of association which requires voting at a general meeting to be taken on a poll may only be removed, amended or varied by resolution of the Company’s shareholders passed unanimously.</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until the conclusion of the 2021 annual general meeting, certain provisions of the Articles (relating to the composition and powers of the Board and amendments to the Company’s Corporate Governance Guidelines) may only be removed, amended or varied upon the recommendation by two-thirds of the Board and the adoption of a special resolution. The article of association which sets out this procedure in respect of the relevant provisions of the Articles may itself only be removed, amended or varied in the same manner.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 and Notices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 annual general meeting must be called by not less than 21 clear days’ notice (i.e., excluding the date of receipt or deemed receipt of the notice and the date of the meeting itself). Subject to the provisions of the U.K. Companies Act (the “Companies Act”), at least 14 clear days’ notice must be given to call all other general meetings. At least seven clear days’ notice is required for any adjourned meeting, and such meeting must be held not less than 14 days but not more than 28 days after adjournment at such time and place specified for the purpose in the notice calling the meeting or as decided by the chairman of the meeting.</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notice of a general meeting must be given to the Company’s shareholders (other than any who, under the provisions of the Articles or the terms of allotment or issue of shares, are not entitled to receive notice), to the Board, to the beneficial owners nominated to benefit from information rights under the Companies Act and to the auditors. Under English law, the Company is required to hold an annual general meeting of its shareholders within six months from the day following the end of its financial year. Subject to the foregoing, a general meeting may be held at a time and place determined by the Board.</w:t>
      </w:r>
    </w:p>
    <w:p>
      <w:pPr>
        <w:spacing w:after="0" w:line="15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Under English law, the Board must convene such a meeting once it has received requests to do so from the Company’s shareholders representing at least 5% of the paid up share capital of the company as carries voting rights at general meetings (excluding any paid-up capital held as treasury shares).</w:t>
      </w:r>
    </w:p>
    <w:p>
      <w:pPr>
        <w:spacing w:after="0" w:line="12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(or instruct the secretary to do so) for the purpose of appointing one or more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Winding Up</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event of a voluntary winding up of the Company, the liquidator may, with the sanction of a special resolution of the Company and any other sanction required by law, subject to the Companies Act, divide among the Company’s shareholders the whole or any part of the assets of the Company, whether they consist of property of the same kind or not, and vest the whole or any part of the assets in trustees upon such trusts for the benefit of the Company’s shareholders as the liquidator, with such sanction, may determine. No Company shareholder shall be compelled to accept any assets upon which there is a liability.</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 return of capital on a liquidation, reduction of capital or otherwise, the surplus assets of the Company available for distribution among the Company’s shareholders shall be applied pro rata (rounded to the nearest whole number) with the Shares ranking equally.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Pre-Emption on New Issues of Shares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the Companies Act, the allotment of “equity securities” (except pursuant to an employees’ share scheme and as bonus shares) that are to be paid for wholly in cash must be offered first to the existing holders of equity securities in proportion to the respective nominal amounts (i.e., nominal values) of their holdings on the same or more favorable terms, unless a special</w:t>
      </w:r>
    </w:p>
    <w:p>
      <w:pPr>
        <w:sectPr>
          <w:pgSz w:w="11900" w:h="16838" w:orient="portrait"/>
          <w:cols w:equalWidth="0" w:num="1">
            <w:col w:w="11400"/>
          </w:cols>
          <w:pgMar w:left="240" w:top="557" w:right="259" w:bottom="1440" w:gutter="0" w:footer="0" w:header="0"/>
        </w:sectPr>
      </w:pPr>
    </w:p>
    <w:bookmarkStart w:id="144" w:name="page145"/>
    <w:bookmarkEnd w:id="144"/>
    <w:p>
      <w:pPr>
        <w:ind w:right="60"/>
        <w:spacing w:after="0" w:line="276" w:lineRule="auto"/>
        <w:rPr>
          <w:sz w:val="20"/>
          <w:szCs w:val="20"/>
          <w:color w:val="auto"/>
        </w:rPr>
      </w:pPr>
      <w:r>
        <w:rPr>
          <w:rFonts w:ascii="Arial" w:cs="Arial" w:eastAsia="Arial" w:hAnsi="Arial"/>
          <w:sz w:val="17"/>
          <w:szCs w:val="17"/>
          <w:color w:val="auto"/>
        </w:rPr>
        <w:t>resolution to the contrary has been passed or the articles of association otherwise provide an exclusion from this requirement (which exclusion can be for a maximum of five years after which the Company’s shareholders’ approval would be required to renew the exclusion). “Equity securities” means ordinary shares or rights to subscribe for, or convert securities into, ordinary shares where ordinary shares means shares other than shares that, with respect to dividends and capital, carry a right to participate only up to a specified amount in a distribution. In relation to the Company, “equity securities” will therefore include the Shares, and all rights to subscribe for or convert securities into such Shares.</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provision in the Articles authorizes the directors to exercise all powers of the Company to allot shares in the Company, or to grant rights to subscribe for or to convert or exchange any security into shares in the Company, up to an aggregate nominal amount representing 20% of the number of shares in the capital of the Company as of the date of the adoption of the Articles and after consummation of the transactions contemplated to occur on the date of the Articles (in addition to any authority to allot that has not yet expired granted to the Board prior to the date of the Articles) for a period expiring (unless previously renewed, varied or revoked by the Company in general meeting) on the date which is five years from the date of the shareholder resolution to adopt the Articles and the pre-emptive rights under the Companies Act will not apply in respect of allotment of shares for cash made pursuant to such authority. Renewal of such authorization is expected to be sought at least once every five years, and possibly more frequently.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Ownership Interests in the Shares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Company shareholders must comply with the notification obligations to the Company contained in Chapter 5 (Vote Holder and Issuer Notification Rules) of the Disclosure Guidance and Transparency Rules (“DTR”) (including, without limitation, the provisions of DTR 5.1.2), in relation to the percentage of the voting rights they hold as a Company shareholder, or through a direct or indirect holding of certain financial instruments, if the percentage of voting rights reaches, exceeds or falls below 3%, or any one percent above 3%. In effect, this means that a Company shareholder must notify the Company if the percentage of voting rights in the Company it holds reaches 3% and goes above this threshold by 1% thereafter or falls below a percentage threshold above 3% (or falls below 3%). The Company is required to make this information public as soon as possible, and in any event, by the end of the trading day that it receives this notification. Under the DTR, the Company will also be required to update the market of any changes to the total number of voting rights. Since the Company will be subject to Chapter 5 of the DTR, it will not be required to maintain a separate, dedicated register of persons with significant control over the company pursuant to the Companies Act.</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793 of the Companies Act gives the Company the power to require persons whom it knows have, or whom it has reasonable cause to believe have, or within the previous three years have had, any ownership interest in any Shares to disclose specified information regarding those Shares. Failure to provide the information requested within the prescribed period (or knowingly or recklessly providing false information after the date the notice is sent) can result in criminal or civil sanctions being imposed against the person in default.</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Under the Articles, if any Company shareholder, or any other person appearing to be interested in the Shares held by such Company shareholder, has been duly served with a notice under section 793 and fails to give the Company the information required by such notice or has made a statement which is false or inadequate in a material particular, then the Board may, in its absolute discretion at any time by notice, withdraw voting rights and, where the default shares represent at least 0.25% in nominal value of the issued shares of their class (calculated exclusive of any shares held in treasury), place restrictions on the rights to receive dividends and refuse to register a transfer of such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Alteration of Share Capital/Repurchase of Shares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Subject to the provisions of the Companies Act, and without prejudice to any relevant special rights attached to any class of shares, the Company may, from time to time, among other things:</w:t>
      </w:r>
    </w:p>
    <w:p>
      <w:pPr>
        <w:spacing w:after="0" w:line="17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 its share capital by allotting and issuing new shares in accordance with the Articles and any relevant shareholder resolution;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consolidate all or any of its share capital into shares of a larger nominal amount (i.e., nominal value) than the existing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subdivide any of its shares into shares of a smaller nominal amount (i.e., nominal value) than its existing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redeem and/or cancel any of its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redenominate its share capital or any class of share capital; or</w:t>
      </w:r>
    </w:p>
    <w:p>
      <w:pPr>
        <w:spacing w:after="0" w:line="9" w:lineRule="exact"/>
        <w:rPr>
          <w:rFonts w:ascii="Arial" w:cs="Arial" w:eastAsia="Arial" w:hAnsi="Arial"/>
          <w:sz w:val="18"/>
          <w:szCs w:val="18"/>
          <w:color w:val="auto"/>
        </w:rPr>
      </w:pPr>
    </w:p>
    <w:p>
      <w:pPr>
        <w:ind w:left="660" w:right="260" w:hanging="328"/>
        <w:spacing w:after="0" w:line="261"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that, as between the shares resulting from such a sub-division, any of them may have any preference or advantage or different rights as compared with the others.</w:t>
      </w:r>
    </w:p>
    <w:p>
      <w:pPr>
        <w:sectPr>
          <w:pgSz w:w="11900" w:h="16838" w:orient="portrait"/>
          <w:cols w:equalWidth="0" w:num="1">
            <w:col w:w="11380"/>
          </w:cols>
          <w:pgMar w:left="240" w:top="557" w:right="279" w:bottom="1440" w:gutter="0" w:footer="0" w:header="0"/>
        </w:sectPr>
      </w:pPr>
    </w:p>
    <w:bookmarkStart w:id="145" w:name="page146"/>
    <w:bookmarkEnd w:id="145"/>
    <w:p>
      <w:pPr>
        <w:spacing w:after="0" w:line="291" w:lineRule="auto"/>
        <w:rPr>
          <w:sz w:val="20"/>
          <w:szCs w:val="20"/>
          <w:color w:val="auto"/>
        </w:rPr>
      </w:pPr>
      <w:r>
        <w:rPr>
          <w:rFonts w:ascii="Arial" w:cs="Arial" w:eastAsia="Arial" w:hAnsi="Arial"/>
          <w:sz w:val="16"/>
          <w:szCs w:val="16"/>
          <w:color w:val="auto"/>
        </w:rPr>
        <w:t>English law prohibits the Company from purchasing its own shares unless such purchase has been approved by its shareholders. The Company’s shareholders may approve “off-market” share purchases. In order to purchase its own shares, as a dual-listed company on Euronext Paris and the NYSE, the Company must obtain the approval of its shareholders for an “off-market purchase” (on the basis of a specific purchase agreement with a financial intermediary) to acquire Shares that are traded on Euronext Paris or the NYSE or held in certificated form. This requires the Company’s shareholders to pass an ordinary resolution approving an “off-market purchase,” where such approval may be for a maximum period of five years. In relation to an “off-market purchase,” the Company may not acquire its own shares until the terms of the contract pursuant to which the purchase(s) are to be made have been authorized by the Company’s shareholders. A purchase of its own shares will also trigger disclosure obligations to the market under the DTR.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Articles allow holders of the Shares to transfer all or any of their Shares by instrument of transfer in writing in any usual form or in any other form which the Board may approve.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instrument of transfer must be executed by or on behalf of the transferor and (in the case of a transfer of a Share that is not fully paid) by or on behalf of the transferee. The Articles also permit transfer of shares in uncertificated form by means of a relevant electronic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not charge a fee for registering the transfer of a share.</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Board may, in its absolute discretion, refuse to register a transfer of shares in certificated form if it is not fully paid (provided that the refusal does not prevent dealings in the Shares from taking place on an open and proper basis) or is with respect to a share on which the Company has a lien and sums in respect of which the lien exists is payable and is not paid within 14 clear days after due notice has been sent. If the Board refuses to register a transfer of a share, it shall notify the transferor of the refusal and the reasons for it as soon as practicable and in any event within two months after the date on which the instrument of transfer was lodged with the Company (in the case of a transfer of a share in certificated form) or the instructions to the relevant system received. Any instrument of transfer which the Board refuses to register shall (except in the case of fraud) be returned to the person lodging it when notice of the refusal is sent.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Provisions of Our Articles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provisions of our Articles could be deemed to have the effect of delaying, deterring or preventing a transaction or a change in control of the Company that might involve a premium price for holders of shares of our ordinary shares or otherwise might be in their best interest.</w:t>
      </w:r>
    </w:p>
    <w:p>
      <w:pPr>
        <w:spacing w:after="0" w:line="147" w:lineRule="exact"/>
        <w:rPr>
          <w:sz w:val="20"/>
          <w:szCs w:val="20"/>
          <w:color w:val="auto"/>
        </w:rPr>
      </w:pPr>
    </w:p>
    <w:p>
      <w:pPr>
        <w:ind w:left="660" w:right="60" w:hanging="328"/>
        <w:spacing w:after="0" w:line="25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Shareholder notice on director nomination</w:t>
      </w:r>
      <w:r>
        <w:rPr>
          <w:rFonts w:ascii="Arial" w:cs="Arial" w:eastAsia="Arial" w:hAnsi="Arial"/>
          <w:sz w:val="18"/>
          <w:szCs w:val="18"/>
          <w:color w:val="auto"/>
        </w:rPr>
        <w:t>. Except as may otherwise be specified by the Articles, for nominations to be properly brought before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by a shareholder, the shareholder must have given timely notice in writing to the secretary of the Company not earlier than the close of business on the 120th calendar day nor later than the close of business on the 90th calendar day prior to the date of the first anniversary of the preceding year’s annual general meeting.</w:t>
      </w:r>
    </w:p>
    <w:p>
      <w:pPr>
        <w:spacing w:after="0" w:line="2"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The members may by ordinary resolution remove a Director at any time either with or without cause. The Board may by a</w:t>
      </w:r>
      <w:r>
        <w:rPr>
          <w:rFonts w:ascii="Arial" w:cs="Arial" w:eastAsia="Arial" w:hAnsi="Arial"/>
          <w:sz w:val="18"/>
          <w:szCs w:val="18"/>
          <w:i w:val="1"/>
          <w:iCs w:val="1"/>
          <w:color w:val="auto"/>
        </w:rPr>
        <w:t xml:space="preserve"> </w:t>
      </w:r>
      <w:r>
        <w:rPr>
          <w:rFonts w:ascii="Arial" w:cs="Arial" w:eastAsia="Arial" w:hAnsi="Arial"/>
          <w:sz w:val="18"/>
          <w:szCs w:val="18"/>
          <w:color w:val="auto"/>
        </w:rPr>
        <w:t>two-thirds vote of the entire Board remove a Director at any time either with or without cause.</w:t>
      </w:r>
    </w:p>
    <w:p>
      <w:pPr>
        <w:ind w:left="660" w:right="80" w:hanging="328"/>
        <w:spacing w:after="0" w:line="265"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Power to issue ordinary shares with different or modified rights</w:t>
      </w:r>
      <w:r>
        <w:rPr>
          <w:rFonts w:ascii="Arial" w:cs="Arial" w:eastAsia="Arial" w:hAnsi="Arial"/>
          <w:sz w:val="17"/>
          <w:szCs w:val="17"/>
          <w:color w:val="auto"/>
        </w:rPr>
        <w:t>. Any share in the Company may be issued with preferred, deferred or other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rights, or subject to restrictions, whether as regards dividend, return of capital, voting or otherwise, as the Company may from time to time by ordinary resolution determine (or, in the absence of any such determination, as the Board may determine), and 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1" w:lineRule="exact"/>
        <w:rPr>
          <w:rFonts w:ascii="Arial" w:cs="Arial" w:eastAsia="Arial" w:hAnsi="Arial"/>
          <w:sz w:val="17"/>
          <w:szCs w:val="17"/>
          <w:color w:val="auto"/>
        </w:rPr>
      </w:pPr>
    </w:p>
    <w:p>
      <w:pPr>
        <w:ind w:left="660" w:right="80" w:hanging="328"/>
        <w:spacing w:after="0" w:line="271"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Variation of Rights</w:t>
      </w:r>
      <w:r>
        <w:rPr>
          <w:rFonts w:ascii="Arial" w:cs="Arial" w:eastAsia="Arial" w:hAnsi="Arial"/>
          <w:sz w:val="17"/>
          <w:szCs w:val="17"/>
          <w:color w:val="auto"/>
        </w:rPr>
        <w:t>. Subject to the Articles and the provisions of the Companies Act, if at any time the capital of the Company is divided into</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classes of shares, all or any of the rights attached to any existing class may from time to time be varied or abrogated, either while the Company is a going concern or during or in contemplation of a winding up, (a) in such manner (if any) as may be provided by those rights; (b) with the written consent of the holders of 75% in nominal value of the issued shares of that class (excluding any shares of that class held as treasury shares); or (c) with the sanction of a special resolution passed at a separate meeting of the holders of the shares of that class.</w:t>
      </w:r>
    </w:p>
    <w:p>
      <w:pPr>
        <w:sectPr>
          <w:pgSz w:w="11900" w:h="16838" w:orient="portrait"/>
          <w:cols w:equalWidth="0" w:num="1">
            <w:col w:w="11380"/>
          </w:cols>
          <w:pgMar w:left="240" w:top="557" w:right="279" w:bottom="1440" w:gutter="0" w:footer="0" w:header="0"/>
        </w:sectPr>
      </w:pPr>
    </w:p>
    <w:bookmarkStart w:id="146" w:name="page147"/>
    <w:bookmarkEnd w:id="146"/>
    <w:p>
      <w:pPr>
        <w:ind w:left="3900"/>
        <w:spacing w:after="0"/>
        <w:rPr>
          <w:sz w:val="20"/>
          <w:szCs w:val="20"/>
          <w:color w:val="auto"/>
        </w:rPr>
      </w:pPr>
      <w:r>
        <w:rPr>
          <w:rFonts w:ascii="Arial" w:cs="Arial" w:eastAsia="Arial" w:hAnsi="Arial"/>
          <w:sz w:val="16"/>
          <w:szCs w:val="16"/>
          <w:b w:val="1"/>
          <w:bCs w:val="1"/>
          <w:color w:val="auto"/>
        </w:rPr>
        <w:t>TechnipFMC plc</w:t>
      </w:r>
    </w:p>
    <w:p>
      <w:pPr>
        <w:spacing w:after="0" w:line="59"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Significant Subsidiaries of the Registrant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2019</w:t>
      </w:r>
    </w:p>
    <w:p>
      <w:pPr>
        <w:spacing w:after="0" w:line="350"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2980" w:type="dxa"/>
            <w:vAlign w:val="bottom"/>
            <w:gridSpan w:val="2"/>
          </w:tcPr>
          <w:p>
            <w:pPr>
              <w:spacing w:after="0"/>
              <w:rPr>
                <w:sz w:val="20"/>
                <w:szCs w:val="20"/>
                <w:color w:val="auto"/>
              </w:rPr>
            </w:pPr>
            <w:r>
              <w:rPr>
                <w:rFonts w:ascii="Arial" w:cs="Arial" w:eastAsia="Arial" w:hAnsi="Arial"/>
                <w:sz w:val="18"/>
                <w:szCs w:val="18"/>
                <w:color w:val="auto"/>
              </w:rPr>
              <w:t>Name of Company</w:t>
            </w:r>
          </w:p>
        </w:tc>
        <w:tc>
          <w:tcPr>
            <w:tcW w:w="2420" w:type="dxa"/>
            <w:vAlign w:val="bottom"/>
            <w:gridSpan w:val="2"/>
          </w:tcPr>
          <w:p>
            <w:pPr>
              <w:ind w:left="480"/>
              <w:spacing w:after="0"/>
              <w:rPr>
                <w:sz w:val="20"/>
                <w:szCs w:val="20"/>
                <w:color w:val="auto"/>
              </w:rPr>
            </w:pPr>
            <w:r>
              <w:rPr>
                <w:rFonts w:ascii="Arial" w:cs="Arial" w:eastAsia="Arial" w:hAnsi="Arial"/>
                <w:sz w:val="18"/>
                <w:szCs w:val="18"/>
                <w:color w:val="auto"/>
                <w:w w:val="99"/>
              </w:rPr>
              <w:t>Country of Incorporation</w:t>
            </w:r>
          </w:p>
        </w:tc>
      </w:tr>
      <w:tr>
        <w:trPr>
          <w:trHeight w:val="20"/>
        </w:trPr>
        <w:tc>
          <w:tcPr>
            <w:tcW w:w="15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601"/>
        </w:trPr>
        <w:tc>
          <w:tcPr>
            <w:tcW w:w="2980" w:type="dxa"/>
            <w:vAlign w:val="bottom"/>
            <w:gridSpan w:val="2"/>
          </w:tcPr>
          <w:p>
            <w:pPr>
              <w:spacing w:after="0"/>
              <w:rPr>
                <w:sz w:val="20"/>
                <w:szCs w:val="20"/>
                <w:color w:val="auto"/>
              </w:rPr>
            </w:pPr>
            <w:r>
              <w:rPr>
                <w:rFonts w:ascii="Arial" w:cs="Arial" w:eastAsia="Arial" w:hAnsi="Arial"/>
                <w:sz w:val="18"/>
                <w:szCs w:val="18"/>
                <w:color w:val="auto"/>
              </w:rPr>
              <w:t>Technip Offshore International</w:t>
            </w:r>
          </w:p>
        </w:tc>
        <w:tc>
          <w:tcPr>
            <w:tcW w:w="2420" w:type="dxa"/>
            <w:vAlign w:val="bottom"/>
            <w:gridSpan w:val="2"/>
          </w:tcPr>
          <w:p>
            <w:pPr>
              <w:ind w:left="480"/>
              <w:spacing w:after="0"/>
              <w:rPr>
                <w:sz w:val="20"/>
                <w:szCs w:val="20"/>
                <w:color w:val="auto"/>
              </w:rPr>
            </w:pPr>
            <w:r>
              <w:rPr>
                <w:rFonts w:ascii="Arial" w:cs="Arial" w:eastAsia="Arial" w:hAnsi="Arial"/>
                <w:sz w:val="18"/>
                <w:szCs w:val="18"/>
                <w:color w:val="auto"/>
              </w:rPr>
              <w:t>France</w:t>
            </w:r>
          </w:p>
        </w:tc>
      </w:tr>
      <w:tr>
        <w:trPr>
          <w:trHeight w:val="257"/>
        </w:trPr>
        <w:tc>
          <w:tcPr>
            <w:tcW w:w="2980" w:type="dxa"/>
            <w:vAlign w:val="bottom"/>
            <w:gridSpan w:val="2"/>
          </w:tcPr>
          <w:p>
            <w:pPr>
              <w:spacing w:after="0"/>
              <w:rPr>
                <w:sz w:val="20"/>
                <w:szCs w:val="20"/>
                <w:color w:val="auto"/>
              </w:rPr>
            </w:pPr>
            <w:r>
              <w:rPr>
                <w:rFonts w:ascii="Arial" w:cs="Arial" w:eastAsia="Arial" w:hAnsi="Arial"/>
                <w:sz w:val="18"/>
                <w:szCs w:val="18"/>
                <w:color w:val="auto"/>
              </w:rPr>
              <w:t>Yamgaz SNC</w:t>
            </w:r>
          </w:p>
        </w:tc>
        <w:tc>
          <w:tcPr>
            <w:tcW w:w="2420" w:type="dxa"/>
            <w:vAlign w:val="bottom"/>
            <w:gridSpan w:val="2"/>
          </w:tcPr>
          <w:p>
            <w:pPr>
              <w:ind w:left="480"/>
              <w:spacing w:after="0"/>
              <w:rPr>
                <w:sz w:val="20"/>
                <w:szCs w:val="20"/>
                <w:color w:val="auto"/>
              </w:rPr>
            </w:pPr>
            <w:r>
              <w:rPr>
                <w:rFonts w:ascii="Arial" w:cs="Arial" w:eastAsia="Arial" w:hAnsi="Arial"/>
                <w:sz w:val="18"/>
                <w:szCs w:val="18"/>
                <w:color w:val="auto"/>
              </w:rPr>
              <w:t>France</w:t>
            </w:r>
          </w:p>
        </w:tc>
      </w:tr>
      <w:tr>
        <w:trPr>
          <w:trHeight w:val="257"/>
        </w:trPr>
        <w:tc>
          <w:tcPr>
            <w:tcW w:w="2980" w:type="dxa"/>
            <w:vAlign w:val="bottom"/>
            <w:gridSpan w:val="2"/>
          </w:tcPr>
          <w:p>
            <w:pPr>
              <w:spacing w:after="0"/>
              <w:rPr>
                <w:sz w:val="20"/>
                <w:szCs w:val="20"/>
                <w:color w:val="auto"/>
              </w:rPr>
            </w:pPr>
            <w:r>
              <w:rPr>
                <w:rFonts w:ascii="Arial" w:cs="Arial" w:eastAsia="Arial" w:hAnsi="Arial"/>
                <w:sz w:val="18"/>
                <w:szCs w:val="18"/>
                <w:color w:val="auto"/>
              </w:rPr>
              <w:t>Technip Brasil Engenharia Ltda</w:t>
            </w:r>
          </w:p>
        </w:tc>
        <w:tc>
          <w:tcPr>
            <w:tcW w:w="2420" w:type="dxa"/>
            <w:vAlign w:val="bottom"/>
            <w:gridSpan w:val="2"/>
          </w:tcPr>
          <w:p>
            <w:pPr>
              <w:ind w:left="480"/>
              <w:spacing w:after="0"/>
              <w:rPr>
                <w:sz w:val="20"/>
                <w:szCs w:val="20"/>
                <w:color w:val="auto"/>
              </w:rPr>
            </w:pPr>
            <w:r>
              <w:rPr>
                <w:rFonts w:ascii="Arial" w:cs="Arial" w:eastAsia="Arial" w:hAnsi="Arial"/>
                <w:sz w:val="18"/>
                <w:szCs w:val="18"/>
                <w:color w:val="auto"/>
              </w:rPr>
              <w:t>Brazil</w:t>
            </w:r>
          </w:p>
        </w:tc>
      </w:tr>
      <w:tr>
        <w:trPr>
          <w:trHeight w:val="257"/>
        </w:trPr>
        <w:tc>
          <w:tcPr>
            <w:tcW w:w="2980" w:type="dxa"/>
            <w:vAlign w:val="bottom"/>
            <w:gridSpan w:val="2"/>
          </w:tcPr>
          <w:p>
            <w:pPr>
              <w:spacing w:after="0"/>
              <w:rPr>
                <w:sz w:val="20"/>
                <w:szCs w:val="20"/>
                <w:color w:val="auto"/>
              </w:rPr>
            </w:pPr>
            <w:r>
              <w:rPr>
                <w:rFonts w:ascii="Arial" w:cs="Arial" w:eastAsia="Arial" w:hAnsi="Arial"/>
                <w:sz w:val="18"/>
                <w:szCs w:val="18"/>
                <w:color w:val="auto"/>
              </w:rPr>
              <w:t>TechnipFMC Holdings Limited</w:t>
            </w:r>
          </w:p>
        </w:tc>
        <w:tc>
          <w:tcPr>
            <w:tcW w:w="2420" w:type="dxa"/>
            <w:vAlign w:val="bottom"/>
            <w:gridSpan w:val="2"/>
          </w:tcPr>
          <w:p>
            <w:pPr>
              <w:ind w:left="480"/>
              <w:spacing w:after="0"/>
              <w:rPr>
                <w:sz w:val="20"/>
                <w:szCs w:val="20"/>
                <w:color w:val="auto"/>
              </w:rPr>
            </w:pPr>
            <w:r>
              <w:rPr>
                <w:rFonts w:ascii="Arial" w:cs="Arial" w:eastAsia="Arial" w:hAnsi="Arial"/>
                <w:sz w:val="18"/>
                <w:szCs w:val="18"/>
                <w:color w:val="auto"/>
              </w:rPr>
              <w:t>United Kingdom</w:t>
            </w:r>
          </w:p>
        </w:tc>
      </w:tr>
      <w:tr>
        <w:trPr>
          <w:trHeight w:val="257"/>
        </w:trPr>
        <w:tc>
          <w:tcPr>
            <w:tcW w:w="2980" w:type="dxa"/>
            <w:vAlign w:val="bottom"/>
            <w:gridSpan w:val="2"/>
          </w:tcPr>
          <w:p>
            <w:pPr>
              <w:spacing w:after="0"/>
              <w:rPr>
                <w:sz w:val="20"/>
                <w:szCs w:val="20"/>
                <w:color w:val="auto"/>
              </w:rPr>
            </w:pPr>
            <w:r>
              <w:rPr>
                <w:rFonts w:ascii="Arial" w:cs="Arial" w:eastAsia="Arial" w:hAnsi="Arial"/>
                <w:sz w:val="18"/>
                <w:szCs w:val="18"/>
                <w:color w:val="auto"/>
              </w:rPr>
              <w:t>FMC Technologies Inc</w:t>
            </w:r>
          </w:p>
        </w:tc>
        <w:tc>
          <w:tcPr>
            <w:tcW w:w="2420" w:type="dxa"/>
            <w:vAlign w:val="bottom"/>
            <w:gridSpan w:val="2"/>
          </w:tcPr>
          <w:p>
            <w:pPr>
              <w:ind w:left="480"/>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9019"/>
          </w:cols>
          <w:pgMar w:left="1440" w:top="770" w:right="1440"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333-216289 and 333-216284) of TechnipFMC plc of our report dated March 2, 2020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ectPr>
          <w:pgSz w:w="11900" w:h="16838" w:orient="portrait"/>
          <w:cols w:equalWidth="0" w:num="1">
            <w:col w:w="11420"/>
          </w:cols>
          <w:pgMar w:left="240" w:top="90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2019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340" w:hanging="320"/>
        <w:spacing w:after="0" w:line="260"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Date: March 2, 2020</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54"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6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 have reviewed this this annual report on Form 10-K for the period ended December 31, 2019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340" w:hanging="320"/>
        <w:spacing w:after="0" w:line="260"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Date: March 2, 2020</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54"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6"/>
          <w:szCs w:val="16"/>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I, Douglas J. Pferdehirt, Chief Executive Officer of TechnipFMC plc (the “Company”), do hereby certify, pursuant to 18 U.S.C. Section 1350, as adopted pursuant to Section 906 of the Sarbanes-Oxley Act of 2002, that, to my knowledge:</w:t>
      </w:r>
    </w:p>
    <w:p>
      <w:pPr>
        <w:spacing w:after="0" w:line="169" w:lineRule="exact"/>
        <w:rPr>
          <w:sz w:val="20"/>
          <w:szCs w:val="20"/>
          <w:color w:val="auto"/>
        </w:rPr>
      </w:pPr>
    </w:p>
    <w:p>
      <w:pPr>
        <w:ind w:right="320" w:firstLine="8"/>
        <w:spacing w:after="0" w:line="260" w:lineRule="auto"/>
        <w:tabs>
          <w:tab w:leader="none" w:pos="24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2019,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March 2, 2020</w:t>
      </w:r>
    </w:p>
    <w:p>
      <w:pPr>
        <w:spacing w:after="0" w:line="200" w:lineRule="exact"/>
        <w:rPr>
          <w:sz w:val="20"/>
          <w:szCs w:val="20"/>
          <w:color w:val="auto"/>
        </w:rPr>
      </w:pPr>
    </w:p>
    <w:p>
      <w:pPr>
        <w:spacing w:after="0" w:line="210"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5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6"/>
          <w:szCs w:val="16"/>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194" w:lineRule="exact"/>
        <w:rPr>
          <w:sz w:val="20"/>
          <w:szCs w:val="20"/>
          <w:color w:val="auto"/>
        </w:rPr>
      </w:pPr>
    </w:p>
    <w:p>
      <w:pPr>
        <w:ind w:right="320" w:firstLine="8"/>
        <w:spacing w:after="0" w:line="260" w:lineRule="auto"/>
        <w:tabs>
          <w:tab w:leader="none" w:pos="243"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2019,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March 2, 2020</w:t>
      </w:r>
    </w:p>
    <w:p>
      <w:pPr>
        <w:spacing w:after="0" w:line="200" w:lineRule="exact"/>
        <w:rPr>
          <w:sz w:val="20"/>
          <w:szCs w:val="20"/>
          <w:color w:val="auto"/>
        </w:rPr>
      </w:pPr>
    </w:p>
    <w:p>
      <w:pPr>
        <w:spacing w:after="0" w:line="210"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19050</wp:posOffset>
            </wp:positionV>
            <wp:extent cx="33445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6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lowerRoman"/>
      <w:start w:val="4"/>
    </w:lvl>
  </w:abstractNum>
  <w:abstractNum w:abstractNumId="3">
    <w:nsid w:val="419AC241"/>
    <w:multiLevelType w:val="hybridMultilevel"/>
    <w:lvl w:ilvl="0">
      <w:lvlJc w:val="left"/>
      <w:lvlText w:val="(%1)"/>
      <w:numFmt w:val="lowerRoman"/>
      <w:start w:val="7"/>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1)"/>
      <w:numFmt w:val="lowerLetter"/>
      <w:start w:val="1"/>
    </w:lvl>
  </w:abstractNum>
  <w:abstractNum w:abstractNumId="20">
    <w:nsid w:val="2A487CB0"/>
    <w:multiLevelType w:val="hybridMultilevel"/>
    <w:lvl w:ilvl="0">
      <w:lvlJc w:val="left"/>
      <w:lvlText w:val="(%1)"/>
      <w:numFmt w:val="lowerLetter"/>
      <w:start w:val="1"/>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1)"/>
      <w:numFmt w:val="lowerLetter"/>
      <w:start w:val="1"/>
    </w:lvl>
  </w:abstractNum>
  <w:abstractNum w:abstractNumId="23">
    <w:nsid w:val="2CD89A32"/>
    <w:multiLevelType w:val="hybridMultilevel"/>
    <w:lvl w:ilvl="0">
      <w:lvlJc w:val="left"/>
      <w:lvlText w:val="(%1)"/>
      <w:numFmt w:val="lowerLetter"/>
      <w:start w:val="1"/>
    </w:lvl>
  </w:abstractNum>
  <w:abstractNum w:abstractNumId="24">
    <w:nsid w:val="57E4CCAF"/>
    <w:multiLevelType w:val="hybridMultilevel"/>
    <w:lvl w:ilvl="0">
      <w:lvlJc w:val="left"/>
      <w:lvlText w:val="(%1)"/>
      <w:numFmt w:val="lowerLetter"/>
      <w:start w:val="2"/>
    </w:lvl>
  </w:abstractNum>
  <w:abstractNum w:abstractNumId="25">
    <w:nsid w:val="7A6D8D3C"/>
    <w:multiLevelType w:val="hybridMultilevel"/>
    <w:lvl w:ilvl="0">
      <w:lvlJc w:val="left"/>
      <w:lvlText w:val="(%1)"/>
      <w:numFmt w:val="lowerLetter"/>
      <w:start w:val="1"/>
    </w:lvl>
  </w:abstractNum>
  <w:abstractNum w:abstractNumId="26">
    <w:nsid w:val="4B588F54"/>
    <w:multiLevelType w:val="hybridMultilevel"/>
    <w:lvl w:ilvl="0">
      <w:lvlJc w:val="left"/>
      <w:lvlText w:val="(%1)"/>
      <w:numFmt w:val="lowerRoman"/>
      <w:start w:val="1"/>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decimal"/>
      <w:start w:val="6"/>
    </w:lvl>
  </w:abstractNum>
  <w:abstractNum w:abstractNumId="32">
    <w:nsid w:val="684A481A"/>
    <w:multiLevelType w:val="hybridMultilevel"/>
    <w:lvl w:ilvl="0">
      <w:lvlJc w:val="left"/>
      <w:lvlText w:val="(%1)"/>
      <w:numFmt w:val="lowerLetter"/>
      <w:start w:val="1"/>
    </w:lvl>
  </w:abstractNum>
  <w:abstractNum w:abstractNumId="33">
    <w:nsid w:val="579478FE"/>
    <w:multiLevelType w:val="hybridMultilevel"/>
    <w:lvl w:ilvl="0">
      <w:lvlJc w:val="left"/>
      <w:lvlText w:val="(%1)"/>
      <w:numFmt w:val="lowerLetter"/>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lowerLetter"/>
      <w:start w:val="1"/>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1)"/>
      <w:numFmt w:val="lowerLetter"/>
      <w:start w:val="4"/>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lowerRoman"/>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lowerLetter"/>
      <w:start w:val="1"/>
    </w:lvl>
    <w:lvl w:ilvl="1">
      <w:lvlJc w:val="left"/>
      <w:lvlText w:val="%2."/>
      <w:numFmt w:val="decimal"/>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
      <w:numFmt w:val="bullet"/>
      <w:start w:val="1"/>
    </w:lvl>
    <w:lvl w:ilvl="1">
      <w:lvlJc w:val="left"/>
      <w:lvlText w:val="%2"/>
      <w:numFmt w:val="decimal"/>
      <w:start w:val="104"/>
    </w:lvl>
  </w:abstractNum>
  <w:abstractNum w:abstractNumId="58">
    <w:nsid w:val="61574095"/>
    <w:multiLevelType w:val="hybridMultilevel"/>
    <w:lvl w:ilvl="0">
      <w:lvlJc w:val="left"/>
      <w:lvlText w:val="**"/>
      <w:numFmt w:val="bullet"/>
      <w:start w:val="1"/>
    </w:lvl>
    <w:lvl w:ilvl="1">
      <w:lvlJc w:val="left"/>
      <w:lvlText w:val="%2"/>
      <w:numFmt w:val="decimal"/>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lowerLetter"/>
      <w:start w:val="1"/>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88" Type="http://schemas.openxmlformats.org/officeDocument/2006/relationships/hyperlink" Target="http://www.sec.gov/Archives/edgar/data/1681459/000119312516743942/d213233ds4a.htm#rom213233_155" TargetMode="External"/><Relationship Id="rId89" Type="http://schemas.openxmlformats.org/officeDocument/2006/relationships/hyperlink" Target="http://www.sec.gov/Archives/edgar/data/1681459/000119312516793136/d263181dex21.htm" TargetMode="External"/><Relationship Id="rId90" Type="http://schemas.openxmlformats.org/officeDocument/2006/relationships/hyperlink" Target="http://www.sec.gov/Archives/edgar/data/1681459/000119312516793136/d263181dex22.htm" TargetMode="External"/><Relationship Id="rId91" Type="http://schemas.openxmlformats.org/officeDocument/2006/relationships/hyperlink" Target="http://www.sec.gov/Archives/edgar/data/1681459/000119312517010409/d320389dex31.htm" TargetMode="External"/><Relationship Id="rId92" Type="http://schemas.openxmlformats.org/officeDocument/2006/relationships/hyperlink" Target="http://www.sec.gov/Archives/edgar/data/1681459/000119312517102258/d369644dex41.htm" TargetMode="External"/><Relationship Id="rId93" Type="http://schemas.openxmlformats.org/officeDocument/2006/relationships/hyperlink" Target="http://www.sec.gov/Archives/edgar/data/1681459/000119312517102258/d369644dex43.htm" TargetMode="External"/><Relationship Id="rId94" Type="http://schemas.openxmlformats.org/officeDocument/2006/relationships/hyperlink" Target="http://www.sec.gov/Archives/edgar/data/1135152/000119312510044365/dex109.htm" TargetMode="External"/><Relationship Id="rId95" Type="http://schemas.openxmlformats.org/officeDocument/2006/relationships/hyperlink" Target="http://www.sec.gov/Archives/edgar/data/1135152/000119312509221455/dex109.htm" TargetMode="External"/><Relationship Id="rId96" Type="http://schemas.openxmlformats.org/officeDocument/2006/relationships/hyperlink" Target="http://www.sec.gov/Archives/edgar/data/1135152/000113515216000039/exhibit1014b.htm" TargetMode="External"/><Relationship Id="rId97" Type="http://schemas.openxmlformats.org/officeDocument/2006/relationships/hyperlink" Target="http://www.sec.gov/Archives/edgar/data/1681459/000168145919000011/technipfmc20181231ex102.htm" TargetMode="External"/><Relationship Id="rId98" Type="http://schemas.openxmlformats.org/officeDocument/2006/relationships/hyperlink" Target="http://www.sec.gov/Archives/edgar/data/1681459/000168145917000244/technipfmc20170630ex101.htm" TargetMode="External"/><Relationship Id="rId99" Type="http://schemas.openxmlformats.org/officeDocument/2006/relationships/hyperlink" Target="http://www.sec.gov/Archives/edgar/data/1681459/000168145919000064/technipfmc2019331ex101.htm" TargetMode="External"/><Relationship Id="rId100" Type="http://schemas.openxmlformats.org/officeDocument/2006/relationships/hyperlink" Target="http://www.sec.gov/Archives/edgar/data/1681459/000168145917000244/technipfmc20170630ex102.htm" TargetMode="External"/><Relationship Id="rId101" Type="http://schemas.openxmlformats.org/officeDocument/2006/relationships/hyperlink" Target="http://www.sec.gov/Archives/edgar/data/1681459/000168145917000244/technipfmc20170630ex103.htm" TargetMode="External"/><Relationship Id="rId102" Type="http://schemas.openxmlformats.org/officeDocument/2006/relationships/hyperlink" Target="http://www.sec.gov/Archives/edgar/data/1681459/000168145919000064/technipfmc2019331ex102.htm" TargetMode="External"/><Relationship Id="rId103" Type="http://schemas.openxmlformats.org/officeDocument/2006/relationships/hyperlink" Target="http://www.sec.gov/Archives/edgar/data/1681459/000168145917000258/technipfmc20170930ex104.htm" TargetMode="External"/><Relationship Id="rId104" Type="http://schemas.openxmlformats.org/officeDocument/2006/relationships/hyperlink" Target="http://www.sec.gov/Archives/edgar/data/1681459/000168145917000244/technipfmc20170630ex104.htm" TargetMode="External"/><Relationship Id="rId105" Type="http://schemas.openxmlformats.org/officeDocument/2006/relationships/hyperlink" Target="http://www.sec.gov/Archives/edgar/data/1681459/000168145919000064/technipfmc2019331ex103.htm" TargetMode="External"/><Relationship Id="rId106" Type="http://schemas.openxmlformats.org/officeDocument/2006/relationships/hyperlink" Target="http://www.sec.gov/Archives/edgar/data/1681459/000119312517059320/d348554dex992.htm" TargetMode="External"/><Relationship Id="rId107" Type="http://schemas.openxmlformats.org/officeDocument/2006/relationships/hyperlink" Target="http://www.sec.gov/Archives/edgar/data/1681459/000119312517059320/d348554dex993.htm" TargetMode="External"/><Relationship Id="rId108" Type="http://schemas.openxmlformats.org/officeDocument/2006/relationships/hyperlink" Target="http://www.sec.gov/Archives/edgar/data/1681459/000168145918000049/technipfmc20171231ex1010.htm" TargetMode="External"/><Relationship Id="rId109" Type="http://schemas.openxmlformats.org/officeDocument/2006/relationships/hyperlink" Target="http://www.sec.gov/Archives/edgar/data/1681459/000119312517059320/d348554dex994.htm" TargetMode="External"/><Relationship Id="rId110" Type="http://schemas.openxmlformats.org/officeDocument/2006/relationships/hyperlink" Target="http://www.sec.gov/Archives/edgar/data/1681459/000119312517059320/d348554dex995.htm" TargetMode="External"/><Relationship Id="rId111" Type="http://schemas.openxmlformats.org/officeDocument/2006/relationships/hyperlink" Target="http://www.sec.gov/Archives/edgar/data/1681459/000119312517059320/d348554dex996.htm" TargetMode="External"/><Relationship Id="rId112" Type="http://schemas.openxmlformats.org/officeDocument/2006/relationships/hyperlink" Target="http://www.sec.gov/Archives/edgar/data/1681459/000119312517059320/d348554dex997.htm" TargetMode="External"/><Relationship Id="rId113" Type="http://schemas.openxmlformats.org/officeDocument/2006/relationships/hyperlink" Target="http://www.sec.gov/Archives/edgar/data/1681459/000119312517059320/d348554dex998.htm" TargetMode="External"/><Relationship Id="rId114" Type="http://schemas.openxmlformats.org/officeDocument/2006/relationships/hyperlink" Target="http://www.sec.gov/Archives/edgar/data/1681459/000119312517059320/d348554dex999.htm" TargetMode="External"/><Relationship Id="rId115" Type="http://schemas.openxmlformats.org/officeDocument/2006/relationships/hyperlink" Target="http://www.sec.gov/Archives/edgar/data/1681459/000119312517059320/d348554dex9910.htm" TargetMode="External"/><Relationship Id="rId116" Type="http://schemas.openxmlformats.org/officeDocument/2006/relationships/hyperlink" Target="http://www.sec.gov/Archives/edgar/data/1681459/000119312517059320/d348554dex9911.htm" TargetMode="External"/><Relationship Id="rId117" Type="http://schemas.openxmlformats.org/officeDocument/2006/relationships/hyperlink" Target="http://www.sec.gov/Archives/edgar/data/1681459/000119312517059320/d348554dex9912.htm" TargetMode="External"/><Relationship Id="rId118" Type="http://schemas.openxmlformats.org/officeDocument/2006/relationships/hyperlink" Target="http://www.sec.gov/Archives/edgar/data/1681459/000168145917000244/technipfmc20170630ex105.htm" TargetMode="External"/><Relationship Id="rId119" Type="http://schemas.openxmlformats.org/officeDocument/2006/relationships/hyperlink" Target="http://www.sec.gov/Archives/edgar/data/1681459/000168145918000049/technipfmc20171231ex1021.htm" TargetMode="External"/><Relationship Id="rId120" Type="http://schemas.openxmlformats.org/officeDocument/2006/relationships/hyperlink" Target="http://www.sec.gov/Archives/edgar/data/1681459/000168145918000049/technipfmc20171231ex1022.htm" TargetMode="External"/><Relationship Id="rId121" Type="http://schemas.openxmlformats.org/officeDocument/2006/relationships/hyperlink" Target="http://www.sec.gov/Archives/edgar/data/1681459/000119312517010409/d320389dex102.htm" TargetMode="External"/><Relationship Id="rId122" Type="http://schemas.openxmlformats.org/officeDocument/2006/relationships/hyperlink" Target="http://www.sec.gov/Archives/edgar/data/1681459/000119312517010409/d320389dex103.htm" TargetMode="External"/><Relationship Id="rId123" Type="http://schemas.openxmlformats.org/officeDocument/2006/relationships/hyperlink" Target="http://www.sec.gov/Archives/edgar/data/1681459/000119312517010419/d320443dex102.htm" TargetMode="External"/><Relationship Id="rId124" Type="http://schemas.openxmlformats.org/officeDocument/2006/relationships/hyperlink" Target="http://www.sec.gov/Archives/edgar/data/1681459/000119312517010419/d320443dex103.htm" TargetMode="External"/><Relationship Id="rId125" Type="http://schemas.openxmlformats.org/officeDocument/2006/relationships/hyperlink" Target="http://www.sec.gov/Archives/edgar/data/1681459/000119312517010419/d320443dex104.htm" TargetMode="External"/><Relationship Id="rId126" Type="http://schemas.openxmlformats.org/officeDocument/2006/relationships/hyperlink" Target="http://www.sec.gov/Archives/edgar/data/1681459/000119312517010419/d320443dex101.htm" TargetMode="External"/><Relationship Id="rId127" Type="http://schemas.openxmlformats.org/officeDocument/2006/relationships/hyperlink" Target="http://www.sec.gov/Archives/edgar/data/1681459/000119312517289503/d6027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2020-03-03T05:17:14Z</dcterms:created>
  <dcterms:modified xsi:type="dcterms:W3CDTF">2020-03-03T05:17:14Z</dcterms:modified>
</cp:coreProperties>
</file>