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FARLEY CLAIRE S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21,929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units, each of which represents a contingent right to receive one Ordinary Share, that will vest April 1, 2022.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automatic adjustment of all outstanding restricted stock units (including vested but undelivered restricted stock units) held by the Reporting Person pursuant to anti-dilution provisions contained in the applicable awards, which provisions were triggered as a result of the Spin-off of TechnipFMC plc's Technip Energies segment.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92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450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2021-04-02T15:49:40Z</dcterms:created>
  <dcterms:modified xsi:type="dcterms:W3CDTF">2021-04-02T15:49:40Z</dcterms:modified>
</cp:coreProperties>
</file>