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5406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0639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Hasselknippe Hallvard</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TECHNIPFMC PLC</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TechnipFMC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FTI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01/17/2017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7" w:right="660" w:hanging="7"/>
        <w:spacing w:after="0" w:line="254" w:lineRule="auto"/>
        <w:tabs>
          <w:tab w:leader="none" w:pos="15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7"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7"/>
        <w:spacing w:after="0"/>
        <w:rPr>
          <w:sz w:val="20"/>
          <w:szCs w:val="20"/>
          <w:color w:val="auto"/>
        </w:rPr>
      </w:pPr>
      <w:r>
        <w:rPr>
          <w:rFonts w:ascii="Arial" w:cs="Arial" w:eastAsia="Arial" w:hAnsi="Arial"/>
          <w:sz w:val="17"/>
          <w:szCs w:val="17"/>
          <w:color w:val="0000FF"/>
        </w:rPr>
        <w:t>President, Subsea</w:t>
      </w:r>
    </w:p>
    <w:p>
      <w:pPr>
        <w:spacing w:after="0" w:line="404" w:lineRule="exact"/>
        <w:rPr>
          <w:sz w:val="24"/>
          <w:szCs w:val="24"/>
          <w:color w:val="auto"/>
        </w:rPr>
      </w:pPr>
    </w:p>
    <w:p>
      <w:pPr>
        <w:sectPr>
          <w:pgSz w:w="11900" w:h="16838" w:orient="portrait"/>
          <w:cols w:equalWidth="0" w:num="3">
            <w:col w:w="3360" w:space="720"/>
            <w:col w:w="3253" w:space="720"/>
            <w:col w:w="3467"/>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80" w:type="dxa"/>
            <w:vAlign w:val="bottom"/>
            <w:gridSpan w:val="8"/>
          </w:tcPr>
          <w:p>
            <w:pPr>
              <w:jc w:val="center"/>
              <w:ind w:right="65"/>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20" w:type="dxa"/>
            <w:vAlign w:val="bottom"/>
            <w:gridSpan w:val="4"/>
          </w:tcPr>
          <w:p>
            <w:pPr>
              <w:ind w:left="2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80" w:type="dxa"/>
            <w:vAlign w:val="bottom"/>
            <w:gridSpan w:val="9"/>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LONDON</w:t>
            </w:r>
          </w:p>
        </w:tc>
        <w:tc>
          <w:tcPr>
            <w:tcW w:w="220" w:type="dxa"/>
            <w:vAlign w:val="bottom"/>
            <w:vMerge w:val="restart"/>
          </w:tcPr>
          <w:p>
            <w:pPr>
              <w:spacing w:after="0"/>
              <w:rPr>
                <w:sz w:val="20"/>
                <w:szCs w:val="20"/>
                <w:color w:val="auto"/>
              </w:rPr>
            </w:pPr>
            <w:r>
              <w:rPr>
                <w:rFonts w:ascii="Arial" w:cs="Arial" w:eastAsia="Arial" w:hAnsi="Arial"/>
                <w:sz w:val="17"/>
                <w:szCs w:val="17"/>
                <w:color w:val="0000FF"/>
                <w:w w:val="95"/>
              </w:rPr>
              <w:t>X0</w:t>
            </w:r>
          </w:p>
        </w:tc>
        <w:tc>
          <w:tcPr>
            <w:tcW w:w="100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EC4M 8AP</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6"/>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480" w:type="dxa"/>
            <w:vAlign w:val="bottom"/>
            <w:tcBorders>
              <w:top w:val="single" w:sz="8" w:color="2C2C2C"/>
            </w:tcBorders>
            <w:gridSpan w:val="15"/>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5"/>
                <w:szCs w:val="15"/>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72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2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4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4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Ordinary Shares</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01/17/2017</w:t>
            </w: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gridSpan w:val="2"/>
          </w:tcPr>
          <w:p>
            <w:pPr>
              <w:jc w:val="center"/>
              <w:ind w:left="70"/>
              <w:spacing w:after="0"/>
              <w:rPr>
                <w:sz w:val="20"/>
                <w:szCs w:val="20"/>
                <w:color w:val="auto"/>
              </w:rPr>
            </w:pPr>
            <w:r>
              <w:rPr>
                <w:rFonts w:ascii="Arial" w:cs="Arial" w:eastAsia="Arial" w:hAnsi="Arial"/>
                <w:sz w:val="17"/>
                <w:szCs w:val="17"/>
                <w:color w:val="0000FF"/>
                <w:w w:val="85"/>
              </w:rPr>
              <w:t>13,600</w:t>
            </w:r>
            <w:r>
              <w:rPr>
                <w:rFonts w:ascii="Arial" w:cs="Arial" w:eastAsia="Arial" w:hAnsi="Arial"/>
                <w:sz w:val="22"/>
                <w:szCs w:val="22"/>
                <w:color w:val="008000"/>
                <w:w w:val="85"/>
                <w:vertAlign w:val="superscript"/>
              </w:rPr>
              <w:t>(1)</w:t>
            </w: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46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460" w:type="dxa"/>
            <w:vAlign w:val="bottom"/>
            <w:tcBorders>
              <w:bottom w:val="single" w:sz="8" w:color="2C2C2C"/>
            </w:tcBorders>
            <w:gridSpan w:val="4"/>
          </w:tcPr>
          <w:p>
            <w:pPr>
              <w:jc w:val="center"/>
              <w:ind w:left="58"/>
              <w:spacing w:after="0"/>
              <w:rPr>
                <w:sz w:val="20"/>
                <w:szCs w:val="20"/>
                <w:color w:val="auto"/>
              </w:rPr>
            </w:pPr>
            <w:r>
              <w:rPr>
                <w:rFonts w:ascii="Arial" w:cs="Arial" w:eastAsia="Arial" w:hAnsi="Arial"/>
                <w:sz w:val="17"/>
                <w:szCs w:val="17"/>
                <w:color w:val="0000FF"/>
                <w:w w:val="92"/>
              </w:rPr>
              <w:t>30,710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Ordinary Shares</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04/24/2017</w:t>
            </w: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center"/>
              <w:ind w:left="130"/>
              <w:spacing w:after="0"/>
              <w:rPr>
                <w:sz w:val="20"/>
                <w:szCs w:val="20"/>
                <w:color w:val="auto"/>
              </w:rPr>
            </w:pPr>
            <w:r>
              <w:rPr>
                <w:rFonts w:ascii="Arial" w:cs="Arial" w:eastAsia="Arial" w:hAnsi="Arial"/>
                <w:sz w:val="17"/>
                <w:szCs w:val="17"/>
                <w:color w:val="0000FF"/>
                <w:w w:val="85"/>
              </w:rPr>
              <w:t>8,600</w:t>
            </w:r>
            <w:r>
              <w:rPr>
                <w:rFonts w:ascii="Arial" w:cs="Arial" w:eastAsia="Arial" w:hAnsi="Arial"/>
                <w:sz w:val="22"/>
                <w:szCs w:val="22"/>
                <w:color w:val="008000"/>
                <w:w w:val="85"/>
                <w:vertAlign w:val="superscript"/>
              </w:rPr>
              <w:t>(2)</w:t>
            </w: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46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460" w:type="dxa"/>
            <w:vAlign w:val="bottom"/>
            <w:tcBorders>
              <w:bottom w:val="single" w:sz="8" w:color="2C2C2C"/>
            </w:tcBorders>
            <w:gridSpan w:val="4"/>
          </w:tcPr>
          <w:p>
            <w:pPr>
              <w:jc w:val="center"/>
              <w:ind w:left="78"/>
              <w:spacing w:after="0"/>
              <w:rPr>
                <w:sz w:val="20"/>
                <w:szCs w:val="20"/>
                <w:color w:val="auto"/>
              </w:rPr>
            </w:pPr>
            <w:r>
              <w:rPr>
                <w:rFonts w:ascii="Arial" w:cs="Arial" w:eastAsia="Arial" w:hAnsi="Arial"/>
                <w:sz w:val="17"/>
                <w:szCs w:val="17"/>
                <w:color w:val="0000FF"/>
                <w:w w:val="88"/>
              </w:rPr>
              <w:t>47,045</w:t>
            </w:r>
            <w:r>
              <w:rPr>
                <w:rFonts w:ascii="Arial" w:cs="Arial" w:eastAsia="Arial" w:hAnsi="Arial"/>
                <w:sz w:val="22"/>
                <w:szCs w:val="22"/>
                <w:color w:val="008000"/>
                <w:w w:val="88"/>
                <w:vertAlign w:val="superscript"/>
              </w:rPr>
              <w:t>(3)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Ordinary Shares</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02/19/2018</w:t>
            </w: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gridSpan w:val="2"/>
          </w:tcPr>
          <w:p>
            <w:pPr>
              <w:jc w:val="center"/>
              <w:ind w:left="70"/>
              <w:spacing w:after="0"/>
              <w:rPr>
                <w:sz w:val="20"/>
                <w:szCs w:val="20"/>
                <w:color w:val="auto"/>
              </w:rPr>
            </w:pPr>
            <w:r>
              <w:rPr>
                <w:rFonts w:ascii="Arial" w:cs="Arial" w:eastAsia="Arial" w:hAnsi="Arial"/>
                <w:sz w:val="17"/>
                <w:szCs w:val="17"/>
                <w:color w:val="0000FF"/>
                <w:w w:val="85"/>
              </w:rPr>
              <w:t>12,800</w:t>
            </w:r>
            <w:r>
              <w:rPr>
                <w:rFonts w:ascii="Arial" w:cs="Arial" w:eastAsia="Arial" w:hAnsi="Arial"/>
                <w:sz w:val="22"/>
                <w:szCs w:val="22"/>
                <w:color w:val="008000"/>
                <w:w w:val="85"/>
                <w:vertAlign w:val="superscript"/>
              </w:rPr>
              <w:t>(4)</w:t>
            </w: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46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460" w:type="dxa"/>
            <w:vAlign w:val="bottom"/>
            <w:tcBorders>
              <w:bottom w:val="single" w:sz="8" w:color="2C2C2C"/>
            </w:tcBorders>
            <w:gridSpan w:val="4"/>
          </w:tcPr>
          <w:p>
            <w:pPr>
              <w:jc w:val="center"/>
              <w:ind w:left="58"/>
              <w:spacing w:after="0"/>
              <w:rPr>
                <w:sz w:val="20"/>
                <w:szCs w:val="20"/>
                <w:color w:val="auto"/>
              </w:rPr>
            </w:pPr>
            <w:r>
              <w:rPr>
                <w:rFonts w:ascii="Arial" w:cs="Arial" w:eastAsia="Arial" w:hAnsi="Arial"/>
                <w:sz w:val="17"/>
                <w:szCs w:val="17"/>
                <w:color w:val="0000FF"/>
                <w:w w:val="92"/>
              </w:rPr>
              <w:t>59,845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20" w:type="dxa"/>
            <w:vAlign w:val="bottom"/>
            <w:gridSpan w:val="11"/>
          </w:tcPr>
          <w:p>
            <w:pPr>
              <w:jc w:val="center"/>
              <w:ind w:left="60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7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Amount of</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w w:val="99"/>
              </w:rPr>
              <w:t>Derivative Security</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line="134" w:lineRule="exact"/>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line="134"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4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220" w:type="dxa"/>
            <w:vAlign w:val="bottom"/>
          </w:tcPr>
          <w:p>
            <w:pPr>
              <w:spacing w:after="0"/>
              <w:rPr>
                <w:sz w:val="12"/>
                <w:szCs w:val="12"/>
                <w:color w:val="auto"/>
              </w:rPr>
            </w:pPr>
          </w:p>
        </w:tc>
        <w:tc>
          <w:tcPr>
            <w:tcW w:w="1000" w:type="dxa"/>
            <w:vAlign w:val="bottom"/>
            <w:vMerge w:val="restart"/>
          </w:tcPr>
          <w:p>
            <w:pPr>
              <w:ind w:left="180"/>
              <w:spacing w:after="0"/>
              <w:rPr>
                <w:sz w:val="20"/>
                <w:szCs w:val="20"/>
                <w:color w:val="auto"/>
              </w:rPr>
            </w:pPr>
            <w:r>
              <w:rPr>
                <w:rFonts w:ascii="Arial" w:cs="Arial" w:eastAsia="Arial" w:hAnsi="Arial"/>
                <w:sz w:val="13"/>
                <w:szCs w:val="13"/>
                <w:color w:val="0000FF"/>
              </w:rPr>
              <w:t>01/17/2017</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rPr>
              <w:t>A</w:t>
            </w:r>
          </w:p>
        </w:tc>
        <w:tc>
          <w:tcPr>
            <w:tcW w:w="740" w:type="dxa"/>
            <w:vAlign w:val="bottom"/>
            <w:vMerge w:val="restart"/>
          </w:tcPr>
          <w:p>
            <w:pPr>
              <w:ind w:left="160"/>
              <w:spacing w:after="0"/>
              <w:rPr>
                <w:sz w:val="20"/>
                <w:szCs w:val="20"/>
                <w:color w:val="auto"/>
              </w:rPr>
            </w:pPr>
            <w:r>
              <w:rPr>
                <w:rFonts w:ascii="Arial" w:cs="Arial" w:eastAsia="Arial" w:hAnsi="Arial"/>
                <w:sz w:val="13"/>
                <w:szCs w:val="13"/>
                <w:color w:val="0000FF"/>
              </w:rPr>
              <w:t>4,528</w:t>
            </w:r>
            <w:r>
              <w:rPr>
                <w:rFonts w:ascii="Arial" w:cs="Arial" w:eastAsia="Arial" w:hAnsi="Arial"/>
                <w:sz w:val="22"/>
                <w:szCs w:val="22"/>
                <w:color w:val="008000"/>
                <w:vertAlign w:val="superscript"/>
              </w:rPr>
              <w:t>(6)</w:t>
            </w:r>
          </w:p>
        </w:tc>
        <w:tc>
          <w:tcPr>
            <w:tcW w:w="28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color w:val="0000FF"/>
              </w:rPr>
              <w:t>01/10/2018</w:t>
            </w:r>
          </w:p>
        </w:tc>
        <w:tc>
          <w:tcPr>
            <w:tcW w:w="760" w:type="dxa"/>
            <w:vAlign w:val="bottom"/>
            <w:vMerge w:val="restart"/>
          </w:tcPr>
          <w:p>
            <w:pPr>
              <w:ind w:left="20"/>
              <w:spacing w:after="0"/>
              <w:rPr>
                <w:sz w:val="20"/>
                <w:szCs w:val="20"/>
                <w:color w:val="auto"/>
              </w:rPr>
            </w:pPr>
            <w:r>
              <w:rPr>
                <w:rFonts w:ascii="Arial" w:cs="Arial" w:eastAsia="Arial" w:hAnsi="Arial"/>
                <w:sz w:val="13"/>
                <w:szCs w:val="13"/>
                <w:color w:val="0000FF"/>
              </w:rPr>
              <w:t>01/10/2022</w:t>
            </w:r>
          </w:p>
        </w:tc>
        <w:tc>
          <w:tcPr>
            <w:tcW w:w="640" w:type="dxa"/>
            <w:vAlign w:val="bottom"/>
            <w:gridSpan w:val="2"/>
          </w:tcPr>
          <w:p>
            <w:pPr>
              <w:ind w:left="20"/>
              <w:spacing w:after="0" w:line="148" w:lineRule="exact"/>
              <w:rPr>
                <w:sz w:val="20"/>
                <w:szCs w:val="20"/>
                <w:color w:val="auto"/>
              </w:rPr>
            </w:pPr>
            <w:r>
              <w:rPr>
                <w:rFonts w:ascii="Arial" w:cs="Arial" w:eastAsia="Arial" w:hAnsi="Arial"/>
                <w:sz w:val="13"/>
                <w:szCs w:val="13"/>
                <w:color w:val="0000FF"/>
              </w:rPr>
              <w:t>Ordinary</w:t>
            </w:r>
          </w:p>
        </w:tc>
        <w:tc>
          <w:tcPr>
            <w:tcW w:w="460" w:type="dxa"/>
            <w:vAlign w:val="bottom"/>
            <w:vMerge w:val="restart"/>
          </w:tcPr>
          <w:p>
            <w:pPr>
              <w:ind w:left="40"/>
              <w:spacing w:after="0"/>
              <w:rPr>
                <w:sz w:val="20"/>
                <w:szCs w:val="20"/>
                <w:color w:val="auto"/>
              </w:rPr>
            </w:pPr>
            <w:r>
              <w:rPr>
                <w:rFonts w:ascii="Arial" w:cs="Arial" w:eastAsia="Arial" w:hAnsi="Arial"/>
                <w:sz w:val="17"/>
                <w:szCs w:val="17"/>
                <w:color w:val="0000FF"/>
                <w:w w:val="93"/>
              </w:rPr>
              <w:t>4,528</w:t>
            </w:r>
          </w:p>
        </w:tc>
        <w:tc>
          <w:tcPr>
            <w:tcW w:w="860" w:type="dxa"/>
            <w:vAlign w:val="bottom"/>
            <w:gridSpan w:val="3"/>
            <w:vMerge w:val="restart"/>
          </w:tcPr>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60"/>
              <w:spacing w:after="0"/>
              <w:rPr>
                <w:sz w:val="20"/>
                <w:szCs w:val="20"/>
                <w:color w:val="auto"/>
              </w:rPr>
            </w:pPr>
            <w:r>
              <w:rPr>
                <w:rFonts w:ascii="Arial" w:cs="Arial" w:eastAsia="Arial" w:hAnsi="Arial"/>
                <w:sz w:val="13"/>
                <w:szCs w:val="13"/>
                <w:color w:val="0000FF"/>
                <w:w w:val="98"/>
              </w:rPr>
              <w:t>4,528</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Arial" w:cs="Arial" w:eastAsia="Arial" w:hAnsi="Arial"/>
                <w:sz w:val="13"/>
                <w:szCs w:val="13"/>
                <w:color w:val="0000FF"/>
              </w:rPr>
              <w:t>Shares</w:t>
            </w:r>
          </w:p>
        </w:tc>
        <w:tc>
          <w:tcPr>
            <w:tcW w:w="460" w:type="dxa"/>
            <w:vAlign w:val="bottom"/>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8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4,000 restricted stock units that vested on June 14, 2017 (as previously reported on the Form 4 filed by the Reporting Person on June 14, 2017) and 9,600 restricted stock units that vested on January 10, 2018.</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 of restricted stock units, each of which represents a contingent right to receive one Ordinary Shares, that will vest on December 10, 2018.</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7,735 restricted stock units previously reported on the Form 4 filed by the Reporting Person on March 2, 2017.</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 of restricted stock units, each of which represents a contingent right to receive one Ordinary Share, that will vest on September 7, 2019.</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immediately exercisable at an exercise price of 34.24EUR per Ordinary Share.</w:t>
      </w:r>
    </w:p>
    <w:p>
      <w:pPr>
        <w:spacing w:after="0" w:line="50" w:lineRule="exact"/>
        <w:rPr>
          <w:rFonts w:ascii="Arial" w:cs="Arial" w:eastAsia="Arial" w:hAnsi="Arial"/>
          <w:sz w:val="13"/>
          <w:szCs w:val="13"/>
          <w:color w:val="008000"/>
        </w:rPr>
      </w:pPr>
    </w:p>
    <w:p>
      <w:pPr>
        <w:ind w:left="40" w:right="30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January 17, 2017, the Reporting Person was granted an option to purchase 4,800 Ordinary Shares at a price of 34.24EUR per Ordinary Share. The vesting of the option was subject to certain performance criteria that were partially met, resulting in the vesting of the option as to 4,528 Ordinary Shares.</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280" w:type="dxa"/>
            <w:vAlign w:val="bottom"/>
            <w:gridSpan w:val="3"/>
          </w:tcPr>
          <w:p>
            <w:pPr>
              <w:spacing w:after="0"/>
              <w:rPr>
                <w:sz w:val="20"/>
                <w:szCs w:val="20"/>
                <w:color w:val="auto"/>
              </w:rPr>
            </w:pPr>
            <w:r>
              <w:rPr>
                <w:rFonts w:ascii="Arial" w:cs="Arial" w:eastAsia="Arial" w:hAnsi="Arial"/>
                <w:sz w:val="17"/>
                <w:szCs w:val="17"/>
                <w:color w:val="0000FF"/>
              </w:rPr>
              <w:t>/s/ Lisa P. Wang, Attorney-In-</w:t>
            </w: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02/21/2018</w:t>
            </w:r>
          </w:p>
        </w:tc>
        <w:tc>
          <w:tcPr>
            <w:tcW w:w="0" w:type="dxa"/>
            <w:vAlign w:val="bottom"/>
          </w:tcPr>
          <w:p>
            <w:pPr>
              <w:spacing w:after="0"/>
              <w:rPr>
                <w:sz w:val="1"/>
                <w:szCs w:val="1"/>
                <w:color w:val="auto"/>
              </w:rPr>
            </w:pPr>
          </w:p>
        </w:tc>
      </w:tr>
      <w:tr>
        <w:trPr>
          <w:trHeight w:val="92"/>
        </w:trPr>
        <w:tc>
          <w:tcPr>
            <w:tcW w:w="2080" w:type="dxa"/>
            <w:vAlign w:val="bottom"/>
            <w:tcBorders>
              <w:top w:val="single" w:sz="8" w:color="auto"/>
              <w:bottom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w:t>
            </w:r>
          </w:p>
        </w:tc>
        <w:tc>
          <w:tcPr>
            <w:tcW w:w="20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4446"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2019-12-08T15:34:38Z</dcterms:created>
  <dcterms:modified xsi:type="dcterms:W3CDTF">2019-12-08T15:34:38Z</dcterms:modified>
</cp:coreProperties>
</file>