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gb00bdsfg982_013118.txt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BDSFG98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BDSFG98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23089100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26682741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26682741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ST. PAUL'S CHURCHYARD</w:t>
      </w:r>
    </w:p>
    <w:p>
      <w:pPr>
        <w:spacing w:after="0" w:line="238" w:lineRule="auto"/>
        <w:rPr>
          <w:sz w:val="20"/>
          <w:szCs w:val="20"/>
          <w:color w:val="auto"/>
        </w:rPr>
      </w:pPr>
      <w:r>
        <w:rPr>
          <w:rFonts w:ascii="Courier New" w:cs="Courier New" w:eastAsia="Courier New" w:hAnsi="Courier New"/>
          <w:sz w:val="18"/>
          <w:szCs w:val="18"/>
          <w:color w:val="auto"/>
        </w:rPr>
        <w:t>LONDON United Kingdom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26682741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23089100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26682741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TECHNIPFMC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TECHNIPFMC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5" w:lineRule="exact"/>
        <w:rPr>
          <w:sz w:val="20"/>
          <w:szCs w:val="20"/>
          <w:color w:val="auto"/>
        </w:rPr>
      </w:pPr>
    </w:p>
    <w:p>
      <w:pPr>
        <w:ind w:left="120" w:right="3899"/>
        <w:spacing w:after="0" w:line="236" w:lineRule="auto"/>
        <w:rPr>
          <w:sz w:val="20"/>
          <w:szCs w:val="20"/>
          <w:color w:val="auto"/>
        </w:rPr>
      </w:pPr>
      <w:r>
        <w:rPr>
          <w:rFonts w:ascii="Courier New" w:cs="Courier New" w:eastAsia="Courier New" w:hAnsi="Courier New"/>
          <w:sz w:val="18"/>
          <w:szCs w:val="18"/>
          <w:color w:val="auto"/>
        </w:rPr>
        <w:t>BlackRock Institutional Trust Company, National Association BlackRock Asset Management Ireland Limited BlackRock Financial Management, Inc.</w:t>
      </w:r>
    </w:p>
    <w:p>
      <w:pPr>
        <w:spacing w:after="0" w:line="6" w:lineRule="exact"/>
        <w:rPr>
          <w:sz w:val="20"/>
          <w:szCs w:val="20"/>
          <w:color w:val="auto"/>
        </w:rPr>
      </w:pPr>
    </w:p>
    <w:p>
      <w:pPr>
        <w:ind w:left="120" w:right="3779"/>
        <w:spacing w:after="0" w:line="235" w:lineRule="auto"/>
        <w:rPr>
          <w:sz w:val="20"/>
          <w:szCs w:val="20"/>
          <w:color w:val="auto"/>
        </w:rPr>
      </w:pPr>
      <w:r>
        <w:rPr>
          <w:rFonts w:ascii="Courier New" w:cs="Courier New" w:eastAsia="Courier New" w:hAnsi="Courier New"/>
          <w:sz w:val="18"/>
          <w:szCs w:val="18"/>
          <w:color w:val="auto"/>
        </w:rPr>
        <w:t>iShares (DE) I Investmentaktiengesellschaft mit Teilgesellsc 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spacing w:after="0" w:line="4" w:lineRule="exact"/>
        <w:rPr>
          <w:sz w:val="20"/>
          <w:szCs w:val="20"/>
          <w:color w:val="auto"/>
        </w:rPr>
      </w:pPr>
    </w:p>
    <w:p>
      <w:pPr>
        <w:ind w:left="120" w:right="4739"/>
        <w:spacing w:after="0" w:line="236" w:lineRule="auto"/>
        <w:rPr>
          <w:sz w:val="20"/>
          <w:szCs w:val="20"/>
          <w:color w:val="auto"/>
        </w:rPr>
      </w:pPr>
      <w:r>
        <w:rPr>
          <w:rFonts w:ascii="Courier New" w:cs="Courier New" w:eastAsia="Courier New" w:hAnsi="Courier New"/>
          <w:sz w:val="18"/>
          <w:szCs w:val="18"/>
          <w:color w:val="auto"/>
        </w:rPr>
        <w:t>BlackRock Investment Management (Australia) Limited BlackRock Advisors (UK) Limited 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2019-12-15T16:49:00Z</dcterms:created>
  <dcterms:modified xsi:type="dcterms:W3CDTF">2019-12-15T16:49:00Z</dcterms:modified>
</cp:coreProperties>
</file>