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Douglas J.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632,079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3,019,740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80,304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 of restricted stock units, each of which represents a contingent right to receive one Ordinary Share, 364,661 of which will vest March 1, 2024 and 267,418 of which will vest on April 1, 2025.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28 shares unintentionally omitted from the reporting person's prior Form 4 filing.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2021-04-02T16:11:54Z</dcterms:created>
  <dcterms:modified xsi:type="dcterms:W3CDTF">2021-04-02T16:11:54Z</dcterms:modified>
</cp:coreProperties>
</file>