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SEC Form 3</w:t>
      </w:r>
    </w:p>
    <w:p>
      <w:pPr>
        <w:spacing w:after="0" w:line="29" w:lineRule="exact"/>
        <w:rPr>
          <w:sz w:val="24"/>
          <w:szCs w:val="24"/>
          <w:color w:val="auto"/>
        </w:rPr>
      </w:pPr>
    </w:p>
    <w:tbl>
      <w:tblPr>
        <w:tblLayout w:type="fixed"/>
        <w:tblInd w:w="8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FORM 3</w:t>
            </w:r>
          </w:p>
        </w:tc>
        <w:tc>
          <w:tcPr>
            <w:tcW w:w="6780" w:type="dxa"/>
            <w:vAlign w:val="bottom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80" w:type="dxa"/>
            <w:vAlign w:val="bottom"/>
            <w:vMerge w:val="restart"/>
          </w:tcPr>
          <w:p>
            <w:pPr>
              <w:jc w:val="center"/>
              <w:ind w:right="141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9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6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APPROVAL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80" w:type="dxa"/>
            <w:vAlign w:val="bottom"/>
            <w:vMerge w:val="restart"/>
          </w:tcPr>
          <w:p>
            <w:pPr>
              <w:jc w:val="center"/>
              <w:ind w:right="14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OMB Number: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3235-0104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Estimated average burden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780" w:type="dxa"/>
            <w:vAlign w:val="bottom"/>
            <w:vMerge w:val="restart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hours per response: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7228840</wp:posOffset>
            </wp:positionH>
            <wp:positionV relativeFrom="paragraph">
              <wp:posOffset>-441325</wp:posOffset>
            </wp:positionV>
            <wp:extent cx="48260" cy="4546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5838825</wp:posOffset>
            </wp:positionH>
            <wp:positionV relativeFrom="paragraph">
              <wp:posOffset>-441325</wp:posOffset>
            </wp:positionV>
            <wp:extent cx="48260" cy="4546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-17145</wp:posOffset>
            </wp:positionH>
            <wp:positionV relativeFrom="paragraph">
              <wp:posOffset>7620</wp:posOffset>
            </wp:positionV>
            <wp:extent cx="7317740" cy="23704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2370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80"/>
          </w:cols>
          <w:pgMar w:left="220" w:top="197" w:right="199" w:bottom="1440" w:gutter="0" w:footer="0" w:header="0"/>
        </w:sectPr>
      </w:pP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1. Name and Address of Reporting Person</w:t>
      </w:r>
      <w:r>
        <w:rPr>
          <w:rFonts w:ascii="Arial" w:cs="Arial" w:eastAsia="Arial" w:hAnsi="Arial"/>
          <w:sz w:val="15"/>
          <w:szCs w:val="15"/>
          <w:color w:val="auto"/>
          <w:vertAlign w:val="superscript"/>
        </w:rPr>
        <w:t>*</w:t>
      </w:r>
    </w:p>
    <w:p>
      <w:pPr>
        <w:ind w:left="80"/>
        <w:spacing w:after="0"/>
        <w:rPr>
          <w:rFonts w:ascii="Arial" w:cs="Arial" w:eastAsia="Arial" w:hAnsi="Arial"/>
          <w:sz w:val="14"/>
          <w:szCs w:val="14"/>
          <w:u w:val="single" w:color="auto"/>
          <w:color w:val="0000EE"/>
        </w:rPr>
      </w:pPr>
      <w:hyperlink r:id="rId11">
        <w:r>
          <w:rPr>
            <w:rFonts w:ascii="Arial" w:cs="Arial" w:eastAsia="Arial" w:hAnsi="Arial"/>
            <w:sz w:val="14"/>
            <w:szCs w:val="14"/>
            <w:u w:val="single" w:color="auto"/>
            <w:color w:val="0000EE"/>
          </w:rPr>
          <w:t>PILENKO THIERRY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2" w:hanging="2"/>
        <w:spacing w:after="0" w:line="234" w:lineRule="auto"/>
        <w:tabs>
          <w:tab w:leader="none" w:pos="102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01/17/2017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color w:val="auto"/>
        </w:rPr>
        <w:t xml:space="preserve">3. Issuer Name </w:t>
      </w: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8"/>
          <w:szCs w:val="8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4"/>
          <w:szCs w:val="14"/>
          <w:color w:val="0000EE"/>
        </w:rPr>
      </w:pPr>
      <w:hyperlink r:id="rId12">
        <w:r>
          <w:rPr>
            <w:rFonts w:ascii="Arial" w:cs="Arial" w:eastAsia="Arial" w:hAnsi="Arial"/>
            <w:sz w:val="14"/>
            <w:szCs w:val="14"/>
            <w:u w:val="single" w:color="auto"/>
            <w:color w:val="0000EE"/>
          </w:rPr>
          <w:t>TechnipFMC plc</w:t>
        </w:r>
        <w:r>
          <w:rPr>
            <w:rFonts w:ascii="Arial" w:cs="Arial" w:eastAsia="Arial" w:hAnsi="Arial"/>
            <w:sz w:val="14"/>
            <w:szCs w:val="14"/>
            <w:color w:val="0000EE"/>
          </w:rPr>
          <w:t xml:space="preserve"> </w:t>
        </w:r>
      </w:hyperlink>
      <w:r>
        <w:rPr>
          <w:rFonts w:ascii="Arial" w:cs="Arial" w:eastAsia="Arial" w:hAnsi="Arial"/>
          <w:sz w:val="14"/>
          <w:szCs w:val="14"/>
          <w:color w:val="000000"/>
        </w:rPr>
        <w:t>[</w:t>
      </w:r>
      <w:r>
        <w:rPr>
          <w:rFonts w:ascii="Arial" w:cs="Arial" w:eastAsia="Arial" w:hAnsi="Arial"/>
          <w:sz w:val="14"/>
          <w:szCs w:val="14"/>
          <w:color w:val="0000EE"/>
        </w:rPr>
        <w:t xml:space="preserve"> </w:t>
      </w:r>
      <w:r>
        <w:rPr>
          <w:rFonts w:ascii="Arial" w:cs="Arial" w:eastAsia="Arial" w:hAnsi="Arial"/>
          <w:sz w:val="11"/>
          <w:szCs w:val="11"/>
          <w:color w:val="0000FF"/>
        </w:rPr>
        <w:t>FTI</w:t>
      </w:r>
      <w:r>
        <w:rPr>
          <w:rFonts w:ascii="Arial" w:cs="Arial" w:eastAsia="Arial" w:hAnsi="Arial"/>
          <w:sz w:val="14"/>
          <w:szCs w:val="14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00"/>
        </w:rPr>
        <w:t>]</w:t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758" w:space="720"/>
            <w:col w:w="1482" w:space="220"/>
            <w:col w:w="6300"/>
          </w:cols>
          <w:pgMar w:left="220" w:top="197" w:right="199" w:bottom="1440" w:gutter="0" w:footer="0" w:header="0"/>
          <w:type w:val="continuous"/>
        </w:sectPr>
      </w:pP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(Middle)</w:t>
            </w: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ONE ST. PAUL'S CHURCHYARD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77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LONDON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X0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EC4M 8AP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1160" w:firstLine="9"/>
        <w:spacing w:after="0" w:line="239" w:lineRule="auto"/>
        <w:tabs>
          <w:tab w:leader="none" w:pos="91" w:val="left"/>
        </w:tabs>
        <w:numPr>
          <w:ilvl w:val="0"/>
          <w:numId w:val="2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Relationship of Reporting Person(s) to Issuer (Check all applicable)</w:t>
      </w:r>
    </w:p>
    <w:p>
      <w:pPr>
        <w:ind w:left="231"/>
        <w:spacing w:after="0"/>
        <w:tabs>
          <w:tab w:leader="none" w:pos="510" w:val="left"/>
          <w:tab w:leader="none" w:pos="217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10% Owner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231"/>
        <w:spacing w:after="0"/>
        <w:tabs>
          <w:tab w:leader="none" w:pos="510" w:val="left"/>
          <w:tab w:leader="none" w:pos="217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Officer (give 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Other (specify below)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1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Executive Chairman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9" w:hanging="99"/>
        <w:spacing w:after="0"/>
        <w:tabs>
          <w:tab w:leader="none" w:pos="99" w:val="left"/>
        </w:tabs>
        <w:numPr>
          <w:ilvl w:val="0"/>
          <w:numId w:val="3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If Amendment, Date of Original Filed (Month/Day/Year)</w:t>
      </w:r>
    </w:p>
    <w:p>
      <w:pPr>
        <w:spacing w:after="0" w:line="211" w:lineRule="exact"/>
        <w:rPr>
          <w:rFonts w:ascii="Arial" w:cs="Arial" w:eastAsia="Arial" w:hAnsi="Arial"/>
          <w:sz w:val="9"/>
          <w:szCs w:val="9"/>
          <w:color w:val="auto"/>
        </w:rPr>
      </w:pPr>
    </w:p>
    <w:p>
      <w:pPr>
        <w:ind w:left="179" w:right="560" w:hanging="179"/>
        <w:spacing w:after="0" w:line="313" w:lineRule="auto"/>
        <w:tabs>
          <w:tab w:leader="none" w:pos="96" w:val="left"/>
        </w:tabs>
        <w:numPr>
          <w:ilvl w:val="0"/>
          <w:numId w:val="3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Individual or Joint/Group Filing (Check Applicable Line) </w:t>
      </w:r>
      <w:r>
        <w:rPr>
          <w:rFonts w:ascii="Arial" w:cs="Arial" w:eastAsia="Arial" w:hAnsi="Arial"/>
          <w:sz w:val="11"/>
          <w:szCs w:val="11"/>
          <w:color w:val="0000FF"/>
        </w:rPr>
        <w:t xml:space="preserve">X </w:t>
      </w:r>
      <w:r>
        <w:rPr>
          <w:rFonts w:ascii="Arial" w:cs="Arial" w:eastAsia="Arial" w:hAnsi="Arial"/>
          <w:sz w:val="9"/>
          <w:szCs w:val="9"/>
          <w:color w:val="000000"/>
        </w:rPr>
        <w:t>Form filed by One Reporting Person</w:t>
      </w:r>
    </w:p>
    <w:p>
      <w:pPr>
        <w:spacing w:after="0" w:line="6" w:lineRule="exact"/>
        <w:rPr>
          <w:rFonts w:ascii="Arial" w:cs="Arial" w:eastAsia="Arial" w:hAnsi="Arial"/>
          <w:sz w:val="9"/>
          <w:szCs w:val="9"/>
          <w:color w:val="auto"/>
        </w:rPr>
      </w:pPr>
    </w:p>
    <w:p>
      <w:pPr>
        <w:ind w:left="459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Form filed by More than One Reporting Person</w:t>
      </w:r>
    </w:p>
    <w:p>
      <w:pPr>
        <w:spacing w:after="0" w:line="28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69" w:space="720"/>
            <w:col w:w="3051" w:space="381"/>
            <w:col w:w="2859"/>
          </w:cols>
          <w:pgMar w:left="220" w:top="197" w:right="199" w:bottom="1440" w:gutter="0" w:footer="0" w:header="0"/>
          <w:type w:val="continuous"/>
        </w:sectPr>
      </w:pP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80"/>
        <w:spacing w:after="0"/>
        <w:tabs>
          <w:tab w:leader="none" w:pos="1160" w:val="left"/>
          <w:tab w:leader="none" w:pos="22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(Zip)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Table I - Non-Derivative Securities Beneficially Owned</w:t>
      </w:r>
    </w:p>
    <w:p>
      <w:pPr>
        <w:spacing w:after="0" w:line="8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3"/>
        </w:trPr>
        <w:tc>
          <w:tcPr>
            <w:tcW w:w="3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Amount of Securities Beneficially Owned</w:t>
            </w:r>
          </w:p>
        </w:tc>
        <w:tc>
          <w:tcPr>
            <w:tcW w:w="428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Ownership Form: Direct   4. Nature of Indirect Beneficial 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or Indirect (I) (Instr.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3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No Securities are Beneficially Owned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Table II - Derivative Securities Beneficially Owned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12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3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30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Title and Amount of Securities Underlying Derivative 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Conversion or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140" w:type="dxa"/>
            <w:vAlign w:val="bottom"/>
            <w:gridSpan w:val="2"/>
          </w:tcPr>
          <w:p>
            <w:pPr>
              <w:ind w:left="10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Exercise Price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of 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5)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3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3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7"/>
              </w:rPr>
              <w:t>Lisa P. Wang, Attorney-In-Fact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01/17/2017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** Signature of Reporting Person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Date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Reminder: Report on a separate line for each class of securities beneficially owned directly or indirectly.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5 (b)(v).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both"/>
        <w:ind w:left="20" w:right="6260" w:hanging="1"/>
        <w:spacing w:after="0" w:line="311" w:lineRule="auto"/>
        <w:tabs>
          <w:tab w:leader="none" w:pos="115" w:val="left"/>
        </w:tabs>
        <w:numPr>
          <w:ilvl w:val="0"/>
          <w:numId w:val="4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480"/>
          </w:cols>
          <w:pgMar w:left="220" w:top="197" w:right="199" w:bottom="1440" w:gutter="0" w:footer="0" w:header="0"/>
          <w:type w:val="continuous"/>
        </w:sectPr>
      </w:pPr>
    </w:p>
    <w:bookmarkStart w:id="1" w:name="page2"/>
    <w:bookmarkEnd w:id="1"/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TechnipFMC Limited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LIMITED POWER OF ATTORNEY</w:t>
      </w: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(For Executing Forms 3, 4 and 5)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Know all by these presents, that the undersigned hereby constitutes and appoints each of Jay A. Nutt, Charles-Henri Prou and Lisa P. Wang, signing singly, and with</w:t>
      </w:r>
    </w:p>
    <w:p>
      <w:pPr>
        <w:spacing w:after="0" w:line="146" w:lineRule="exact"/>
        <w:rPr>
          <w:sz w:val="20"/>
          <w:szCs w:val="20"/>
          <w:color w:val="auto"/>
        </w:rPr>
      </w:pPr>
    </w:p>
    <w:p>
      <w:pPr>
        <w:ind w:left="428" w:hanging="428"/>
        <w:spacing w:after="0"/>
        <w:tabs>
          <w:tab w:leader="none" w:pos="42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Execute for and on behalf of the undersigned, in the undersigned's capacity as an officer or director, or both, of TechnipFMC Limited (to be renamed TechnipFM</w:t>
      </w:r>
    </w:p>
    <w:p>
      <w:pPr>
        <w:spacing w:after="0" w:line="14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428" w:hanging="428"/>
        <w:spacing w:after="0"/>
        <w:tabs>
          <w:tab w:leader="none" w:pos="42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Do and perform any and all acts for and on behalf of the undersigned that may be necessary or desirable to complete and execute any such Form 3, 4 or 5, compl</w:t>
      </w:r>
    </w:p>
    <w:p>
      <w:pPr>
        <w:spacing w:after="0" w:line="14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jc w:val="both"/>
        <w:ind w:left="8" w:hanging="8"/>
        <w:spacing w:after="0" w:line="474" w:lineRule="auto"/>
        <w:tabs>
          <w:tab w:leader="none" w:pos="43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2"/>
          <w:szCs w:val="12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Take any other action of any type whatsoever in connection with the foregoing which, in the opinion of such attorney-in-fact, may be of benefit to, in the bes The undersigned hereby grants to each such attorney-in-fact full power and authority to do and perform any and every act and thing whatsoever requisite, necessary a This Limited Power of Attorney shall remain in full force and effect until the undersigned is no longer required to file Forms 3, 4 or 5 with respect to the undersi IN WITNESS WHEREOF, the undersigned has caused this Limited Power of Attorney to be executed as of this 13th day of January 2017.</w:t>
      </w:r>
    </w:p>
    <w:p>
      <w:pPr>
        <w:spacing w:after="0" w:line="2" w:lineRule="exact"/>
        <w:rPr>
          <w:rFonts w:ascii="Courier New" w:cs="Courier New" w:eastAsia="Courier New" w:hAnsi="Courier New"/>
          <w:sz w:val="12"/>
          <w:szCs w:val="12"/>
          <w:color w:val="auto"/>
        </w:rPr>
      </w:pPr>
    </w:p>
    <w:p>
      <w:pPr>
        <w:ind w:left="8"/>
        <w:spacing w:after="0"/>
        <w:rPr>
          <w:rFonts w:ascii="Courier New" w:cs="Courier New" w:eastAsia="Courier New" w:hAnsi="Courier New"/>
          <w:sz w:val="12"/>
          <w:szCs w:val="12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/s/ Thierry Pilenko</w:t>
      </w:r>
    </w:p>
    <w:sectPr>
      <w:pgSz w:w="11900" w:h="16838" w:orient="portrait"/>
      <w:cols w:equalWidth="0" w:num="1">
        <w:col w:w="11528"/>
      </w:cols>
      <w:pgMar w:left="212" w:top="137" w:right="1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238E1F29"/>
    <w:multiLevelType w:val="hybridMultilevel"/>
    <w:lvl w:ilvl="0">
      <w:lvlJc w:val="left"/>
      <w:lvlText w:val="**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282307" TargetMode="External"/><Relationship Id="rId12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2019-12-24T09:08:18Z</dcterms:created>
  <dcterms:modified xsi:type="dcterms:W3CDTF">2019-12-24T09:08:18Z</dcterms:modified>
</cp:coreProperties>
</file>