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15,891,254.22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530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DELAWARE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1252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FMR LLC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06/30/2025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4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519" w:hAnchor="page" w:vAnchor="page" w:x="650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185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174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IN</w:t>
      </w:r>
    </w:p>
    <w:p>
      <w:pPr>
        <w:pStyle w:val="Normal"/>
        <w:framePr w:w="480" w:hAnchor="page" w:vAnchor="page" w:x="787" w:y="171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169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165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3.8 %</w:t>
      </w:r>
    </w:p>
    <w:p>
      <w:pPr>
        <w:pStyle w:val="Normal"/>
        <w:framePr w:w="467" w:hAnchor="page" w:vAnchor="page" w:x="794" w:y="163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157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154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152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149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15,953,723.55</w:t>
      </w:r>
    </w:p>
    <w:p>
      <w:pPr>
        <w:pStyle w:val="Normal"/>
        <w:framePr w:w="361" w:hAnchor="page" w:vAnchor="page" w:x="842" w:y="146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43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39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35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134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832" w:hAnchor="page" w:vAnchor="page" w:x="628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2366" w:hAnchor="page" w:vAnchor="page" w:x="1856" w:y="131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942" w:hAnchor="page" w:vAnchor="page" w:x="578" w:y="129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1783" w:hAnchor="page" w:vAnchor="page" w:x="1856" w:y="128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15,953,723.55</w:t>
      </w:r>
    </w:p>
    <w:p>
      <w:pPr>
        <w:pStyle w:val="Normal"/>
        <w:framePr w:w="1272" w:hAnchor="page" w:vAnchor="page" w:x="428" w:y="126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25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7</w:t>
      </w:r>
    </w:p>
    <w:p>
      <w:pPr>
        <w:pStyle w:val="Normal"/>
        <w:framePr w:w="757" w:hAnchor="page" w:vAnchor="page" w:x="662" w:y="123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879" w:hAnchor="page" w:vAnchor="page" w:x="1856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Dispositive Power </w:t>
      </w:r>
    </w:p>
    <w:p>
      <w:pPr>
        <w:pStyle w:val="Normal"/>
        <w:framePr w:w="1279" w:hAnchor="page" w:vAnchor="page" w:x="424" w:y="12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726" w:hAnchor="page" w:vAnchor="page" w:x="1856" w:y="119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430" w:hAnchor="page" w:vAnchor="page" w:x="356" w:y="118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16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924" w:hAnchor="page" w:vAnchor="page" w:x="586" w:y="116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718" w:hAnchor="page" w:vAnchor="page" w:x="1856" w:y="114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344" w:hAnchor="page" w:vAnchor="page" w:x="395" w:y="113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726" w:hAnchor="page" w:vAnchor="page" w:x="1856" w:y="110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8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2385" w:hAnchor="page" w:vAnchor="page" w:x="1856" w:y="1053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2012" w:hAnchor="page" w:vAnchor="page" w:x="1526" w:y="101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UNITED STATES</w:t>
      </w:r>
    </w:p>
    <w:p>
      <w:pPr>
        <w:pStyle w:val="Normal"/>
        <w:framePr w:w="361" w:hAnchor="page" w:vAnchor="page" w:x="842" w:y="99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93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93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86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2018" w:hAnchor="page" w:vAnchor="page" w:x="1526" w:y="78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Abigail P. Johnson</w:t>
      </w:r>
    </w:p>
    <w:p>
      <w:pPr>
        <w:pStyle w:val="Normal"/>
        <w:framePr w:w="361" w:hAnchor="page" w:vAnchor="page" w:x="842" w:y="76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7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64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72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HC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3.8 %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15,953,723.55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15,953,723.55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.4pt;margin-top:318.9pt;z-index:-16776760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.4pt;margin-top:365.45pt;z-index:-16776756;width:585.25pt;height:522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5.25pt;margin-top:464.15pt;z-index:-1677675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73.8pt;margin-top:464.15pt;z-index:-1677674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5.25pt;margin-top:407.1pt;z-index:-167767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71.55pt;margin-top:367.3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15.25pt;margin-top:367.3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3.8pt;margin-top:407.1pt;z-index:-167767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94pt;margin-top:367.3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73.8pt;margin-top:367.3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75.3pt;margin-top:393.6pt;z-index:-167767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5.25pt;margin-top:461.9pt;z-index:-167767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71.55pt;margin-top:409.35pt;z-index:-167767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5.25pt;margin-top:409.35pt;z-index:-167767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73.8pt;margin-top:461.9pt;z-index:-167767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594pt;margin-top:409.35pt;z-index:-1677670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73.8pt;margin-top:409.35pt;z-index:-1677669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75.3pt;margin-top:435.6pt;z-index:-1677669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478.4pt;z-index:-167766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1.55pt;margin-top:464.15pt;z-index:-167766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5.25pt;margin-top:464.15pt;z-index:-167766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73.8pt;margin-top:478.4pt;z-index:-167766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94pt;margin-top:464.15pt;z-index:-1677667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73.8pt;margin-top:464.15pt;z-index:-1677666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5.25pt;margin-top:520.45pt;z-index:-1677666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71.55pt;margin-top:480.6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.25pt;margin-top:480.65pt;z-index:-167766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73.8pt;margin-top:520.45pt;z-index:-1677665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94pt;margin-top:480.6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73.8pt;margin-top:480.65pt;z-index:-167766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75.3pt;margin-top:506.9pt;z-index:-1677664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5.25pt;margin-top:715.6pt;z-index:-167766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71.55pt;margin-top:522.7pt;z-index:-16776632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.25pt;margin-top:522.7pt;z-index:-16776628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73.8pt;margin-top:715.6pt;z-index:-167766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594pt;margin-top:522.7pt;z-index:-16776620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73.8pt;margin-top:522.7pt;z-index:-16776616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76.8pt;margin-top:566.95pt;z-index:-167766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88.05pt;margin-top:524.95pt;z-index:-167766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90.3pt;margin-top:566.95pt;z-index:-167766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90.3pt;margin-top:524.95pt;z-index:-167766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91.8pt;margin-top:552.7pt;z-index:-167765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76.8pt;margin-top:611.25pt;z-index:-1677659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88.05pt;margin-top:569.25pt;z-index:-167765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90.3pt;margin-top:611.25pt;z-index:-1677658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90.3pt;margin-top:569.25pt;z-index:-1677658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91.8pt;margin-top:597pt;z-index:-1677657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76.8pt;margin-top:655.55pt;z-index:-1677657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88.05pt;margin-top:613.5pt;z-index:-167765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90.3pt;margin-top:655.55pt;z-index:-1677656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90.3pt;margin-top:613.5pt;z-index:-1677656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91.8pt;margin-top:641.3pt;z-index:-1677655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88.05pt;margin-top:657.8pt;z-index:-16776552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90.3pt;margin-top:657.8pt;z-index:-167765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91.8pt;margin-top:699.1pt;z-index:-1677654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5.25pt;margin-top:757.65pt;z-index:-167765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71.55pt;margin-top:717.8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5.25pt;margin-top:717.85pt;z-index:-167765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.8pt;margin-top:757.65pt;z-index:-167765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94pt;margin-top:717.8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.8pt;margin-top:717.85pt;z-index:-167765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5.3pt;margin-top:744.1pt;z-index:-1677651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5.25pt;margin-top:799.65pt;z-index:-1677651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71.55pt;margin-top:759.9pt;z-index:-167765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5.25pt;margin-top:759.9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73.8pt;margin-top:799.65pt;z-index:-1677650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94pt;margin-top:759.9pt;z-index:-167764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73.8pt;margin-top:759.9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841.7pt;z-index:-167764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1.55pt;margin-top:801.9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.25pt;margin-top:801.9pt;z-index:-167764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73.8pt;margin-top:841.7pt;z-index:-167764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94pt;margin-top:801.9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73.8pt;margin-top:801.9pt;z-index:-167764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75.3pt;margin-top:828.2pt;z-index:-167764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.25pt;margin-top:883.75pt;z-index:-167764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71.55pt;margin-top:843.95pt;z-index:-167764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5.25pt;margin-top:843.95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73.8pt;margin-top:883.75pt;z-index:-1677644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94pt;margin-top:843.95pt;z-index:-167764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73.8pt;margin-top:843.95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75.3pt;margin-top:870.25pt;z-index:-1677643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76.3pt;margin-top:146.85pt;z-index:-167764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76.3pt;margin-top:436.6pt;z-index:-167764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76.3pt;margin-top:449.4pt;z-index:-167764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76.3pt;margin-top:787.15pt;z-index:-167764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</w:p>
    <w:p>
      <w:pPr>
        <w:pStyle w:val="Normal"/>
        <w:framePr w:w="11890" w:hAnchor="page" w:vAnchor="page" w:x="1286" w:y="19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19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190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187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6135" w:hAnchor="page" w:vAnchor="page" w:x="1526" w:y="184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  Ownership of 5 percent or less of a class</w:t>
      </w:r>
    </w:p>
    <w:p>
      <w:pPr>
        <w:pStyle w:val="Normal"/>
        <w:framePr w:w="5439" w:hAnchor="page" w:vAnchor="page" w:x="452" w:y="181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658" w:hAnchor="page" w:vAnchor="page" w:x="1286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0.00</w:t>
      </w:r>
    </w:p>
    <w:p>
      <w:pPr>
        <w:pStyle w:val="Normal"/>
        <w:framePr w:w="6234" w:hAnchor="page" w:vAnchor="page" w:x="1286" w:y="170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490" w:hAnchor="page" w:vAnchor="page" w:x="128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15953723.55</w:t>
      </w:r>
    </w:p>
    <w:p>
      <w:pPr>
        <w:pStyle w:val="Normal"/>
        <w:framePr w:w="5947" w:hAnchor="page" w:vAnchor="page" w:x="1286" w:y="159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658" w:hAnchor="page" w:vAnchor="page" w:x="1286" w:y="153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0.00</w:t>
      </w:r>
    </w:p>
    <w:p>
      <w:pPr>
        <w:pStyle w:val="Normal"/>
        <w:framePr w:w="4932" w:hAnchor="page" w:vAnchor="page" w:x="1286" w:y="148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5937" w:hAnchor="page" w:vAnchor="page" w:x="1286" w:y="14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Please see the responses to Items 5 and 6 on the cover page.</w:t>
      </w:r>
    </w:p>
    <w:p>
      <w:pPr>
        <w:pStyle w:val="Normal"/>
        <w:framePr w:w="4567" w:hAnchor="page" w:vAnchor="page" w:x="128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129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3.8  % </w:t>
      </w:r>
    </w:p>
    <w:p>
      <w:pPr>
        <w:pStyle w:val="Normal"/>
        <w:framePr w:w="532" w:hAnchor="page" w:vAnchor="page" w:x="643" w:y="127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123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490" w:hAnchor="page" w:vAnchor="page" w:x="1286" w:y="120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15953723.55</w:t>
      </w:r>
    </w:p>
    <w:p>
      <w:pPr>
        <w:pStyle w:val="Normal"/>
        <w:framePr w:w="519" w:hAnchor="page" w:vAnchor="page" w:x="650" w:y="11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15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12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03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94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93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89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87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86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519" w:hAnchor="page" w:vAnchor="page" w:x="650" w:y="83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97" w:hAnchor="page" w:vAnchor="page" w:x="1526" w:y="83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 parent holding company or control person in accordance with § 240.13d-1(b)(1)(ii)(G);</w:t>
      </w:r>
    </w:p>
    <w:p>
      <w:pPr>
        <w:pStyle w:val="Normal"/>
        <w:framePr w:w="625" w:hAnchor="page" w:vAnchor="page" w:x="1286" w:y="80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78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77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74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411" w:hAnchor="page" w:vAnchor="page" w:x="1526" w:y="74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investment adviser in accordance with § 240.13d-1(b)(1)(ii)(E);</w:t>
      </w:r>
    </w:p>
    <w:p>
      <w:pPr>
        <w:pStyle w:val="Normal"/>
        <w:framePr w:w="2044" w:hAnchor="page" w:vAnchor="page" w:x="1286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68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65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65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62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62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59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59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56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53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50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4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44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42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39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634" w:hAnchor="page" w:vAnchor="page" w:x="1286" w:y="36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06" w:hAnchor="page" w:vAnchor="page" w:x="656" w:y="3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31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5014" w:hAnchor="page" w:vAnchor="page" w:x="1286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245 Summer Street, Boston, Massachusetts 02210</w:t>
      </w:r>
    </w:p>
    <w:p>
      <w:pPr>
        <w:pStyle w:val="Normal"/>
        <w:framePr w:w="532" w:hAnchor="page" w:vAnchor="page" w:x="643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23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1252" w:hAnchor="page" w:vAnchor="page" w:x="1286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FMR LLC</w:t>
      </w:r>
    </w:p>
    <w:p>
      <w:pPr>
        <w:pStyle w:val="Normal"/>
        <w:framePr w:w="519" w:hAnchor="page" w:vAnchor="page" w:x="650" w:y="1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1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1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790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HOUSE,WINCOMBLEE ROAD,NEWCASTLE UPON TYNE,X0,NE6 3PL</w:t>
      </w:r>
    </w:p>
    <w:p>
      <w:pPr>
        <w:pStyle w:val="Normal"/>
        <w:framePr w:w="532" w:hAnchor="page" w:vAnchor="page" w:x="643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7pt;margin-top:1pt;z-index:-167764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3.3pt;margin-top:1pt;z-index:-167764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3.3pt;margin-top:42.3pt;z-index:-167764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3.3pt;margin-top:99.35pt;z-index:-167764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63.3pt;margin-top:140.6pt;z-index:-1677640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63.3pt;margin-top:181.9pt;z-index:-1677639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63.3pt;margin-top:223.2pt;z-index:-1677639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63.3pt;margin-top:264.45pt;z-index:-1677638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63.3pt;margin-top:603pt;z-index:-1677638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63.3pt;margin-top:644.3pt;z-index:-16776380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63.3pt;margin-top:714.1pt;z-index:-1677637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63.3pt;margin-top:768.15pt;z-index:-167763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3.3pt;margin-top:822.2pt;z-index:-167763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63.3pt;margin-top:876.25pt;z-index:-167763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63.3pt;margin-top:920.5pt;z-index:-167763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63.3pt;margin-top:952.05pt;z-index:-16776356;width:531.95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4.3pt;margin-top:297pt;z-index:-167763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64.3pt;margin-top:312.75pt;z-index:-167763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64.3pt;margin-top:328.5pt;z-index:-167763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64.3pt;margin-top:344.3pt;z-index:-167763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4.3pt;margin-top:372.8pt;z-index:-167763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64.3pt;margin-top:388.55pt;z-index:-167763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64.3pt;margin-top:417.1pt;z-index:-167763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64.3pt;margin-top:432.85pt;z-index:-167763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4.3pt;margin-top:461.4pt;z-index:-167763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64.3pt;margin-top:489.9pt;z-index:-167763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64.3pt;margin-top:531.2pt;z-index:-167763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64.3pt;margin-top:921.5pt;z-index:-167763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</w:p>
    <w:p>
      <w:pPr>
        <w:pStyle w:val="Normal"/>
        <w:framePr w:w="4941" w:hAnchor="page" w:vAnchor="page" w:x="325" w:y="154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Please see Exhibit 99 for 13d-1(k) (1) agreement.</w:t>
      </w:r>
    </w:p>
    <w:p>
      <w:pPr>
        <w:pStyle w:val="Normal"/>
        <w:framePr w:w="2355" w:hAnchor="page" w:vAnchor="page" w:x="1504" w:y="148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Exhibit Information </w:t>
      </w:r>
    </w:p>
    <w:p>
      <w:pPr>
        <w:pStyle w:val="Normal"/>
        <w:framePr w:w="11015" w:hAnchor="page" w:vAnchor="page" w:x="280" w:y="145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Schedule 13G filed by FMR LLC on August 8, 2023, accession number: 0000315066-23-002397.</w:t>
      </w:r>
    </w:p>
    <w:p>
      <w:pPr>
        <w:pStyle w:val="Normal"/>
        <w:framePr w:w="7596" w:hAnchor="page" w:vAnchor="page" w:x="280" w:y="142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Comments accompanying signature:</w:t>
      </w: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  *This power of attorney </w:t>
      </w:r>
    </w:p>
    <w:p>
      <w:pPr>
        <w:pStyle w:val="Normal"/>
        <w:framePr w:w="6218" w:hAnchor="page" w:vAnchor="page" w:x="6595" w:y="142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is incorporated herein by reference to Exhibit 24 to the </w:t>
      </w:r>
    </w:p>
    <w:p>
      <w:pPr>
        <w:pStyle w:val="Normal"/>
        <w:framePr w:w="796" w:hAnchor="page" w:vAnchor="page" w:x="6300" w:y="136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681" w:y="136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08/05/2025</w:t>
      </w:r>
    </w:p>
    <w:p>
      <w:pPr>
        <w:pStyle w:val="Normal"/>
        <w:framePr w:w="3198" w:hAnchor="page" w:vAnchor="page" w:x="7681" w:y="132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behalf of Abigail P. Johnson*</w:t>
      </w:r>
    </w:p>
    <w:p>
      <w:pPr>
        <w:pStyle w:val="Normal"/>
        <w:framePr w:w="1452" w:hAnchor="page" w:vAnchor="page" w:x="6300" w:y="12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150" w:hAnchor="page" w:vAnchor="page" w:x="7681" w:y="12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effective as of May 23, 2023, by and on</w:t>
      </w:r>
    </w:p>
    <w:p>
      <w:pPr>
        <w:pStyle w:val="Normal"/>
        <w:framePr w:w="4486" w:hAnchor="page" w:vAnchor="page" w:x="7681" w:y="127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Duly authorized under Power of Attorney</w:t>
      </w:r>
    </w:p>
    <w:p>
      <w:pPr>
        <w:pStyle w:val="Normal"/>
        <w:framePr w:w="1307" w:hAnchor="page" w:vAnchor="page" w:x="6300" w:y="123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2150" w:hAnchor="page" w:vAnchor="page" w:x="7681" w:y="123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Richard Bourgelas</w:t>
      </w:r>
    </w:p>
    <w:p>
      <w:pPr>
        <w:pStyle w:val="Normal"/>
        <w:framePr w:w="3137" w:hAnchor="page" w:vAnchor="page" w:x="3042" w:y="11705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Abigail P. Johnson</w:t>
      </w:r>
    </w:p>
    <w:p>
      <w:pPr>
        <w:pStyle w:val="Normal"/>
        <w:framePr w:w="796" w:hAnchor="page" w:vAnchor="page" w:x="6300" w:y="112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681" w:y="112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08/05/2025</w:t>
      </w:r>
    </w:p>
    <w:p>
      <w:pPr>
        <w:pStyle w:val="Normal"/>
        <w:framePr w:w="2410" w:hAnchor="page" w:vAnchor="page" w:x="7681" w:y="10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indirect subsidiaries*</w:t>
      </w:r>
    </w:p>
    <w:p>
      <w:pPr>
        <w:pStyle w:val="Normal"/>
        <w:framePr w:w="4113" w:hAnchor="page" w:vAnchor="page" w:x="7681" w:y="10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behalf of FMR LLC and its direct and</w:t>
      </w:r>
    </w:p>
    <w:p>
      <w:pPr>
        <w:pStyle w:val="Normal"/>
        <w:framePr w:w="1452" w:hAnchor="page" w:vAnchor="page" w:x="6300" w:y="104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150" w:hAnchor="page" w:vAnchor="page" w:x="7681" w:y="103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effective as of May 23, 2023, by and on</w:t>
      </w:r>
    </w:p>
    <w:p>
      <w:pPr>
        <w:pStyle w:val="Normal"/>
        <w:framePr w:w="4486" w:hAnchor="page" w:vAnchor="page" w:x="7681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Duly authorized under Power of Attorney</w:t>
      </w:r>
    </w:p>
    <w:p>
      <w:pPr>
        <w:pStyle w:val="Normal"/>
        <w:framePr w:w="1307" w:hAnchor="page" w:vAnchor="page" w:x="6300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2150" w:hAnchor="page" w:vAnchor="page" w:x="7681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Richard Bourgelas</w:t>
      </w:r>
    </w:p>
    <w:p>
      <w:pPr>
        <w:pStyle w:val="Normal"/>
        <w:framePr w:w="1946" w:hAnchor="page" w:vAnchor="page" w:x="1962" w:y="9033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FMR LLC</w:t>
      </w:r>
    </w:p>
    <w:p>
      <w:pPr>
        <w:pStyle w:val="Normal"/>
        <w:framePr w:w="4030" w:hAnchor="page" w:vAnchor="page" w:x="1871" w:y="83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78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381" w:hAnchor="page" w:vAnchor="page" w:x="1286" w:y="72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</w:t>
      </w:r>
    </w:p>
    <w:p>
      <w:pPr>
        <w:pStyle w:val="Normal"/>
        <w:framePr w:w="3532" w:hAnchor="page" w:vAnchor="page" w:x="1286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66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58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52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49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43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2552" w:hAnchor="page" w:vAnchor="page" w:x="1286" w:y="39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attached Exhibit 99.</w:t>
      </w:r>
    </w:p>
    <w:p>
      <w:pPr>
        <w:pStyle w:val="Normal"/>
        <w:framePr w:w="2400" w:hAnchor="page" w:vAnchor="page" w:x="1286" w:y="32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relevant subsidiary</w:t>
      </w:r>
    </w:p>
    <w:p>
      <w:pPr>
        <w:pStyle w:val="Normal"/>
        <w:framePr w:w="301" w:hAnchor="page" w:vAnchor="page" w:x="2910" w:y="32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11888" w:hAnchor="page" w:vAnchor="page" w:x="1286" w:y="29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has  filed  this  schedule  pursuant  to  Rule  13d-1(c)  or  Rule  13d-1(d),  attach  an  exhibit  stating  the  identification  of  the</w:t>
      </w:r>
    </w:p>
    <w:p>
      <w:pPr>
        <w:pStyle w:val="Normal"/>
        <w:framePr w:w="4063" w:hAnchor="page" w:vAnchor="page" w:x="1286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attach an exhibit stating the identity</w:t>
      </w:r>
    </w:p>
    <w:p>
      <w:pPr>
        <w:pStyle w:val="Normal"/>
        <w:framePr w:w="5923" w:hAnchor="page" w:vAnchor="page" w:x="4435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the Item 3 classification of the relevant subsidiary</w:t>
      </w:r>
    </w:p>
    <w:p>
      <w:pPr>
        <w:pStyle w:val="Normal"/>
        <w:framePr w:w="3475" w:hAnchor="page" w:vAnchor="page" w:x="9261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 If a parent holding company</w:t>
      </w:r>
    </w:p>
    <w:p>
      <w:pPr>
        <w:pStyle w:val="Normal"/>
        <w:framePr w:w="11890" w:hAnchor="page" w:vAnchor="page" w:x="1286" w:y="24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 parent holding companyhas filed this schedule, pursuant to Rule 13d-1(b)(ii)(G), so indicate under Item 3(g) and</w:t>
      </w:r>
    </w:p>
    <w:p>
      <w:pPr>
        <w:pStyle w:val="Normal"/>
        <w:framePr w:w="4060" w:hAnchor="page" w:vAnchor="page" w:x="1286" w:y="21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18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1218" w:hAnchor="page" w:vAnchor="page" w:x="1286" w:y="1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 of TECHNIPFMC PLC is more than five percent of the total outstanding COMMON STOCK.</w:t>
      </w:r>
    </w:p>
    <w:p>
      <w:pPr>
        <w:pStyle w:val="Normal"/>
        <w:framePr w:w="11954" w:hAnchor="page" w:vAnchor="page" w:x="1286" w:y="1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the proceeds from the sale of, the COMMON STOCK of TECHNIPFMC PLC. No one other person's interest in the </w:t>
      </w:r>
    </w:p>
    <w:p>
      <w:pPr>
        <w:pStyle w:val="Normal"/>
        <w:framePr w:w="11946" w:hAnchor="page" w:vAnchor="page" w:x="1286" w:y="10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One or more other persons are known to have the right to receive or the power to direct the receipt of dividends from, or </w:t>
      </w:r>
    </w:p>
    <w:p>
      <w:pPr>
        <w:pStyle w:val="Normal"/>
        <w:framePr w:w="4888" w:hAnchor="page" w:vAnchor="page" w:x="1286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2576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</w:t>
      </w:r>
    </w:p>
    <w:p>
      <w:pPr>
        <w:pStyle w:val="Normal"/>
        <w:framePr w:w="4665" w:hAnchor="page" w:vAnchor="page" w:x="3084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registered under the Investment Company</w:t>
      </w:r>
    </w:p>
    <w:p>
      <w:pPr>
        <w:pStyle w:val="Normal"/>
        <w:framePr w:w="4736" w:hAnchor="page" w:vAnchor="page" w:x="67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Act of 1940 or the beneficiaries of employ</w:t>
      </w:r>
    </w:p>
    <w:p>
      <w:pPr>
        <w:pStyle w:val="Normal"/>
        <w:framePr w:w="1708" w:hAnchor="page" w:vAnchor="page" w:x="1054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ee benefit plan,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7pt;margin-top:1pt;z-index:-16776304;width:598pt;height:80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63.3pt;margin-top:1pt;z-index:-16776300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63.3pt;margin-top:52.05pt;z-index:-16776296;width:531.9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63.3pt;margin-top:121.85pt;z-index:-16776292;width:531.9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3.3pt;margin-top:198.4pt;z-index:-1677628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3.3pt;margin-top:229.95pt;z-index:-1677628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3.3pt;margin-top:261.45pt;z-index:-1677628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3.3pt;margin-top:308pt;z-index:-16776276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92.55pt;margin-top:405.6pt;z-index:-1677627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7.1pt;margin-top:450.65pt;z-index:-16776268;width:74.0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1.1pt;margin-top:584.25pt;z-index:-16776264;width:128.1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3pt;margin-top:714.1pt;z-index:-16776260;width:586pt;height:2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5.25pt;margin-top:743.35pt;z-index:-16776256;width:215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.25pt;margin-top:771.9pt;z-index:-16776252;width:215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styles.xml" Type="http://schemas.openxmlformats.org/officeDocument/2006/relationships/styles"/><Relationship Id="rId243" Target="fontTable.xml" Type="http://schemas.openxmlformats.org/officeDocument/2006/relationships/fontTable"/><Relationship Id="rId244" Target="settings.xml" Type="http://schemas.openxmlformats.org/officeDocument/2006/relationships/settings"/><Relationship Id="rId245" Target="webSettings.xml" Type="http://schemas.openxmlformats.org/officeDocument/2006/relationships/webSettings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1215</Words>
  <Characters>6241</Characters>
  <Application>e-iceblue</Application>
  <DocSecurity>0</DocSecurity>
  <Lines>250</Lines>
  <Paragraphs>250</Paragraphs>
  <ScaleCrop>false</ScaleCrop>
  <Company>e-iceblue</Company>
  <LinksUpToDate>false</LinksUpToDate>
  <CharactersWithSpaces>7349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2025-08-06T16:42:07Z</dcterms:created>
  <dc:creator>root</dc:creator>
  <cp:lastModifiedBy>root</cp:lastModifiedBy>
  <dcterms:modified xsi:type="dcterms:W3CDTF">2025-08-06T16:42:07Z</dcterms:modified>
  <cp:revision>1</cp:revision>
</cp:coreProperties>
</file>