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Debon Marie-Ange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TechnipFMC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FTI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EC4M 8AP</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01/17/2017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0000FF"/>
                <w:w w:val="93"/>
              </w:rPr>
              <w:t>830</w:t>
            </w:r>
          </w:p>
        </w:tc>
        <w:tc>
          <w:tcPr>
            <w:tcW w:w="760" w:type="dxa"/>
            <w:vAlign w:val="bottom"/>
          </w:tcPr>
          <w:p>
            <w:pPr>
              <w:ind w:left="44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0000FF"/>
              </w:rPr>
              <w:t>830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the Business Combination Agreement, dated as of June 14, 2016 (the "BCA") by and among the Issuer, FMC Technologies, Inc. ("FMCTI") and Technip S.A. ("Technip"), each ordinary share of Technip beneficially owned by the Reporting Person at the effective time of the transactions contemplated by the BCA (the Effective Time) was exchanged for 2.00 ordinary shares of the Issuer (the Exchange Ratio).</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Lisa P. Wang, Attorney-In-Fact 01/18/2017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94548"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2019-12-04T02:38:44Z</dcterms:created>
  <dcterms:modified xsi:type="dcterms:W3CDTF">2019-12-04T02:38:44Z</dcterms:modified>
</cp:coreProperties>
</file>