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620395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2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230"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February 20, 2017</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TechnipFMC plc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179" w:right="359" w:bottom="1440" w:gutter="0" w:footer="0" w:header="0"/>
        </w:sectPr>
      </w:pPr>
    </w:p>
    <w:p>
      <w:pPr>
        <w:spacing w:after="0" w:line="367" w:lineRule="exact"/>
        <w:rPr>
          <w:sz w:val="24"/>
          <w:szCs w:val="24"/>
          <w:color w:val="auto"/>
        </w:rPr>
      </w:pPr>
    </w:p>
    <w:p>
      <w:pPr>
        <w:ind w:left="11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001-37983</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98-1283037</w:t>
      </w:r>
    </w:p>
    <w:p>
      <w:pPr>
        <w:spacing w:after="0" w:line="153" w:lineRule="exact"/>
        <w:rPr>
          <w:sz w:val="24"/>
          <w:szCs w:val="24"/>
          <w:color w:val="auto"/>
        </w:rPr>
      </w:pPr>
    </w:p>
    <w:p>
      <w:pPr>
        <w:sectPr>
          <w:pgSz w:w="11900" w:h="16838" w:orient="portrait"/>
          <w:cols w:equalWidth="0" w:num="3">
            <w:col w:w="4620" w:space="720"/>
            <w:col w:w="3100" w:space="720"/>
            <w:col w:w="2140"/>
          </w:cols>
          <w:pgMar w:left="240" w:top="1179" w:right="359" w:bottom="1440" w:gutter="0" w:footer="0" w:header="0"/>
          <w:type w:val="continuous"/>
        </w:sectPr>
      </w:pPr>
    </w:p>
    <w:p>
      <w:pPr>
        <w:ind w:left="58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32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220" w:space="720"/>
            <w:col w:w="2900" w:space="720"/>
            <w:col w:w="2740"/>
          </w:cols>
          <w:pgMar w:left="240" w:top="1179" w:right="359" w:bottom="1440" w:gutter="0" w:footer="0" w:header="0"/>
          <w:type w:val="continuous"/>
        </w:sectPr>
      </w:pP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One St. Paul’s Churchyard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London, EC4M 8AP</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United Kingdom</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(Address of principal executive offices)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+44 203429-3950</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(Registrant’s telephone number, including area code)</w:t>
      </w:r>
    </w:p>
    <w:p>
      <w:pPr>
        <w:spacing w:after="0" w:line="1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1300"/>
          </w:cols>
          <w:pgMar w:left="240" w:top="1179" w:right="359" w:bottom="1440" w:gutter="0" w:footer="0" w:header="0"/>
          <w:type w:val="continuous"/>
        </w:sectPr>
      </w:pPr>
    </w:p>
    <w:p>
      <w:pPr>
        <w:spacing w:after="0" w:line="23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186690</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100330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300"/>
          </w:cols>
          <w:pgMar w:left="240" w:top="1179" w:right="359" w:bottom="1440" w:gutter="0" w:footer="0" w:header="0"/>
          <w:type w:val="continuous"/>
        </w:sectPr>
      </w:pPr>
    </w:p>
    <w:bookmarkStart w:id="1" w:name="page2"/>
    <w:bookmarkEnd w:id="1"/>
    <w:p>
      <w:pPr>
        <w:ind w:left="1300" w:right="1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February 20, 2017, the Compensation Committee of the Board of Directors of TechnipFMC plc (“</w:t>
      </w:r>
      <w:r>
        <w:rPr>
          <w:rFonts w:ascii="Arial" w:cs="Arial" w:eastAsia="Arial" w:hAnsi="Arial"/>
          <w:sz w:val="16"/>
          <w:szCs w:val="16"/>
          <w:u w:val="single" w:color="auto"/>
          <w:color w:val="auto"/>
        </w:rPr>
        <w:t>TechnipFMC</w:t>
      </w:r>
      <w:r>
        <w:rPr>
          <w:rFonts w:ascii="Arial" w:cs="Arial" w:eastAsia="Arial" w:hAnsi="Arial"/>
          <w:sz w:val="16"/>
          <w:szCs w:val="16"/>
          <w:color w:val="auto"/>
        </w:rPr>
        <w:t>”) approved grants of options, restricted stock units (“</w:t>
      </w:r>
      <w:r>
        <w:rPr>
          <w:rFonts w:ascii="Arial" w:cs="Arial" w:eastAsia="Arial" w:hAnsi="Arial"/>
          <w:sz w:val="16"/>
          <w:szCs w:val="16"/>
          <w:u w:val="single" w:color="auto"/>
          <w:color w:val="auto"/>
        </w:rPr>
        <w:t>RSUs</w:t>
      </w:r>
      <w:r>
        <w:rPr>
          <w:rFonts w:ascii="Arial" w:cs="Arial" w:eastAsia="Arial" w:hAnsi="Arial"/>
          <w:sz w:val="16"/>
          <w:szCs w:val="16"/>
          <w:color w:val="auto"/>
        </w:rPr>
        <w:t>”) and performance stock units (“</w:t>
      </w:r>
      <w:r>
        <w:rPr>
          <w:rFonts w:ascii="Arial" w:cs="Arial" w:eastAsia="Arial" w:hAnsi="Arial"/>
          <w:sz w:val="16"/>
          <w:szCs w:val="16"/>
          <w:u w:val="single" w:color="auto"/>
          <w:color w:val="auto"/>
        </w:rPr>
        <w:t>PSUs</w:t>
      </w:r>
      <w:r>
        <w:rPr>
          <w:rFonts w:ascii="Arial" w:cs="Arial" w:eastAsia="Arial" w:hAnsi="Arial"/>
          <w:sz w:val="16"/>
          <w:szCs w:val="16"/>
          <w:color w:val="auto"/>
        </w:rPr>
        <w:t>”) under the TechnipFMC plc 2017 Incentive Award Plan (the “Incentive Award Plan”), to Maryann T. Mannen, Executive Vice President and Chief Financial Officer of the Company, with such grants to be made on the first business day following the date TechnipFMC files a Form S-8 registering shares to be offered under the Incentive Award Plan. The value of these grants will be approximately four times Ms. Mannen’s base salary and allocated based on grant date fair value as 60% PSUs, 20% RSUs and 20% options. Options will have an exercise price equal to the closing price of TechnipFMC’s ordinary shares as reported by the NYSE on the date of grant. The options and RSUs will vest after a three-year period. The PSUs are based on a performance period of January 1, 2017 through December 31, 2019 and will vest after a three-year period based on the date of the grant. The PSUs will be based on the achievement of performance goals relating to total shareholder return of the Company as measured against a peer group established by the Company’s Board of Directors and return on invested capital. Upon vesting of the RSUs and PSUs, the Company will deliver the number of ordinary shares of the Company equal to the number of RSUs and PSUs that vested.</w:t>
      </w:r>
    </w:p>
    <w:p>
      <w:pPr>
        <w:sectPr>
          <w:pgSz w:w="11900" w:h="16838" w:orient="portrait"/>
          <w:cols w:equalWidth="0" w:num="1">
            <w:col w:w="11380"/>
          </w:cols>
          <w:pgMar w:left="240" w:top="580"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31750</wp:posOffset>
            </wp:positionV>
            <wp:extent cx="34817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Dated: February 24, 2017</w:t>
      </w:r>
      <w:r>
        <w:rPr>
          <w:sz w:val="20"/>
          <w:szCs w:val="20"/>
          <w:color w:val="auto"/>
        </w:rPr>
        <w:tab/>
      </w:r>
      <w:r>
        <w:rPr>
          <w:rFonts w:ascii="Arial" w:cs="Arial" w:eastAsia="Arial" w:hAnsi="Arial"/>
          <w:sz w:val="16"/>
          <w:szCs w:val="16"/>
          <w:color w:val="auto"/>
        </w:rPr>
        <w:t>Name: Dianne B. Ralston</w:t>
      </w:r>
    </w:p>
    <w:p>
      <w:pPr>
        <w:spacing w:after="0" w:line="6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Title: Executive Vice President, Chief Legal Officer and Secretary</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2019-12-08T07:11:38Z</dcterms:created>
  <dcterms:modified xsi:type="dcterms:W3CDTF">2019-12-08T07:11:38Z</dcterms:modified>
</cp:coreProperties>
</file>