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28473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47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12, 2019</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1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September 30, 2019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September 30, 2019, which was filed with the U.S. Securities and Exchange Commission on November 12, 2019.</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2019-11-28T10:42:50Z</dcterms:created>
  <dcterms:modified xsi:type="dcterms:W3CDTF">2019-11-28T10:42:50Z</dcterms:modified>
</cp:coreProperties>
</file>