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25"/>
        </w:trPr>
        <w:tc>
          <w:tcPr>
            <w:tcW w:w="6180" w:type="dxa"/>
            <w:vAlign w:val="bottom"/>
            <w:gridSpan w:val="3"/>
          </w:tcPr>
          <w:p>
            <w:pPr>
              <w:jc w:val="center"/>
              <w:ind w:right="2394"/>
              <w:spacing w:after="0"/>
              <w:rPr>
                <w:sz w:val="20"/>
                <w:szCs w:val="20"/>
                <w:color w:val="auto"/>
              </w:rPr>
            </w:pPr>
            <w:r>
              <w:rPr>
                <w:rFonts w:ascii="Arial" w:cs="Arial" w:eastAsia="Arial" w:hAnsi="Arial"/>
                <w:sz w:val="18"/>
                <w:szCs w:val="18"/>
                <w:b w:val="1"/>
                <w:bCs w:val="1"/>
                <w:color w:val="auto"/>
                <w:w w:val="90"/>
              </w:rPr>
              <w:t>England and Wales</w:t>
            </w:r>
          </w:p>
        </w:tc>
        <w:tc>
          <w:tcPr>
            <w:tcW w:w="2440" w:type="dxa"/>
            <w:vAlign w:val="bottom"/>
            <w:gridSpan w:val="2"/>
          </w:tcPr>
          <w:p>
            <w:pPr>
              <w:jc w:val="center"/>
              <w:ind w:left="342"/>
              <w:spacing w:after="0"/>
              <w:rPr>
                <w:sz w:val="20"/>
                <w:szCs w:val="20"/>
                <w:color w:val="auto"/>
              </w:rPr>
            </w:pPr>
            <w:r>
              <w:rPr>
                <w:rFonts w:ascii="Arial" w:cs="Arial" w:eastAsia="Arial" w:hAnsi="Arial"/>
                <w:sz w:val="18"/>
                <w:szCs w:val="18"/>
                <w:b w:val="1"/>
                <w:bCs w:val="1"/>
                <w:color w:val="auto"/>
                <w:w w:val="89"/>
              </w:rPr>
              <w:t>98-1283037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180" w:type="dxa"/>
            <w:vAlign w:val="bottom"/>
            <w:gridSpan w:val="3"/>
          </w:tcPr>
          <w:p>
            <w:pPr>
              <w:jc w:val="center"/>
              <w:ind w:right="2394"/>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540" w:type="dxa"/>
            <w:vAlign w:val="bottom"/>
            <w:gridSpan w:val="3"/>
          </w:tcPr>
          <w:p>
            <w:pPr>
              <w:jc w:val="center"/>
              <w:ind w:left="262"/>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99"/>
        </w:trPr>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60" w:type="dxa"/>
            <w:vAlign w:val="bottom"/>
          </w:tcPr>
          <w:p>
            <w:pPr>
              <w:jc w:val="center"/>
              <w:ind w:left="674"/>
              <w:spacing w:after="0"/>
              <w:rPr>
                <w:sz w:val="20"/>
                <w:szCs w:val="20"/>
                <w:color w:val="auto"/>
              </w:rPr>
            </w:pPr>
            <w:r>
              <w:rPr>
                <w:rFonts w:ascii="Arial" w:cs="Arial" w:eastAsia="Arial" w:hAnsi="Arial"/>
                <w:sz w:val="18"/>
                <w:szCs w:val="18"/>
                <w:b w:val="1"/>
                <w:bCs w:val="1"/>
                <w:color w:val="auto"/>
                <w:w w:val="91"/>
              </w:rPr>
              <w:t>One St. Paul’s Churchyard</w:t>
            </w:r>
          </w:p>
        </w:tc>
        <w:tc>
          <w:tcPr>
            <w:tcW w:w="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tcPr>
          <w:p>
            <w:pPr>
              <w:jc w:val="center"/>
              <w:ind w:left="654"/>
              <w:spacing w:after="0"/>
              <w:rPr>
                <w:sz w:val="20"/>
                <w:szCs w:val="20"/>
                <w:color w:val="auto"/>
              </w:rPr>
            </w:pPr>
            <w:r>
              <w:rPr>
                <w:rFonts w:ascii="Arial" w:cs="Arial" w:eastAsia="Arial" w:hAnsi="Arial"/>
                <w:sz w:val="18"/>
                <w:szCs w:val="18"/>
                <w:b w:val="1"/>
                <w:bCs w:val="1"/>
                <w:color w:val="auto"/>
                <w:w w:val="95"/>
              </w:rPr>
              <w:t>London, EC4M 8AP</w:t>
            </w: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60" w:type="dxa"/>
            <w:vAlign w:val="bottom"/>
          </w:tcPr>
          <w:p>
            <w:pPr>
              <w:jc w:val="center"/>
              <w:ind w:left="674"/>
              <w:spacing w:after="0"/>
              <w:rPr>
                <w:sz w:val="20"/>
                <w:szCs w:val="20"/>
                <w:color w:val="auto"/>
              </w:rPr>
            </w:pPr>
            <w:r>
              <w:rPr>
                <w:rFonts w:ascii="Arial" w:cs="Arial" w:eastAsia="Arial" w:hAnsi="Arial"/>
                <w:sz w:val="18"/>
                <w:szCs w:val="18"/>
                <w:b w:val="1"/>
                <w:bCs w:val="1"/>
                <w:color w:val="auto"/>
                <w:w w:val="92"/>
              </w:rPr>
              <w:t>United Kingdom</w:t>
            </w:r>
          </w:p>
        </w:tc>
        <w:tc>
          <w:tcPr>
            <w:tcW w:w="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760" w:type="dxa"/>
            <w:vAlign w:val="bottom"/>
          </w:tcPr>
          <w:p>
            <w:pPr>
              <w:jc w:val="center"/>
              <w:ind w:left="65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300" w:type="dxa"/>
            <w:vAlign w:val="bottom"/>
          </w:tcPr>
          <w:p>
            <w:pPr>
              <w:spacing w:after="0"/>
              <w:rPr>
                <w:sz w:val="24"/>
                <w:szCs w:val="24"/>
                <w:color w:val="auto"/>
              </w:rPr>
            </w:pPr>
          </w:p>
        </w:tc>
        <w:tc>
          <w:tcPr>
            <w:tcW w:w="742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88"/>
              </w:rPr>
              <w:t>Securities to be registered pursuant to Section 12(b) of the Act:</w:t>
            </w:r>
          </w:p>
        </w:tc>
        <w:tc>
          <w:tcPr>
            <w:tcW w:w="0" w:type="dxa"/>
            <w:vAlign w:val="bottom"/>
          </w:tcPr>
          <w:p>
            <w:pPr>
              <w:spacing w:after="0"/>
              <w:rPr>
                <w:sz w:val="1"/>
                <w:szCs w:val="1"/>
                <w:color w:val="auto"/>
              </w:rPr>
            </w:pPr>
          </w:p>
        </w:tc>
      </w:tr>
      <w:tr>
        <w:trPr>
          <w:trHeight w:val="392"/>
        </w:trPr>
        <w:tc>
          <w:tcPr>
            <w:tcW w:w="1300" w:type="dxa"/>
            <w:vAlign w:val="bottom"/>
          </w:tcPr>
          <w:p>
            <w:pPr>
              <w:spacing w:after="0"/>
              <w:rPr>
                <w:sz w:val="24"/>
                <w:szCs w:val="24"/>
                <w:color w:val="auto"/>
              </w:rPr>
            </w:pPr>
          </w:p>
        </w:tc>
        <w:tc>
          <w:tcPr>
            <w:tcW w:w="4880" w:type="dxa"/>
            <w:vAlign w:val="bottom"/>
            <w:gridSpan w:val="2"/>
          </w:tcPr>
          <w:p>
            <w:pPr>
              <w:jc w:val="center"/>
              <w:ind w:right="3674"/>
              <w:spacing w:after="0"/>
              <w:rPr>
                <w:sz w:val="20"/>
                <w:szCs w:val="20"/>
                <w:color w:val="auto"/>
              </w:rPr>
            </w:pPr>
            <w:r>
              <w:rPr>
                <w:rFonts w:ascii="Arial" w:cs="Arial" w:eastAsia="Arial" w:hAnsi="Arial"/>
                <w:sz w:val="14"/>
                <w:szCs w:val="14"/>
                <w:b w:val="1"/>
                <w:bCs w:val="1"/>
                <w:color w:val="auto"/>
                <w:w w:val="89"/>
              </w:rPr>
              <w:t>Title of each class</w:t>
            </w:r>
          </w:p>
        </w:tc>
        <w:tc>
          <w:tcPr>
            <w:tcW w:w="254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4880" w:type="dxa"/>
            <w:vAlign w:val="bottom"/>
            <w:gridSpan w:val="2"/>
          </w:tcPr>
          <w:p>
            <w:pPr>
              <w:jc w:val="center"/>
              <w:ind w:right="3694"/>
              <w:spacing w:after="0"/>
              <w:rPr>
                <w:sz w:val="20"/>
                <w:szCs w:val="20"/>
                <w:color w:val="auto"/>
              </w:rPr>
            </w:pPr>
            <w:r>
              <w:rPr>
                <w:rFonts w:ascii="Arial" w:cs="Arial" w:eastAsia="Arial" w:hAnsi="Arial"/>
                <w:sz w:val="14"/>
                <w:szCs w:val="14"/>
                <w:b w:val="1"/>
                <w:bCs w:val="1"/>
                <w:color w:val="auto"/>
                <w:w w:val="87"/>
              </w:rPr>
              <w:t>to be so registered</w:t>
            </w:r>
          </w:p>
        </w:tc>
        <w:tc>
          <w:tcPr>
            <w:tcW w:w="420" w:type="dxa"/>
            <w:vAlign w:val="bottom"/>
          </w:tcPr>
          <w:p>
            <w:pPr>
              <w:spacing w:after="0"/>
              <w:rPr>
                <w:sz w:val="14"/>
                <w:szCs w:val="14"/>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each class is to be registered</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8"/>
              </w:rPr>
              <w:t>Ordinary Shares,</w:t>
            </w:r>
          </w:p>
        </w:tc>
        <w:tc>
          <w:tcPr>
            <w:tcW w:w="1120" w:type="dxa"/>
            <w:vAlign w:val="bottom"/>
            <w:tcBorders>
              <w:top w:val="single" w:sz="8" w:color="auto"/>
              <w:bottom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w w:val="83"/>
              </w:rPr>
              <w:t>nominal value</w:t>
            </w:r>
          </w:p>
        </w:tc>
        <w:tc>
          <w:tcPr>
            <w:tcW w:w="37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$1.00 per share</w:t>
            </w:r>
          </w:p>
        </w:tc>
        <w:tc>
          <w:tcPr>
            <w:tcW w:w="420" w:type="dxa"/>
            <w:vAlign w:val="bottom"/>
            <w:vMerge w:val="restart"/>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3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76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211455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(if applicable): </w:t>
      </w:r>
      <w:r>
        <w:rPr>
          <w:rFonts w:ascii="Arial" w:cs="Arial" w:eastAsia="Arial" w:hAnsi="Arial"/>
          <w:sz w:val="18"/>
          <w:szCs w:val="18"/>
          <w:b w:val="1"/>
          <w:bCs w:val="1"/>
          <w:color w:val="auto"/>
        </w:rPr>
        <w:t>333-213067</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 is filing this Form 8-A in connection with the completion of the business combination between FMC Technologies, Inc. and Technip S.A. and the listing of the Company’s shares on the New York Stock Exchange (“</w:t>
      </w:r>
      <w:r>
        <w:rPr>
          <w:rFonts w:ascii="Arial" w:cs="Arial" w:eastAsia="Arial" w:hAnsi="Arial"/>
          <w:sz w:val="18"/>
          <w:szCs w:val="18"/>
          <w:u w:val="single" w:color="auto"/>
          <w:color w:val="auto"/>
        </w:rPr>
        <w:t>NYSE</w:t>
      </w:r>
      <w:r>
        <w:rPr>
          <w:rFonts w:ascii="Arial" w:cs="Arial" w:eastAsia="Arial" w:hAnsi="Arial"/>
          <w:sz w:val="18"/>
          <w:szCs w:val="18"/>
          <w:color w:val="auto"/>
        </w:rPr>
        <w:t>”).</w:t>
      </w:r>
    </w:p>
    <w:p>
      <w:pPr>
        <w:spacing w:after="0" w:line="3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description of the ordinary shares, nominal value $1.00 per share, of the Company, as included under the titles “Material U.S. Federal Income Tax Considerations”, “Material U.K. Tax Considerations”, “Material French Tax Considerations”, “Description of Topco Shares” and “Comparison of Rights of Stockholders of FMCTI, Technip and Topco” in the proxy statement/prospectus forming a part of the Registration Statement on Form S-4, as originally filed with the U.S. Securities and Exchange Commission on August 10, 2016, and which became effective on October 24, 2016 (Registration No. 333-213067), including exhibits and as amended, is hereby incorporated by reference.</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Under the Instructions as to Exhibits with respect to Form 8-A, no exhibits are required to be filed because no other securities of the Company are to be registered on the NYSE and the securities registered hereby are not being registered pursuant to Section 12(g) of the U.S. Securities Exchange Act of 1934, as amended.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January 17, 2017</w:t>
      </w:r>
      <w:r>
        <w:rPr>
          <w:sz w:val="20"/>
          <w:szCs w:val="20"/>
          <w:color w:val="auto"/>
        </w:rPr>
        <w:tab/>
      </w:r>
      <w:r>
        <w:rPr>
          <w:rFonts w:ascii="Arial" w:cs="Arial" w:eastAsia="Arial" w:hAnsi="Arial"/>
          <w:sz w:val="16"/>
          <w:szCs w:val="16"/>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Dianne B. Ralston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Executive Vice President, Chief Legal Officer and Secretary</w:t>
      </w:r>
    </w:p>
    <w:sectPr>
      <w:pgSz w:w="11900" w:h="16838" w:orient="portrait"/>
      <w:cols w:equalWidth="0" w:num="1">
        <w:col w:w="11060"/>
      </w:cols>
      <w:pgMar w:left="2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2019-12-08T07:16:21Z</dcterms:created>
  <dcterms:modified xsi:type="dcterms:W3CDTF">2019-12-08T07:16:21Z</dcterms:modified>
</cp:coreProperties>
</file>