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13D</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TechnipFMC plc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 $1.00 par value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G87110105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Sophie Paquin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Bpifrance Participations S.A.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27-31, avenue du Général Leclerc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94710 Maisons-Alfort Cedex</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+33 1 53 89 87 89</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With copies 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Pierre-Yves Chabert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 rue de Tilsitt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75008 Paris, France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+33 1 40 74 68 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Facsimile: +33 1 40 74 68 88</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16,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ind w:left="60" w:right="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74" w:right="37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CUSIP No. G87110105</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Names of Reporting Persons.</w:t>
            </w:r>
          </w:p>
        </w:tc>
        <w:tc>
          <w:tcPr>
            <w:tcW w:w="7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Bpifrance Participations S.A.</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9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7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2"/>
                <w:szCs w:val="22"/>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7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7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2"/>
                <w:szCs w:val="22"/>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7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OO</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9560" w:type="dxa"/>
            <w:vAlign w:val="bottom"/>
            <w:tcBorders>
              <w:right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5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2"/>
                <w:szCs w:val="22"/>
                <w:color w:val="auto"/>
              </w:rPr>
            </w:pPr>
          </w:p>
        </w:tc>
        <w:tc>
          <w:tcPr>
            <w:tcW w:w="9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France</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7.</w:t>
            </w: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tcBorders>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8.</w:t>
            </w: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4"/>
              </w:rPr>
              <w:t>beneficially</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3"/>
              </w:rPr>
              <w:t>owned by</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20,656,724</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81"/>
              </w:rPr>
              <w:t>each</w:t>
            </w:r>
          </w:p>
        </w:tc>
        <w:tc>
          <w:tcPr>
            <w:tcW w:w="40" w:type="dxa"/>
            <w:vAlign w:val="bottom"/>
            <w:tcBorders>
              <w:right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7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tcBorders>
              <w:left w:val="single" w:sz="8" w:color="auto"/>
            </w:tcBorders>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540" w:type="dxa"/>
            <w:vAlign w:val="bottom"/>
            <w:tcBorders>
              <w:right w:val="single" w:sz="8" w:color="auto"/>
            </w:tcBorders>
            <w:vMerge w:val="restart"/>
          </w:tcPr>
          <w:p>
            <w:pPr>
              <w:ind w:left="1120"/>
              <w:spacing w:after="0"/>
              <w:rPr>
                <w:sz w:val="20"/>
                <w:szCs w:val="20"/>
                <w:color w:val="auto"/>
              </w:rPr>
            </w:pPr>
            <w:r>
              <w:rPr>
                <w:rFonts w:ascii="Arial" w:cs="Arial" w:eastAsia="Arial" w:hAnsi="Arial"/>
                <w:sz w:val="18"/>
                <w:szCs w:val="18"/>
                <w:color w:val="auto"/>
              </w:rPr>
              <w:t>9.</w:t>
            </w:r>
          </w:p>
        </w:tc>
        <w:tc>
          <w:tcPr>
            <w:tcW w:w="70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70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7"/>
              </w:rPr>
              <w:t>person</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7"/>
              </w:rPr>
              <w:t>with:</w:t>
            </w:r>
          </w:p>
        </w:tc>
        <w:tc>
          <w:tcPr>
            <w:tcW w:w="4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70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10.</w:t>
            </w: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20,656,724</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2"/>
                <w:szCs w:val="22"/>
                <w:color w:val="auto"/>
              </w:rPr>
            </w:pPr>
          </w:p>
        </w:tc>
        <w:tc>
          <w:tcPr>
            <w:tcW w:w="9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color w:val="auto"/>
              </w:rPr>
              <w:t>20,656,724</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9560" w:type="dxa"/>
            <w:vAlign w:val="bottom"/>
            <w:tcBorders>
              <w:right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c>
          <w:tcPr>
            <w:tcW w:w="7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2"/>
                <w:szCs w:val="22"/>
                <w:color w:val="auto"/>
              </w:rPr>
            </w:pPr>
          </w:p>
        </w:tc>
        <w:tc>
          <w:tcPr>
            <w:tcW w:w="9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54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4.6%</w:t>
            </w:r>
            <w:r>
              <w:rPr>
                <w:rFonts w:ascii="Arial" w:cs="Arial" w:eastAsia="Arial" w:hAnsi="Arial"/>
                <w:sz w:val="29"/>
                <w:szCs w:val="29"/>
                <w:color w:val="auto"/>
                <w:vertAlign w:val="superscript"/>
              </w:rPr>
              <w:t>1</w:t>
            </w:r>
          </w:p>
        </w:tc>
        <w:tc>
          <w:tcPr>
            <w:tcW w:w="7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2"/>
                <w:szCs w:val="22"/>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7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OO</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04" w:lineRule="exact"/>
        <w:rPr>
          <w:sz w:val="20"/>
          <w:szCs w:val="20"/>
          <w:color w:val="auto"/>
        </w:rPr>
      </w:pPr>
    </w:p>
    <w:p>
      <w:pPr>
        <w:ind w:right="240" w:firstLine="8"/>
        <w:spacing w:after="0" w:line="222" w:lineRule="auto"/>
        <w:tabs>
          <w:tab w:leader="none" w:pos="112"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Based on 450,700,480 Ordinary Shares, $1.00 par value per share (the “Ordinary Shares”) of TechnipFMC plc (the “Issuer”) outstanding as of October 26, 2021, as reported in the quarterly report on Form 10-Q filed by the Issuer with the Securities and Exchange Commission on October 27, 2021 (the “Form 10-Q”).</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 w:name="page3"/>
    <w:bookmarkEnd w:id="2"/>
    <w:p>
      <w:pPr>
        <w:ind w:left="100"/>
        <w:spacing w:after="0"/>
        <w:rPr>
          <w:sz w:val="20"/>
          <w:szCs w:val="20"/>
          <w:color w:val="auto"/>
        </w:rPr>
      </w:pPr>
      <w:r>
        <w:rPr>
          <w:rFonts w:ascii="Arial" w:cs="Arial" w:eastAsia="Arial" w:hAnsi="Arial"/>
          <w:sz w:val="18"/>
          <w:szCs w:val="18"/>
          <w:color w:val="auto"/>
        </w:rPr>
        <w:t>CUSIP No. G87110105</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Names of Reporting Persons.</w:t>
            </w:r>
          </w:p>
        </w:tc>
        <w:tc>
          <w:tcPr>
            <w:tcW w:w="69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w w:val="87"/>
              </w:rPr>
              <w:t>Caisse des Dépôts et Consignations</w:t>
            </w:r>
          </w:p>
        </w:tc>
        <w:tc>
          <w:tcPr>
            <w:tcW w:w="6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95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6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2"/>
          </w:tcPr>
          <w:p>
            <w:pPr>
              <w:spacing w:after="0"/>
              <w:rPr>
                <w:sz w:val="22"/>
                <w:szCs w:val="22"/>
                <w:color w:val="auto"/>
              </w:rPr>
            </w:pPr>
          </w:p>
        </w:tc>
        <w:tc>
          <w:tcPr>
            <w:tcW w:w="69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2"/>
                <w:szCs w:val="22"/>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2"/>
                <w:szCs w:val="22"/>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Source of Funds</w:t>
            </w:r>
          </w:p>
        </w:tc>
        <w:tc>
          <w:tcPr>
            <w:tcW w:w="6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OO</w:t>
            </w:r>
          </w:p>
        </w:tc>
        <w:tc>
          <w:tcPr>
            <w:tcW w:w="6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9560" w:type="dxa"/>
            <w:vAlign w:val="bottom"/>
            <w:tcBorders>
              <w:right w:val="single" w:sz="8" w:color="auto"/>
            </w:tcBorders>
            <w:gridSpan w:val="3"/>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56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2"/>
                <w:szCs w:val="22"/>
                <w:color w:val="auto"/>
              </w:rPr>
            </w:pPr>
          </w:p>
        </w:tc>
        <w:tc>
          <w:tcPr>
            <w:tcW w:w="95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France</w:t>
            </w:r>
          </w:p>
        </w:tc>
        <w:tc>
          <w:tcPr>
            <w:tcW w:w="6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1,144,237</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tcBorders>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4"/>
              </w:rPr>
              <w:t>beneficially</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3"/>
              </w:rPr>
              <w:t>owned by</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21,800,961</w:t>
            </w:r>
          </w:p>
        </w:tc>
        <w:tc>
          <w:tcPr>
            <w:tcW w:w="0" w:type="dxa"/>
            <w:vAlign w:val="bottom"/>
          </w:tcPr>
          <w:p>
            <w:pPr>
              <w:spacing w:after="0"/>
              <w:rPr>
                <w:sz w:val="1"/>
                <w:szCs w:val="1"/>
                <w:color w:val="auto"/>
              </w:rPr>
            </w:pPr>
          </w:p>
        </w:tc>
      </w:tr>
      <w:tr>
        <w:trPr>
          <w:trHeight w:val="121"/>
        </w:trPr>
        <w:tc>
          <w:tcPr>
            <w:tcW w:w="16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81"/>
              </w:rPr>
              <w:t>each</w:t>
            </w:r>
          </w:p>
        </w:tc>
        <w:tc>
          <w:tcPr>
            <w:tcW w:w="40" w:type="dxa"/>
            <w:vAlign w:val="bottom"/>
            <w:tcBorders>
              <w:right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tcBorders>
              <w:left w:val="single" w:sz="8" w:color="auto"/>
            </w:tcBorders>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540" w:type="dxa"/>
            <w:vAlign w:val="bottom"/>
            <w:tcBorders>
              <w:right w:val="single" w:sz="8" w:color="auto"/>
            </w:tcBorders>
            <w:vMerge w:val="restart"/>
          </w:tcPr>
          <w:p>
            <w:pPr>
              <w:ind w:left="1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6"/>
                <w:szCs w:val="6"/>
                <w:color w:val="auto"/>
              </w:rPr>
            </w:pPr>
          </w:p>
        </w:tc>
        <w:tc>
          <w:tcPr>
            <w:tcW w:w="6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9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7"/>
              </w:rPr>
              <w:t>person</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1,144,237</w:t>
            </w: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7"/>
              </w:rPr>
              <w:t>with:</w:t>
            </w:r>
          </w:p>
        </w:tc>
        <w:tc>
          <w:tcPr>
            <w:tcW w:w="4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9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21,800,961</w:t>
            </w:r>
          </w:p>
        </w:tc>
        <w:tc>
          <w:tcPr>
            <w:tcW w:w="0" w:type="dxa"/>
            <w:vAlign w:val="bottom"/>
          </w:tcPr>
          <w:p>
            <w:pPr>
              <w:spacing w:after="0"/>
              <w:rPr>
                <w:sz w:val="1"/>
                <w:szCs w:val="1"/>
                <w:color w:val="auto"/>
              </w:rPr>
            </w:pPr>
          </w:p>
        </w:tc>
      </w:tr>
      <w:tr>
        <w:trPr>
          <w:trHeight w:val="67"/>
        </w:trPr>
        <w:tc>
          <w:tcPr>
            <w:tcW w:w="1640" w:type="dxa"/>
            <w:vAlign w:val="bottom"/>
            <w:tcBorders>
              <w:left w:val="single" w:sz="8" w:color="auto"/>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702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2"/>
                <w:szCs w:val="22"/>
                <w:color w:val="auto"/>
              </w:rPr>
            </w:pPr>
          </w:p>
        </w:tc>
        <w:tc>
          <w:tcPr>
            <w:tcW w:w="95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color w:val="auto"/>
              </w:rPr>
              <w:t>22,119,572</w:t>
            </w:r>
          </w:p>
        </w:tc>
        <w:tc>
          <w:tcPr>
            <w:tcW w:w="120" w:type="dxa"/>
            <w:vAlign w:val="bottom"/>
          </w:tcPr>
          <w:p>
            <w:pPr>
              <w:spacing w:after="0"/>
              <w:rPr>
                <w:sz w:val="24"/>
                <w:szCs w:val="24"/>
                <w:color w:val="auto"/>
              </w:rPr>
            </w:pPr>
          </w:p>
        </w:tc>
        <w:tc>
          <w:tcPr>
            <w:tcW w:w="6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702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9560" w:type="dxa"/>
            <w:vAlign w:val="bottom"/>
            <w:tcBorders>
              <w:right w:val="single" w:sz="8" w:color="auto"/>
            </w:tcBorders>
            <w:gridSpan w:val="3"/>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c>
          <w:tcPr>
            <w:tcW w:w="702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2"/>
                <w:szCs w:val="22"/>
                <w:color w:val="auto"/>
              </w:rPr>
            </w:pPr>
          </w:p>
        </w:tc>
        <w:tc>
          <w:tcPr>
            <w:tcW w:w="95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54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4.9%</w:t>
            </w:r>
            <w:r>
              <w:rPr>
                <w:rFonts w:ascii="Arial" w:cs="Arial" w:eastAsia="Arial" w:hAnsi="Arial"/>
                <w:sz w:val="29"/>
                <w:szCs w:val="29"/>
                <w:color w:val="auto"/>
                <w:vertAlign w:val="superscript"/>
              </w:rPr>
              <w:t>2</w:t>
            </w: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2"/>
                <w:szCs w:val="22"/>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6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OO</w:t>
            </w:r>
          </w:p>
        </w:tc>
        <w:tc>
          <w:tcPr>
            <w:tcW w:w="6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04" w:lineRule="exact"/>
        <w:rPr>
          <w:sz w:val="20"/>
          <w:szCs w:val="20"/>
          <w:color w:val="auto"/>
        </w:rPr>
      </w:pPr>
    </w:p>
    <w:p>
      <w:pPr>
        <w:ind w:left="5580" w:right="3480" w:hanging="5572"/>
        <w:spacing w:after="0" w:line="367" w:lineRule="auto"/>
        <w:tabs>
          <w:tab w:leader="none" w:pos="122"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Based on 450,700,480 Ordinary Shares outstanding as of October 26, 2021, as reported in the Form 10-Q.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auto"/>
        </w:rPr>
        <w:t>CUSIP No. G87110105</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Names of Reporting Persons.</w:t>
            </w:r>
          </w:p>
        </w:tc>
        <w:tc>
          <w:tcPr>
            <w:tcW w:w="7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EPIC Bpifrance</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9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c>
          <w:tcPr>
            <w:tcW w:w="7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2"/>
                <w:szCs w:val="22"/>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7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7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2"/>
                <w:szCs w:val="22"/>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7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OO</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9560" w:type="dxa"/>
            <w:vAlign w:val="bottom"/>
            <w:tcBorders>
              <w:right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5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2"/>
                <w:szCs w:val="22"/>
                <w:color w:val="auto"/>
              </w:rPr>
            </w:pPr>
          </w:p>
        </w:tc>
        <w:tc>
          <w:tcPr>
            <w:tcW w:w="9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France</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7.</w:t>
            </w: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tcBorders>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8.</w:t>
            </w: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4"/>
              </w:rPr>
              <w:t>beneficially</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3"/>
              </w:rPr>
              <w:t>owned by</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20,656,724</w:t>
            </w:r>
          </w:p>
        </w:tc>
        <w:tc>
          <w:tcPr>
            <w:tcW w:w="0" w:type="dxa"/>
            <w:vAlign w:val="bottom"/>
          </w:tcPr>
          <w:p>
            <w:pPr>
              <w:spacing w:after="0"/>
              <w:rPr>
                <w:sz w:val="1"/>
                <w:szCs w:val="1"/>
                <w:color w:val="auto"/>
              </w:rPr>
            </w:pPr>
          </w:p>
        </w:tc>
      </w:tr>
      <w:tr>
        <w:trPr>
          <w:trHeight w:val="121"/>
        </w:trPr>
        <w:tc>
          <w:tcPr>
            <w:tcW w:w="16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81"/>
              </w:rPr>
              <w:t>each</w:t>
            </w:r>
          </w:p>
        </w:tc>
        <w:tc>
          <w:tcPr>
            <w:tcW w:w="40" w:type="dxa"/>
            <w:vAlign w:val="bottom"/>
            <w:tcBorders>
              <w:right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7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tcBorders>
              <w:left w:val="single" w:sz="8" w:color="auto"/>
            </w:tcBorders>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540" w:type="dxa"/>
            <w:vAlign w:val="bottom"/>
            <w:tcBorders>
              <w:right w:val="single" w:sz="8" w:color="auto"/>
            </w:tcBorders>
            <w:vMerge w:val="restart"/>
          </w:tcPr>
          <w:p>
            <w:pPr>
              <w:ind w:left="1120"/>
              <w:spacing w:after="0"/>
              <w:rPr>
                <w:sz w:val="20"/>
                <w:szCs w:val="20"/>
                <w:color w:val="auto"/>
              </w:rPr>
            </w:pPr>
            <w:r>
              <w:rPr>
                <w:rFonts w:ascii="Arial" w:cs="Arial" w:eastAsia="Arial" w:hAnsi="Arial"/>
                <w:sz w:val="18"/>
                <w:szCs w:val="18"/>
                <w:color w:val="auto"/>
              </w:rPr>
              <w:t>9.</w:t>
            </w:r>
          </w:p>
        </w:tc>
        <w:tc>
          <w:tcPr>
            <w:tcW w:w="70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70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7"/>
              </w:rPr>
              <w:t>person</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7"/>
              </w:rPr>
              <w:t>with:</w:t>
            </w:r>
          </w:p>
        </w:tc>
        <w:tc>
          <w:tcPr>
            <w:tcW w:w="4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70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10.</w:t>
            </w: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20,656,724</w:t>
            </w:r>
          </w:p>
        </w:tc>
        <w:tc>
          <w:tcPr>
            <w:tcW w:w="0" w:type="dxa"/>
            <w:vAlign w:val="bottom"/>
          </w:tcPr>
          <w:p>
            <w:pPr>
              <w:spacing w:after="0"/>
              <w:rPr>
                <w:sz w:val="1"/>
                <w:szCs w:val="1"/>
                <w:color w:val="auto"/>
              </w:rPr>
            </w:pPr>
          </w:p>
        </w:tc>
      </w:tr>
      <w:tr>
        <w:trPr>
          <w:trHeight w:val="67"/>
        </w:trPr>
        <w:tc>
          <w:tcPr>
            <w:tcW w:w="1640" w:type="dxa"/>
            <w:vAlign w:val="bottom"/>
            <w:tcBorders>
              <w:left w:val="single" w:sz="8" w:color="auto"/>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2"/>
                <w:szCs w:val="22"/>
                <w:color w:val="auto"/>
              </w:rPr>
            </w:pPr>
          </w:p>
        </w:tc>
        <w:tc>
          <w:tcPr>
            <w:tcW w:w="9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color w:val="auto"/>
              </w:rPr>
              <w:t>20,656,724</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9560" w:type="dxa"/>
            <w:vAlign w:val="bottom"/>
            <w:tcBorders>
              <w:right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c>
          <w:tcPr>
            <w:tcW w:w="7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2"/>
                <w:szCs w:val="22"/>
                <w:color w:val="auto"/>
              </w:rPr>
            </w:pPr>
          </w:p>
        </w:tc>
        <w:tc>
          <w:tcPr>
            <w:tcW w:w="9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54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4.6%</w:t>
            </w:r>
            <w:r>
              <w:rPr>
                <w:rFonts w:ascii="Arial" w:cs="Arial" w:eastAsia="Arial" w:hAnsi="Arial"/>
                <w:sz w:val="29"/>
                <w:szCs w:val="29"/>
                <w:color w:val="auto"/>
                <w:vertAlign w:val="superscript"/>
              </w:rPr>
              <w:t>3</w:t>
            </w:r>
          </w:p>
        </w:tc>
        <w:tc>
          <w:tcPr>
            <w:tcW w:w="7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2"/>
                <w:szCs w:val="22"/>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7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OO</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04" w:lineRule="exact"/>
        <w:rPr>
          <w:sz w:val="20"/>
          <w:szCs w:val="20"/>
          <w:color w:val="auto"/>
        </w:rPr>
      </w:pPr>
    </w:p>
    <w:p>
      <w:pPr>
        <w:ind w:left="5580" w:right="3480" w:hanging="5572"/>
        <w:spacing w:after="0" w:line="367" w:lineRule="auto"/>
        <w:tabs>
          <w:tab w:leader="none" w:pos="122"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Based on 450,700,480 Ordinary Shares outstanding as of October 26, 2021, as reported in the Form 10-Q.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auto"/>
        </w:rPr>
        <w:t>CUSIP No. G87110105</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Names of Reporting Persons.</w:t>
            </w:r>
          </w:p>
        </w:tc>
        <w:tc>
          <w:tcPr>
            <w:tcW w:w="7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Bpifrance S.A.</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9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c>
          <w:tcPr>
            <w:tcW w:w="7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2"/>
                <w:szCs w:val="22"/>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7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7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2"/>
                <w:szCs w:val="22"/>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7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OO</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5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9560" w:type="dxa"/>
            <w:vAlign w:val="bottom"/>
            <w:tcBorders>
              <w:right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5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2"/>
                <w:szCs w:val="22"/>
                <w:color w:val="auto"/>
              </w:rPr>
            </w:pPr>
          </w:p>
        </w:tc>
        <w:tc>
          <w:tcPr>
            <w:tcW w:w="9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France</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7.</w:t>
            </w: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tcBorders>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8.</w:t>
            </w: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4"/>
              </w:rPr>
              <w:t>beneficially</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3"/>
              </w:rPr>
              <w:t>owned by</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20,656,724</w:t>
            </w:r>
          </w:p>
        </w:tc>
        <w:tc>
          <w:tcPr>
            <w:tcW w:w="0" w:type="dxa"/>
            <w:vAlign w:val="bottom"/>
          </w:tcPr>
          <w:p>
            <w:pPr>
              <w:spacing w:after="0"/>
              <w:rPr>
                <w:sz w:val="1"/>
                <w:szCs w:val="1"/>
                <w:color w:val="auto"/>
              </w:rPr>
            </w:pPr>
          </w:p>
        </w:tc>
      </w:tr>
      <w:tr>
        <w:trPr>
          <w:trHeight w:val="121"/>
        </w:trPr>
        <w:tc>
          <w:tcPr>
            <w:tcW w:w="16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81"/>
              </w:rPr>
              <w:t>each</w:t>
            </w:r>
          </w:p>
        </w:tc>
        <w:tc>
          <w:tcPr>
            <w:tcW w:w="40" w:type="dxa"/>
            <w:vAlign w:val="bottom"/>
            <w:tcBorders>
              <w:right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7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tcBorders>
              <w:left w:val="single" w:sz="8" w:color="auto"/>
            </w:tcBorders>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540" w:type="dxa"/>
            <w:vAlign w:val="bottom"/>
            <w:tcBorders>
              <w:right w:val="single" w:sz="8" w:color="auto"/>
            </w:tcBorders>
            <w:vMerge w:val="restart"/>
          </w:tcPr>
          <w:p>
            <w:pPr>
              <w:ind w:left="1120"/>
              <w:spacing w:after="0"/>
              <w:rPr>
                <w:sz w:val="20"/>
                <w:szCs w:val="20"/>
                <w:color w:val="auto"/>
              </w:rPr>
            </w:pPr>
            <w:r>
              <w:rPr>
                <w:rFonts w:ascii="Arial" w:cs="Arial" w:eastAsia="Arial" w:hAnsi="Arial"/>
                <w:sz w:val="18"/>
                <w:szCs w:val="18"/>
                <w:color w:val="auto"/>
              </w:rPr>
              <w:t>9.</w:t>
            </w:r>
          </w:p>
        </w:tc>
        <w:tc>
          <w:tcPr>
            <w:tcW w:w="70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70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7"/>
              </w:rPr>
              <w:t>person</w:t>
            </w:r>
          </w:p>
        </w:tc>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7"/>
              </w:rPr>
              <w:t>with:</w:t>
            </w:r>
          </w:p>
        </w:tc>
        <w:tc>
          <w:tcPr>
            <w:tcW w:w="4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70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10.</w:t>
            </w: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20,656,724</w:t>
            </w:r>
          </w:p>
        </w:tc>
        <w:tc>
          <w:tcPr>
            <w:tcW w:w="0" w:type="dxa"/>
            <w:vAlign w:val="bottom"/>
          </w:tcPr>
          <w:p>
            <w:pPr>
              <w:spacing w:after="0"/>
              <w:rPr>
                <w:sz w:val="1"/>
                <w:szCs w:val="1"/>
                <w:color w:val="auto"/>
              </w:rPr>
            </w:pPr>
          </w:p>
        </w:tc>
      </w:tr>
      <w:tr>
        <w:trPr>
          <w:trHeight w:val="67"/>
        </w:trPr>
        <w:tc>
          <w:tcPr>
            <w:tcW w:w="1640" w:type="dxa"/>
            <w:vAlign w:val="bottom"/>
            <w:tcBorders>
              <w:left w:val="single" w:sz="8" w:color="auto"/>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2"/>
                <w:szCs w:val="22"/>
                <w:color w:val="auto"/>
              </w:rPr>
            </w:pPr>
          </w:p>
        </w:tc>
        <w:tc>
          <w:tcPr>
            <w:tcW w:w="9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color w:val="auto"/>
              </w:rPr>
              <w:t>20,656,724</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9560" w:type="dxa"/>
            <w:vAlign w:val="bottom"/>
            <w:tcBorders>
              <w:right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c>
          <w:tcPr>
            <w:tcW w:w="7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2"/>
                <w:szCs w:val="22"/>
                <w:color w:val="auto"/>
              </w:rPr>
            </w:pPr>
          </w:p>
        </w:tc>
        <w:tc>
          <w:tcPr>
            <w:tcW w:w="9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54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4.6%</w:t>
            </w:r>
            <w:r>
              <w:rPr>
                <w:rFonts w:ascii="Arial" w:cs="Arial" w:eastAsia="Arial" w:hAnsi="Arial"/>
                <w:sz w:val="29"/>
                <w:szCs w:val="29"/>
                <w:color w:val="auto"/>
                <w:vertAlign w:val="superscript"/>
              </w:rPr>
              <w:t>4</w:t>
            </w:r>
          </w:p>
        </w:tc>
        <w:tc>
          <w:tcPr>
            <w:tcW w:w="7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2"/>
                <w:szCs w:val="22"/>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7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6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OO</w:t>
            </w:r>
          </w:p>
        </w:tc>
        <w:tc>
          <w:tcPr>
            <w:tcW w:w="7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7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04" w:lineRule="exact"/>
        <w:rPr>
          <w:sz w:val="20"/>
          <w:szCs w:val="20"/>
          <w:color w:val="auto"/>
        </w:rPr>
      </w:pPr>
    </w:p>
    <w:p>
      <w:pPr>
        <w:ind w:left="5580" w:right="3480" w:hanging="5572"/>
        <w:spacing w:after="0" w:line="683" w:lineRule="auto"/>
        <w:tabs>
          <w:tab w:leader="none" w:pos="115"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Based on 450,700,480 Ordinary Shares outstanding as of October 26, 2021, as reported in the Form 10-Q.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Amendment No. 3 to Schedule 13D (this “Amendment No. 3”) amends and supplements the Schedule 13D previously filed by the Reporting Persons (as defined below) with the Securities and Exchange Commission on May 30, 2017, as amended and supplemented by Amendment No. 1 filed on February 19, 2021, as amended and supplemented by Amendment No. 2 filed on April 1, 2021 (the “Original Schedule 13D” and, as amended and supplemented by Amendment No. 1, Amendment No. 2 and this Amendment No. 3, the “Schedule 13D”). This Schedule 13D relates to the ordinary shares, $1.00 par value per share (“Ordinary Shares”), of TechnipFMC plc, a public limited company incorporated under the laws of England and Wales (the “Issuer”). All capitalized terms used but not defined herein shall have the meanings ascribed to such terms in the Original Schedule 13D.</w:t>
      </w:r>
    </w:p>
    <w:p>
      <w:pPr>
        <w:spacing w:after="0" w:line="5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This Amendment No. 3 represents the final amendment to the Schedule 13D and constitutes an exit filing for the Reporting Persons, as the Reporting Persons beneficially own less than five percent of the Ordinary Shares of the Issuer.</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3 amends and restates Item 2 of the Original Schedule 13D in its entirety as follows:</w:t>
      </w:r>
    </w:p>
    <w:p>
      <w:pPr>
        <w:spacing w:after="0" w:line="225"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 xml:space="preserve">This Schedule 13D is filed jointly by (i) Bpifrance Participations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incorporated under the laws of the Republic of France (“Bpifrance Participations”), (ii) the Caisse des Dépôts et Consignations, a French special public entity (</w:t>
      </w:r>
      <w:r>
        <w:rPr>
          <w:rFonts w:ascii="Arial" w:cs="Arial" w:eastAsia="Arial" w:hAnsi="Arial"/>
          <w:sz w:val="16"/>
          <w:szCs w:val="16"/>
          <w:i w:val="1"/>
          <w:iCs w:val="1"/>
          <w:color w:val="auto"/>
        </w:rPr>
        <w:t>établissement special</w:t>
      </w:r>
      <w:r>
        <w:rPr>
          <w:rFonts w:ascii="Arial" w:cs="Arial" w:eastAsia="Arial" w:hAnsi="Arial"/>
          <w:sz w:val="16"/>
          <w:szCs w:val="16"/>
          <w:color w:val="auto"/>
        </w:rPr>
        <w:t>) (“CDC”), (iii) EPIC Bpifrance, a French public institution of industrial and commercial nature (“EPIC”), and (iv) Bpifrance S.A. Bpifrance Participations, CDC, EPIC and Bpifrance S.A. are referred to herein collectively as the “Reporting Persons.” The principal address for CDC is 56, rue de Lille, 75007 Paris, France. The principal address for Bpifrance Participations S.A., EPIC and Bpifrance S.A. is 27-31, avenue du Général Leclerc, 94710 Maisons-Alfort Cedex, France.</w:t>
      </w:r>
    </w:p>
    <w:p>
      <w:pPr>
        <w:spacing w:after="0" w:line="16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Bpifrance Participations is a French public investment entity specializing in the business of equity financing via direct investments or fund of funds. Bpifrance Participations is wholly-owned by Bpifrance S.A., a French credit institution. CDC and EPIC each hold 49.2% of the share capital of Bpifrance S.A. and jointly control Bpifrance S.A. CDC is principally engaged in the business of long-term investments. EPIC is principally engaged in the business of banking finance.</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the date hereof, (i) Bpifrance Participations holds directly 20,656,724 Ordinary Shares and (ii) CDC holds directly 1,144,237 Ordinary Shares. As of the date hereof, neither Bpifrance S.A. nor EPIC holds any Ordinary Shares directly. Bpifrance S.A. may be deemed to be the beneficial owner of 20,656,724 Ordinary Shares, indirectly through its sole ownership of Bpifrance Participations. CDC and EPIC may be deemed to be the beneficial owner of 20,656,724 Ordinary Shares, indirectly through their joint ownership and control of Bpifrance S.A. CDC may be deemed to be the beneficial owner of 318,611 Ordinary Shares, indirectly through its control of CNP Assurances, following the acquisition by CDC of the control of the French public group La Poste on February 4, 2020. CNP Assurances holds directly 318,611 Ordinary Shares.</w:t>
      </w:r>
    </w:p>
    <w:p>
      <w:pPr>
        <w:spacing w:after="0" w:line="178"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Attached as Appendices A, B, C and D to Item 2 is information concerning the executive officers and directors of Bpifrance Participations, Bpifrance S.A., CDC and EPIC, respectively, required to be disclosed in response to Item 2 and General Instruction C to Schedule 13D.</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None of the Reporting Persons, nor, to the best of their knowledge, any of the persons referred to in Appendices A, B, C and D to this Amendment No. 3 has, during the last five years, been convicted in a criminal proceeding (excluding traffic violations and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3 amends and restates Item 5 of the Original Schedule 13D in its entirety as follows: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the date hereof, (i) Bpifrance Participations holds directly 20,656,724 Ordinary Shares, which represents approximately 4.6% of the Issuer’s Ordinary Shares and (ii) CDC holds directly 1,144,237 Ordinary Shares, which represents approximately 0.3% of the Issuer’s Ordinary Shares. As of the date hereof, neither Bpifrance S.A. nor EPIC holds any Ordinary Shares directly. Bpifrance S.A. may be deemed to be the beneficial owner of 20,656,724 Ordinary Shares, indirectly through its sole ownership of Bpifrance Participations. CDC and EPIC may be deemed to be the beneficial owner of 20,656,724 Ordinary Shares, indirectly through their joint ownership and control of Bpifrance S.A. CDC may be deemed to be the beneficial owner of 318,611 Ordinary Shares, indirectly through its control of CNP Assurances, following the acquisition by CDC of the control of the French public group La Poste on February 4, 2020. CNP Assurances holds directly 318,611 Ordinary Shares, which represents approximately 0.1% of the Issuer’s Ordinary Shares. In the aggregate, CDC may be deemed to be the beneficial owner of 22,119,572 Ordinary Shares, directly and indirectly (through its joint ownership and control of Bpifrance S.A. and its control of CNP Assurances).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 See also the information contained on the cover pages of this Schedule 13D which is incorporated herein by reference. The percentage of Ordinary Shares beneficially owned by each Reporting Person is based on 450,700,480 Ordinary Shares of the Issuer outstanding as of October 26, 2021, as reported in the quarterly report on Form 10-Q filed by the Issuer with the Securities and Exchange Commission on October 27, 2021.</w:t>
      </w:r>
    </w:p>
    <w:p>
      <w:pPr>
        <w:sectPr>
          <w:pgSz w:w="11900" w:h="16838" w:orient="portrait"/>
          <w:cols w:equalWidth="0" w:num="1">
            <w:col w:w="11240"/>
          </w:cols>
          <w:pgMar w:left="320" w:top="688" w:right="339" w:bottom="1440" w:gutter="0" w:footer="0" w:header="0"/>
        </w:sectPr>
      </w:pP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See the information contained on the cover pages of this Schedule 13D, which is incorporated herein by reference.</w:t>
      </w:r>
    </w:p>
    <w:p>
      <w:pPr>
        <w:spacing w:after="0" w:line="200" w:lineRule="exact"/>
        <w:rPr>
          <w:sz w:val="20"/>
          <w:szCs w:val="20"/>
          <w:color w:val="auto"/>
        </w:rPr>
      </w:pPr>
    </w:p>
    <w:p>
      <w:pPr>
        <w:sectPr>
          <w:pgSz w:w="11900" w:h="16838" w:orient="portrait"/>
          <w:cols w:equalWidth="0" w:num="2">
            <w:col w:w="1640" w:space="720"/>
            <w:col w:w="8880"/>
          </w:cols>
          <w:pgMar w:left="320" w:top="688" w:right="339" w:bottom="1440" w:gutter="0" w:footer="0" w:header="0"/>
          <w:type w:val="continuous"/>
        </w:sectPr>
      </w:pPr>
    </w:p>
    <w:p>
      <w:pPr>
        <w:spacing w:after="0" w:line="48"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Other than the sales of an aggregate of 4,031,967 Ordinary Shares by Bpifrance Participations from October 27, 2021</w:t>
      </w:r>
    </w:p>
    <w:p>
      <w:pPr>
        <w:sectPr>
          <w:pgSz w:w="11900" w:h="16838" w:orient="portrait"/>
          <w:cols w:equalWidth="0" w:num="1">
            <w:col w:w="11240"/>
          </w:cols>
          <w:pgMar w:left="320" w:top="688" w:right="339" w:bottom="1440" w:gutter="0" w:footer="0" w:header="0"/>
          <w:type w:val="continuous"/>
        </w:sectPr>
      </w:pPr>
    </w:p>
    <w:p>
      <w:pPr>
        <w:spacing w:after="0" w:line="4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through November 16, 2021, the details of which are set forth in Appendix E attached hereto, which is incorporated herein by reference, no transactions in Ordinary Shares were effected during the past 60 days by the Reporting Persons.</w:t>
      </w:r>
    </w:p>
    <w:p>
      <w:pPr>
        <w:sectPr>
          <w:pgSz w:w="11900" w:h="16838" w:orient="portrait"/>
          <w:cols w:equalWidth="0" w:num="1">
            <w:col w:w="11240"/>
          </w:cols>
          <w:pgMar w:left="320" w:top="688" w:right="339" w:bottom="1440" w:gutter="0" w:footer="0" w:header="0"/>
          <w:type w:val="continuous"/>
        </w:sectPr>
      </w:pP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ectPr>
          <w:pgSz w:w="11900" w:h="16838" w:orient="portrait"/>
          <w:cols w:equalWidth="0" w:num="2">
            <w:col w:w="1640" w:space="720"/>
            <w:col w:w="8880"/>
          </w:cols>
          <w:pgMar w:left="320" w:top="688" w:right="339" w:bottom="1440" w:gutter="0" w:footer="0" w:header="0"/>
          <w:type w:val="continuous"/>
        </w:sectPr>
      </w:pPr>
    </w:p>
    <w:p>
      <w:pPr>
        <w:spacing w:after="0" w:line="48"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6"/>
          <w:szCs w:val="16"/>
          <w:color w:val="auto"/>
        </w:rPr>
        <w:t>(e)</w:t>
      </w:r>
      <w:r>
        <w:rPr>
          <w:sz w:val="20"/>
          <w:szCs w:val="20"/>
          <w:color w:val="auto"/>
        </w:rPr>
        <w:tab/>
      </w:r>
      <w:r>
        <w:rPr>
          <w:rFonts w:ascii="Arial" w:cs="Arial" w:eastAsia="Arial" w:hAnsi="Arial"/>
          <w:sz w:val="16"/>
          <w:szCs w:val="16"/>
          <w:color w:val="auto"/>
        </w:rPr>
        <w:t>As a result of the sales that occurred on November 4, 2021, Bpifrance Participations, EPIC and Bpifrance S.A ceased to be</w:t>
      </w:r>
    </w:p>
    <w:p>
      <w:pPr>
        <w:sectPr>
          <w:pgSz w:w="11900" w:h="16838" w:orient="portrait"/>
          <w:cols w:equalWidth="0" w:num="1">
            <w:col w:w="11240"/>
          </w:cols>
          <w:pgMar w:left="320" w:top="688" w:right="339" w:bottom="1440" w:gutter="0" w:footer="0" w:header="0"/>
          <w:type w:val="continuous"/>
        </w:sectPr>
      </w:pPr>
    </w:p>
    <w:p>
      <w:pPr>
        <w:spacing w:after="0" w:line="46"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beneficial owner of more than five percent of the Ordinary Shares. As a result of the sales that occurred on November 16, 2021, CDC ceased to be the beneficial owner of more than five percent of the Ordinary Shares.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2021</w:t>
      </w:r>
    </w:p>
    <w:p>
      <w:pPr>
        <w:spacing w:after="0" w:line="200" w:lineRule="exact"/>
        <w:rPr>
          <w:sz w:val="20"/>
          <w:szCs w:val="20"/>
          <w:color w:val="auto"/>
        </w:rPr>
      </w:pPr>
    </w:p>
    <w:p>
      <w:pPr>
        <w:spacing w:after="0" w:line="23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Bpifrance Participations S.A.</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/s/ Sophie Paquin*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317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Sophie Paquin</w:t>
      </w:r>
    </w:p>
    <w:p>
      <w:pPr>
        <w:spacing w:after="0" w:line="23" w:lineRule="exact"/>
        <w:rPr>
          <w:sz w:val="20"/>
          <w:szCs w:val="20"/>
          <w:color w:val="auto"/>
        </w:rPr>
      </w:pPr>
    </w:p>
    <w:p>
      <w:pPr>
        <w:ind w:left="6560"/>
        <w:spacing w:after="0"/>
        <w:tabs>
          <w:tab w:leader="none" w:pos="7140" w:val="left"/>
        </w:tabs>
        <w:rPr>
          <w:sz w:val="20"/>
          <w:szCs w:val="20"/>
          <w:color w:val="auto"/>
        </w:rPr>
      </w:pPr>
      <w:r>
        <w:rPr>
          <w:rFonts w:ascii="Arial" w:cs="Arial" w:eastAsia="Arial" w:hAnsi="Arial"/>
          <w:sz w:val="18"/>
          <w:szCs w:val="18"/>
          <w:color w:val="auto"/>
        </w:rPr>
        <w:t>Title:</w:t>
        <w:tab/>
        <w:t>Director of Legal Affairs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Caisse Des Dépôts et Consignations</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/s/ Laurence Giraudon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317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Laurence Giraudon</w:t>
      </w:r>
    </w:p>
    <w:p>
      <w:pPr>
        <w:spacing w:after="0" w:line="23" w:lineRule="exact"/>
        <w:rPr>
          <w:sz w:val="20"/>
          <w:szCs w:val="20"/>
          <w:color w:val="auto"/>
        </w:rPr>
      </w:pPr>
    </w:p>
    <w:p>
      <w:pPr>
        <w:ind w:left="6560"/>
        <w:spacing w:after="0"/>
        <w:tabs>
          <w:tab w:leader="none" w:pos="7140" w:val="left"/>
        </w:tabs>
        <w:rPr>
          <w:sz w:val="20"/>
          <w:szCs w:val="20"/>
          <w:color w:val="auto"/>
        </w:rPr>
      </w:pPr>
      <w:r>
        <w:rPr>
          <w:rFonts w:ascii="Arial" w:cs="Arial" w:eastAsia="Arial" w:hAnsi="Arial"/>
          <w:sz w:val="18"/>
          <w:szCs w:val="18"/>
          <w:color w:val="auto"/>
        </w:rPr>
        <w:t>Title:</w:t>
        <w:tab/>
        <w:t>Chief Operating Officer Finance and Operations</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Department</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Asset Management Division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Epic Bpifrance</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/s/ Sophie Paquin***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31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Sophie Paquin</w:t>
      </w:r>
    </w:p>
    <w:p>
      <w:pPr>
        <w:spacing w:after="0" w:line="23" w:lineRule="exact"/>
        <w:rPr>
          <w:sz w:val="20"/>
          <w:szCs w:val="20"/>
          <w:color w:val="auto"/>
        </w:rPr>
      </w:pPr>
    </w:p>
    <w:p>
      <w:pPr>
        <w:ind w:left="6560"/>
        <w:spacing w:after="0"/>
        <w:tabs>
          <w:tab w:leader="none" w:pos="7140" w:val="left"/>
        </w:tabs>
        <w:rPr>
          <w:sz w:val="20"/>
          <w:szCs w:val="20"/>
          <w:color w:val="auto"/>
        </w:rPr>
      </w:pPr>
      <w:r>
        <w:rPr>
          <w:rFonts w:ascii="Arial" w:cs="Arial" w:eastAsia="Arial" w:hAnsi="Arial"/>
          <w:sz w:val="18"/>
          <w:szCs w:val="18"/>
          <w:color w:val="auto"/>
        </w:rPr>
        <w:t>Title:</w:t>
        <w:tab/>
        <w:t>Director of Legal Affairs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Bpifrance S.A.</w:t>
      </w:r>
    </w:p>
    <w:p>
      <w:pPr>
        <w:spacing w:after="0" w:line="229" w:lineRule="exact"/>
        <w:rPr>
          <w:sz w:val="20"/>
          <w:szCs w:val="20"/>
          <w:color w:val="auto"/>
        </w:rPr>
      </w:pPr>
    </w:p>
    <w:p>
      <w:pPr>
        <w:jc w:val="right"/>
        <w:ind w:right="2900"/>
        <w:spacing w:after="0"/>
        <w:rPr>
          <w:sz w:val="20"/>
          <w:szCs w:val="20"/>
          <w:color w:val="auto"/>
        </w:rPr>
      </w:pPr>
      <w:r>
        <w:rPr>
          <w:rFonts w:ascii="Arial" w:cs="Arial" w:eastAsia="Arial" w:hAnsi="Arial"/>
          <w:sz w:val="18"/>
          <w:szCs w:val="18"/>
          <w:color w:val="auto"/>
        </w:rPr>
        <w:t>By:  /s/ Boubakar Dione****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317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Name: Boubakar Dione</w:t>
      </w:r>
    </w:p>
    <w:p>
      <w:pPr>
        <w:spacing w:after="0" w:line="23" w:lineRule="exact"/>
        <w:rPr>
          <w:sz w:val="20"/>
          <w:szCs w:val="20"/>
          <w:color w:val="auto"/>
        </w:rPr>
      </w:pPr>
    </w:p>
    <w:p>
      <w:pPr>
        <w:ind w:left="6560"/>
        <w:spacing w:after="0"/>
        <w:tabs>
          <w:tab w:leader="none" w:pos="7140" w:val="left"/>
        </w:tabs>
        <w:rPr>
          <w:sz w:val="20"/>
          <w:szCs w:val="20"/>
          <w:color w:val="auto"/>
        </w:rPr>
      </w:pPr>
      <w:r>
        <w:rPr>
          <w:rFonts w:ascii="Arial" w:cs="Arial" w:eastAsia="Arial" w:hAnsi="Arial"/>
          <w:sz w:val="18"/>
          <w:szCs w:val="18"/>
          <w:color w:val="auto"/>
        </w:rPr>
        <w:t>Title:</w:t>
        <w:tab/>
        <w:t>Group Director of Legal Affairs</w:t>
      </w:r>
    </w:p>
    <w:p>
      <w:pPr>
        <w:spacing w:after="0" w:line="200" w:lineRule="exact"/>
        <w:rPr>
          <w:sz w:val="20"/>
          <w:szCs w:val="20"/>
          <w:color w:val="auto"/>
        </w:rPr>
      </w:pPr>
    </w:p>
    <w:p>
      <w:pPr>
        <w:spacing w:after="0" w:line="227" w:lineRule="exact"/>
        <w:rPr>
          <w:sz w:val="20"/>
          <w:szCs w:val="20"/>
          <w:color w:val="auto"/>
        </w:rPr>
      </w:pPr>
    </w:p>
    <w:p>
      <w:pPr>
        <w:ind w:right="140" w:firstLine="8"/>
        <w:spacing w:after="0" w:line="277"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Sophie Paquin is signing on behalf of Bpifrance Participations SA. by power of attorney previously filed with the Securities and Exchange Commission on February 8, 2018 as Exhibit 1 to Schedule 13D, and hereby incorporated herein by reference.</w:t>
      </w:r>
    </w:p>
    <w:p>
      <w:pPr>
        <w:spacing w:after="0" w:line="170" w:lineRule="exact"/>
        <w:rPr>
          <w:sz w:val="20"/>
          <w:szCs w:val="20"/>
          <w:color w:val="auto"/>
        </w:rPr>
      </w:pPr>
    </w:p>
    <w:p>
      <w:pPr>
        <w:ind w:right="120" w:firstLine="8"/>
        <w:spacing w:after="0" w:line="308" w:lineRule="auto"/>
        <w:tabs>
          <w:tab w:leader="none" w:pos="225" w:val="left"/>
        </w:tabs>
        <w:numPr>
          <w:ilvl w:val="0"/>
          <w:numId w:val="6"/>
        </w:numPr>
        <w:rPr>
          <w:rFonts w:ascii="Arial" w:cs="Arial" w:eastAsia="Arial" w:hAnsi="Arial"/>
          <w:sz w:val="17"/>
          <w:szCs w:val="17"/>
          <w:color w:val="auto"/>
        </w:rPr>
      </w:pPr>
      <w:r>
        <w:rPr>
          <w:rFonts w:ascii="Arial" w:cs="Arial" w:eastAsia="Arial" w:hAnsi="Arial"/>
          <w:sz w:val="17"/>
          <w:szCs w:val="17"/>
          <w:color w:val="auto"/>
        </w:rPr>
        <w:t>Laurence Giraudon is signing on behalf of Caisse des Dépôts et Consignations by virtue of a decision dated February 8, 2021, previously filed with the Securities and Exchange Commission on May 11, 2021 as Exhibit 1 to Schedule 13D, and hereby incorporated herein by reference.</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***Sophie Paquin is signing on behalf of EPIC Bpifrance by power of attorney previously filed with the Securities and Exchange Commission on February 14, 2017 as Exhibit 3 to Schedule 13G, and hereby incorporated herein by reference.</w:t>
      </w:r>
    </w:p>
    <w:p>
      <w:pPr>
        <w:spacing w:after="0" w:line="170" w:lineRule="exact"/>
        <w:rPr>
          <w:sz w:val="20"/>
          <w:szCs w:val="20"/>
          <w:color w:val="auto"/>
        </w:rPr>
      </w:pPr>
    </w:p>
    <w:p>
      <w:pPr>
        <w:ind w:right="500" w:firstLine="8"/>
        <w:spacing w:after="0" w:line="277" w:lineRule="auto"/>
        <w:tabs>
          <w:tab w:leader="none" w:pos="405" w:val="left"/>
        </w:tabs>
        <w:numPr>
          <w:ilvl w:val="0"/>
          <w:numId w:val="7"/>
        </w:numPr>
        <w:rPr>
          <w:rFonts w:ascii="Arial" w:cs="Arial" w:eastAsia="Arial" w:hAnsi="Arial"/>
          <w:sz w:val="18"/>
          <w:szCs w:val="18"/>
          <w:color w:val="auto"/>
        </w:rPr>
      </w:pPr>
      <w:r>
        <w:rPr>
          <w:rFonts w:ascii="Arial" w:cs="Arial" w:eastAsia="Arial" w:hAnsi="Arial"/>
          <w:sz w:val="18"/>
          <w:szCs w:val="18"/>
          <w:color w:val="auto"/>
        </w:rPr>
        <w:t>Boubakar Dione is signing on behalf of Bpifrance S.A. by power of attorney previously filed with the Securities and Exchange Commission on September 7, 2017 as Exhibit 2 to Schedule 13D, and hereby incorporated herein by reference.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BPIFRANCE PARTICIPATIONS S.A.</w:t>
      </w:r>
    </w:p>
    <w:p>
      <w:pPr>
        <w:spacing w:after="0" w:line="229" w:lineRule="exact"/>
        <w:rPr>
          <w:sz w:val="20"/>
          <w:szCs w:val="20"/>
          <w:color w:val="auto"/>
        </w:rPr>
      </w:pPr>
    </w:p>
    <w:p>
      <w:pPr>
        <w:ind w:right="500" w:firstLine="648"/>
        <w:spacing w:after="0" w:line="311" w:lineRule="auto"/>
        <w:rPr>
          <w:sz w:val="20"/>
          <w:szCs w:val="20"/>
          <w:color w:val="auto"/>
        </w:rPr>
      </w:pPr>
      <w:r>
        <w:rPr>
          <w:rFonts w:ascii="Arial" w:cs="Arial" w:eastAsia="Arial" w:hAnsi="Arial"/>
          <w:sz w:val="16"/>
          <w:szCs w:val="16"/>
          <w:color w:val="auto"/>
        </w:rPr>
        <w:t>The name, business address and present principal occupation or employment of each of the directors and executive officers of Bpifrance Participations S.A. are set forth below. The business address of each director and executive officer is Bpifrance Participations S.A., 27-31, avenue du Général Leclerc, 94710 Maisons-Alfort Cedex, France. Unless otherwise indicated, each director and executive officer is a citizen of France.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BOARD OF DIRECTORS</w:t>
            </w:r>
          </w:p>
        </w:tc>
        <w:tc>
          <w:tcPr>
            <w:tcW w:w="7860" w:type="dxa"/>
            <w:vAlign w:val="bottom"/>
          </w:tcPr>
          <w:p>
            <w:pPr>
              <w:spacing w:after="0"/>
              <w:rPr>
                <w:sz w:val="20"/>
                <w:szCs w:val="20"/>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860" w:type="dxa"/>
            <w:vAlign w:val="bottom"/>
          </w:tcPr>
          <w:p>
            <w:pPr>
              <w:ind w:left="218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9"/>
        </w:trPr>
        <w:tc>
          <w:tcPr>
            <w:tcW w:w="3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Borders>
              <w:top w:val="single" w:sz="8" w:color="auto"/>
            </w:tcBorders>
          </w:tcPr>
          <w:p>
            <w:pPr>
              <w:spacing w:after="0"/>
              <w:rPr>
                <w:sz w:val="18"/>
                <w:szCs w:val="18"/>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NICOLAS DUFOURCQ</w:t>
            </w: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Director, Chairman, Chief Executive Officer of Bpifrance Participations</w:t>
            </w:r>
            <w:r>
              <w:rPr>
                <w:rFonts w:ascii="Arial" w:cs="Arial" w:eastAsia="Arial" w:hAnsi="Arial"/>
                <w:sz w:val="18"/>
                <w:szCs w:val="18"/>
                <w:color w:val="auto"/>
                <w:w w:val="92"/>
              </w:rPr>
              <w:t>, and Chief Executive Officer of</w:t>
            </w:r>
          </w:p>
        </w:tc>
      </w:tr>
      <w:tr>
        <w:trPr>
          <w:trHeight w:val="230"/>
        </w:trPr>
        <w:tc>
          <w:tcPr>
            <w:tcW w:w="3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Bpifrance</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CAROLE ABBEY DUVAL</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Head of the Steering Department at Caisse des Dépôts</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ANTOINE SAINTOYANT</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Director of strategic holdings at Caisse des Dépôts</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 SAINT-GEOURS</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Director of Société nationale SNCF</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FRENCH STATE, represented by</w:t>
            </w: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1"/>
              </w:rPr>
              <w:t>Director</w:t>
            </w:r>
            <w:r>
              <w:rPr>
                <w:rFonts w:ascii="Arial" w:cs="Arial" w:eastAsia="Arial" w:hAnsi="Arial"/>
                <w:sz w:val="18"/>
                <w:szCs w:val="18"/>
                <w:color w:val="auto"/>
                <w:w w:val="91"/>
              </w:rPr>
              <w:t>, in charge of shareholding interests in the Service &amp; Finance sectors, Agence des Participations de</w:t>
            </w:r>
          </w:p>
        </w:tc>
      </w:tr>
      <w:tr>
        <w:trPr>
          <w:trHeight w:val="23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SARRAZIN</w:t>
            </w: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l’Etat (French State Shareholding Agency)</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CONSTANCE VALIGNY</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Director</w:t>
            </w:r>
            <w:r>
              <w:rPr>
                <w:rFonts w:ascii="Arial" w:cs="Arial" w:eastAsia="Arial" w:hAnsi="Arial"/>
                <w:sz w:val="18"/>
                <w:szCs w:val="18"/>
                <w:color w:val="auto"/>
                <w:w w:val="93"/>
              </w:rPr>
              <w:t>, Assistant Director for macroeconomic policies, Direction Générale du Trésor (French Treasury)</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CHLOE MAYENOBE</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CEO Natixis Payment</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VICTOIRE AUBRY</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Chief Financial Officer of Icade</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ROMAIN BONENFANT</w:t>
            </w: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 xml:space="preserve">Director, </w:t>
            </w:r>
            <w:r>
              <w:rPr>
                <w:rFonts w:ascii="Arial" w:cs="Arial" w:eastAsia="Arial" w:hAnsi="Arial"/>
                <w:sz w:val="18"/>
                <w:szCs w:val="18"/>
                <w:color w:val="auto"/>
                <w:w w:val="95"/>
              </w:rPr>
              <w:t>Chief, Service of Industry, General Directorate for Companies of the Ministry of Economy and</w:t>
            </w:r>
          </w:p>
        </w:tc>
      </w:tr>
      <w:tr>
        <w:trPr>
          <w:trHeight w:val="230"/>
        </w:trPr>
        <w:tc>
          <w:tcPr>
            <w:tcW w:w="3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Finance</w:t>
            </w:r>
          </w:p>
        </w:tc>
      </w:tr>
      <w:tr>
        <w:trPr>
          <w:trHeight w:val="54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7860" w:type="dxa"/>
            <w:vAlign w:val="bottom"/>
          </w:tcPr>
          <w:p>
            <w:pPr>
              <w:spacing w:after="0"/>
              <w:rPr>
                <w:sz w:val="24"/>
                <w:szCs w:val="24"/>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860" w:type="dxa"/>
            <w:vAlign w:val="bottom"/>
          </w:tcPr>
          <w:p>
            <w:pPr>
              <w:ind w:left="218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9"/>
        </w:trPr>
        <w:tc>
          <w:tcPr>
            <w:tcW w:w="3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Borders>
              <w:top w:val="single" w:sz="8" w:color="auto"/>
            </w:tcBorders>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NICOLAS DUFOURCQ</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16"/>
        </w:trPr>
        <w:tc>
          <w:tcPr>
            <w:tcW w:w="3380" w:type="dxa"/>
            <w:vAlign w:val="bottom"/>
            <w:gridSpan w:val="2"/>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JOSÉ GONZALO</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Director</w:t>
            </w:r>
          </w:p>
        </w:tc>
      </w:tr>
      <w:tr>
        <w:trPr>
          <w:trHeight w:val="216"/>
        </w:trPr>
        <w:tc>
          <w:tcPr>
            <w:tcW w:w="3380" w:type="dxa"/>
            <w:vAlign w:val="bottom"/>
            <w:gridSpan w:val="2"/>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BENEDETTI</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709"/>
        </w:trPr>
        <w:tc>
          <w:tcPr>
            <w:tcW w:w="3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CAISSE DES DÉPÔTS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name, business address and present principal occupation or employment of each of the members of the Management Committee of Caisse des Dépôts are set forth below. The business address of each director and executive officer is Caisse des Dépôts, c/o 56, rue de Lille, 75007 Paris, France. Unless otherwise indicated, each such person is a citizen of France.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MANAGEMENT COMMITTEE</w:t>
            </w:r>
          </w:p>
        </w:tc>
        <w:tc>
          <w:tcPr>
            <w:tcW w:w="7860" w:type="dxa"/>
            <w:vAlign w:val="bottom"/>
          </w:tcPr>
          <w:p>
            <w:pPr>
              <w:spacing w:after="0"/>
              <w:rPr>
                <w:sz w:val="20"/>
                <w:szCs w:val="20"/>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860" w:type="dxa"/>
            <w:vAlign w:val="bottom"/>
          </w:tcPr>
          <w:p>
            <w:pPr>
              <w:ind w:left="216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10"/>
        </w:trPr>
        <w:tc>
          <w:tcPr>
            <w:tcW w:w="3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Borders>
              <w:top w:val="single" w:sz="8" w:color="auto"/>
            </w:tcBorders>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LOMBARD</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Chief Executive Officer of Caisse des Dépôts</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SICHEL</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Deputy Chief Executive Officer of Caisse des Dépôts</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NICOLAS DUFOURCQ</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Chief Executive Officer of Bpifrance</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VIRGINIE CHAPRON-DU JEU</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 of Finance for the Caisse des Dépôts Group</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CHEVALIER</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Head of Legal and Tax Department</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NATHALIE TUBIANA</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Risk Director of the Caisse des Dépôts Group</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MAREUSE</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Chief Investment officer - Director of Savings Funds at Caisse des Dépôts</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CATHERINE MAYENOBE</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Secretary General of Caisse des Dépôts Group</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PENY</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Caisse des Dépôts Group Human Resources Director</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SOPHIE QUATREHOMME</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Group Corporate Communications Director</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YAHIEL</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Pensions and Solidarity Director</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ANTOINE SAINTOYANT</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 of strategic holdings at Caisse des Dépôts</w:t>
            </w:r>
          </w:p>
        </w:tc>
      </w:tr>
      <w:tr>
        <w:trPr>
          <w:trHeight w:val="702"/>
        </w:trPr>
        <w:tc>
          <w:tcPr>
            <w:tcW w:w="3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320" w:top="81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EPIC BPIFRANCE</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name, business address and present principal occupation or employment of each of the directors and executive officers of EPIC Bpifrance are set forth below. The business address of each director and executive officer is EPIC Bpifrance, 27-31, avenue du Général Leclerc, 94710 Maisons-Alfort Cedex, France. Unless otherwise indicated, each director and executive officer is a citizen of France.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7860" w:type="dxa"/>
            <w:vAlign w:val="bottom"/>
          </w:tcPr>
          <w:p>
            <w:pPr>
              <w:spacing w:after="0"/>
              <w:rPr>
                <w:sz w:val="20"/>
                <w:szCs w:val="20"/>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860" w:type="dxa"/>
            <w:vAlign w:val="bottom"/>
          </w:tcPr>
          <w:p>
            <w:pPr>
              <w:ind w:left="216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9"/>
        </w:trPr>
        <w:tc>
          <w:tcPr>
            <w:tcW w:w="3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Borders>
              <w:top w:val="single" w:sz="8" w:color="auto"/>
            </w:tcBorders>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BODIN</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 Chairman, Chief Executive Officer of EPIC Bpifrance</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PIERRE-LOUIS AUTIN</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Head of department SITTAR at the Higher Education, Research and Innovation Ministry</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PIERRE CHABROL</w:t>
            </w: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Director</w:t>
            </w:r>
            <w:r>
              <w:rPr>
                <w:rFonts w:ascii="Arial" w:cs="Arial" w:eastAsia="Arial" w:hAnsi="Arial"/>
                <w:sz w:val="18"/>
                <w:szCs w:val="18"/>
                <w:color w:val="auto"/>
                <w:w w:val="93"/>
              </w:rPr>
              <w:t>, Deputy Director at the Directorate of Financing, Industry and Market of the Ministry of Economy</w:t>
            </w:r>
          </w:p>
        </w:tc>
      </w:tr>
      <w:tr>
        <w:trPr>
          <w:trHeight w:val="230"/>
        </w:trPr>
        <w:tc>
          <w:tcPr>
            <w:tcW w:w="3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and Finance</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 HAUTIER</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Director</w:t>
            </w:r>
            <w:r>
              <w:rPr>
                <w:rFonts w:ascii="Arial" w:cs="Arial" w:eastAsia="Arial" w:hAnsi="Arial"/>
                <w:sz w:val="18"/>
                <w:szCs w:val="18"/>
                <w:color w:val="auto"/>
                <w:w w:val="94"/>
              </w:rPr>
              <w:t>, Deputy Director at the General Directorate for Budget of the Ministry of Economy and Finance</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VINCENT TEJEDOR</w:t>
            </w: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1"/>
              </w:rPr>
              <w:t>Director</w:t>
            </w:r>
            <w:r>
              <w:rPr>
                <w:rFonts w:ascii="Arial" w:cs="Arial" w:eastAsia="Arial" w:hAnsi="Arial"/>
                <w:sz w:val="18"/>
                <w:szCs w:val="18"/>
                <w:color w:val="auto"/>
                <w:w w:val="91"/>
              </w:rPr>
              <w:t>, Assistant Director in charge of the development of enterprises, General Directorate for Companies</w:t>
            </w:r>
          </w:p>
        </w:tc>
      </w:tr>
      <w:tr>
        <w:trPr>
          <w:trHeight w:val="230"/>
        </w:trPr>
        <w:tc>
          <w:tcPr>
            <w:tcW w:w="3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of the Ministry of Economy and Finance</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MARIE-ANNE LAVERGNE</w:t>
            </w: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Director</w:t>
            </w:r>
            <w:r>
              <w:rPr>
                <w:rFonts w:ascii="Arial" w:cs="Arial" w:eastAsia="Arial" w:hAnsi="Arial"/>
                <w:sz w:val="18"/>
                <w:szCs w:val="18"/>
                <w:color w:val="auto"/>
                <w:w w:val="97"/>
              </w:rPr>
              <w:t>, Investment Manager at the Agence des Participations de l’Etat (French State Shareholding</w:t>
            </w:r>
          </w:p>
        </w:tc>
      </w:tr>
      <w:tr>
        <w:trPr>
          <w:trHeight w:val="230"/>
        </w:trPr>
        <w:tc>
          <w:tcPr>
            <w:tcW w:w="3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Agency)</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GERALDINE LEVEAU</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General Secretary for Public Investment</w:t>
            </w:r>
          </w:p>
        </w:tc>
      </w:tr>
      <w:tr>
        <w:trPr>
          <w:trHeight w:val="702"/>
        </w:trPr>
        <w:tc>
          <w:tcPr>
            <w:tcW w:w="3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81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APPENDIX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BPIFRANCE S.A.</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name, business address and present principal occupation or employment of each of the directors and executive officers of Bpifrance S.A. are set forth below. The business address of each director and executive officer is Bpifrance S.A., 27-31, avenue du Général Leclerc, 94710 Maisons-Alfort Cedex, France. Unless otherwise indicated, each director and executive officer is a citizen of France.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7860" w:type="dxa"/>
            <w:vAlign w:val="bottom"/>
          </w:tcPr>
          <w:p>
            <w:pPr>
              <w:spacing w:after="0"/>
              <w:rPr>
                <w:sz w:val="20"/>
                <w:szCs w:val="20"/>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860" w:type="dxa"/>
            <w:vAlign w:val="bottom"/>
          </w:tcPr>
          <w:p>
            <w:pPr>
              <w:ind w:left="216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9"/>
        </w:trPr>
        <w:tc>
          <w:tcPr>
            <w:tcW w:w="3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Borders>
              <w:top w:val="single" w:sz="8" w:color="auto"/>
            </w:tcBorders>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LOMBARD</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Director, Chairman, </w:t>
            </w:r>
            <w:r>
              <w:rPr>
                <w:rFonts w:ascii="Arial" w:cs="Arial" w:eastAsia="Arial" w:hAnsi="Arial"/>
                <w:sz w:val="18"/>
                <w:szCs w:val="18"/>
                <w:color w:val="auto"/>
              </w:rPr>
              <w:t>Chief Executive Officer of the Caisse des Dépôts</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NICOLAS DUFOURCQ</w:t>
            </w: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 xml:space="preserve">Director, Chief Executive Officer of Bpifrance </w:t>
            </w:r>
            <w:r>
              <w:rPr>
                <w:rFonts w:ascii="Arial" w:cs="Arial" w:eastAsia="Arial" w:hAnsi="Arial"/>
                <w:sz w:val="18"/>
                <w:szCs w:val="18"/>
                <w:color w:val="auto"/>
                <w:w w:val="95"/>
              </w:rPr>
              <w:t>and Director, Chairman and Chief Executive Officer of</w:t>
            </w:r>
          </w:p>
        </w:tc>
      </w:tr>
      <w:tr>
        <w:trPr>
          <w:trHeight w:val="230"/>
        </w:trPr>
        <w:tc>
          <w:tcPr>
            <w:tcW w:w="3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Bpifrance Participations</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VIAL</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Director</w:t>
            </w:r>
            <w:r>
              <w:rPr>
                <w:rFonts w:ascii="Arial" w:cs="Arial" w:eastAsia="Arial" w:hAnsi="Arial"/>
                <w:sz w:val="18"/>
                <w:szCs w:val="18"/>
                <w:color w:val="auto"/>
                <w:w w:val="99"/>
              </w:rPr>
              <w:t>, Chairman of the Agence des Participations de l’Etat (French State Shareholding Agency)</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MARIE DELEAGE</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 representing the employees of Bpifrance</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PHILIPPE BAYEUX</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 representing the employees of Bpifrance</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VIRGINIE CHAPRON-DU JEU</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w:t>
            </w:r>
            <w:r>
              <w:rPr>
                <w:rFonts w:ascii="Arial" w:cs="Arial" w:eastAsia="Arial" w:hAnsi="Arial"/>
                <w:sz w:val="18"/>
                <w:szCs w:val="18"/>
                <w:b w:val="1"/>
                <w:bCs w:val="1"/>
                <w:color w:val="auto"/>
              </w:rPr>
              <w:t xml:space="preserve"> Director of Finance for the Caisse des Dépôts Group</w:t>
            </w:r>
          </w:p>
        </w:tc>
      </w:tr>
      <w:tr>
        <w:trPr>
          <w:trHeight w:val="216"/>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CLAIRE DUMAS</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Finance Director at Société Générale</w:t>
            </w:r>
          </w:p>
        </w:tc>
      </w:tr>
      <w:tr>
        <w:trPr>
          <w:trHeight w:val="216"/>
        </w:trPr>
        <w:tc>
          <w:tcPr>
            <w:tcW w:w="3380" w:type="dxa"/>
            <w:vAlign w:val="bottom"/>
            <w:gridSpan w:val="2"/>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CATHERINE LAGNEAU</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Director of the General council of economy</w:t>
            </w:r>
          </w:p>
        </w:tc>
      </w:tr>
      <w:tr>
        <w:trPr>
          <w:trHeight w:val="216"/>
        </w:trPr>
        <w:tc>
          <w:tcPr>
            <w:tcW w:w="3380" w:type="dxa"/>
            <w:vAlign w:val="bottom"/>
            <w:gridSpan w:val="2"/>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ANTOINE SAINTOYANT</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Director of strategic holdings at Caisse des Dépôts</w:t>
            </w:r>
          </w:p>
        </w:tc>
      </w:tr>
      <w:tr>
        <w:trPr>
          <w:trHeight w:val="216"/>
        </w:trPr>
        <w:tc>
          <w:tcPr>
            <w:tcW w:w="3380" w:type="dxa"/>
            <w:vAlign w:val="bottom"/>
            <w:gridSpan w:val="2"/>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BERNARD DELPIT</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CEO of Groupe Bruxelles Lambert</w:t>
            </w:r>
          </w:p>
        </w:tc>
      </w:tr>
      <w:tr>
        <w:trPr>
          <w:trHeight w:val="216"/>
        </w:trPr>
        <w:tc>
          <w:tcPr>
            <w:tcW w:w="3380" w:type="dxa"/>
            <w:vAlign w:val="bottom"/>
            <w:gridSpan w:val="2"/>
          </w:tcPr>
          <w:p>
            <w:pPr>
              <w:spacing w:after="0"/>
              <w:rPr>
                <w:sz w:val="18"/>
                <w:szCs w:val="18"/>
                <w:color w:val="auto"/>
              </w:rPr>
            </w:pPr>
          </w:p>
        </w:tc>
        <w:tc>
          <w:tcPr>
            <w:tcW w:w="7860" w:type="dxa"/>
            <w:vAlign w:val="bottom"/>
          </w:tcPr>
          <w:p>
            <w:pPr>
              <w:spacing w:after="0"/>
              <w:rPr>
                <w:sz w:val="18"/>
                <w:szCs w:val="18"/>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ANNABEL ANDRE</w:t>
            </w: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Director</w:t>
            </w:r>
            <w:r>
              <w:rPr>
                <w:rFonts w:ascii="Arial" w:cs="Arial" w:eastAsia="Arial" w:hAnsi="Arial"/>
                <w:sz w:val="18"/>
                <w:szCs w:val="18"/>
                <w:color w:val="auto"/>
                <w:w w:val="92"/>
              </w:rPr>
              <w:t>, Vice-president of the Regional Council of Auvergne-Rhone-Alpes, delegate for the economy and</w:t>
            </w:r>
          </w:p>
        </w:tc>
      </w:tr>
      <w:tr>
        <w:trPr>
          <w:trHeight w:val="230"/>
        </w:trPr>
        <w:tc>
          <w:tcPr>
            <w:tcW w:w="3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companies</w:t>
            </w:r>
          </w:p>
        </w:tc>
      </w:tr>
      <w:tr>
        <w:trPr>
          <w:trHeight w:val="216"/>
        </w:trPr>
        <w:tc>
          <w:tcPr>
            <w:tcW w:w="3380" w:type="dxa"/>
            <w:vAlign w:val="bottom"/>
            <w:gridSpan w:val="2"/>
          </w:tcPr>
          <w:p>
            <w:pPr>
              <w:spacing w:after="0"/>
              <w:rPr>
                <w:sz w:val="18"/>
                <w:szCs w:val="18"/>
                <w:color w:val="auto"/>
              </w:rPr>
            </w:pPr>
          </w:p>
        </w:tc>
        <w:tc>
          <w:tcPr>
            <w:tcW w:w="7860" w:type="dxa"/>
            <w:vAlign w:val="bottom"/>
          </w:tcPr>
          <w:p>
            <w:pPr>
              <w:spacing w:after="0"/>
              <w:rPr>
                <w:sz w:val="18"/>
                <w:szCs w:val="18"/>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HAROLD HUWART</w:t>
            </w: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Director</w:t>
            </w:r>
            <w:r>
              <w:rPr>
                <w:rFonts w:ascii="Arial" w:cs="Arial" w:eastAsia="Arial" w:hAnsi="Arial"/>
                <w:sz w:val="18"/>
                <w:szCs w:val="18"/>
                <w:color w:val="auto"/>
                <w:w w:val="92"/>
              </w:rPr>
              <w:t>, Vice-president of the Regional Council of Centre-Val-de-Loire, in charge of the economy, farming</w:t>
            </w:r>
          </w:p>
        </w:tc>
      </w:tr>
      <w:tr>
        <w:trPr>
          <w:trHeight w:val="230"/>
        </w:trPr>
        <w:tc>
          <w:tcPr>
            <w:tcW w:w="3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and associations</w:t>
            </w:r>
          </w:p>
        </w:tc>
      </w:tr>
      <w:tr>
        <w:trPr>
          <w:trHeight w:val="216"/>
        </w:trPr>
        <w:tc>
          <w:tcPr>
            <w:tcW w:w="3380" w:type="dxa"/>
            <w:vAlign w:val="bottom"/>
            <w:gridSpan w:val="2"/>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CAROLE ABBEY DUVAL</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Head of the Steering Department at Caisse des Dépôts</w:t>
            </w:r>
          </w:p>
        </w:tc>
      </w:tr>
      <w:tr>
        <w:trPr>
          <w:trHeight w:val="216"/>
        </w:trPr>
        <w:tc>
          <w:tcPr>
            <w:tcW w:w="3380" w:type="dxa"/>
            <w:vAlign w:val="bottom"/>
            <w:gridSpan w:val="2"/>
          </w:tcPr>
          <w:p>
            <w:pPr>
              <w:spacing w:after="0"/>
              <w:rPr>
                <w:sz w:val="18"/>
                <w:szCs w:val="18"/>
                <w:color w:val="auto"/>
              </w:rPr>
            </w:pPr>
          </w:p>
        </w:tc>
        <w:tc>
          <w:tcPr>
            <w:tcW w:w="7860" w:type="dxa"/>
            <w:vAlign w:val="bottom"/>
          </w:tcPr>
          <w:p>
            <w:pPr>
              <w:spacing w:after="0"/>
              <w:rPr>
                <w:sz w:val="18"/>
                <w:szCs w:val="18"/>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DIANE SIMIU</w:t>
            </w: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1"/>
              </w:rPr>
              <w:t>Director</w:t>
            </w:r>
            <w:r>
              <w:rPr>
                <w:rFonts w:ascii="Arial" w:cs="Arial" w:eastAsia="Arial" w:hAnsi="Arial"/>
                <w:sz w:val="18"/>
                <w:szCs w:val="18"/>
                <w:color w:val="auto"/>
                <w:w w:val="91"/>
              </w:rPr>
              <w:t>, deputy of the general commissioner for sustainable development at the Ministry for economic and</w:t>
            </w:r>
          </w:p>
        </w:tc>
      </w:tr>
      <w:tr>
        <w:trPr>
          <w:trHeight w:val="216"/>
        </w:trPr>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solidarity</w:t>
            </w:r>
          </w:p>
        </w:tc>
      </w:tr>
      <w:tr>
        <w:trPr>
          <w:trHeight w:val="230"/>
        </w:trPr>
        <w:tc>
          <w:tcPr>
            <w:tcW w:w="3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transition</w:t>
            </w:r>
          </w:p>
        </w:tc>
      </w:tr>
      <w:tr>
        <w:trPr>
          <w:trHeight w:val="216"/>
        </w:trPr>
        <w:tc>
          <w:tcPr>
            <w:tcW w:w="3380" w:type="dxa"/>
            <w:vAlign w:val="bottom"/>
            <w:gridSpan w:val="2"/>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SOPHIE STABILE</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Chief Financial Officer of Lagardère</w:t>
            </w:r>
          </w:p>
        </w:tc>
      </w:tr>
      <w:tr>
        <w:trPr>
          <w:trHeight w:val="216"/>
        </w:trPr>
        <w:tc>
          <w:tcPr>
            <w:tcW w:w="3380" w:type="dxa"/>
            <w:vAlign w:val="bottom"/>
            <w:gridSpan w:val="2"/>
          </w:tcPr>
          <w:p>
            <w:pPr>
              <w:spacing w:after="0"/>
              <w:rPr>
                <w:sz w:val="18"/>
                <w:szCs w:val="18"/>
                <w:color w:val="auto"/>
              </w:rPr>
            </w:pPr>
          </w:p>
        </w:tc>
        <w:tc>
          <w:tcPr>
            <w:tcW w:w="786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SEBASTIEN RASPILLER</w:t>
            </w: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Head of the Financial Sector Department of the French Treasury</w:t>
            </w:r>
          </w:p>
        </w:tc>
      </w:tr>
      <w:tr>
        <w:trPr>
          <w:trHeight w:val="702"/>
        </w:trPr>
        <w:tc>
          <w:tcPr>
            <w:tcW w:w="3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APPENDIX E</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of November 16, 2021, the below chart reflects the transactions in Common Shares effected by Bpifrance Participations and CDC since those reported on Amendment No. 2. All of the Ordinary Shares were sold in open market and off-market transactions executed by a broker on Bpifrance Participations’ behalf.</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28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Date</w:t>
            </w:r>
          </w:p>
        </w:tc>
        <w:tc>
          <w:tcPr>
            <w:tcW w:w="28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Ordinary Shares</w:t>
            </w:r>
          </w:p>
        </w:tc>
        <w:tc>
          <w:tcPr>
            <w:tcW w:w="28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Price per</w:t>
            </w:r>
          </w:p>
        </w:tc>
        <w:tc>
          <w:tcPr>
            <w:tcW w:w="27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Transaction Price Range</w:t>
            </w: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Sold</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Common Share</w:t>
            </w:r>
          </w:p>
        </w:tc>
        <w:tc>
          <w:tcPr>
            <w:tcW w:w="2780" w:type="dxa"/>
            <w:vAlign w:val="bottom"/>
            <w:tcBorders>
              <w:right w:val="single" w:sz="8" w:color="auto"/>
            </w:tcBorders>
          </w:tcPr>
          <w:p>
            <w:pPr>
              <w:spacing w:after="0"/>
              <w:rPr>
                <w:sz w:val="20"/>
                <w:szCs w:val="20"/>
                <w:color w:val="auto"/>
              </w:rPr>
            </w:pP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64"/>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October 27, 2021</w:t>
            </w: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219,497</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6,6826 €*</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6.58 € to 6.75 €</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64"/>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October 28, 2021</w:t>
            </w: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1,046,704</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6,4967 €*</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6.45 € to 6.55 €</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63"/>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October 29, 2021</w:t>
            </w: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224,720</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6,5135 €*</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6.45 € to 6.56 €</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63"/>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1, 2021</w:t>
            </w: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227,575</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6,5528 €*</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6.40 € to 6.62 €</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63"/>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2, 2021</w:t>
            </w: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91,640</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6,5461 €*</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6.50 € to 6.62 €</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63"/>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3, 2021</w:t>
            </w: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318,920</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6,4224 €*</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6.40 € to 6.50 €</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63"/>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4, 2021</w:t>
            </w: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558,956</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6,5667 €*</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6.40 € to 6.66 €</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63"/>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5, 2021</w:t>
            </w: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521,565</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6,5312 €*</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6.45 € to 6.59 €</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63"/>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8, 2021</w:t>
            </w: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260,166</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6,5118 €*</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6.50 € to 6.54 €</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63"/>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9, 2021</w:t>
            </w: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4,600</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6,4811 €</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6.4811 €</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63"/>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10, 2021</w:t>
            </w: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65,050</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6,4090 €*</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6.33 € to 6.47 €</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63"/>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16, 2021</w:t>
            </w:r>
          </w:p>
        </w:tc>
        <w:tc>
          <w:tcPr>
            <w:tcW w:w="2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492,574</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6,2686 €*</w:t>
            </w:r>
          </w:p>
        </w:tc>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6.11 € to 6.44 €</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8"/>
        <w:spacing w:after="0" w:line="263" w:lineRule="auto"/>
        <w:tabs>
          <w:tab w:leader="none" w:pos="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weighted average sale price per Ordinary Share for Ordinary Shares sold in multiple transactions. The Reporting Persons undertake to provide the SEC staff, upon request, all information regarding the number of Ordinary Shares sold at each price within the ranges set forth above in this Appendix 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4"/>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2021-11-18T11:20:12Z</dcterms:created>
  <dcterms:modified xsi:type="dcterms:W3CDTF">2021-11-18T11:20:12Z</dcterms:modified>
</cp:coreProperties>
</file>