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G87110105</w:t>
      </w:r>
    </w:p>
    <w:p>
      <w:pPr>
        <w:spacing w:after="0" w:line="238" w:lineRule="auto"/>
        <w:rPr>
          <w:sz w:val="20"/>
          <w:szCs w:val="20"/>
          <w:color w:val="auto"/>
        </w:rPr>
      </w:pPr>
      <w:r>
        <w:rPr>
          <w:rFonts w:ascii="Courier New" w:cs="Courier New" w:eastAsia="Courier New" w:hAnsi="Courier New"/>
          <w:sz w:val="18"/>
          <w:szCs w:val="18"/>
          <w:color w:val="auto"/>
        </w:rPr>
        <w:t>(CUSIP/SEDOL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8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TechnipFMC PLC CUSIP No.: G87110105</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9" w:lineRule="exact"/>
        <w:rPr>
          <w:rFonts w:ascii="Courier New" w:cs="Courier New" w:eastAsia="Courier New" w:hAnsi="Courier New"/>
          <w:sz w:val="16"/>
          <w:szCs w:val="16"/>
          <w:color w:val="auto"/>
        </w:rPr>
      </w:pPr>
    </w:p>
    <w:p>
      <w:pPr>
        <w:ind w:left="860" w:right="5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First Eagle Investment Management, LLC Tax ID # 57-1156902</w:t>
      </w:r>
    </w:p>
    <w:p>
      <w:pPr>
        <w:spacing w:after="0" w:line="200" w:lineRule="exact"/>
        <w:rPr>
          <w:sz w:val="20"/>
          <w:szCs w:val="20"/>
          <w:color w:val="auto"/>
        </w:rPr>
      </w:pPr>
    </w:p>
    <w:p>
      <w:pPr>
        <w:spacing w:after="0" w:line="211"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860" w:right="557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 -   30,730,041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 - 0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DISPOSITIVE POWER -  32,271,892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 - 0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32,271,892</w:t>
      </w:r>
    </w:p>
    <w:p>
      <w:pPr>
        <w:spacing w:after="0" w:line="200" w:lineRule="exact"/>
        <w:rPr>
          <w:sz w:val="20"/>
          <w:szCs w:val="20"/>
          <w:color w:val="auto"/>
        </w:rPr>
      </w:pPr>
    </w:p>
    <w:p>
      <w:pPr>
        <w:spacing w:after="0" w:line="209"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7.22%</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TechnipFMC PLC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One St. Paul's Churchyard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London, X0 EC4M 8AP United Kingdom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First Eagle Investment Management, LLC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31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G87110105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97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First Eagle Investment Management, LLC (FEIM), an investment adviser registered under Section 203 of the Investment Advisers Act of 1940, is deemed to be the beneficial owner of 32,271,892 shares, or 7.22% of the common stock believed to be outstanding as a result of acting as investment adviser to various clients. Clients of FEIM have the right to receive and the ultimate power to direct the receipt of dividends from, or the proceeds of the sale of, such securities.</w:t>
      </w:r>
    </w:p>
    <w:p>
      <w:pPr>
        <w:spacing w:after="0" w:line="200" w:lineRule="exact"/>
        <w:rPr>
          <w:sz w:val="20"/>
          <w:szCs w:val="20"/>
          <w:color w:val="auto"/>
        </w:rPr>
      </w:pPr>
    </w:p>
    <w:p>
      <w:pPr>
        <w:spacing w:after="0" w:line="215"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860" w:right="14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2020</w:t>
      </w:r>
    </w:p>
    <w:p>
      <w:pPr>
        <w:spacing w:after="0" w:line="216" w:lineRule="exact"/>
        <w:rPr>
          <w:sz w:val="20"/>
          <w:szCs w:val="20"/>
          <w:color w:val="auto"/>
        </w:rPr>
      </w:pPr>
    </w:p>
    <w:p>
      <w:pPr>
        <w:sectPr>
          <w:pgSz w:w="11900" w:h="16838" w:orient="portrait"/>
          <w:cols w:equalWidth="0" w:num="2">
            <w:col w:w="980" w:space="720"/>
            <w:col w:w="85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5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5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2020-02-10T13:46:49Z</dcterms:created>
  <dcterms:modified xsi:type="dcterms:W3CDTF">2020-02-10T13:46:49Z</dcterms:modified>
</cp:coreProperties>
</file>