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Pieton Arnaud</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TECHNIPFMC PLC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TechnipFMC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FTI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01/28/2021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Pres/CEOelect Technip Energies</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EC4M 8AP</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01/28/2021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4,455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17"/>
              <w:spacing w:after="0"/>
              <w:rPr>
                <w:sz w:val="20"/>
                <w:szCs w:val="20"/>
                <w:color w:val="auto"/>
              </w:rPr>
            </w:pPr>
            <w:r>
              <w:rPr>
                <w:rFonts w:ascii="Times New Roman" w:cs="Times New Roman" w:eastAsia="Times New Roman" w:hAnsi="Times New Roman"/>
                <w:sz w:val="17"/>
                <w:szCs w:val="17"/>
                <w:color w:val="0000FF"/>
              </w:rPr>
              <w:t>93,550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vMerge w:val="restart"/>
          </w:tcPr>
          <w:p>
            <w:pPr>
              <w:jc w:val="right"/>
              <w:ind w:right="437"/>
              <w:spacing w:after="0"/>
              <w:rPr>
                <w:sz w:val="20"/>
                <w:szCs w:val="20"/>
                <w:color w:val="auto"/>
              </w:rPr>
            </w:pPr>
            <w:r>
              <w:rPr>
                <w:rFonts w:ascii="Times New Roman" w:cs="Times New Roman" w:eastAsia="Times New Roman" w:hAnsi="Times New Roman"/>
                <w:sz w:val="17"/>
                <w:szCs w:val="17"/>
                <w:color w:val="0000FF"/>
              </w:rPr>
              <w:t>460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-3234055</wp:posOffset>
            </wp:positionV>
            <wp:extent cx="7031355" cy="3274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2746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0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performance stock units, which is scheduled to vest on February 26, 2021, in the form of Ordinary Shares based upon the Issuer's performance against certain performance criteria.</w:t>
      </w:r>
    </w:p>
    <w:p>
      <w:pPr>
        <w:sectPr>
          <w:pgSz w:w="11900" w:h="16838" w:orient="portrait"/>
          <w:cols w:equalWidth="0" w:num="1">
            <w:col w:w="11080"/>
          </w:cols>
          <w:pgMar w:left="460" w:top="219" w:right="359" w:bottom="1440" w:gutter="0" w:footer="0" w:header="0"/>
          <w:type w:val="continuous"/>
        </w:sectPr>
      </w:pP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Lisa P. Wang,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9026" TargetMode="External"/><Relationship Id="rId14"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2021-01-29T15:28:08Z</dcterms:created>
  <dcterms:modified xsi:type="dcterms:W3CDTF">2021-01-29T15:28:08Z</dcterms:modified>
</cp:coreProperties>
</file>