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435" w:hAnchor="page" w:vAnchor="page" w:x="276" w:y="109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9721" w:hAnchor="page" w:vAnchor="page" w:x="739" w:y="10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Fee computed on table in exhibit required by Item 25(b) per Exchange Act Rules 14a-6(i)(1) and 0-11.</w:t>
      </w:r>
    </w:p>
    <w:p>
      <w:pPr>
        <w:pStyle w:val="Normal"/>
        <w:framePr w:w="435" w:hAnchor="page" w:vAnchor="page" w:x="276" w:y="104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4623" w:hAnchor="page" w:vAnchor="page" w:x="739" w:y="104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Fee paid previously with preliminary materials.</w:t>
      </w:r>
    </w:p>
    <w:p>
      <w:pPr>
        <w:pStyle w:val="Normal"/>
        <w:framePr w:w="435" w:hAnchor="page" w:vAnchor="page" w:x="276" w:y="99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☒</w:t>
      </w:r>
    </w:p>
    <w:p>
      <w:pPr>
        <w:pStyle w:val="Normal"/>
        <w:framePr w:w="1738" w:hAnchor="page" w:vAnchor="page" w:x="739" w:y="99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 fee required.</w:t>
      </w:r>
    </w:p>
    <w:p>
      <w:pPr>
        <w:pStyle w:val="Normal"/>
        <w:framePr w:w="5015" w:hAnchor="page" w:vAnchor="page" w:x="276" w:y="9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Payment of Filing Fee (Check the appropriate box):</w:t>
      </w:r>
    </w:p>
    <w:p>
      <w:pPr>
        <w:pStyle w:val="Normal"/>
        <w:framePr w:w="7350" w:hAnchor="page" w:vAnchor="page" w:x="3211" w:y="9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(Name of Person(s) Filing Proxy Statement, if other than the Registrant)</w:t>
      </w:r>
    </w:p>
    <w:p>
      <w:pPr>
        <w:pStyle w:val="Normal"/>
        <w:framePr w:w="4951" w:hAnchor="page" w:vAnchor="page" w:x="4210" w:y="85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(Name of Registrant as Specified in Its Charter)</w:t>
      </w:r>
    </w:p>
    <w:p>
      <w:pPr>
        <w:pStyle w:val="Normal"/>
        <w:framePr w:w="5131" w:hAnchor="page" w:vAnchor="page" w:x="4076" w:y="8047"/>
        <w:widowControl w:val="off"/>
        <w:autoSpaceDE w:val="off"/>
        <w:autoSpaceDN w:val="off"/>
        <w:spacing w:before="0" w:after="0" w:line="51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  <w:t>TECHNIPFMC PLC</w:t>
      </w:r>
    </w:p>
    <w:p>
      <w:pPr>
        <w:pStyle w:val="Normal"/>
        <w:framePr w:w="435" w:hAnchor="page" w:vAnchor="page" w:x="276" w:y="75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4270" w:hAnchor="page" w:vAnchor="page" w:x="739" w:y="75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Soliciting Material Pursuant to Rule 14a-12</w:t>
      </w:r>
    </w:p>
    <w:p>
      <w:pPr>
        <w:pStyle w:val="Normal"/>
        <w:framePr w:w="435" w:hAnchor="page" w:vAnchor="page" w:x="276" w:y="70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☒</w:t>
      </w:r>
    </w:p>
    <w:p>
      <w:pPr>
        <w:pStyle w:val="Normal"/>
        <w:framePr w:w="3145" w:hAnchor="page" w:vAnchor="page" w:x="739" w:y="70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Definitive Additional Materials</w:t>
      </w:r>
    </w:p>
    <w:p>
      <w:pPr>
        <w:pStyle w:val="Normal"/>
        <w:framePr w:w="435" w:hAnchor="page" w:vAnchor="page" w:x="276" w:y="6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2760" w:hAnchor="page" w:vAnchor="page" w:x="739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Definitive Proxy Statement</w:t>
      </w:r>
    </w:p>
    <w:p>
      <w:pPr>
        <w:pStyle w:val="Normal"/>
        <w:framePr w:w="435" w:hAnchor="page" w:vAnchor="page" w:x="276" w:y="60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132" w:hAnchor="page" w:vAnchor="page" w:x="739" w:y="61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Confidential, for Use of the Commission Only (as permitted by Rule 14a-6(e)(2))</w:t>
      </w:r>
    </w:p>
    <w:p>
      <w:pPr>
        <w:pStyle w:val="Normal"/>
        <w:framePr w:w="435" w:hAnchor="page" w:vAnchor="page" w:x="276" w:y="560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2914" w:hAnchor="page" w:vAnchor="page" w:x="739" w:y="56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Preliminary Proxy Statement</w:t>
      </w:r>
    </w:p>
    <w:p>
      <w:pPr>
        <w:pStyle w:val="Normal"/>
        <w:framePr w:w="2740" w:hAnchor="page" w:vAnchor="page" w:x="276" w:y="51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Check the appropriate box:</w:t>
      </w:r>
    </w:p>
    <w:p>
      <w:pPr>
        <w:pStyle w:val="Normal"/>
        <w:framePr w:w="4361" w:hAnchor="page" w:vAnchor="page" w:x="276" w:y="44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Filed by a Party other than the Registrant 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2665" w:hAnchor="page" w:vAnchor="page" w:x="276" w:y="395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Filed by the Registrant 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☒</w:t>
      </w:r>
    </w:p>
    <w:p>
      <w:pPr>
        <w:pStyle w:val="Normal"/>
        <w:framePr w:w="2522" w:hAnchor="page" w:vAnchor="page" w:x="5146" w:y="3074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(Amendment No.     )</w:t>
      </w:r>
    </w:p>
    <w:p>
      <w:pPr>
        <w:pStyle w:val="Normal"/>
        <w:framePr w:w="3732" w:hAnchor="page" w:vAnchor="page" w:x="4597" w:y="2814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Securities Exchange Act of 1934</w:t>
      </w:r>
    </w:p>
    <w:p>
      <w:pPr>
        <w:pStyle w:val="Normal"/>
        <w:framePr w:w="5557" w:hAnchor="page" w:vAnchor="page" w:x="3766" w:y="2553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Proxy Statement Pursuant to Section 14(a) of the</w:t>
      </w:r>
    </w:p>
    <w:p>
      <w:pPr>
        <w:pStyle w:val="Normal"/>
        <w:framePr w:w="3239" w:hAnchor="page" w:vAnchor="page" w:x="4880" w:y="2161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SCHEDULE 14A</w:t>
      </w:r>
    </w:p>
    <w:p>
      <w:pPr>
        <w:pStyle w:val="Normal"/>
        <w:framePr w:w="2877" w:hAnchor="page" w:vAnchor="page" w:x="4985" w:y="1266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Washington, D.C. 20549</w:t>
      </w:r>
    </w:p>
    <w:p>
      <w:pPr>
        <w:pStyle w:val="Normal"/>
        <w:framePr w:w="8608" w:hAnchor="page" w:vAnchor="page" w:x="2440" w:y="873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SECURITIES AND EXCHANGE COMMISSION</w:t>
      </w:r>
    </w:p>
    <w:p>
      <w:pPr>
        <w:pStyle w:val="Normal"/>
        <w:framePr w:w="3374" w:hAnchor="page" w:vAnchor="page" w:x="4819" w:y="483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2.8pt;margin-top:7.5pt;z-index:-1677720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2.8pt;margin-top:11.15pt;z-index:-1677720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45.7pt;margin-top:95.05pt;z-index:-16777200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45.7pt;margin-top:184.7pt;z-index:-16777196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2.8pt;margin-top:573.15pt;z-index:-16777192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2.8pt;margin-top:576.75pt;z-index:-1677718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</w:p>
    <w:p>
      <w:pPr>
        <w:pStyle w:val="Normal"/>
        <w:framePr w:w="7143" w:hAnchor="page" w:vAnchor="page" w:x="1317" w:y="13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 our other executive officers by 20% from May 2020 – December 2020.</w:t>
      </w:r>
    </w:p>
    <w:p>
      <w:pPr>
        <w:pStyle w:val="Normal"/>
        <w:framePr w:w="13015" w:hAnchor="page" w:vAnchor="page" w:x="1317" w:y="13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 the COVID-19 pandemic and energy market decline, the Committee reduced the annual base salary for our Chair and CEO by 30% and</w:t>
      </w:r>
    </w:p>
    <w:p>
      <w:pPr>
        <w:pStyle w:val="Normal"/>
        <w:framePr w:w="309" w:hAnchor="page" w:vAnchor="page" w:x="854" w:y="13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3069" w:hAnchor="page" w:vAnchor="page" w:x="1317" w:y="13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Compensation and Talent Committee has demonstrated a history of responding swiftly and decisively to market changes. In 2020, due</w:t>
      </w:r>
    </w:p>
    <w:p>
      <w:pPr>
        <w:pStyle w:val="Normal"/>
        <w:framePr w:w="12876" w:hAnchor="page" w:vAnchor="page" w:x="1317" w:y="129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December 31, 2021 and LTI granted to TechnipFMC executives between 2019 and 2021 is worth 37% less than the original target value.</w:t>
      </w:r>
    </w:p>
    <w:p>
      <w:pPr>
        <w:pStyle w:val="Normal"/>
        <w:framePr w:w="309" w:hAnchor="page" w:vAnchor="page" w:x="854" w:y="127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230" w:hAnchor="page" w:vAnchor="page" w:x="1317" w:y="127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Declines in stock price have a direct impact on the value of long-term incentives. TSR is down 56% between January 1, 2019 and</w:t>
      </w:r>
    </w:p>
    <w:p>
      <w:pPr>
        <w:pStyle w:val="Normal"/>
        <w:framePr w:w="11380" w:hAnchor="page" w:vAnchor="page" w:x="1317" w:y="123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projected to be approximately $3.2 million less than target compensation (or 24% below target) between 2019 and 2021.</w:t>
      </w:r>
    </w:p>
    <w:p>
      <w:pPr>
        <w:pStyle w:val="Normal"/>
        <w:framePr w:w="12742" w:hAnchor="page" w:vAnchor="page" w:x="1317" w:y="121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over the past several years, which directly impacted executive compensation. The CEO’s three-year average realizable compensation is</w:t>
      </w:r>
    </w:p>
    <w:p>
      <w:pPr>
        <w:pStyle w:val="Normal"/>
        <w:framePr w:w="309" w:hAnchor="page" w:vAnchor="page" w:x="854" w:y="118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3020" w:hAnchor="page" w:vAnchor="page" w:x="1317" w:y="118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industry downturn due to the COVID-19 pandemic had a meaningful impact on the Company’s financial and stock price performance</w:t>
      </w:r>
    </w:p>
    <w:p>
      <w:pPr>
        <w:pStyle w:val="Normal"/>
        <w:framePr w:w="2926" w:hAnchor="page" w:vAnchor="page" w:x="1317" w:y="115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peers and market prevalence.</w:t>
      </w:r>
    </w:p>
    <w:p>
      <w:pPr>
        <w:pStyle w:val="Normal"/>
        <w:framePr w:w="309" w:hAnchor="page" w:vAnchor="page" w:x="854" w:y="112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929" w:hAnchor="page" w:vAnchor="page" w:x="1317" w:y="112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70% of our long-term incentive is performance based, which represents a higher weighting of performance-based equity compared to our</w:t>
      </w:r>
    </w:p>
    <w:p>
      <w:pPr>
        <w:pStyle w:val="Normal"/>
        <w:framePr w:w="3523" w:hAnchor="page" w:vAnchor="page" w:x="1317" w:y="109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variable and based on performance.</w:t>
      </w:r>
    </w:p>
    <w:p>
      <w:pPr>
        <w:pStyle w:val="Normal"/>
        <w:framePr w:w="309" w:hAnchor="page" w:vAnchor="page" w:x="854" w:y="106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3098" w:hAnchor="page" w:vAnchor="page" w:x="1317" w:y="106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Most of our executive compensation is variable. For 2021, 90% of the CEO’s compensation and 79% of compensation for other NEOs was</w:t>
      </w:r>
    </w:p>
    <w:p>
      <w:pPr>
        <w:pStyle w:val="Normal"/>
        <w:framePr w:w="6145" w:hAnchor="page" w:vAnchor="page" w:x="276" w:y="103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Our executive compensation program links pay to performance:</w:t>
      </w:r>
    </w:p>
    <w:p>
      <w:pPr>
        <w:pStyle w:val="Normal"/>
        <w:framePr w:w="3543" w:hAnchor="page" w:vAnchor="page" w:x="276" w:y="99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Alignment of Pay to Performance</w:t>
      </w:r>
    </w:p>
    <w:p>
      <w:pPr>
        <w:pStyle w:val="Normal"/>
        <w:framePr w:w="6800" w:hAnchor="page" w:vAnchor="page" w:x="276" w:y="94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between pay and performance in our executive compensation program.</w:t>
      </w:r>
    </w:p>
    <w:p>
      <w:pPr>
        <w:pStyle w:val="Normal"/>
        <w:framePr w:w="14209" w:hAnchor="page" w:vAnchor="page" w:x="276" w:y="91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would like to provide shareholders with further context on the concerns raised by ISS and reiterate key actions we have taken to strengthen the link</w:t>
      </w:r>
    </w:p>
    <w:p>
      <w:pPr>
        <w:pStyle w:val="Normal"/>
        <w:framePr w:w="5566" w:hAnchor="page" w:vAnchor="page" w:x="1317" w:y="87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2022 by a change to the performance award payout scale)</w:t>
      </w:r>
    </w:p>
    <w:p>
      <w:pPr>
        <w:pStyle w:val="Normal"/>
        <w:framePr w:w="309" w:hAnchor="page" w:vAnchor="page" w:x="854" w:y="84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841" w:hAnchor="page" w:vAnchor="page" w:x="1317" w:y="84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Performance awards may vest at target for achieving below median relative TSR performance. (Note: this concern has been mitigated in</w:t>
      </w:r>
    </w:p>
    <w:p>
      <w:pPr>
        <w:pStyle w:val="Normal"/>
        <w:framePr w:w="309" w:hAnchor="page" w:vAnchor="page" w:x="854" w:y="81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810" w:hAnchor="page" w:vAnchor="page" w:x="1317" w:y="81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removed performance conditions for outstanding 2019 and 2020 performance awards in connection with the spin-off; and</w:t>
      </w:r>
    </w:p>
    <w:p>
      <w:pPr>
        <w:pStyle w:val="Normal"/>
        <w:framePr w:w="6049" w:hAnchor="page" w:vAnchor="page" w:x="276" w:y="77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recommendation was based on concerns on two specific items:</w:t>
      </w:r>
    </w:p>
    <w:p>
      <w:pPr>
        <w:pStyle w:val="Normal"/>
        <w:framePr w:w="14128" w:hAnchor="page" w:vAnchor="page" w:x="276" w:y="75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TechnipFMC’s short- and long-term incentive programs are primarily performance based, and noted the positive features of our program, the ISS vote</w:t>
      </w:r>
    </w:p>
    <w:p>
      <w:pPr>
        <w:pStyle w:val="Normal"/>
        <w:framePr w:w="13054" w:hAnchor="page" w:vAnchor="page" w:x="276" w:y="72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contrast, Institutional Shareholder Services (ISS), recommended an AGAINST vote on Proposal 2 and Proposal 3. While ISS noted that</w:t>
      </w:r>
    </w:p>
    <w:p>
      <w:pPr>
        <w:pStyle w:val="Normal"/>
        <w:framePr w:w="7899" w:hAnchor="page" w:vAnchor="page" w:x="276" w:y="68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plan design. For these reasons, Glass Lewis recommended a FOR say-on-pay vote.</w:t>
      </w:r>
    </w:p>
    <w:p>
      <w:pPr>
        <w:pStyle w:val="Normal"/>
        <w:framePr w:w="14210" w:hAnchor="page" w:vAnchor="page" w:x="276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year in review. Glass Lewis also noted a suitable structure of performance-based awards, include the changes for 2022 in our long-term incentive (LTI)</w:t>
      </w:r>
    </w:p>
    <w:p>
      <w:pPr>
        <w:pStyle w:val="Normal"/>
        <w:framePr w:w="13980" w:hAnchor="page" w:vAnchor="page" w:x="276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Glass Lewis recognized the significant period of change during 2021 and impact of the Company’s recent spin-off on compensation plans during the</w:t>
      </w:r>
    </w:p>
    <w:p>
      <w:pPr>
        <w:pStyle w:val="Normal"/>
        <w:framePr w:w="8096" w:hAnchor="page" w:vAnchor="page" w:x="276" w:y="59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global economic uncertainty, the oil and gas downturn and the COVID-19 pandemic.</w:t>
      </w:r>
    </w:p>
    <w:p>
      <w:pPr>
        <w:pStyle w:val="Normal"/>
        <w:framePr w:w="14277" w:hAnchor="page" w:vAnchor="page" w:x="276" w:y="56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2021 represented a year of significant structural change for TechnipFMC with the completion of the spin-off of Technip Energies, against a backdrop of</w:t>
      </w:r>
    </w:p>
    <w:p>
      <w:pPr>
        <w:pStyle w:val="Normal"/>
        <w:framePr w:w="7026" w:hAnchor="page" w:vAnchor="page" w:x="276" w:y="52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 of votes cast in the past two years: 84.6% (2021) and 85.8% (2020).</w:t>
      </w:r>
    </w:p>
    <w:p>
      <w:pPr>
        <w:pStyle w:val="Normal"/>
        <w:framePr w:w="13969" w:hAnchor="page" w:vAnchor="page" w:x="276" w:y="49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related proposals. Shareholders have also been supportive of TechnipFMC’s compensation. Most recently, TechnipFMC received an average of 85%</w:t>
      </w:r>
    </w:p>
    <w:p>
      <w:pPr>
        <w:pStyle w:val="Normal"/>
        <w:framePr w:w="14360" w:hAnchor="page" w:vAnchor="page" w:x="276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Shareholder Services Inc. (ISS) have been supportive of TechnipFMC’s compensation practices, recommending a FOR vote each year on compensation-</w:t>
      </w:r>
    </w:p>
    <w:p>
      <w:pPr>
        <w:pStyle w:val="Normal"/>
        <w:framePr w:w="13694" w:hAnchor="page" w:vAnchor="page" w:x="276" w:y="45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Since the merger of FMC Technologies and Technip in 2017, the leading proxy advisory firms Glass, Lewis &amp; Co (Glass Lewis) and Institutional</w:t>
      </w:r>
    </w:p>
    <w:p>
      <w:pPr>
        <w:pStyle w:val="Normal"/>
        <w:framePr w:w="2686" w:hAnchor="page" w:vAnchor="page" w:x="276" w:y="41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Background information</w:t>
      </w:r>
    </w:p>
    <w:p>
      <w:pPr>
        <w:pStyle w:val="Normal"/>
        <w:framePr w:w="3381" w:hAnchor="page" w:vAnchor="page" w:x="276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addition to the information below.</w:t>
      </w:r>
    </w:p>
    <w:p>
      <w:pPr>
        <w:pStyle w:val="Normal"/>
        <w:framePr w:w="14004" w:hAnchor="page" w:vAnchor="page" w:x="276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deciding how to vote on Proposal 2 and Proposal 3, we encourage you to consider and read the information disclosed in the 2022 Proxy Statement in</w:t>
      </w:r>
    </w:p>
    <w:p>
      <w:pPr>
        <w:pStyle w:val="Normal"/>
        <w:framePr w:w="13603" w:hAnchor="page" w:vAnchor="page" w:x="276" w:y="31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 copy of the 2022 Proxy Statement is available at https://www.technipfmc.com/en/investors/regulatory-filings/sec-filings/def-14a-4073449/. In</w:t>
      </w:r>
    </w:p>
    <w:p>
      <w:pPr>
        <w:pStyle w:val="Normal"/>
        <w:framePr w:w="309" w:hAnchor="page" w:vAnchor="page" w:x="854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•</w:t>
      </w:r>
    </w:p>
    <w:p>
      <w:pPr>
        <w:pStyle w:val="Normal"/>
        <w:framePr w:w="6658" w:hAnchor="page" w:vAnchor="page" w:x="1317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Proposal Number 3 – 2021 U.K. Directors’ Remuneration Report</w:t>
      </w:r>
    </w:p>
    <w:p>
      <w:pPr>
        <w:pStyle w:val="Normal"/>
        <w:framePr w:w="309" w:hAnchor="page" w:vAnchor="page" w:x="854" w:y="22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•</w:t>
      </w:r>
    </w:p>
    <w:p>
      <w:pPr>
        <w:pStyle w:val="Normal"/>
        <w:framePr w:w="7498" w:hAnchor="page" w:vAnchor="page" w:x="1317" w:y="22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Proposal Number 2 – 2021 U.S. Say-on-Pay for Named Executive Officers</w:t>
      </w:r>
    </w:p>
    <w:p>
      <w:pPr>
        <w:pStyle w:val="Normal"/>
        <w:framePr w:w="2111" w:hAnchor="page" w:vAnchor="page" w:x="276" w:y="1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 each of them:</w:t>
      </w:r>
    </w:p>
    <w:p>
      <w:pPr>
        <w:pStyle w:val="Normal"/>
        <w:framePr w:w="13888" w:hAnchor="page" w:vAnchor="page" w:x="276" w:y="170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this communication, we are providing additional background and support regarding two specific proposals, and once again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 xml:space="preserve"> asking for your vote</w:t>
      </w:r>
    </w:p>
    <w:p>
      <w:pPr>
        <w:pStyle w:val="Normal"/>
        <w:framePr w:w="9227" w:hAnchor="page" w:vAnchor="page" w:x="276" w:y="12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which was filed with the Securities and Exchange Commission on March 18, 2022.</w:t>
      </w:r>
    </w:p>
    <w:p>
      <w:pPr>
        <w:pStyle w:val="Normal"/>
        <w:framePr w:w="13477" w:hAnchor="page" w:vAnchor="page" w:x="276" w:y="10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are writing to ask for your support in favor of all proposals in the Proxy Statement for the 2022 Annual General Meeting of shareholders of</w:t>
      </w:r>
    </w:p>
    <w:p>
      <w:pPr>
        <w:pStyle w:val="Normal"/>
        <w:framePr w:w="3206" w:hAnchor="page" w:vAnchor="page" w:x="276" w:y="5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Dear TechnipFMC Shareholder;</w:t>
      </w:r>
    </w:p>
    <w:p>
      <w:pPr>
        <w:pStyle w:val="Normal"/>
        <w:framePr w:w="1584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April 18, 2022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7pt;margin-top:1pt;z-index:-16777184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2.8pt;margin-top:1pt;z-index:-1677718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2.8pt;margin-top:2.45pt;z-index:-1677717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597.95pt;margin-top:1pt;z-index:-1677717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2.8pt;margin-top:1pt;z-index:-1677716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211.45pt;margin-top:164.45pt;z-index:-16777164;width:347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</w:p>
    <w:p>
      <w:pPr>
        <w:pStyle w:val="Normal"/>
        <w:framePr w:w="4421" w:hAnchor="page" w:vAnchor="page" w:x="276" w:y="129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Chair—Compensation and Talent Committee</w:t>
      </w:r>
    </w:p>
    <w:p>
      <w:pPr>
        <w:pStyle w:val="Normal"/>
        <w:framePr w:w="1623" w:hAnchor="page" w:vAnchor="page" w:x="276" w:y="127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John O’Leary</w:t>
      </w:r>
    </w:p>
    <w:p>
      <w:pPr>
        <w:pStyle w:val="Normal"/>
        <w:framePr w:w="1783" w:hAnchor="page" w:vAnchor="page" w:x="276" w:y="124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/s/ John O’Leary</w:t>
      </w:r>
    </w:p>
    <w:p>
      <w:pPr>
        <w:pStyle w:val="Normal"/>
        <w:framePr w:w="2720" w:hAnchor="page" w:vAnchor="page" w:x="276" w:y="1200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Lead Independent Director</w:t>
      </w:r>
    </w:p>
    <w:p>
      <w:pPr>
        <w:pStyle w:val="Normal"/>
        <w:framePr w:w="1785" w:hAnchor="page" w:vAnchor="page" w:x="276" w:y="117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Claire S. Farley</w:t>
      </w:r>
    </w:p>
    <w:p>
      <w:pPr>
        <w:pStyle w:val="Normal"/>
        <w:framePr w:w="1963" w:hAnchor="page" w:vAnchor="page" w:x="276" w:y="115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/s/ Claire S. Farley</w:t>
      </w:r>
    </w:p>
    <w:p>
      <w:pPr>
        <w:pStyle w:val="Normal"/>
        <w:framePr w:w="1145" w:hAnchor="page" w:vAnchor="page" w:x="276" w:y="110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Sincerely,</w:t>
      </w:r>
    </w:p>
    <w:p>
      <w:pPr>
        <w:pStyle w:val="Normal"/>
        <w:framePr w:w="3945" w:hAnchor="page" w:vAnchor="page" w:x="276" w:y="1055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TechnipFMC’s compensation programs.</w:t>
      </w:r>
    </w:p>
    <w:p>
      <w:pPr>
        <w:pStyle w:val="Normal"/>
        <w:framePr w:w="13208" w:hAnchor="page" w:vAnchor="page" w:x="276" w:y="103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thank you for your thoughtful consideration towards a FOR vote for all shareholder proposals look forward to your continued support of</w:t>
      </w:r>
    </w:p>
    <w:p>
      <w:pPr>
        <w:pStyle w:val="Normal"/>
        <w:framePr w:w="2194" w:hAnchor="page" w:vAnchor="page" w:x="276" w:y="98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shareholder interests.</w:t>
      </w:r>
    </w:p>
    <w:p>
      <w:pPr>
        <w:pStyle w:val="Normal"/>
        <w:framePr w:w="13848" w:hAnchor="page" w:vAnchor="page" w:x="276" w:y="96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we have adopted best governance practices and made key changes to our program in 2022 to ensure alignment of executive compensation with</w:t>
      </w:r>
    </w:p>
    <w:p>
      <w:pPr>
        <w:pStyle w:val="Normal"/>
        <w:framePr w:w="14315" w:hAnchor="page" w:vAnchor="page" w:x="276" w:y="94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support our business and ensure we have management continuity post spin-off. Our executive program will continue to emphasize pay-for-performance,</w:t>
      </w:r>
    </w:p>
    <w:p>
      <w:pPr>
        <w:pStyle w:val="Normal"/>
        <w:framePr w:w="13756" w:hAnchor="page" w:vAnchor="page" w:x="276" w:y="91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During a period of economic uncertainty, energy transition and historic change for TechnipFMC, the Committee took one-time strategic actions to</w:t>
      </w:r>
    </w:p>
    <w:p>
      <w:pPr>
        <w:pStyle w:val="Normal"/>
        <w:framePr w:w="7611" w:hAnchor="page" w:vAnchor="page" w:x="276" w:y="88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Why we ask you for a vote FOR on say-on-pay (Proposal 2 and Proposal 3)</w:t>
      </w:r>
    </w:p>
    <w:p>
      <w:pPr>
        <w:pStyle w:val="Normal"/>
        <w:framePr w:w="1821" w:hAnchor="page" w:vAnchor="page" w:x="1317" w:y="824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our shareholders.</w:t>
      </w:r>
    </w:p>
    <w:p>
      <w:pPr>
        <w:pStyle w:val="Normal"/>
        <w:framePr w:w="12931" w:hAnchor="page" w:vAnchor="page" w:x="1317" w:y="80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clear alignment for our executive officers to long-term financial performance and shareholder value creation and is strongly supported by</w:t>
      </w:r>
    </w:p>
    <w:p>
      <w:pPr>
        <w:pStyle w:val="Normal"/>
        <w:framePr w:w="13126" w:hAnchor="page" w:vAnchor="page" w:x="1317" w:y="778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weighted at 50% of our performance Based Long-Term Incentive Plan). We believe an equal weighting of ROIC and relative TSR provides</w:t>
      </w:r>
    </w:p>
    <w:p>
      <w:pPr>
        <w:pStyle w:val="Normal"/>
        <w:framePr w:w="309" w:hAnchor="page" w:vAnchor="page" w:x="854" w:y="75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527" w:hAnchor="page" w:vAnchor="page" w:x="1317" w:y="75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Reintroduction of ROIC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as a performance measure for the 2022 long-term incentive award grant , in addition to relative TSR (each</w:t>
      </w:r>
    </w:p>
    <w:p>
      <w:pPr>
        <w:pStyle w:val="Normal"/>
        <w:framePr w:w="9165" w:hAnchor="page" w:vAnchor="page" w:x="1317" w:y="71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align payouts with shareholder expectations and addresses the second concern expressed by ISS.</w:t>
      </w:r>
    </w:p>
    <w:p>
      <w:pPr>
        <w:pStyle w:val="Normal"/>
        <w:framePr w:w="12772" w:hAnchor="page" w:vAnchor="page" w:x="1317" w:y="69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plan will pay at target when achieving a 50th percentile position versus our relative TSR Peer Group. This change will more closely</w:t>
      </w:r>
    </w:p>
    <w:p>
      <w:pPr>
        <w:pStyle w:val="Normal"/>
        <w:framePr w:w="309" w:hAnchor="page" w:vAnchor="page" w:x="854" w:y="67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3141" w:hAnchor="page" w:vAnchor="page" w:x="1317" w:y="67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Increased rigor of the relative TSR payout scale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in our long-term incentive plan. For the 2022-2024 plan, the relative TSR component of</w:t>
      </w:r>
    </w:p>
    <w:p>
      <w:pPr>
        <w:pStyle w:val="Normal"/>
        <w:framePr w:w="1776" w:hAnchor="page" w:vAnchor="page" w:x="276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changes include:</w:t>
      </w:r>
    </w:p>
    <w:p>
      <w:pPr>
        <w:pStyle w:val="Normal"/>
        <w:framePr w:w="14324" w:hAnchor="page" w:vAnchor="page" w:x="276" w:y="61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feedback prompted changes to our 2022 compensation program that further aligned our compensation practices with the interests of shareholders. These</w:t>
      </w:r>
    </w:p>
    <w:p>
      <w:pPr>
        <w:pStyle w:val="Normal"/>
        <w:framePr w:w="14338" w:hAnchor="page" w:vAnchor="page" w:x="276" w:y="59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During 2021-2022 engagement, we met with many of our top shareholders which allowed us to understand their priorities and perspectives. Shareholder</w:t>
      </w:r>
    </w:p>
    <w:p>
      <w:pPr>
        <w:pStyle w:val="Normal"/>
        <w:framePr w:w="8611" w:hAnchor="page" w:vAnchor="page" w:x="276" w:y="55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Additional changes to compensation program in response to shareholder engagement</w:t>
      </w:r>
    </w:p>
    <w:p>
      <w:pPr>
        <w:pStyle w:val="Normal"/>
        <w:framePr w:w="1860" w:hAnchor="page" w:vAnchor="page" w:x="1317" w:y="49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Incentive awards.</w:t>
      </w:r>
    </w:p>
    <w:p>
      <w:pPr>
        <w:pStyle w:val="Normal"/>
        <w:framePr w:w="12747" w:hAnchor="page" w:vAnchor="page" w:x="1317" w:y="47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 the Committee. Assuming target performance for the 2019 and 2020 PSUs maintained the retentive value of outstanding Long-term</w:t>
      </w:r>
    </w:p>
    <w:p>
      <w:pPr>
        <w:pStyle w:val="Normal"/>
        <w:framePr w:w="12996" w:hAnchor="page" w:vAnchor="page" w:x="1317" w:y="45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Retention and continuity of the executive team to achieve ambitious organizational transformation and strategic growth was a key priority</w:t>
      </w:r>
    </w:p>
    <w:p>
      <w:pPr>
        <w:pStyle w:val="Normal"/>
        <w:framePr w:w="309" w:hAnchor="page" w:vAnchor="page" w:x="854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681" w:hAnchor="page" w:vAnchor="page" w:x="1317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robust market for leadership talent resulted in the departure of four of our executive officers from the Company in 2020 and 2021.</w:t>
      </w:r>
    </w:p>
    <w:p>
      <w:pPr>
        <w:pStyle w:val="Normal"/>
        <w:framePr w:w="9651" w:hAnchor="page" w:vAnchor="page" w:x="1317" w:y="39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since the goals had been set for the pre-spin organization and pre-spin business targets and objectives.</w:t>
      </w:r>
    </w:p>
    <w:p>
      <w:pPr>
        <w:pStyle w:val="Normal"/>
        <w:framePr w:w="309" w:hAnchor="page" w:vAnchor="page" w:x="854" w:y="36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655" w:hAnchor="page" w:vAnchor="page" w:x="1317" w:y="36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Following the Spin-off in February, it was no longer possible to measure 2019-2021 and 2020-2022 performance against the set goals,</w:t>
      </w:r>
    </w:p>
    <w:p>
      <w:pPr>
        <w:pStyle w:val="Normal"/>
        <w:framePr w:w="7660" w:hAnchor="page" w:vAnchor="page" w:x="276" w:y="33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Performance Upon the Spin-Off. The rationale for this action was the following:</w:t>
      </w:r>
    </w:p>
    <w:p>
      <w:pPr>
        <w:pStyle w:val="Normal"/>
        <w:framePr w:w="14222" w:hAnchor="page" w:vAnchor="page" w:x="276" w:y="30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business. These actions included the conversion of 2019 and 2020 Performance Share Units (PSUs) to Restricted Share Units (RSUs) Assuming Target</w:t>
      </w:r>
    </w:p>
    <w:p>
      <w:pPr>
        <w:pStyle w:val="Normal"/>
        <w:framePr w:w="13875" w:hAnchor="page" w:vAnchor="page" w:x="276" w:y="28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Given the significant change to the Company in 2021, the Committee took key executive compensation actions with the objective of supporting the</w:t>
      </w:r>
    </w:p>
    <w:p>
      <w:pPr>
        <w:pStyle w:val="Normal"/>
        <w:framePr w:w="4707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Key Executive Compensation Actions in 2021</w:t>
      </w:r>
    </w:p>
    <w:p>
      <w:pPr>
        <w:pStyle w:val="Normal"/>
        <w:framePr w:w="9763" w:hAnchor="page" w:vAnchor="page" w:x="276" w:y="1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 structure during this period and long-term growth potential as a pure-play technology player.</w:t>
      </w:r>
    </w:p>
    <w:p>
      <w:pPr>
        <w:pStyle w:val="Normal"/>
        <w:framePr w:w="13810" w:hAnchor="page" w:vAnchor="page" w:x="276" w:y="170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ISS’ quantitative screen for alignment of pay to performance uses the 2019 – 2021 performance period and disregards the significant change in the</w:t>
      </w:r>
    </w:p>
    <w:p>
      <w:pPr>
        <w:pStyle w:val="Normal"/>
        <w:framePr w:w="13435" w:hAnchor="page" w:vAnchor="page" w:x="276" w:y="12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our compelling and distinct investment profile has poised us for significant growth and positioned us to capitalize on the energy transition.</w:t>
      </w:r>
    </w:p>
    <w:p>
      <w:pPr>
        <w:pStyle w:val="Normal"/>
        <w:framePr w:w="14299" w:hAnchor="page" w:vAnchor="page" w:x="276" w:y="10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significant long term growth potential and shareholder value. The ability to focus on our distinct and expanding market opportunities and customer base</w:t>
      </w:r>
    </w:p>
    <w:p>
      <w:pPr>
        <w:pStyle w:val="Normal"/>
        <w:framePr w:w="14366" w:hAnchor="page" w:vAnchor="page" w:x="276" w:y="7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Spin-off of Technip Energies and the emergence of TechnipFMC as an industry-leading, fully integrated technology and services provider, unlocking</w:t>
      </w:r>
    </w:p>
    <w:p>
      <w:pPr>
        <w:pStyle w:val="Normal"/>
        <w:framePr w:w="14149" w:hAnchor="page" w:vAnchor="page" w:x="276" w:y="5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2021 represented a significant, structural change for TechnipFMC. In the first quarter of 2021, our Executive Officers led the successful completion of</w:t>
      </w:r>
    </w:p>
    <w:p>
      <w:pPr>
        <w:pStyle w:val="Normal"/>
        <w:framePr w:w="10898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The Spin-off of Technip Energies represented a significant change during the 2019-2021 performance period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pt;margin-top:1pt;z-index:-16777160;width:598pt;height:67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2.8pt;margin-top:1pt;z-index:-1677715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2.8pt;margin-top:2.45pt;z-index:-167771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597.95pt;margin-top:1pt;z-index:-1677714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2.8pt;margin-top:1pt;z-index:-1677714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2.8pt;margin-top:586.15pt;z-index:-16777140;width:237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2.8pt;margin-top:633.9pt;z-index:-16777136;width:237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64.85pt;margin-top:344.55pt;z-index:-16777132;width:198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64.85pt;margin-top:385.8pt;z-index:-16777128;width:10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e00ae22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styles.xml" Type="http://schemas.openxmlformats.org/officeDocument/2006/relationships/styles"/><Relationship Id="rId24" Target="fontTable.xml" Type="http://schemas.openxmlformats.org/officeDocument/2006/relationships/fontTable"/><Relationship Id="rId25" Target="settings.xml" Type="http://schemas.openxmlformats.org/officeDocument/2006/relationships/settings"/><Relationship Id="rId26" Target="webSettings.xml" Type="http://schemas.openxmlformats.org/officeDocument/2006/relationships/webSettings"/><Relationship Id="rId3" Target="media/image3.png" Type="http://schemas.openxmlformats.org/officeDocument/2006/relationships/image"/><Relationship Id="rId4" Target="media/image4.png" Type="http://schemas.openxmlformats.org/officeDocument/2006/relationships/image"/><Relationship Id="rId5" Target="media/image5.png" Type="http://schemas.openxmlformats.org/officeDocument/2006/relationships/image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1397</Words>
  <Characters>7835</Characters>
  <Application>e-iceblue</Application>
  <DocSecurity>0</DocSecurity>
  <Lines>128</Lines>
  <Paragraphs>128</Paragraphs>
  <ScaleCrop>false</ScaleCrop>
  <Company>e-iceblue</Company>
  <LinksUpToDate>false</LinksUpToDate>
  <CharactersWithSpaces>9110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2022-04-19T10:14:03Z</dcterms:created>
  <dc:creator>root</dc:creator>
  <cp:lastModifiedBy>root</cp:lastModifiedBy>
  <dcterms:modified xsi:type="dcterms:W3CDTF">2022-04-19T10:14:03Z</dcterms:modified>
  <cp:revision>1</cp:revision>
</cp:coreProperties>
</file>