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243205</wp:posOffset>
            </wp:positionH>
            <wp:positionV relativeFrom="page">
              <wp:posOffset>603250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517525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jc w:val="center"/>
        <w:spacing w:after="0" w:line="205"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February 26, 2020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65" w:lineRule="exact"/>
        <w:rPr>
          <w:sz w:val="24"/>
          <w:szCs w:val="24"/>
          <w:color w:val="auto"/>
        </w:rPr>
      </w:pPr>
    </w:p>
    <w:tbl>
      <w:tblPr>
        <w:tblLayout w:type="fixed"/>
        <w:tblInd w:w="480" w:type="dxa"/>
        <w:tblCellMar>
          <w:top w:w="0" w:type="dxa"/>
          <w:left w:w="0" w:type="dxa"/>
          <w:bottom w:w="0" w:type="dxa"/>
          <w:right w:w="0" w:type="dxa"/>
        </w:tblCellMar>
      </w:tblPr>
      <w:tr>
        <w:trPr>
          <w:trHeight w:val="239"/>
        </w:trPr>
        <w:tc>
          <w:tcPr>
            <w:tcW w:w="2900" w:type="dxa"/>
            <w:vAlign w:val="bottom"/>
          </w:tcPr>
          <w:p>
            <w:pPr>
              <w:jc w:val="center"/>
              <w:ind w:right="96"/>
              <w:spacing w:after="0"/>
              <w:rPr>
                <w:sz w:val="20"/>
                <w:szCs w:val="20"/>
                <w:color w:val="auto"/>
              </w:rPr>
            </w:pPr>
            <w:r>
              <w:rPr>
                <w:rFonts w:ascii="Arial" w:cs="Arial" w:eastAsia="Arial" w:hAnsi="Arial"/>
                <w:sz w:val="18"/>
                <w:szCs w:val="18"/>
                <w:b w:val="1"/>
                <w:bCs w:val="1"/>
                <w:color w:val="auto"/>
              </w:rPr>
              <w:t>United Kingdom</w:t>
            </w:r>
          </w:p>
        </w:tc>
        <w:tc>
          <w:tcPr>
            <w:tcW w:w="4800" w:type="dxa"/>
            <w:vAlign w:val="bottom"/>
          </w:tcPr>
          <w:p>
            <w:pPr>
              <w:jc w:val="center"/>
              <w:ind w:right="20"/>
              <w:spacing w:after="0"/>
              <w:rPr>
                <w:sz w:val="20"/>
                <w:szCs w:val="20"/>
                <w:color w:val="auto"/>
              </w:rPr>
            </w:pPr>
            <w:r>
              <w:rPr>
                <w:rFonts w:ascii="Arial" w:cs="Arial" w:eastAsia="Arial" w:hAnsi="Arial"/>
                <w:sz w:val="18"/>
                <w:szCs w:val="18"/>
                <w:b w:val="1"/>
                <w:bCs w:val="1"/>
                <w:color w:val="auto"/>
                <w:w w:val="99"/>
              </w:rPr>
              <w:t>001-37983</w:t>
            </w:r>
          </w:p>
        </w:tc>
        <w:tc>
          <w:tcPr>
            <w:tcW w:w="2520" w:type="dxa"/>
            <w:vAlign w:val="bottom"/>
          </w:tcPr>
          <w:p>
            <w:pPr>
              <w:jc w:val="right"/>
              <w:ind w:right="539"/>
              <w:spacing w:after="0"/>
              <w:rPr>
                <w:sz w:val="20"/>
                <w:szCs w:val="20"/>
                <w:color w:val="auto"/>
              </w:rPr>
            </w:pPr>
            <w:r>
              <w:rPr>
                <w:rFonts w:ascii="Arial" w:cs="Arial" w:eastAsia="Arial" w:hAnsi="Arial"/>
                <w:sz w:val="18"/>
                <w:szCs w:val="18"/>
                <w:b w:val="1"/>
                <w:bCs w:val="1"/>
                <w:color w:val="auto"/>
              </w:rPr>
              <w:t>98-1283037</w:t>
            </w:r>
          </w:p>
        </w:tc>
      </w:tr>
      <w:tr>
        <w:trPr>
          <w:trHeight w:val="272"/>
        </w:trPr>
        <w:tc>
          <w:tcPr>
            <w:tcW w:w="2900" w:type="dxa"/>
            <w:vAlign w:val="bottom"/>
          </w:tcPr>
          <w:p>
            <w:pPr>
              <w:jc w:val="center"/>
              <w:ind w:right="96"/>
              <w:spacing w:after="0"/>
              <w:rPr>
                <w:sz w:val="20"/>
                <w:szCs w:val="20"/>
                <w:color w:val="auto"/>
              </w:rPr>
            </w:pPr>
            <w:r>
              <w:rPr>
                <w:rFonts w:ascii="Arial" w:cs="Arial" w:eastAsia="Arial" w:hAnsi="Arial"/>
                <w:sz w:val="14"/>
                <w:szCs w:val="14"/>
                <w:color w:val="auto"/>
              </w:rPr>
              <w:t>(State or other jurisdiction of incorporation)</w:t>
            </w:r>
          </w:p>
        </w:tc>
        <w:tc>
          <w:tcPr>
            <w:tcW w:w="4800" w:type="dxa"/>
            <w:vAlign w:val="bottom"/>
          </w:tcPr>
          <w:p>
            <w:pPr>
              <w:jc w:val="center"/>
              <w:ind w:right="20"/>
              <w:spacing w:after="0"/>
              <w:rPr>
                <w:sz w:val="20"/>
                <w:szCs w:val="20"/>
                <w:color w:val="auto"/>
              </w:rPr>
            </w:pPr>
            <w:r>
              <w:rPr>
                <w:rFonts w:ascii="Arial" w:cs="Arial" w:eastAsia="Arial" w:hAnsi="Arial"/>
                <w:sz w:val="14"/>
                <w:szCs w:val="14"/>
                <w:color w:val="auto"/>
              </w:rPr>
              <w:t>(Commission File Number)</w:t>
            </w:r>
          </w:p>
        </w:tc>
        <w:tc>
          <w:tcPr>
            <w:tcW w:w="2520" w:type="dxa"/>
            <w:vAlign w:val="bottom"/>
          </w:tcPr>
          <w:p>
            <w:pPr>
              <w:jc w:val="center"/>
              <w:ind w:left="219"/>
              <w:spacing w:after="0"/>
              <w:rPr>
                <w:sz w:val="20"/>
                <w:szCs w:val="20"/>
                <w:color w:val="auto"/>
              </w:rPr>
            </w:pPr>
            <w:r>
              <w:rPr>
                <w:rFonts w:ascii="Arial" w:cs="Arial" w:eastAsia="Arial" w:hAnsi="Arial"/>
                <w:sz w:val="14"/>
                <w:szCs w:val="14"/>
                <w:color w:val="auto"/>
              </w:rPr>
              <w:t>(I.R.S. Employer Identification No.)</w:t>
            </w:r>
          </w:p>
        </w:tc>
      </w:tr>
      <w:tr>
        <w:trPr>
          <w:trHeight w:val="620"/>
        </w:trPr>
        <w:tc>
          <w:tcPr>
            <w:tcW w:w="2900" w:type="dxa"/>
            <w:vAlign w:val="bottom"/>
          </w:tcPr>
          <w:p>
            <w:pPr>
              <w:jc w:val="center"/>
              <w:ind w:right="96"/>
              <w:spacing w:after="0"/>
              <w:rPr>
                <w:sz w:val="20"/>
                <w:szCs w:val="20"/>
                <w:color w:val="auto"/>
              </w:rPr>
            </w:pPr>
            <w:r>
              <w:rPr>
                <w:rFonts w:ascii="Arial" w:cs="Arial" w:eastAsia="Arial" w:hAnsi="Arial"/>
                <w:sz w:val="18"/>
                <w:szCs w:val="18"/>
                <w:b w:val="1"/>
                <w:bCs w:val="1"/>
                <w:color w:val="auto"/>
              </w:rPr>
              <w:t>One St. Paul’s Churchyard</w:t>
            </w:r>
          </w:p>
        </w:tc>
        <w:tc>
          <w:tcPr>
            <w:tcW w:w="48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70"/>
        </w:trPr>
        <w:tc>
          <w:tcPr>
            <w:tcW w:w="2900" w:type="dxa"/>
            <w:vAlign w:val="bottom"/>
          </w:tcPr>
          <w:p>
            <w:pPr>
              <w:jc w:val="center"/>
              <w:ind w:right="116"/>
              <w:spacing w:after="0"/>
              <w:rPr>
                <w:sz w:val="20"/>
                <w:szCs w:val="20"/>
                <w:color w:val="auto"/>
              </w:rPr>
            </w:pPr>
            <w:r>
              <w:rPr>
                <w:rFonts w:ascii="Arial" w:cs="Arial" w:eastAsia="Arial" w:hAnsi="Arial"/>
                <w:sz w:val="18"/>
                <w:szCs w:val="18"/>
                <w:b w:val="1"/>
                <w:bCs w:val="1"/>
                <w:color w:val="auto"/>
                <w:w w:val="99"/>
              </w:rPr>
              <w:t>London</w:t>
            </w:r>
          </w:p>
        </w:tc>
        <w:tc>
          <w:tcPr>
            <w:tcW w:w="480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270"/>
        </w:trPr>
        <w:tc>
          <w:tcPr>
            <w:tcW w:w="2900" w:type="dxa"/>
            <w:vAlign w:val="bottom"/>
          </w:tcPr>
          <w:p>
            <w:pPr>
              <w:jc w:val="center"/>
              <w:ind w:right="96"/>
              <w:spacing w:after="0"/>
              <w:rPr>
                <w:sz w:val="20"/>
                <w:szCs w:val="20"/>
                <w:color w:val="auto"/>
              </w:rPr>
            </w:pPr>
            <w:r>
              <w:rPr>
                <w:rFonts w:ascii="Arial" w:cs="Arial" w:eastAsia="Arial" w:hAnsi="Arial"/>
                <w:sz w:val="18"/>
                <w:szCs w:val="18"/>
                <w:b w:val="1"/>
                <w:bCs w:val="1"/>
                <w:color w:val="auto"/>
              </w:rPr>
              <w:t>United Kingdom</w:t>
            </w:r>
          </w:p>
        </w:tc>
        <w:tc>
          <w:tcPr>
            <w:tcW w:w="4800" w:type="dxa"/>
            <w:vAlign w:val="bottom"/>
          </w:tcPr>
          <w:p>
            <w:pPr>
              <w:spacing w:after="0"/>
              <w:rPr>
                <w:sz w:val="23"/>
                <w:szCs w:val="23"/>
                <w:color w:val="auto"/>
              </w:rPr>
            </w:pPr>
          </w:p>
        </w:tc>
        <w:tc>
          <w:tcPr>
            <w:tcW w:w="2520" w:type="dxa"/>
            <w:vAlign w:val="bottom"/>
          </w:tcPr>
          <w:p>
            <w:pPr>
              <w:jc w:val="center"/>
              <w:ind w:left="219"/>
              <w:spacing w:after="0"/>
              <w:rPr>
                <w:sz w:val="20"/>
                <w:szCs w:val="20"/>
                <w:color w:val="auto"/>
              </w:rPr>
            </w:pPr>
            <w:r>
              <w:rPr>
                <w:rFonts w:ascii="Arial" w:cs="Arial" w:eastAsia="Arial" w:hAnsi="Arial"/>
                <w:sz w:val="18"/>
                <w:szCs w:val="18"/>
                <w:b w:val="1"/>
                <w:bCs w:val="1"/>
                <w:color w:val="auto"/>
                <w:w w:val="99"/>
              </w:rPr>
              <w:t>EC4M 8AP</w:t>
            </w:r>
          </w:p>
        </w:tc>
      </w:tr>
      <w:tr>
        <w:trPr>
          <w:trHeight w:val="272"/>
        </w:trPr>
        <w:tc>
          <w:tcPr>
            <w:tcW w:w="2900" w:type="dxa"/>
            <w:vAlign w:val="bottom"/>
          </w:tcPr>
          <w:p>
            <w:pPr>
              <w:jc w:val="center"/>
              <w:ind w:right="116"/>
              <w:spacing w:after="0"/>
              <w:rPr>
                <w:sz w:val="20"/>
                <w:szCs w:val="20"/>
                <w:color w:val="auto"/>
              </w:rPr>
            </w:pPr>
            <w:r>
              <w:rPr>
                <w:rFonts w:ascii="Arial" w:cs="Arial" w:eastAsia="Arial" w:hAnsi="Arial"/>
                <w:sz w:val="14"/>
                <w:szCs w:val="14"/>
                <w:color w:val="auto"/>
              </w:rPr>
              <w:t>(Address of principal executive offices)</w:t>
            </w:r>
          </w:p>
        </w:tc>
        <w:tc>
          <w:tcPr>
            <w:tcW w:w="4800" w:type="dxa"/>
            <w:vAlign w:val="bottom"/>
          </w:tcPr>
          <w:p>
            <w:pPr>
              <w:spacing w:after="0"/>
              <w:rPr>
                <w:sz w:val="23"/>
                <w:szCs w:val="23"/>
                <w:color w:val="auto"/>
              </w:rPr>
            </w:pPr>
          </w:p>
        </w:tc>
        <w:tc>
          <w:tcPr>
            <w:tcW w:w="2520" w:type="dxa"/>
            <w:vAlign w:val="bottom"/>
          </w:tcPr>
          <w:p>
            <w:pPr>
              <w:jc w:val="center"/>
              <w:ind w:left="239"/>
              <w:spacing w:after="0"/>
              <w:rPr>
                <w:sz w:val="20"/>
                <w:szCs w:val="20"/>
                <w:color w:val="auto"/>
              </w:rPr>
            </w:pPr>
            <w:r>
              <w:rPr>
                <w:rFonts w:ascii="Arial" w:cs="Arial" w:eastAsia="Arial" w:hAnsi="Arial"/>
                <w:sz w:val="14"/>
                <w:szCs w:val="14"/>
                <w:color w:val="auto"/>
              </w:rPr>
              <w:t>(Zip Code)</w:t>
            </w:r>
          </w:p>
        </w:tc>
      </w:tr>
      <w:tr>
        <w:trPr>
          <w:trHeight w:val="350"/>
        </w:trPr>
        <w:tc>
          <w:tcPr>
            <w:tcW w:w="2900" w:type="dxa"/>
            <w:vAlign w:val="bottom"/>
          </w:tcPr>
          <w:p>
            <w:pPr>
              <w:spacing w:after="0"/>
              <w:rPr>
                <w:sz w:val="24"/>
                <w:szCs w:val="24"/>
                <w:color w:val="auto"/>
              </w:rPr>
            </w:pPr>
          </w:p>
        </w:tc>
        <w:tc>
          <w:tcPr>
            <w:tcW w:w="4800" w:type="dxa"/>
            <w:vAlign w:val="bottom"/>
          </w:tcPr>
          <w:p>
            <w:pPr>
              <w:jc w:val="right"/>
              <w:ind w:right="1640"/>
              <w:spacing w:after="0"/>
              <w:rPr>
                <w:sz w:val="20"/>
                <w:szCs w:val="20"/>
                <w:color w:val="auto"/>
              </w:rPr>
            </w:pPr>
            <w:r>
              <w:rPr>
                <w:rFonts w:ascii="Arial" w:cs="Arial" w:eastAsia="Arial" w:hAnsi="Arial"/>
                <w:sz w:val="18"/>
                <w:szCs w:val="18"/>
                <w:b w:val="1"/>
                <w:bCs w:val="1"/>
                <w:color w:val="auto"/>
              </w:rPr>
              <w:t>+44 203-429-3950</w:t>
            </w:r>
          </w:p>
        </w:tc>
        <w:tc>
          <w:tcPr>
            <w:tcW w:w="2520" w:type="dxa"/>
            <w:vAlign w:val="bottom"/>
          </w:tcPr>
          <w:p>
            <w:pPr>
              <w:spacing w:after="0"/>
              <w:rPr>
                <w:sz w:val="24"/>
                <w:szCs w:val="24"/>
                <w:color w:val="auto"/>
              </w:rPr>
            </w:pPr>
          </w:p>
        </w:tc>
      </w:tr>
      <w:tr>
        <w:trPr>
          <w:trHeight w:val="218"/>
        </w:trPr>
        <w:tc>
          <w:tcPr>
            <w:tcW w:w="2900" w:type="dxa"/>
            <w:vAlign w:val="bottom"/>
          </w:tcPr>
          <w:p>
            <w:pPr>
              <w:spacing w:after="0"/>
              <w:rPr>
                <w:sz w:val="18"/>
                <w:szCs w:val="18"/>
                <w:color w:val="auto"/>
              </w:rPr>
            </w:pPr>
          </w:p>
        </w:tc>
        <w:tc>
          <w:tcPr>
            <w:tcW w:w="4800" w:type="dxa"/>
            <w:vAlign w:val="bottom"/>
          </w:tcPr>
          <w:p>
            <w:pPr>
              <w:jc w:val="center"/>
              <w:ind w:right="60"/>
              <w:spacing w:after="0"/>
              <w:rPr>
                <w:sz w:val="20"/>
                <w:szCs w:val="20"/>
                <w:color w:val="auto"/>
              </w:rPr>
            </w:pPr>
            <w:r>
              <w:rPr>
                <w:rFonts w:ascii="Arial" w:cs="Arial" w:eastAsia="Arial" w:hAnsi="Arial"/>
                <w:sz w:val="14"/>
                <w:szCs w:val="14"/>
                <w:color w:val="auto"/>
              </w:rPr>
              <w:t>(Registrant's telephone number, including area code)</w:t>
            </w:r>
          </w:p>
        </w:tc>
        <w:tc>
          <w:tcPr>
            <w:tcW w:w="2520" w:type="dxa"/>
            <w:vAlign w:val="bottom"/>
          </w:tcPr>
          <w:p>
            <w:pPr>
              <w:spacing w:after="0"/>
              <w:rPr>
                <w:sz w:val="18"/>
                <w:szCs w:val="18"/>
                <w:color w:val="auto"/>
              </w:rPr>
            </w:pPr>
          </w:p>
        </w:tc>
      </w:tr>
      <w:tr>
        <w:trPr>
          <w:trHeight w:val="363"/>
        </w:trPr>
        <w:tc>
          <w:tcPr>
            <w:tcW w:w="2900" w:type="dxa"/>
            <w:vAlign w:val="bottom"/>
          </w:tcPr>
          <w:p>
            <w:pPr>
              <w:spacing w:after="0"/>
              <w:rPr>
                <w:sz w:val="24"/>
                <w:szCs w:val="24"/>
                <w:color w:val="auto"/>
              </w:rPr>
            </w:pPr>
          </w:p>
        </w:tc>
        <w:tc>
          <w:tcPr>
            <w:tcW w:w="48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Not Applicable</w:t>
            </w:r>
          </w:p>
        </w:tc>
        <w:tc>
          <w:tcPr>
            <w:tcW w:w="2520" w:type="dxa"/>
            <w:vAlign w:val="bottom"/>
          </w:tcPr>
          <w:p>
            <w:pPr>
              <w:spacing w:after="0"/>
              <w:rPr>
                <w:sz w:val="24"/>
                <w:szCs w:val="24"/>
                <w:color w:val="auto"/>
              </w:rPr>
            </w:pPr>
          </w:p>
        </w:tc>
      </w:tr>
      <w:tr>
        <w:trPr>
          <w:trHeight w:val="153"/>
        </w:trPr>
        <w:tc>
          <w:tcPr>
            <w:tcW w:w="2900" w:type="dxa"/>
            <w:vAlign w:val="bottom"/>
          </w:tcPr>
          <w:p>
            <w:pPr>
              <w:spacing w:after="0"/>
              <w:rPr>
                <w:sz w:val="13"/>
                <w:szCs w:val="13"/>
                <w:color w:val="auto"/>
              </w:rPr>
            </w:pPr>
          </w:p>
        </w:tc>
        <w:tc>
          <w:tcPr>
            <w:tcW w:w="4800" w:type="dxa"/>
            <w:vAlign w:val="bottom"/>
          </w:tcPr>
          <w:p>
            <w:pPr>
              <w:jc w:val="center"/>
              <w:ind w:right="60"/>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c>
          <w:tcPr>
            <w:tcW w:w="2520" w:type="dxa"/>
            <w:vAlign w:val="bottom"/>
          </w:tcPr>
          <w:p>
            <w:pPr>
              <w:spacing w:after="0"/>
              <w:rPr>
                <w:sz w:val="13"/>
                <w:szCs w:val="13"/>
                <w:color w:val="auto"/>
              </w:rPr>
            </w:pPr>
          </w:p>
        </w:tc>
      </w:tr>
      <w:tr>
        <w:trPr>
          <w:trHeight w:val="172"/>
        </w:trPr>
        <w:tc>
          <w:tcPr>
            <w:tcW w:w="2900" w:type="dxa"/>
            <w:vAlign w:val="bottom"/>
          </w:tcPr>
          <w:p>
            <w:pPr>
              <w:spacing w:after="0"/>
              <w:rPr>
                <w:sz w:val="14"/>
                <w:szCs w:val="14"/>
                <w:color w:val="auto"/>
              </w:rPr>
            </w:pPr>
          </w:p>
        </w:tc>
        <w:tc>
          <w:tcPr>
            <w:tcW w:w="4800" w:type="dxa"/>
            <w:vAlign w:val="bottom"/>
          </w:tcPr>
          <w:p>
            <w:pPr>
              <w:jc w:val="right"/>
              <w:ind w:right="220"/>
              <w:spacing w:after="0"/>
              <w:rPr>
                <w:sz w:val="20"/>
                <w:szCs w:val="20"/>
                <w:color w:val="auto"/>
              </w:rPr>
            </w:pPr>
            <w:r>
              <w:rPr>
                <w:rFonts w:ascii="Arial" w:cs="Arial" w:eastAsia="Arial" w:hAnsi="Arial"/>
                <w:sz w:val="14"/>
                <w:szCs w:val="14"/>
                <w:color w:val="auto"/>
              </w:rPr>
              <w:t>______________________________________________________</w:t>
            </w:r>
          </w:p>
        </w:tc>
        <w:tc>
          <w:tcPr>
            <w:tcW w:w="2520" w:type="dxa"/>
            <w:vAlign w:val="bottom"/>
          </w:tcPr>
          <w:p>
            <w:pPr>
              <w:spacing w:after="0"/>
              <w:rPr>
                <w:sz w:val="14"/>
                <w:szCs w:val="14"/>
                <w:color w:val="auto"/>
              </w:rPr>
            </w:pPr>
          </w:p>
        </w:tc>
      </w:tr>
    </w:tbl>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960" w:right="239" w:bottom="1440" w:gutter="0" w:footer="0" w:header="0"/>
        </w:sectPr>
      </w:pPr>
    </w:p>
    <w:p>
      <w:pPr>
        <w:spacing w:after="0" w:line="55"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520" w:space="720"/>
            <w:col w:w="1600" w:space="720"/>
            <w:col w:w="3860"/>
          </w:cols>
          <w:pgMar w:left="240" w:top="960" w:right="23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37" w:lineRule="exact"/>
        <w:rPr>
          <w:sz w:val="24"/>
          <w:szCs w:val="24"/>
          <w:color w:val="auto"/>
        </w:rPr>
      </w:pPr>
    </w:p>
    <w:p>
      <w:pPr>
        <w:sectPr>
          <w:pgSz w:w="11900" w:h="16838" w:orient="portrait"/>
          <w:cols w:equalWidth="0" w:num="3">
            <w:col w:w="4940" w:space="720"/>
            <w:col w:w="1920" w:space="720"/>
            <w:col w:w="3120"/>
          </w:cols>
          <w:pgMar w:left="240" w:top="96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59" w:lineRule="exact"/>
        <w:rPr>
          <w:sz w:val="24"/>
          <w:szCs w:val="24"/>
          <w:color w:val="auto"/>
        </w:rPr>
      </w:pPr>
    </w:p>
    <w:p>
      <w:pPr>
        <w:ind w:right="46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6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26, 2020, TechnipFMC plc ("TechnipFMC") issued a news release announcing its financial results for the fiscal quarter ended December 31, 2019. A copy of the news release is furnished as Exhibit 99.1 to this report and is incorporated herein by reference.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4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News Release issued by TechnipFMC dated February 26, 2020</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w w:val="99"/>
              </w:rPr>
              <w:t>Inline XBRL for the cover page of this Current Report on Form 8-K</w:t>
            </w:r>
          </w:p>
        </w:tc>
      </w:tr>
    </w:tbl>
    <w:p>
      <w:pPr>
        <w:sectPr>
          <w:pgSz w:w="11900" w:h="16838" w:orient="portrait"/>
          <w:cols w:equalWidth="0" w:num="1">
            <w:col w:w="11400"/>
          </w:cols>
          <w:pgMar w:left="240" w:top="549"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40" w:type="dxa"/>
            <w:vAlign w:val="bottom"/>
            <w:gridSpan w:val="2"/>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615"/>
        </w:trPr>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4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203"/>
        </w:trPr>
        <w:tc>
          <w:tcPr>
            <w:tcW w:w="172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540" w:type="dxa"/>
            <w:vAlign w:val="bottom"/>
            <w:tcBorders>
              <w:top w:val="single" w:sz="8" w:color="auto"/>
            </w:tcBorders>
            <w:gridSpan w:val="2"/>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News Release issued by TechnipFMC plc dated February 26, 2020</w:t>
              </w:r>
            </w:hyperlink>
          </w:p>
        </w:tc>
      </w:tr>
      <w:tr>
        <w:trPr>
          <w:trHeight w:val="277"/>
        </w:trPr>
        <w:tc>
          <w:tcPr>
            <w:tcW w:w="172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Inline XBRL for the cover page of this Current Report on Form 8-K</w:t>
            </w:r>
          </w:p>
        </w:tc>
        <w:tc>
          <w:tcPr>
            <w:tcW w:w="4220" w:type="dxa"/>
            <w:vAlign w:val="bottom"/>
          </w:tcPr>
          <w:p>
            <w:pPr>
              <w:spacing w:after="0"/>
              <w:rPr>
                <w:sz w:val="24"/>
                <w:szCs w:val="24"/>
                <w:color w:val="auto"/>
              </w:rPr>
            </w:pPr>
          </w:p>
        </w:tc>
      </w:tr>
    </w:tbl>
    <w:p>
      <w:pPr>
        <w:sectPr>
          <w:pgSz w:w="11900" w:h="16838" w:orient="portrait"/>
          <w:cols w:equalWidth="0" w:num="1">
            <w:col w:w="11420"/>
          </w:cols>
          <w:pgMar w:left="240" w:top="549"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14605</wp:posOffset>
            </wp:positionV>
            <wp:extent cx="3353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8"/>
          <w:szCs w:val="18"/>
          <w:color w:val="auto"/>
        </w:rPr>
        <w:t>Dated:  February 26, 2020</w:t>
      </w:r>
      <w:r>
        <w:rPr>
          <w:sz w:val="20"/>
          <w:szCs w:val="20"/>
          <w:color w:val="auto"/>
        </w:rPr>
        <w:tab/>
      </w:r>
      <w:r>
        <w:rPr>
          <w:rFonts w:ascii="Arial" w:cs="Arial" w:eastAsia="Arial" w:hAnsi="Arial"/>
          <w:sz w:val="17"/>
          <w:szCs w:val="17"/>
          <w:color w:val="auto"/>
        </w:rPr>
        <w:t>Name: Maryann T. Mannen</w:t>
      </w:r>
    </w:p>
    <w:p>
      <w:pPr>
        <w:spacing w:after="0" w:line="6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00"/>
          </w:cols>
          <w:pgMar w:left="240" w:top="549" w:right="259" w:bottom="1440" w:gutter="0" w:footer="0" w:header="0"/>
        </w:sectPr>
      </w:pPr>
    </w:p>
    <w:bookmarkStart w:id="4" w:name="page5"/>
    <w:bookmarkEnd w:id="4"/>
    <w:p>
      <w:pPr>
        <w:spacing w:after="0"/>
        <w:rPr>
          <w:sz w:val="20"/>
          <w:szCs w:val="20"/>
          <w:color w:val="auto"/>
        </w:rPr>
      </w:pPr>
      <w:r>
        <w:rPr>
          <w:rFonts w:ascii="Arial" w:cs="Arial" w:eastAsia="Arial" w:hAnsi="Arial"/>
          <w:sz w:val="29"/>
          <w:szCs w:val="29"/>
          <w:color w:val="A6A6A6"/>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Press Release</w:t>
      </w: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color w:val="auto"/>
        </w:rPr>
        <w:t>TechnipFMC Announces Fourth Quarter 2019 Results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2019</w:t>
      </w:r>
    </w:p>
    <w:p>
      <w:pPr>
        <w:spacing w:after="0" w:line="23" w:lineRule="exact"/>
        <w:rPr>
          <w:sz w:val="20"/>
          <w:szCs w:val="20"/>
          <w:color w:val="auto"/>
        </w:rPr>
      </w:pPr>
    </w:p>
    <w:p>
      <w:pPr>
        <w:ind w:left="400" w:hanging="257"/>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Subsea orders up 54% versus 2018; iEPCI™ inbound more than doubled</w:t>
      </w:r>
    </w:p>
    <w:p>
      <w:pPr>
        <w:ind w:left="400" w:hanging="257"/>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Onshore/Offshore orders up 76% versus 2018; LNG awards exceed $8 billion</w:t>
      </w:r>
    </w:p>
    <w:p>
      <w:pPr>
        <w:ind w:left="420" w:hanging="263"/>
        <w:spacing w:after="0"/>
        <w:tabs>
          <w:tab w:leader="none" w:pos="420" w:val="left"/>
        </w:tabs>
        <w:numPr>
          <w:ilvl w:val="1"/>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Total Company backlog of $24.3 billion, an increase of 67% versus 2018</w:t>
      </w:r>
    </w:p>
    <w:p>
      <w:pPr>
        <w:ind w:left="420" w:hanging="263"/>
        <w:spacing w:after="0"/>
        <w:tabs>
          <w:tab w:leader="none" w:pos="420" w:val="left"/>
        </w:tabs>
        <w:numPr>
          <w:ilvl w:val="1"/>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Separation of Technip Energies on-track for completion in the second quarter</w:t>
      </w:r>
    </w:p>
    <w:p>
      <w:pPr>
        <w:ind w:left="420" w:hanging="263"/>
        <w:spacing w:after="0"/>
        <w:tabs>
          <w:tab w:leader="none" w:pos="420" w:val="left"/>
        </w:tabs>
        <w:numPr>
          <w:ilvl w:val="1"/>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2020 financial guidance initiated</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Fourth quarter 2019</w:t>
      </w:r>
    </w:p>
    <w:p>
      <w:pPr>
        <w:ind w:left="400" w:hanging="257"/>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U.S. GAAP diluted loss per share was $5.40</w:t>
      </w:r>
    </w:p>
    <w:p>
      <w:pPr>
        <w:ind w:left="660" w:hanging="247"/>
        <w:spacing w:after="0"/>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Includes after-tax charges, net of credits, of $5.43 per diluted share</w:t>
      </w:r>
    </w:p>
    <w:p>
      <w:pPr>
        <w:ind w:left="400" w:hanging="257"/>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diluted earnings per share, excluding charges and credits, was $0.03</w:t>
      </w:r>
    </w:p>
    <w:p>
      <w:pPr>
        <w:ind w:left="660" w:hanging="247"/>
        <w:spacing w:after="0"/>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Includes foreign exchange losses of $0.13 per diluted share</w:t>
      </w:r>
    </w:p>
    <w:p>
      <w:pPr>
        <w:ind w:left="660" w:hanging="247"/>
        <w:spacing w:after="0"/>
        <w:tabs>
          <w:tab w:leader="none" w:pos="66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Includes expense resulting from increased liability to joint venture partners of $0.22 per diluted share</w:t>
      </w:r>
    </w:p>
    <w:p>
      <w:pPr>
        <w:spacing w:after="0" w:line="200" w:lineRule="exact"/>
        <w:rPr>
          <w:sz w:val="20"/>
          <w:szCs w:val="20"/>
          <w:color w:val="auto"/>
        </w:rPr>
      </w:pPr>
    </w:p>
    <w:p>
      <w:pPr>
        <w:spacing w:after="0" w:line="397" w:lineRule="exact"/>
        <w:rPr>
          <w:sz w:val="20"/>
          <w:szCs w:val="20"/>
          <w:color w:val="auto"/>
        </w:rPr>
      </w:pPr>
    </w:p>
    <w:p>
      <w:pPr>
        <w:jc w:val="both"/>
        <w:ind w:right="40"/>
        <w:spacing w:after="0" w:line="272" w:lineRule="auto"/>
        <w:rPr>
          <w:sz w:val="20"/>
          <w:szCs w:val="20"/>
          <w:color w:val="auto"/>
        </w:rPr>
      </w:pPr>
      <w:r>
        <w:rPr>
          <w:rFonts w:ascii="Arial" w:cs="Arial" w:eastAsia="Arial" w:hAnsi="Arial"/>
          <w:sz w:val="20"/>
          <w:szCs w:val="20"/>
          <w:b w:val="1"/>
          <w:bCs w:val="1"/>
          <w:color w:val="auto"/>
        </w:rPr>
        <w:t xml:space="preserve">LONDON, PARIS, HOUSTON, February 26, 2020 - </w:t>
      </w:r>
      <w:r>
        <w:rPr>
          <w:rFonts w:ascii="Arial" w:cs="Arial" w:eastAsia="Arial" w:hAnsi="Arial"/>
          <w:sz w:val="20"/>
          <w:szCs w:val="20"/>
          <w:color w:val="auto"/>
        </w:rPr>
        <w:t>TechnipFMC plc (NYSE: FTI) (Paris: FTI) today reported fourth quarter 2019</w:t>
      </w:r>
      <w:r>
        <w:rPr>
          <w:rFonts w:ascii="Arial" w:cs="Arial" w:eastAsia="Arial" w:hAnsi="Arial"/>
          <w:sz w:val="20"/>
          <w:szCs w:val="20"/>
          <w:b w:val="1"/>
          <w:bCs w:val="1"/>
          <w:color w:val="auto"/>
        </w:rPr>
        <w:t xml:space="preserve"> </w:t>
      </w:r>
      <w:r>
        <w:rPr>
          <w:rFonts w:ascii="Arial" w:cs="Arial" w:eastAsia="Arial" w:hAnsi="Arial"/>
          <w:sz w:val="20"/>
          <w:szCs w:val="20"/>
          <w:color w:val="auto"/>
        </w:rPr>
        <w:t>results.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Fourth Quarter 2019</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82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8CCE4"/>
              <w:right w:val="single" w:sz="8" w:color="B8CCE4"/>
            </w:tcBorders>
          </w:tcPr>
          <w:p>
            <w:pPr>
              <w:jc w:val="right"/>
              <w:ind w:right="406"/>
              <w:spacing w:after="0"/>
              <w:rPr>
                <w:sz w:val="20"/>
                <w:szCs w:val="20"/>
                <w:color w:val="auto"/>
              </w:rPr>
            </w:pPr>
            <w:r>
              <w:rPr>
                <w:rFonts w:ascii="Arial" w:cs="Arial" w:eastAsia="Arial" w:hAnsi="Arial"/>
                <w:sz w:val="14"/>
                <w:szCs w:val="14"/>
                <w:b w:val="1"/>
                <w:bCs w:val="1"/>
                <w:color w:val="auto"/>
              </w:rPr>
              <w:t>December 31,</w:t>
            </w:r>
          </w:p>
        </w:tc>
        <w:tc>
          <w:tcPr>
            <w:tcW w:w="1920" w:type="dxa"/>
            <w:vAlign w:val="bottom"/>
            <w:tcBorders>
              <w:top w:val="single" w:sz="8" w:color="B8CCE4"/>
              <w:right w:val="single" w:sz="8" w:color="B8CCE4"/>
            </w:tcBorders>
          </w:tcPr>
          <w:p>
            <w:pPr>
              <w:jc w:val="right"/>
              <w:ind w:right="406"/>
              <w:spacing w:after="0"/>
              <w:rPr>
                <w:sz w:val="20"/>
                <w:szCs w:val="20"/>
                <w:color w:val="auto"/>
              </w:rPr>
            </w:pPr>
            <w:r>
              <w:rPr>
                <w:rFonts w:ascii="Arial" w:cs="Arial" w:eastAsia="Arial" w:hAnsi="Arial"/>
                <w:sz w:val="14"/>
                <w:szCs w:val="14"/>
                <w:b w:val="1"/>
                <w:bCs w:val="1"/>
                <w:color w:val="auto"/>
              </w:rPr>
              <w:t>December 31,</w:t>
            </w:r>
          </w:p>
        </w:tc>
        <w:tc>
          <w:tcPr>
            <w:tcW w:w="1800" w:type="dxa"/>
            <w:vAlign w:val="bottom"/>
            <w:tcBorders>
              <w:top w:val="single" w:sz="8" w:color="B8CCE4"/>
              <w:right w:val="single" w:sz="8" w:color="B8CCE4"/>
            </w:tcBorders>
          </w:tcPr>
          <w:p>
            <w:pPr>
              <w:spacing w:after="0"/>
              <w:rPr>
                <w:sz w:val="16"/>
                <w:szCs w:val="16"/>
                <w:color w:val="auto"/>
              </w:rPr>
            </w:pPr>
          </w:p>
        </w:tc>
      </w:tr>
      <w:tr>
        <w:trPr>
          <w:trHeight w:val="196"/>
        </w:trPr>
        <w:tc>
          <w:tcPr>
            <w:tcW w:w="58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900" w:type="dxa"/>
            <w:vAlign w:val="bottom"/>
            <w:tcBorders>
              <w:bottom w:val="single" w:sz="8" w:color="B8CCE4"/>
              <w:right w:val="single" w:sz="8" w:color="B8CCE4"/>
            </w:tcBorders>
          </w:tcPr>
          <w:p>
            <w:pPr>
              <w:jc w:val="right"/>
              <w:ind w:right="706"/>
              <w:spacing w:after="0"/>
              <w:rPr>
                <w:sz w:val="20"/>
                <w:szCs w:val="20"/>
                <w:color w:val="auto"/>
              </w:rPr>
            </w:pPr>
            <w:r>
              <w:rPr>
                <w:rFonts w:ascii="Arial" w:cs="Arial" w:eastAsia="Arial" w:hAnsi="Arial"/>
                <w:sz w:val="14"/>
                <w:szCs w:val="14"/>
                <w:b w:val="1"/>
                <w:bCs w:val="1"/>
                <w:color w:val="auto"/>
              </w:rPr>
              <w:t>2019</w:t>
            </w:r>
          </w:p>
        </w:tc>
        <w:tc>
          <w:tcPr>
            <w:tcW w:w="1920" w:type="dxa"/>
            <w:vAlign w:val="bottom"/>
            <w:tcBorders>
              <w:bottom w:val="single" w:sz="8" w:color="B8CCE4"/>
              <w:right w:val="single" w:sz="8" w:color="B8CCE4"/>
            </w:tcBorders>
          </w:tcPr>
          <w:p>
            <w:pPr>
              <w:jc w:val="right"/>
              <w:ind w:right="726"/>
              <w:spacing w:after="0"/>
              <w:rPr>
                <w:sz w:val="20"/>
                <w:szCs w:val="20"/>
                <w:color w:val="auto"/>
              </w:rPr>
            </w:pPr>
            <w:r>
              <w:rPr>
                <w:rFonts w:ascii="Arial" w:cs="Arial" w:eastAsia="Arial" w:hAnsi="Arial"/>
                <w:sz w:val="14"/>
                <w:szCs w:val="14"/>
                <w:b w:val="1"/>
                <w:bCs w:val="1"/>
                <w:color w:val="auto"/>
              </w:rPr>
              <w:t>2018</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58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$3,726.8</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$3,323.0</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12.2%</w:t>
            </w:r>
          </w:p>
        </w:tc>
      </w:tr>
      <w:tr>
        <w:trPr>
          <w:trHeight w:val="264"/>
        </w:trPr>
        <w:tc>
          <w:tcPr>
            <w:tcW w:w="58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(loss)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$(2,414.0)</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$(2,259.3)</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4"/>
        </w:trPr>
        <w:tc>
          <w:tcPr>
            <w:tcW w:w="58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earnings (loss) per share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$(5.40)</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$(5.00)</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336"/>
        </w:trPr>
        <w:tc>
          <w:tcPr>
            <w:tcW w:w="5820" w:type="dxa"/>
            <w:vAlign w:val="bottom"/>
            <w:tcBorders>
              <w:left w:val="single" w:sz="8" w:color="B8CCE4"/>
              <w:bottom w:val="single" w:sz="8" w:color="B8CCE4"/>
            </w:tcBorders>
          </w:tcPr>
          <w:p>
            <w:pPr>
              <w:spacing w:after="0"/>
              <w:rPr>
                <w:sz w:val="24"/>
                <w:szCs w:val="24"/>
                <w:color w:val="auto"/>
              </w:rPr>
            </w:pPr>
          </w:p>
        </w:tc>
        <w:tc>
          <w:tcPr>
            <w:tcW w:w="1900" w:type="dxa"/>
            <w:vAlign w:val="bottom"/>
            <w:tcBorders>
              <w:bottom w:val="single" w:sz="8" w:color="B8CCE4"/>
            </w:tcBorders>
          </w:tcPr>
          <w:p>
            <w:pPr>
              <w:spacing w:after="0"/>
              <w:rPr>
                <w:sz w:val="24"/>
                <w:szCs w:val="24"/>
                <w:color w:val="auto"/>
              </w:rPr>
            </w:pPr>
          </w:p>
        </w:tc>
        <w:tc>
          <w:tcPr>
            <w:tcW w:w="1920" w:type="dxa"/>
            <w:vAlign w:val="bottom"/>
            <w:tcBorders>
              <w:bottom w:val="single" w:sz="8" w:color="B8CCE4"/>
            </w:tcBorders>
          </w:tcPr>
          <w:p>
            <w:pPr>
              <w:spacing w:after="0"/>
              <w:rPr>
                <w:sz w:val="24"/>
                <w:szCs w:val="24"/>
                <w:color w:val="auto"/>
              </w:rPr>
            </w:pPr>
          </w:p>
        </w:tc>
        <w:tc>
          <w:tcPr>
            <w:tcW w:w="1800" w:type="dxa"/>
            <w:vAlign w:val="bottom"/>
            <w:tcBorders>
              <w:bottom w:val="single" w:sz="8" w:color="B8CCE4"/>
              <w:right w:val="single" w:sz="8" w:color="B8CCE4"/>
            </w:tcBorders>
          </w:tcPr>
          <w:p>
            <w:pPr>
              <w:spacing w:after="0"/>
              <w:rPr>
                <w:sz w:val="24"/>
                <w:szCs w:val="24"/>
                <w:color w:val="auto"/>
              </w:rPr>
            </w:pPr>
          </w:p>
        </w:tc>
      </w:tr>
      <w:tr>
        <w:trPr>
          <w:trHeight w:val="259"/>
        </w:trPr>
        <w:tc>
          <w:tcPr>
            <w:tcW w:w="58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$404.4</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$342.4</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18.1%</w:t>
            </w:r>
          </w:p>
        </w:tc>
      </w:tr>
      <w:tr>
        <w:trPr>
          <w:trHeight w:val="264"/>
        </w:trPr>
        <w:tc>
          <w:tcPr>
            <w:tcW w:w="58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10.9%</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10.3%</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60 bps</w:t>
            </w:r>
          </w:p>
        </w:tc>
      </w:tr>
      <w:tr>
        <w:trPr>
          <w:trHeight w:val="264"/>
        </w:trPr>
        <w:tc>
          <w:tcPr>
            <w:tcW w:w="58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net income (loss)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$15.1</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$(39.0)</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4"/>
        </w:trPr>
        <w:tc>
          <w:tcPr>
            <w:tcW w:w="58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diluted earnings (loss) per share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$0.03</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$(0.09)</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336"/>
        </w:trPr>
        <w:tc>
          <w:tcPr>
            <w:tcW w:w="5820" w:type="dxa"/>
            <w:vAlign w:val="bottom"/>
            <w:tcBorders>
              <w:left w:val="single" w:sz="8" w:color="B8CCE4"/>
              <w:bottom w:val="single" w:sz="8" w:color="B8CCE4"/>
            </w:tcBorders>
          </w:tcPr>
          <w:p>
            <w:pPr>
              <w:spacing w:after="0"/>
              <w:rPr>
                <w:sz w:val="24"/>
                <w:szCs w:val="24"/>
                <w:color w:val="auto"/>
              </w:rPr>
            </w:pPr>
          </w:p>
        </w:tc>
        <w:tc>
          <w:tcPr>
            <w:tcW w:w="1900" w:type="dxa"/>
            <w:vAlign w:val="bottom"/>
            <w:tcBorders>
              <w:bottom w:val="single" w:sz="8" w:color="B8CCE4"/>
            </w:tcBorders>
          </w:tcPr>
          <w:p>
            <w:pPr>
              <w:spacing w:after="0"/>
              <w:rPr>
                <w:sz w:val="24"/>
                <w:szCs w:val="24"/>
                <w:color w:val="auto"/>
              </w:rPr>
            </w:pPr>
          </w:p>
        </w:tc>
        <w:tc>
          <w:tcPr>
            <w:tcW w:w="1920" w:type="dxa"/>
            <w:vAlign w:val="bottom"/>
            <w:tcBorders>
              <w:bottom w:val="single" w:sz="8" w:color="B8CCE4"/>
            </w:tcBorders>
          </w:tcPr>
          <w:p>
            <w:pPr>
              <w:spacing w:after="0"/>
              <w:rPr>
                <w:sz w:val="24"/>
                <w:szCs w:val="24"/>
                <w:color w:val="auto"/>
              </w:rPr>
            </w:pPr>
          </w:p>
        </w:tc>
        <w:tc>
          <w:tcPr>
            <w:tcW w:w="1800" w:type="dxa"/>
            <w:vAlign w:val="bottom"/>
            <w:tcBorders>
              <w:bottom w:val="single" w:sz="8" w:color="B8CCE4"/>
              <w:right w:val="single" w:sz="8" w:color="B8CCE4"/>
            </w:tcBorders>
          </w:tcPr>
          <w:p>
            <w:pPr>
              <w:spacing w:after="0"/>
              <w:rPr>
                <w:sz w:val="24"/>
                <w:szCs w:val="24"/>
                <w:color w:val="auto"/>
              </w:rPr>
            </w:pPr>
          </w:p>
        </w:tc>
      </w:tr>
      <w:tr>
        <w:trPr>
          <w:trHeight w:val="259"/>
        </w:trPr>
        <w:tc>
          <w:tcPr>
            <w:tcW w:w="58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$2,718.4</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$2,925.1</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(7.1%)</w:t>
            </w:r>
          </w:p>
        </w:tc>
      </w:tr>
      <w:tr>
        <w:trPr>
          <w:trHeight w:val="264"/>
        </w:trPr>
        <w:tc>
          <w:tcPr>
            <w:tcW w:w="582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$24,251.1</w:t>
            </w:r>
          </w:p>
        </w:tc>
        <w:tc>
          <w:tcPr>
            <w:tcW w:w="19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$14,560.0</w:t>
            </w:r>
          </w:p>
        </w:tc>
        <w:tc>
          <w:tcPr>
            <w:tcW w:w="180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66.6%</w:t>
            </w:r>
          </w:p>
        </w:tc>
      </w:tr>
    </w:tbl>
    <w:p>
      <w:pPr>
        <w:spacing w:after="0" w:line="172"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Total Company revenue was $3,726.8 million. The Company reported a net loss of $2,414 million, or $5.40 per diluted share. These results included after-tax charges and credits totaling $2,429.1 million of expense, or $5.43 per diluted share. Adjusted net income was $15.1 million, or $0.03 per diluted share.</w:t>
      </w:r>
    </w:p>
    <w:p>
      <w:pPr>
        <w:spacing w:after="0" w:line="200" w:lineRule="exact"/>
        <w:rPr>
          <w:sz w:val="20"/>
          <w:szCs w:val="20"/>
          <w:color w:val="auto"/>
        </w:rPr>
      </w:pPr>
    </w:p>
    <w:p>
      <w:pPr>
        <w:spacing w:after="0" w:line="388"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 of </w:t>
      </w:r>
      <w:hyperlink w:anchor="page35">
        <w:r>
          <w:rPr>
            <w:rFonts w:ascii="Arial" w:cs="Arial" w:eastAsia="Arial" w:hAnsi="Arial"/>
            <w:sz w:val="14"/>
            <w:szCs w:val="14"/>
            <w:b w:val="1"/>
            <w:bCs w:val="1"/>
            <w:color w:val="auto"/>
          </w:rPr>
          <w:t>29</w:t>
        </w:r>
      </w:hyperlink>
    </w:p>
    <w:p>
      <w:pPr>
        <w:sectPr>
          <w:pgSz w:w="11900" w:h="16838" w:orient="portrait"/>
          <w:cols w:equalWidth="0" w:num="1">
            <w:col w:w="11440"/>
          </w:cols>
          <w:pgMar w:left="240" w:top="1189" w:right="21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Total after-tax charges and credits in the quarter of $2,429.1 million (Exhibit 7) were as follows:</w:t>
      </w:r>
    </w:p>
    <w:p>
      <w:pPr>
        <w:spacing w:after="0" w:line="54" w:lineRule="exact"/>
        <w:rPr>
          <w:sz w:val="20"/>
          <w:szCs w:val="20"/>
          <w:color w:val="auto"/>
        </w:rPr>
      </w:pPr>
    </w:p>
    <w:p>
      <w:pPr>
        <w:ind w:left="880" w:hanging="224"/>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After-tax charges and credits impacting operating results of $2,321.1 million, which included the following:</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b w:val="1"/>
          <w:bCs w:val="1"/>
          <w:color w:val="auto"/>
        </w:rPr>
      </w:pPr>
      <w:r>
        <w:rPr>
          <w:rFonts w:ascii="Arial" w:cs="Arial" w:eastAsia="Arial" w:hAnsi="Arial"/>
          <w:sz w:val="20"/>
          <w:szCs w:val="20"/>
          <w:color w:val="auto"/>
        </w:rPr>
        <w:t>Impairment and other charges totaling $2,268.6 million for goodwill and fixed assets; and</w:t>
      </w:r>
    </w:p>
    <w:p>
      <w:pPr>
        <w:ind w:left="1300" w:hanging="320"/>
        <w:spacing w:after="0" w:line="247" w:lineRule="auto"/>
        <w:tabs>
          <w:tab w:leader="none" w:pos="1300" w:val="left"/>
        </w:tabs>
        <w:numPr>
          <w:ilvl w:val="1"/>
          <w:numId w:val="4"/>
        </w:numPr>
        <w:rPr>
          <w:rFonts w:ascii="Arial" w:cs="Arial" w:eastAsia="Arial" w:hAnsi="Arial"/>
          <w:sz w:val="20"/>
          <w:szCs w:val="20"/>
          <w:b w:val="1"/>
          <w:bCs w:val="1"/>
          <w:color w:val="auto"/>
        </w:rPr>
      </w:pPr>
      <w:r>
        <w:rPr>
          <w:rFonts w:ascii="Arial" w:cs="Arial" w:eastAsia="Arial" w:hAnsi="Arial"/>
          <w:sz w:val="20"/>
          <w:szCs w:val="20"/>
          <w:color w:val="auto"/>
        </w:rPr>
        <w:t>Separation costs, purchase price accounting adjustments, and restructuring and other charges totaling $52.5 million.</w:t>
      </w:r>
    </w:p>
    <w:p>
      <w:pPr>
        <w:spacing w:after="0" w:line="93" w:lineRule="exact"/>
        <w:rPr>
          <w:rFonts w:ascii="Arial" w:cs="Arial" w:eastAsia="Arial" w:hAnsi="Arial"/>
          <w:sz w:val="20"/>
          <w:szCs w:val="20"/>
          <w:b w:val="1"/>
          <w:bCs w:val="1"/>
          <w:color w:val="auto"/>
        </w:rPr>
      </w:pPr>
    </w:p>
    <w:p>
      <w:pPr>
        <w:ind w:left="880" w:hanging="224"/>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 tax provision for a valuation allowance of $108 million.</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Adjusted EBITDA, which excludes pre-tax charges and credits, was $404.4 million; adjusted EBITDA margin was 10.9 percent (Exhibit 9).</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Other significant pre-tax items impacting the quarter, for which we do not provide guidance, included the following:</w:t>
      </w:r>
    </w:p>
    <w:p>
      <w:pPr>
        <w:spacing w:after="0" w:line="54" w:lineRule="exact"/>
        <w:rPr>
          <w:sz w:val="20"/>
          <w:szCs w:val="20"/>
          <w:color w:val="auto"/>
        </w:rPr>
      </w:pPr>
    </w:p>
    <w:p>
      <w:pPr>
        <w:ind w:left="660" w:hanging="328"/>
        <w:spacing w:after="0" w:line="239"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$64.1 million of foreign exchange losses included in corporate expense, or $0.13 per diluted share on an after-tax basis; and</w:t>
      </w:r>
    </w:p>
    <w:p>
      <w:pPr>
        <w:spacing w:after="0" w:line="1" w:lineRule="exact"/>
        <w:rPr>
          <w:rFonts w:ascii="Arial" w:cs="Arial" w:eastAsia="Arial" w:hAnsi="Arial"/>
          <w:sz w:val="20"/>
          <w:szCs w:val="20"/>
          <w:color w:val="auto"/>
        </w:rPr>
      </w:pPr>
    </w:p>
    <w:p>
      <w:pPr>
        <w:ind w:left="660" w:hanging="328"/>
        <w:spacing w:after="0" w:line="247"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$99.1 million of expense resulting from increased liability payable to joint venture partners included in interest expense, or $0.22 per diluted share on an after-tax basis.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2019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Financial Statements - Full Year 2019</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50" w:type="dxa"/>
        <w:tblCellMar>
          <w:top w:w="0" w:type="dxa"/>
          <w:left w:w="0" w:type="dxa"/>
          <w:bottom w:w="0" w:type="dxa"/>
          <w:right w:w="0" w:type="dxa"/>
        </w:tblCellMar>
      </w:tblPr>
      <w:tr>
        <w:trPr>
          <w:trHeight w:val="189"/>
        </w:trPr>
        <w:tc>
          <w:tcPr>
            <w:tcW w:w="576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Twelve Months Ended</w:t>
            </w:r>
          </w:p>
        </w:tc>
        <w:tc>
          <w:tcPr>
            <w:tcW w:w="2020" w:type="dxa"/>
            <w:vAlign w:val="bottom"/>
            <w:tcBorders>
              <w:top w:val="single" w:sz="8" w:color="B8CCE4"/>
              <w:right w:val="single" w:sz="8" w:color="B8CCE4"/>
            </w:tcBorders>
          </w:tcPr>
          <w:p>
            <w:pPr>
              <w:jc w:val="right"/>
              <w:ind w:right="466"/>
              <w:spacing w:after="0"/>
              <w:rPr>
                <w:sz w:val="20"/>
                <w:szCs w:val="20"/>
                <w:color w:val="auto"/>
              </w:rPr>
            </w:pPr>
            <w:r>
              <w:rPr>
                <w:rFonts w:ascii="Arial" w:cs="Arial" w:eastAsia="Arial" w:hAnsi="Arial"/>
                <w:sz w:val="14"/>
                <w:szCs w:val="14"/>
                <w:b w:val="1"/>
                <w:bCs w:val="1"/>
                <w:color w:val="auto"/>
              </w:rPr>
              <w:t>December 31,</w:t>
            </w:r>
          </w:p>
        </w:tc>
        <w:tc>
          <w:tcPr>
            <w:tcW w:w="2020" w:type="dxa"/>
            <w:vAlign w:val="bottom"/>
            <w:tcBorders>
              <w:top w:val="single" w:sz="8" w:color="B8CCE4"/>
              <w:right w:val="single" w:sz="8" w:color="B8CCE4"/>
            </w:tcBorders>
          </w:tcPr>
          <w:p>
            <w:pPr>
              <w:jc w:val="right"/>
              <w:ind w:right="466"/>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Borders>
              <w:top w:val="single" w:sz="8" w:color="B8CCE4"/>
              <w:right w:val="single" w:sz="8" w:color="B8CCE4"/>
            </w:tcBorders>
          </w:tcPr>
          <w:p>
            <w:pPr>
              <w:spacing w:after="0"/>
              <w:rPr>
                <w:sz w:val="16"/>
                <w:szCs w:val="16"/>
                <w:color w:val="auto"/>
              </w:rPr>
            </w:pPr>
          </w:p>
        </w:tc>
      </w:tr>
      <w:tr>
        <w:trPr>
          <w:trHeight w:val="196"/>
        </w:trPr>
        <w:tc>
          <w:tcPr>
            <w:tcW w:w="57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020" w:type="dxa"/>
            <w:vAlign w:val="bottom"/>
            <w:tcBorders>
              <w:bottom w:val="single" w:sz="8" w:color="B8CCE4"/>
              <w:right w:val="single" w:sz="8" w:color="B8CCE4"/>
            </w:tcBorders>
          </w:tcPr>
          <w:p>
            <w:pPr>
              <w:jc w:val="right"/>
              <w:ind w:right="766"/>
              <w:spacing w:after="0"/>
              <w:rPr>
                <w:sz w:val="20"/>
                <w:szCs w:val="20"/>
                <w:color w:val="auto"/>
              </w:rPr>
            </w:pPr>
            <w:r>
              <w:rPr>
                <w:rFonts w:ascii="Arial" w:cs="Arial" w:eastAsia="Arial" w:hAnsi="Arial"/>
                <w:sz w:val="14"/>
                <w:szCs w:val="14"/>
                <w:b w:val="1"/>
                <w:bCs w:val="1"/>
                <w:color w:val="auto"/>
              </w:rPr>
              <w:t>2019</w:t>
            </w:r>
          </w:p>
        </w:tc>
        <w:tc>
          <w:tcPr>
            <w:tcW w:w="2020" w:type="dxa"/>
            <w:vAlign w:val="bottom"/>
            <w:tcBorders>
              <w:bottom w:val="single" w:sz="8" w:color="B8CCE4"/>
              <w:right w:val="single" w:sz="8" w:color="B8CCE4"/>
            </w:tcBorders>
          </w:tcPr>
          <w:p>
            <w:pPr>
              <w:jc w:val="right"/>
              <w:ind w:right="766"/>
              <w:spacing w:after="0"/>
              <w:rPr>
                <w:sz w:val="20"/>
                <w:szCs w:val="20"/>
                <w:color w:val="auto"/>
              </w:rPr>
            </w:pPr>
            <w:r>
              <w:rPr>
                <w:rFonts w:ascii="Arial" w:cs="Arial" w:eastAsia="Arial" w:hAnsi="Arial"/>
                <w:sz w:val="14"/>
                <w:szCs w:val="14"/>
                <w:b w:val="1"/>
                <w:bCs w:val="1"/>
                <w:color w:val="auto"/>
              </w:rPr>
              <w:t>2018</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57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$13,409.1</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$12,552.9</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6.8%</w:t>
            </w:r>
          </w:p>
        </w:tc>
      </w:tr>
      <w:tr>
        <w:trPr>
          <w:trHeight w:val="264"/>
        </w:trPr>
        <w:tc>
          <w:tcPr>
            <w:tcW w:w="57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Net income (loss)</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$(2,415.2)</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$(1,921.6)</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4"/>
        </w:trPr>
        <w:tc>
          <w:tcPr>
            <w:tcW w:w="57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Diluted earnings (loss) per share</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$(5.39)</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$(4.20)</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336"/>
        </w:trPr>
        <w:tc>
          <w:tcPr>
            <w:tcW w:w="5760" w:type="dxa"/>
            <w:vAlign w:val="bottom"/>
            <w:tcBorders>
              <w:left w:val="single" w:sz="8" w:color="B8CCE4"/>
              <w:bottom w:val="single" w:sz="8" w:color="B8CCE4"/>
            </w:tcBorders>
          </w:tcPr>
          <w:p>
            <w:pPr>
              <w:spacing w:after="0"/>
              <w:rPr>
                <w:sz w:val="24"/>
                <w:szCs w:val="24"/>
                <w:color w:val="auto"/>
              </w:rPr>
            </w:pPr>
          </w:p>
        </w:tc>
        <w:tc>
          <w:tcPr>
            <w:tcW w:w="2020" w:type="dxa"/>
            <w:vAlign w:val="bottom"/>
            <w:tcBorders>
              <w:bottom w:val="single" w:sz="8" w:color="B8CCE4"/>
            </w:tcBorders>
          </w:tcPr>
          <w:p>
            <w:pPr>
              <w:spacing w:after="0"/>
              <w:rPr>
                <w:sz w:val="24"/>
                <w:szCs w:val="24"/>
                <w:color w:val="auto"/>
              </w:rPr>
            </w:pPr>
          </w:p>
        </w:tc>
        <w:tc>
          <w:tcPr>
            <w:tcW w:w="2020" w:type="dxa"/>
            <w:vAlign w:val="bottom"/>
            <w:tcBorders>
              <w:bottom w:val="single" w:sz="8" w:color="B8CCE4"/>
            </w:tcBorders>
          </w:tcPr>
          <w:p>
            <w:pPr>
              <w:spacing w:after="0"/>
              <w:rPr>
                <w:sz w:val="24"/>
                <w:szCs w:val="24"/>
                <w:color w:val="auto"/>
              </w:rPr>
            </w:pPr>
          </w:p>
        </w:tc>
        <w:tc>
          <w:tcPr>
            <w:tcW w:w="1560" w:type="dxa"/>
            <w:vAlign w:val="bottom"/>
            <w:tcBorders>
              <w:bottom w:val="single" w:sz="8" w:color="B8CCE4"/>
              <w:right w:val="single" w:sz="8" w:color="B8CCE4"/>
            </w:tcBorders>
          </w:tcPr>
          <w:p>
            <w:pPr>
              <w:spacing w:after="0"/>
              <w:rPr>
                <w:sz w:val="24"/>
                <w:szCs w:val="24"/>
                <w:color w:val="auto"/>
              </w:rPr>
            </w:pPr>
          </w:p>
        </w:tc>
      </w:tr>
      <w:tr>
        <w:trPr>
          <w:trHeight w:val="259"/>
        </w:trPr>
        <w:tc>
          <w:tcPr>
            <w:tcW w:w="57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$1,529.4</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$1,536.8</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(0.5%)</w:t>
            </w:r>
          </w:p>
        </w:tc>
      </w:tr>
      <w:tr>
        <w:trPr>
          <w:trHeight w:val="264"/>
        </w:trPr>
        <w:tc>
          <w:tcPr>
            <w:tcW w:w="57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11.4%</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12.2%</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(80 bps)</w:t>
            </w:r>
          </w:p>
        </w:tc>
      </w:tr>
      <w:tr>
        <w:trPr>
          <w:trHeight w:val="264"/>
        </w:trPr>
        <w:tc>
          <w:tcPr>
            <w:tcW w:w="57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net income</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$330.5</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$377.1</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(12.4%)</w:t>
            </w:r>
          </w:p>
        </w:tc>
      </w:tr>
      <w:tr>
        <w:trPr>
          <w:trHeight w:val="264"/>
        </w:trPr>
        <w:tc>
          <w:tcPr>
            <w:tcW w:w="57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diluted earnings per share</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$0.74</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$0.82</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(9.8)%</w:t>
            </w:r>
          </w:p>
        </w:tc>
      </w:tr>
      <w:tr>
        <w:trPr>
          <w:trHeight w:val="336"/>
        </w:trPr>
        <w:tc>
          <w:tcPr>
            <w:tcW w:w="5760" w:type="dxa"/>
            <w:vAlign w:val="bottom"/>
            <w:tcBorders>
              <w:left w:val="single" w:sz="8" w:color="B8CCE4"/>
              <w:bottom w:val="single" w:sz="8" w:color="B8CCE4"/>
            </w:tcBorders>
          </w:tcPr>
          <w:p>
            <w:pPr>
              <w:spacing w:after="0"/>
              <w:rPr>
                <w:sz w:val="24"/>
                <w:szCs w:val="24"/>
                <w:color w:val="auto"/>
              </w:rPr>
            </w:pPr>
          </w:p>
        </w:tc>
        <w:tc>
          <w:tcPr>
            <w:tcW w:w="2020" w:type="dxa"/>
            <w:vAlign w:val="bottom"/>
            <w:tcBorders>
              <w:bottom w:val="single" w:sz="8" w:color="B8CCE4"/>
            </w:tcBorders>
          </w:tcPr>
          <w:p>
            <w:pPr>
              <w:spacing w:after="0"/>
              <w:rPr>
                <w:sz w:val="24"/>
                <w:szCs w:val="24"/>
                <w:color w:val="auto"/>
              </w:rPr>
            </w:pPr>
          </w:p>
        </w:tc>
        <w:tc>
          <w:tcPr>
            <w:tcW w:w="2020" w:type="dxa"/>
            <w:vAlign w:val="bottom"/>
            <w:tcBorders>
              <w:bottom w:val="single" w:sz="8" w:color="B8CCE4"/>
            </w:tcBorders>
          </w:tcPr>
          <w:p>
            <w:pPr>
              <w:spacing w:after="0"/>
              <w:rPr>
                <w:sz w:val="24"/>
                <w:szCs w:val="24"/>
                <w:color w:val="auto"/>
              </w:rPr>
            </w:pPr>
          </w:p>
        </w:tc>
        <w:tc>
          <w:tcPr>
            <w:tcW w:w="1560" w:type="dxa"/>
            <w:vAlign w:val="bottom"/>
            <w:tcBorders>
              <w:bottom w:val="single" w:sz="8" w:color="B8CCE4"/>
              <w:right w:val="single" w:sz="8" w:color="B8CCE4"/>
            </w:tcBorders>
          </w:tcPr>
          <w:p>
            <w:pPr>
              <w:spacing w:after="0"/>
              <w:rPr>
                <w:sz w:val="24"/>
                <w:szCs w:val="24"/>
                <w:color w:val="auto"/>
              </w:rPr>
            </w:pPr>
          </w:p>
        </w:tc>
      </w:tr>
      <w:tr>
        <w:trPr>
          <w:trHeight w:val="259"/>
        </w:trPr>
        <w:tc>
          <w:tcPr>
            <w:tcW w:w="57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$22,693.0</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$14,291.0</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58.8%</w:t>
            </w:r>
          </w:p>
        </w:tc>
      </w:tr>
      <w:tr>
        <w:trPr>
          <w:trHeight w:val="264"/>
        </w:trPr>
        <w:tc>
          <w:tcPr>
            <w:tcW w:w="57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$24,251.1</w:t>
            </w:r>
          </w:p>
        </w:tc>
        <w:tc>
          <w:tcPr>
            <w:tcW w:w="202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$14,560.0</w:t>
            </w:r>
          </w:p>
        </w:tc>
        <w:tc>
          <w:tcPr>
            <w:tcW w:w="15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66.6%</w:t>
            </w:r>
          </w:p>
        </w:tc>
      </w:tr>
    </w:tbl>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Total Company revenue was $13,409.1 million. The Company reported a net loss of $2,415.2 million, or $5.39 per diluted share. These results included after-tax charges and</w:t>
      </w:r>
    </w:p>
    <w:p>
      <w:pPr>
        <w:spacing w:after="0" w:line="200" w:lineRule="exact"/>
        <w:rPr>
          <w:sz w:val="20"/>
          <w:szCs w:val="20"/>
          <w:color w:val="auto"/>
        </w:rPr>
      </w:pPr>
    </w:p>
    <w:p>
      <w:pPr>
        <w:spacing w:after="0" w:line="384"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89" w:right="239" w:bottom="1440" w:gutter="0" w:footer="0" w:header="0"/>
        </w:sectPr>
      </w:pPr>
    </w:p>
    <w:bookmarkStart w:id="6" w:name="page7"/>
    <w:bookmarkEnd w:id="6"/>
    <w:p>
      <w:pPr>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credits totaling $2,745.7 million of expense, or $6.13 per diluted share. Adjusted net income was $330.5 million, or $0.74 per diluted share.</w:t>
      </w:r>
    </w:p>
    <w:p>
      <w:pPr>
        <w:spacing w:after="0" w:line="200" w:lineRule="exact"/>
        <w:rPr>
          <w:sz w:val="20"/>
          <w:szCs w:val="20"/>
          <w:color w:val="auto"/>
        </w:rPr>
      </w:pPr>
    </w:p>
    <w:p>
      <w:pPr>
        <w:spacing w:after="0" w:line="384"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3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89"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Total after-tax charges and credits for the full year of $2,745.7 million (Exhibit 8) were as follows:</w:t>
      </w:r>
    </w:p>
    <w:p>
      <w:pPr>
        <w:spacing w:after="0" w:line="54" w:lineRule="exact"/>
        <w:rPr>
          <w:sz w:val="20"/>
          <w:szCs w:val="20"/>
          <w:color w:val="auto"/>
        </w:rPr>
      </w:pPr>
    </w:p>
    <w:p>
      <w:pPr>
        <w:ind w:left="880" w:hanging="224"/>
        <w:spacing w:after="0"/>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After-tax charges and credits impacting operating results of $2,558.7 million, which included the following:</w:t>
      </w:r>
    </w:p>
    <w:p>
      <w:pPr>
        <w:spacing w:after="0" w:line="53" w:lineRule="exact"/>
        <w:rPr>
          <w:rFonts w:ascii="Arial" w:cs="Arial" w:eastAsia="Arial" w:hAnsi="Arial"/>
          <w:sz w:val="20"/>
          <w:szCs w:val="20"/>
          <w:color w:val="auto"/>
        </w:rPr>
      </w:pPr>
    </w:p>
    <w:p>
      <w:pPr>
        <w:ind w:left="1300" w:hanging="320"/>
        <w:spacing w:after="0"/>
        <w:tabs>
          <w:tab w:leader="none" w:pos="1300" w:val="left"/>
        </w:tabs>
        <w:numPr>
          <w:ilvl w:val="1"/>
          <w:numId w:val="6"/>
        </w:numPr>
        <w:rPr>
          <w:rFonts w:ascii="Arial" w:cs="Arial" w:eastAsia="Arial" w:hAnsi="Arial"/>
          <w:sz w:val="20"/>
          <w:szCs w:val="20"/>
          <w:b w:val="1"/>
          <w:bCs w:val="1"/>
          <w:color w:val="auto"/>
        </w:rPr>
      </w:pPr>
      <w:r>
        <w:rPr>
          <w:rFonts w:ascii="Arial" w:cs="Arial" w:eastAsia="Arial" w:hAnsi="Arial"/>
          <w:sz w:val="20"/>
          <w:szCs w:val="20"/>
          <w:color w:val="auto"/>
        </w:rPr>
        <w:t>Impairment and other charges totaling $2,364.2 million for goodwill and fixed assets;</w:t>
      </w:r>
    </w:p>
    <w:p>
      <w:pPr>
        <w:ind w:left="1300" w:hanging="320"/>
        <w:spacing w:after="0"/>
        <w:tabs>
          <w:tab w:leader="none" w:pos="1300" w:val="left"/>
        </w:tabs>
        <w:numPr>
          <w:ilvl w:val="1"/>
          <w:numId w:val="6"/>
        </w:numPr>
        <w:rPr>
          <w:rFonts w:ascii="Arial" w:cs="Arial" w:eastAsia="Arial" w:hAnsi="Arial"/>
          <w:sz w:val="20"/>
          <w:szCs w:val="20"/>
          <w:b w:val="1"/>
          <w:bCs w:val="1"/>
          <w:color w:val="auto"/>
        </w:rPr>
      </w:pPr>
      <w:r>
        <w:rPr>
          <w:rFonts w:ascii="Arial" w:cs="Arial" w:eastAsia="Arial" w:hAnsi="Arial"/>
          <w:sz w:val="20"/>
          <w:szCs w:val="20"/>
          <w:color w:val="auto"/>
        </w:rPr>
        <w:t>Legal provisions, net of $46.3 million; and</w:t>
      </w:r>
    </w:p>
    <w:p>
      <w:pPr>
        <w:ind w:left="1300" w:hanging="320"/>
        <w:spacing w:after="0" w:line="247" w:lineRule="auto"/>
        <w:tabs>
          <w:tab w:leader="none" w:pos="1300" w:val="left"/>
        </w:tabs>
        <w:numPr>
          <w:ilvl w:val="1"/>
          <w:numId w:val="6"/>
        </w:numPr>
        <w:rPr>
          <w:rFonts w:ascii="Arial" w:cs="Arial" w:eastAsia="Arial" w:hAnsi="Arial"/>
          <w:sz w:val="20"/>
          <w:szCs w:val="20"/>
          <w:b w:val="1"/>
          <w:bCs w:val="1"/>
          <w:color w:val="auto"/>
        </w:rPr>
      </w:pPr>
      <w:r>
        <w:rPr>
          <w:rFonts w:ascii="Arial" w:cs="Arial" w:eastAsia="Arial" w:hAnsi="Arial"/>
          <w:sz w:val="20"/>
          <w:szCs w:val="20"/>
          <w:color w:val="auto"/>
        </w:rPr>
        <w:t>Separation costs, purchase price accounting adjustments, business combination transaction and integration costs, restructuring and other charges, and reorganization totaling $148.2 million.</w:t>
      </w:r>
    </w:p>
    <w:p>
      <w:pPr>
        <w:spacing w:after="0" w:line="93" w:lineRule="exact"/>
        <w:rPr>
          <w:rFonts w:ascii="Arial" w:cs="Arial" w:eastAsia="Arial" w:hAnsi="Arial"/>
          <w:sz w:val="20"/>
          <w:szCs w:val="20"/>
          <w:b w:val="1"/>
          <w:bCs w:val="1"/>
          <w:color w:val="auto"/>
        </w:rPr>
      </w:pPr>
    </w:p>
    <w:p>
      <w:pPr>
        <w:ind w:left="880" w:hanging="224"/>
        <w:spacing w:after="0"/>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tax provision for valuation allowances of $187 million.</w:t>
      </w:r>
    </w:p>
    <w:p>
      <w:pPr>
        <w:spacing w:after="0" w:line="175"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Adjusted EBITDA, which excludes pre-tax charges and credits, was $1,529.4 million; adjusted EBITDA margin was 11.4 percent (Exhibit 10).</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Other significant pre-tax items impacting the year, for which we do not provide guidance, included the following:</w:t>
      </w:r>
    </w:p>
    <w:p>
      <w:pPr>
        <w:spacing w:after="0" w:line="54" w:lineRule="exact"/>
        <w:rPr>
          <w:sz w:val="20"/>
          <w:szCs w:val="20"/>
          <w:color w:val="auto"/>
        </w:rPr>
      </w:pPr>
    </w:p>
    <w:p>
      <w:pPr>
        <w:ind w:left="660" w:hanging="328"/>
        <w:spacing w:after="0" w:line="239"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$146.9 million of foreign exchange losses included in corporate expense, or $0.27 per diluted share on an after-tax basis; and</w:t>
      </w:r>
    </w:p>
    <w:p>
      <w:pPr>
        <w:spacing w:after="0" w:line="1" w:lineRule="exact"/>
        <w:rPr>
          <w:rFonts w:ascii="Arial" w:cs="Arial" w:eastAsia="Arial" w:hAnsi="Arial"/>
          <w:sz w:val="20"/>
          <w:szCs w:val="20"/>
          <w:color w:val="auto"/>
        </w:rPr>
      </w:pPr>
    </w:p>
    <w:p>
      <w:pPr>
        <w:ind w:left="660" w:right="20" w:hanging="328"/>
        <w:spacing w:after="0" w:line="247"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$423.1 million of expense resulting from increased liability payable to joint venture partners included in interest expense, or $0.94 per diluted share on an after-tax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4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89" w:right="239" w:bottom="1440" w:gutter="0" w:footer="0" w:header="0"/>
        </w:sectPr>
      </w:pPr>
    </w:p>
    <w:bookmarkStart w:id="8" w:name="page9"/>
    <w:bookmarkEnd w:id="8"/>
    <w:p>
      <w:pPr>
        <w:jc w:val="both"/>
        <w:spacing w:after="0" w:line="24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Doug Pferdehirt, Chairman and CEO of TechnipFMC, stated, “We achieved an unprecedented level of inbound in 2019, including over 50 percent order growth in Subsea. With this success, our backlog now stands at $24 billion, an increase of 67 percent versus 2018. Backlog grew across all segments, with Onshore/Offshore increasing almost 90 percent when compared to the prior year.”</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Pferdehirt added, “Our success was driven by an acceleration in the market adoption of our new subsea technologies, our integrated subsea model (iEPCI™) and continued strength in both LNG and downstream project sanctioning. Onshore/Offshore inbound orders grew almost 80 percent versus 2018, driven by more than $8 billion in LNG awards. Subsea integrated award value more than doubled, clearly demonstrating that iEPCI™ has become the model of choice for most of our customers.”</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addition to this tremendous commercial success in 2019, we have been proactively taking actions to better position ourselves for 2020 and beyond. Our announced separation into two industry-leading, diversified pure-play companies is a bold, visible step in this regard. In parallel, we are optimizing our Subsea organization, while transforming our Surface Technologies business in North America. Taken together, these actions support our long-term strategy focused on market leadership and business transformation.”</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Pferdehirt continued, “Turning to the subsea market, we anticipate ongoing momentum in activity for small- to mid-sized brownfield projects and a continued healthy outlook for greenfield projects. Strength in project activity, as well as our expectation for double-digit revenue growth in Subsea Services, provides the framework for 2020 Subsea orders to approach the level achieved in 2019. However, this remains dependent on the timing of one or two major project awards.”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our Onshore/Offshore business, we remain confident that additional LNG projects will be sanctioned in the near-to-intermediate-term despite current weakness in the commodity price. The growth outlook for long-term demand requires this additional capacity. Beyond LNG, we continue to selectively pursue refining, petrochemical, and biofuel project opportunities.”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Surface Technologies, we anticipate double-digit revenue growth outside North America in 2020, following growth of more than 15 percent in 2019. We expect North American activity to decline 10 percent versus 2019, which assumes improvement in drilling and completions activity in the second half of the year.”</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Pferdehirt concluded, “Our significant growth in backlog across all segments validates our strategy and provides us with confidence in our outlook. We continue to demonstrate our global leadership in subsea, LNG, and the international surface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5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89"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Operational and Financial Highlights - Fourth Quarter 2019</w:t>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Subsea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40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top w:val="single" w:sz="8" w:color="B8CCE4"/>
              <w:right w:val="single" w:sz="8" w:color="B8CCE4"/>
            </w:tcBorders>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1900" w:type="dxa"/>
            <w:vAlign w:val="bottom"/>
            <w:tcBorders>
              <w:top w:val="single" w:sz="8" w:color="B8CCE4"/>
              <w:right w:val="single" w:sz="8" w:color="B8CCE4"/>
            </w:tcBorders>
          </w:tcPr>
          <w:p>
            <w:pPr>
              <w:jc w:val="right"/>
              <w:ind w:right="408"/>
              <w:spacing w:after="0"/>
              <w:rPr>
                <w:sz w:val="20"/>
                <w:szCs w:val="20"/>
                <w:color w:val="auto"/>
              </w:rPr>
            </w:pPr>
            <w:r>
              <w:rPr>
                <w:rFonts w:ascii="Arial" w:cs="Arial" w:eastAsia="Arial" w:hAnsi="Arial"/>
                <w:sz w:val="14"/>
                <w:szCs w:val="14"/>
                <w:b w:val="1"/>
                <w:bCs w:val="1"/>
                <w:color w:val="auto"/>
              </w:rPr>
              <w:t>December 31,</w:t>
            </w:r>
          </w:p>
        </w:tc>
        <w:tc>
          <w:tcPr>
            <w:tcW w:w="1460" w:type="dxa"/>
            <w:vAlign w:val="bottom"/>
            <w:tcBorders>
              <w:top w:val="single" w:sz="8" w:color="B8CCE4"/>
              <w:right w:val="single" w:sz="8" w:color="B8CCE4"/>
            </w:tcBorders>
          </w:tcPr>
          <w:p>
            <w:pPr>
              <w:spacing w:after="0"/>
              <w:rPr>
                <w:sz w:val="16"/>
                <w:szCs w:val="16"/>
                <w:color w:val="auto"/>
              </w:rPr>
            </w:pPr>
          </w:p>
        </w:tc>
      </w:tr>
      <w:tr>
        <w:trPr>
          <w:trHeight w:val="196"/>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Borders>
              <w:bottom w:val="single" w:sz="8" w:color="B8CCE4"/>
              <w:right w:val="single" w:sz="8" w:color="B8CCE4"/>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90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$1,486.8</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$1,233.3</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20.6%</w:t>
            </w:r>
          </w:p>
        </w:tc>
      </w:tr>
      <w:tr>
        <w:trPr>
          <w:trHeight w:val="264"/>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$(1,512.7)</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$(1,739.5)</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4"/>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$185.0</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$148.5</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24.6%</w:t>
            </w:r>
          </w:p>
        </w:tc>
      </w:tr>
      <w:tr>
        <w:trPr>
          <w:trHeight w:val="264"/>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12.4%</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12.0%</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40 bps</w:t>
            </w:r>
          </w:p>
        </w:tc>
      </w:tr>
      <w:tr>
        <w:trPr>
          <w:trHeight w:val="322"/>
        </w:trPr>
        <w:tc>
          <w:tcPr>
            <w:tcW w:w="6400" w:type="dxa"/>
            <w:vAlign w:val="bottom"/>
            <w:tcBorders>
              <w:left w:val="single" w:sz="8" w:color="B8CCE4"/>
              <w:bottom w:val="single" w:sz="8" w:color="B8CCE4"/>
            </w:tcBorders>
          </w:tcPr>
          <w:p>
            <w:pPr>
              <w:spacing w:after="0"/>
              <w:rPr>
                <w:sz w:val="24"/>
                <w:szCs w:val="24"/>
                <w:color w:val="auto"/>
              </w:rPr>
            </w:pPr>
          </w:p>
        </w:tc>
        <w:tc>
          <w:tcPr>
            <w:tcW w:w="1680" w:type="dxa"/>
            <w:vAlign w:val="bottom"/>
            <w:tcBorders>
              <w:bottom w:val="single" w:sz="8" w:color="B8CCE4"/>
            </w:tcBorders>
          </w:tcPr>
          <w:p>
            <w:pPr>
              <w:spacing w:after="0"/>
              <w:rPr>
                <w:sz w:val="24"/>
                <w:szCs w:val="24"/>
                <w:color w:val="auto"/>
              </w:rPr>
            </w:pPr>
          </w:p>
        </w:tc>
        <w:tc>
          <w:tcPr>
            <w:tcW w:w="1900" w:type="dxa"/>
            <w:vAlign w:val="bottom"/>
            <w:tcBorders>
              <w:bottom w:val="single" w:sz="8" w:color="B8CCE4"/>
            </w:tcBorders>
          </w:tcPr>
          <w:p>
            <w:pPr>
              <w:spacing w:after="0"/>
              <w:rPr>
                <w:sz w:val="24"/>
                <w:szCs w:val="24"/>
                <w:color w:val="auto"/>
              </w:rPr>
            </w:pPr>
          </w:p>
        </w:tc>
        <w:tc>
          <w:tcPr>
            <w:tcW w:w="1460" w:type="dxa"/>
            <w:vAlign w:val="bottom"/>
            <w:tcBorders>
              <w:bottom w:val="single" w:sz="8" w:color="B8CCE4"/>
              <w:right w:val="single" w:sz="8" w:color="B8CCE4"/>
            </w:tcBorders>
          </w:tcPr>
          <w:p>
            <w:pPr>
              <w:spacing w:after="0"/>
              <w:rPr>
                <w:sz w:val="24"/>
                <w:szCs w:val="24"/>
                <w:color w:val="auto"/>
              </w:rPr>
            </w:pPr>
          </w:p>
        </w:tc>
      </w:tr>
      <w:tr>
        <w:trPr>
          <w:trHeight w:val="259"/>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$1,172.3</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$880.6</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33.1%</w:t>
            </w:r>
          </w:p>
        </w:tc>
      </w:tr>
      <w:tr>
        <w:trPr>
          <w:trHeight w:val="264"/>
        </w:trPr>
        <w:tc>
          <w:tcPr>
            <w:tcW w:w="64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6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$8,479.8</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$6,203.9</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36.7%</w:t>
            </w:r>
          </w:p>
        </w:tc>
      </w:tr>
    </w:tbl>
    <w:p>
      <w:pPr>
        <w:spacing w:after="0" w:line="388"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Subsea reported fourth quarter revenue of $1,486.8 million, up 20.6 percent from the prior year. The Company experienced double-digit growth in both project and service activities. iEPCI™ project activity continues to represent an increasing share of revenue, reflective of the well-established market trend towards integrated project development. The increase in services revenue versus the prior-year quarter was driven by higher installation, well intervention and asset refurbishment activities. Service revenue was essentially unchanged versus the sequential quarter despite the seasonal impact of weather.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In the quarter, the Company recorded non-cash impairment and other charges totaling $1,671.7 million in Subsea which includes:</w:t>
      </w:r>
    </w:p>
    <w:p>
      <w:pPr>
        <w:spacing w:after="0" w:line="54" w:lineRule="exact"/>
        <w:rPr>
          <w:sz w:val="20"/>
          <w:szCs w:val="20"/>
          <w:color w:val="auto"/>
        </w:rPr>
      </w:pPr>
    </w:p>
    <w:p>
      <w:pPr>
        <w:ind w:left="660" w:right="40" w:hanging="328"/>
        <w:spacing w:after="0" w:line="239"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Goodwill impairment charge of $1,321.9 million due to the decline in the Company’s market capitalization, which does not reflect a change in our outlook for 2020 or the long term; and</w:t>
      </w:r>
    </w:p>
    <w:p>
      <w:pPr>
        <w:spacing w:after="0" w:line="1" w:lineRule="exact"/>
        <w:rPr>
          <w:rFonts w:ascii="Arial" w:cs="Arial" w:eastAsia="Arial" w:hAnsi="Arial"/>
          <w:sz w:val="20"/>
          <w:szCs w:val="20"/>
          <w:color w:val="auto"/>
        </w:rPr>
      </w:pPr>
    </w:p>
    <w:p>
      <w:pPr>
        <w:ind w:left="660" w:right="20" w:hanging="328"/>
        <w:spacing w:after="0" w:line="247"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Fixed asset impairment charges totaling $349.8 million driven by continued rationalization of our global footprint as we benefit from the market’s accelerated adoption of our integrated offering.</w:t>
      </w:r>
    </w:p>
    <w:p>
      <w:pPr>
        <w:spacing w:after="0" w:line="161"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Subsea reported an operating loss of $1,512.7 million; adjusted EBITDA was $185 million with a margin of 12.4 percent, an increase of 40 basis points from the prior-year quarter. Adjusted EBITDA improved modestly from the prior year as cost reduction activities and project completions offset the impact of more competitively priced backlog.</w:t>
      </w:r>
    </w:p>
    <w:p>
      <w:pPr>
        <w:spacing w:after="0" w:line="166"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Vessel utilization rate for the fourth quarter was 61 percent, down from 70 percent in the third quarter and 62 percent in the prior-year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6 of </w:t>
      </w:r>
      <w:hyperlink w:anchor="page35">
        <w:r>
          <w:rPr>
            <w:rFonts w:ascii="Arial" w:cs="Arial" w:eastAsia="Arial" w:hAnsi="Arial"/>
            <w:sz w:val="14"/>
            <w:szCs w:val="14"/>
            <w:b w:val="1"/>
            <w:bCs w:val="1"/>
            <w:color w:val="auto"/>
          </w:rPr>
          <w:t>29</w:t>
        </w:r>
      </w:hyperlink>
    </w:p>
    <w:p>
      <w:pPr>
        <w:sectPr>
          <w:pgSz w:w="11900" w:h="16838" w:orient="portrait"/>
          <w:cols w:equalWidth="0" w:num="1">
            <w:col w:w="11440"/>
          </w:cols>
          <w:pgMar w:left="240" w:top="1165" w:right="219" w:bottom="1440" w:gutter="0" w:footer="0" w:header="0"/>
        </w:sectPr>
      </w:pPr>
    </w:p>
    <w:bookmarkStart w:id="10" w:name="page11"/>
    <w:bookmarkEnd w:id="10"/>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Fourth Quarter Subsea Highlights</w:t>
      </w:r>
    </w:p>
    <w:p>
      <w:pPr>
        <w:spacing w:after="0" w:line="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LLOG Who Dat iEPCI™ </w:t>
      </w:r>
      <w:r>
        <w:rPr>
          <w:rFonts w:ascii="Arial" w:cs="Arial" w:eastAsia="Arial" w:hAnsi="Arial"/>
          <w:sz w:val="18"/>
          <w:szCs w:val="18"/>
          <w:b w:val="1"/>
          <w:bCs w:val="1"/>
          <w:color w:val="auto"/>
        </w:rPr>
        <w:t>(United States)</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Successful installation of subsea multiphase boosting pump.</w:t>
      </w:r>
    </w:p>
    <w:p>
      <w:pPr>
        <w:spacing w:after="0" w:line="83" w:lineRule="exact"/>
        <w:rPr>
          <w:rFonts w:ascii="Arial" w:cs="Arial" w:eastAsia="Arial" w:hAnsi="Arial"/>
          <w:sz w:val="20"/>
          <w:szCs w:val="20"/>
          <w:b w:val="1"/>
          <w:bCs w:val="1"/>
          <w:color w:val="auto"/>
        </w:rPr>
      </w:pPr>
    </w:p>
    <w:p>
      <w:pPr>
        <w:ind w:left="660" w:hanging="328"/>
        <w:spacing w:after="0"/>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ExxonMobil Liza </w:t>
      </w:r>
      <w:r>
        <w:rPr>
          <w:rFonts w:ascii="Arial" w:cs="Arial" w:eastAsia="Arial" w:hAnsi="Arial"/>
          <w:sz w:val="18"/>
          <w:szCs w:val="18"/>
          <w:b w:val="1"/>
          <w:bCs w:val="1"/>
          <w:color w:val="auto"/>
        </w:rPr>
        <w:t>(Guyana)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Oil production started ahead of schedule.</w:t>
      </w:r>
    </w:p>
    <w:p>
      <w:pPr>
        <w:spacing w:after="0" w:line="83" w:lineRule="exact"/>
        <w:rPr>
          <w:rFonts w:ascii="Arial" w:cs="Arial" w:eastAsia="Arial" w:hAnsi="Arial"/>
          <w:sz w:val="20"/>
          <w:szCs w:val="20"/>
          <w:b w:val="1"/>
          <w:bCs w:val="1"/>
          <w:color w:val="auto"/>
        </w:rPr>
      </w:pPr>
    </w:p>
    <w:p>
      <w:pPr>
        <w:ind w:left="660" w:hanging="328"/>
        <w:spacing w:after="0"/>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ENI Jangkrik </w:t>
      </w:r>
      <w:r>
        <w:rPr>
          <w:rFonts w:ascii="Arial" w:cs="Arial" w:eastAsia="Arial" w:hAnsi="Arial"/>
          <w:sz w:val="18"/>
          <w:szCs w:val="18"/>
          <w:b w:val="1"/>
          <w:bCs w:val="1"/>
          <w:color w:val="auto"/>
        </w:rPr>
        <w:t>(Indonesia)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Successful completion of infill operations using landing string offering.</w:t>
      </w:r>
    </w:p>
    <w:p>
      <w:pPr>
        <w:spacing w:after="0" w:line="83" w:lineRule="exact"/>
        <w:rPr>
          <w:rFonts w:ascii="Arial" w:cs="Arial" w:eastAsia="Arial" w:hAnsi="Arial"/>
          <w:sz w:val="20"/>
          <w:szCs w:val="20"/>
          <w:b w:val="1"/>
          <w:bCs w:val="1"/>
          <w:color w:val="auto"/>
        </w:rPr>
      </w:pPr>
    </w:p>
    <w:p>
      <w:pPr>
        <w:ind w:left="660" w:hanging="328"/>
        <w:spacing w:after="0"/>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Riserless Light Well Intervention </w:t>
      </w:r>
      <w:r>
        <w:rPr>
          <w:rFonts w:ascii="Arial" w:cs="Arial" w:eastAsia="Arial" w:hAnsi="Arial"/>
          <w:sz w:val="18"/>
          <w:szCs w:val="18"/>
          <w:b w:val="1"/>
          <w:bCs w:val="1"/>
          <w:color w:val="auto"/>
        </w:rPr>
        <w:t>(Norway)</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Subsea services delivered new yearly record of 81 well interventions.</w:t>
      </w:r>
    </w:p>
    <w:p>
      <w:pPr>
        <w:spacing w:after="0" w:line="39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Subsea inbound orders for the quarter were $1,172.3 million, resulting in a book-to-bill of 0.8. Full-year inbound orders were $7,992.6 million, resulting in a book-to-bill of 1.4. The following announced award was included in the period:</w:t>
      </w:r>
    </w:p>
    <w:p>
      <w:pPr>
        <w:spacing w:after="0" w:line="19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PetroVietnam Gas Nam Con Son 2 Phase 2 Project </w:t>
      </w:r>
      <w:r>
        <w:rPr>
          <w:rFonts w:ascii="Arial" w:cs="Arial" w:eastAsia="Arial" w:hAnsi="Arial"/>
          <w:sz w:val="18"/>
          <w:szCs w:val="18"/>
          <w:b w:val="1"/>
          <w:bCs w:val="1"/>
          <w:color w:val="auto"/>
        </w:rPr>
        <w:t>(Vietnam)</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Significant* engineering, procurement and construction contract from PetroVietnam for the Nam Con Son 2 Phase 2 gas pipeline development. The contract covers the engineering and installation of 118 kilometers of rigid pipeline as well as the fabrication of subsea structures to tie back the existing Nam Con Son 2 Phase 1 gas pipeline to the Long Hai Landfall Station.</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 A “significant” award ranges between $75 million and $250 million.</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 w:type="dxa"/>
            <w:vAlign w:val="bottom"/>
            <w:tcBorders>
              <w:top w:val="single" w:sz="8" w:color="B6DDE8"/>
              <w:right w:val="single" w:sz="8" w:color="B6DDE8"/>
            </w:tcBorders>
            <w:shd w:val="clear" w:color="auto" w:fill="B6DDE8"/>
          </w:tcPr>
          <w:p>
            <w:pPr>
              <w:spacing w:after="0"/>
              <w:rPr>
                <w:sz w:val="22"/>
                <w:szCs w:val="22"/>
                <w:color w:val="auto"/>
              </w:rPr>
            </w:pPr>
          </w:p>
        </w:tc>
        <w:tc>
          <w:tcPr>
            <w:tcW w:w="726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Subsea</w:t>
            </w:r>
          </w:p>
        </w:tc>
        <w:tc>
          <w:tcPr>
            <w:tcW w:w="2040" w:type="dxa"/>
            <w:vAlign w:val="bottom"/>
            <w:tcBorders>
              <w:top w:val="single" w:sz="8" w:color="B6DDE8"/>
              <w:right w:val="single" w:sz="8" w:color="B6DDE8"/>
            </w:tcBorders>
            <w:vMerge w:val="restart"/>
          </w:tcPr>
          <w:p>
            <w:pPr>
              <w:jc w:val="right"/>
              <w:spacing w:after="0"/>
              <w:rPr>
                <w:sz w:val="20"/>
                <w:szCs w:val="20"/>
                <w:color w:val="auto"/>
              </w:rPr>
            </w:pPr>
            <w:r>
              <w:rPr>
                <w:rFonts w:ascii="Arial" w:cs="Arial" w:eastAsia="Arial" w:hAnsi="Arial"/>
                <w:sz w:val="20"/>
                <w:szCs w:val="20"/>
                <w:color w:val="auto"/>
                <w:w w:val="99"/>
              </w:rPr>
              <w:t>Consolidated backlog*</w:t>
            </w:r>
          </w:p>
        </w:tc>
        <w:tc>
          <w:tcPr>
            <w:tcW w:w="2040" w:type="dxa"/>
            <w:vAlign w:val="bottom"/>
            <w:tcBorders>
              <w:top w:val="single" w:sz="8" w:color="B6DDE8"/>
              <w:right w:val="single" w:sz="8" w:color="B6DDE8"/>
            </w:tcBorders>
            <w:vMerge w:val="restart"/>
          </w:tcPr>
          <w:p>
            <w:pPr>
              <w:jc w:val="right"/>
              <w:ind w:right="16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65"/>
        </w:trPr>
        <w:tc>
          <w:tcPr>
            <w:tcW w:w="40" w:type="dxa"/>
            <w:vAlign w:val="bottom"/>
            <w:tcBorders>
              <w:right w:val="single" w:sz="8" w:color="B6DDE8"/>
            </w:tcBorders>
            <w:shd w:val="clear" w:color="auto" w:fill="B6DDE8"/>
          </w:tcPr>
          <w:p>
            <w:pPr>
              <w:spacing w:after="0"/>
              <w:rPr>
                <w:sz w:val="5"/>
                <w:szCs w:val="5"/>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8"/>
                <w:szCs w:val="18"/>
                <w:color w:val="auto"/>
              </w:rPr>
              <w:t>Estimated Backlog Scheduling as of December 31, 2019</w:t>
            </w:r>
          </w:p>
        </w:tc>
        <w:tc>
          <w:tcPr>
            <w:tcW w:w="2040" w:type="dxa"/>
            <w:vAlign w:val="bottom"/>
            <w:tcBorders>
              <w:right w:val="single" w:sz="8" w:color="B6DDE8"/>
            </w:tcBorders>
            <w:vMerge w:val="continue"/>
          </w:tcPr>
          <w:p>
            <w:pPr>
              <w:spacing w:after="0"/>
              <w:rPr>
                <w:sz w:val="5"/>
                <w:szCs w:val="5"/>
                <w:color w:val="auto"/>
              </w:rPr>
            </w:pPr>
          </w:p>
        </w:tc>
        <w:tc>
          <w:tcPr>
            <w:tcW w:w="2040" w:type="dxa"/>
            <w:vAlign w:val="bottom"/>
            <w:tcBorders>
              <w:right w:val="single" w:sz="8" w:color="B6DDE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B6DDE8"/>
            </w:tcBorders>
            <w:shd w:val="clear" w:color="auto" w:fill="B6DDE8"/>
          </w:tcPr>
          <w:p>
            <w:pPr>
              <w:spacing w:after="0"/>
              <w:rPr>
                <w:sz w:val="12"/>
                <w:szCs w:val="12"/>
                <w:color w:val="auto"/>
              </w:rPr>
            </w:pPr>
          </w:p>
        </w:tc>
        <w:tc>
          <w:tcPr>
            <w:tcW w:w="726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restart"/>
          </w:tcPr>
          <w:p>
            <w:pPr>
              <w:jc w:val="right"/>
              <w:ind w:right="501"/>
              <w:spacing w:after="0"/>
              <w:rPr>
                <w:sz w:val="20"/>
                <w:szCs w:val="20"/>
                <w:color w:val="auto"/>
              </w:rPr>
            </w:pPr>
            <w:r>
              <w:rPr>
                <w:rFonts w:ascii="Arial" w:cs="Arial" w:eastAsia="Arial" w:hAnsi="Arial"/>
                <w:sz w:val="20"/>
                <w:szCs w:val="20"/>
                <w:color w:val="auto"/>
              </w:rPr>
              <w:t>backlog**</w:t>
            </w:r>
          </w:p>
        </w:tc>
        <w:tc>
          <w:tcPr>
            <w:tcW w:w="0" w:type="dxa"/>
            <w:vAlign w:val="bottom"/>
          </w:tcPr>
          <w:p>
            <w:pPr>
              <w:spacing w:after="0"/>
              <w:rPr>
                <w:sz w:val="1"/>
                <w:szCs w:val="1"/>
                <w:color w:val="auto"/>
              </w:rPr>
            </w:pPr>
          </w:p>
        </w:tc>
      </w:tr>
      <w:tr>
        <w:trPr>
          <w:trHeight w:val="94"/>
        </w:trPr>
        <w:tc>
          <w:tcPr>
            <w:tcW w:w="40" w:type="dxa"/>
            <w:vAlign w:val="bottom"/>
            <w:tcBorders>
              <w:right w:val="single" w:sz="8" w:color="B6DDE8"/>
            </w:tcBorders>
            <w:shd w:val="clear" w:color="auto" w:fill="B6DDE8"/>
          </w:tcPr>
          <w:p>
            <w:pPr>
              <w:spacing w:after="0"/>
              <w:rPr>
                <w:sz w:val="8"/>
                <w:szCs w:val="8"/>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right w:val="single" w:sz="8" w:color="B6DDE8"/>
            </w:tcBorders>
          </w:tcPr>
          <w:p>
            <w:pPr>
              <w:spacing w:after="0"/>
              <w:rPr>
                <w:sz w:val="8"/>
                <w:szCs w:val="8"/>
                <w:color w:val="auto"/>
              </w:rPr>
            </w:pPr>
          </w:p>
        </w:tc>
        <w:tc>
          <w:tcPr>
            <w:tcW w:w="2040" w:type="dxa"/>
            <w:vAlign w:val="bottom"/>
            <w:tcBorders>
              <w:right w:val="single" w:sz="8" w:color="B6DDE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B6DDE8"/>
              <w:right w:val="single" w:sz="8" w:color="B6DDE8"/>
            </w:tcBorders>
            <w:shd w:val="clear" w:color="auto" w:fill="B6DDE8"/>
          </w:tcPr>
          <w:p>
            <w:pPr>
              <w:spacing w:after="0"/>
              <w:rPr>
                <w:sz w:val="8"/>
                <w:szCs w:val="8"/>
                <w:color w:val="auto"/>
              </w:rPr>
            </w:pPr>
          </w:p>
        </w:tc>
        <w:tc>
          <w:tcPr>
            <w:tcW w:w="7260" w:type="dxa"/>
            <w:vAlign w:val="bottom"/>
            <w:tcBorders>
              <w:bottom w:val="single" w:sz="8" w:color="B8CCE4"/>
              <w:right w:val="single" w:sz="8" w:color="B6DDE8"/>
            </w:tcBorders>
            <w:vMerge w:val="continue"/>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260" w:type="dxa"/>
            <w:vAlign w:val="bottom"/>
            <w:tcBorders>
              <w:bottom w:val="single" w:sz="8" w:color="BFE4FF"/>
              <w:right w:val="single" w:sz="8" w:color="B6DDE8"/>
            </w:tcBorders>
          </w:tcPr>
          <w:p>
            <w:pPr>
              <w:spacing w:after="0"/>
              <w:rPr>
                <w:sz w:val="20"/>
                <w:szCs w:val="20"/>
                <w:color w:val="auto"/>
              </w:rPr>
            </w:pPr>
            <w:r>
              <w:rPr>
                <w:rFonts w:ascii="Arial" w:cs="Arial" w:eastAsia="Arial" w:hAnsi="Arial"/>
                <w:sz w:val="20"/>
                <w:szCs w:val="20"/>
                <w:b w:val="1"/>
                <w:bCs w:val="1"/>
                <w:color w:val="auto"/>
              </w:rPr>
              <w:t>2020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$4,507</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$138</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$2,472</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2022 and beyond</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$1,501</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$525</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$8,480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$799</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60" w:hanging="125"/>
        <w:spacing w:after="0"/>
        <w:tabs>
          <w:tab w:leader="none" w:pos="1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Backlog does not capture all revenue potential for subsea services.</w:t>
      </w:r>
    </w:p>
    <w:p>
      <w:pPr>
        <w:spacing w:after="0" w:line="50" w:lineRule="exact"/>
        <w:rPr>
          <w:sz w:val="20"/>
          <w:szCs w:val="20"/>
          <w:color w:val="auto"/>
        </w:rPr>
      </w:pPr>
    </w:p>
    <w:p>
      <w:pPr>
        <w:ind w:left="40" w:right="460" w:hanging="5"/>
        <w:spacing w:after="0" w:line="267" w:lineRule="auto"/>
        <w:tabs>
          <w:tab w:leader="none" w:pos="23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9"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7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89"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Onshore/Offshore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16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tcBorders>
              <w:top w:val="single" w:sz="8" w:color="B8CCE4"/>
              <w:right w:val="single" w:sz="8" w:color="B8CCE4"/>
            </w:tcBorders>
          </w:tcPr>
          <w:p>
            <w:pPr>
              <w:jc w:val="right"/>
              <w:ind w:right="408"/>
              <w:spacing w:after="0"/>
              <w:rPr>
                <w:sz w:val="20"/>
                <w:szCs w:val="20"/>
                <w:color w:val="auto"/>
              </w:rPr>
            </w:pPr>
            <w:r>
              <w:rPr>
                <w:rFonts w:ascii="Arial" w:cs="Arial" w:eastAsia="Arial" w:hAnsi="Arial"/>
                <w:sz w:val="14"/>
                <w:szCs w:val="14"/>
                <w:b w:val="1"/>
                <w:bCs w:val="1"/>
                <w:color w:val="auto"/>
              </w:rPr>
              <w:t>December 31,</w:t>
            </w:r>
          </w:p>
        </w:tc>
        <w:tc>
          <w:tcPr>
            <w:tcW w:w="1800" w:type="dxa"/>
            <w:vAlign w:val="bottom"/>
            <w:tcBorders>
              <w:top w:val="single" w:sz="8" w:color="B8CCE4"/>
              <w:right w:val="single" w:sz="8" w:color="B8CCE4"/>
            </w:tcBorders>
          </w:tcPr>
          <w:p>
            <w:pPr>
              <w:jc w:val="right"/>
              <w:ind w:right="348"/>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Borders>
              <w:top w:val="single" w:sz="8" w:color="B8CCE4"/>
              <w:right w:val="single" w:sz="8" w:color="B8CCE4"/>
            </w:tcBorders>
          </w:tcPr>
          <w:p>
            <w:pPr>
              <w:spacing w:after="0"/>
              <w:rPr>
                <w:sz w:val="16"/>
                <w:szCs w:val="16"/>
                <w:color w:val="auto"/>
              </w:rPr>
            </w:pPr>
          </w:p>
        </w:tc>
      </w:tr>
      <w:tr>
        <w:trPr>
          <w:trHeight w:val="196"/>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Borders>
              <w:bottom w:val="single" w:sz="8" w:color="B8CCE4"/>
              <w:right w:val="single" w:sz="8" w:color="B8CCE4"/>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1800" w:type="dxa"/>
            <w:vAlign w:val="bottom"/>
            <w:tcBorders>
              <w:bottom w:val="single" w:sz="8" w:color="B8CCE4"/>
              <w:right w:val="single" w:sz="8" w:color="B8CCE4"/>
            </w:tcBorders>
          </w:tcPr>
          <w:p>
            <w:pPr>
              <w:jc w:val="right"/>
              <w:ind w:right="668"/>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$1,832.4</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$1,672.4</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9.6%</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$245.3</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$206.4</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18.8%</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$259.7</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$217.2</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19.6%</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14.2%</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13.0%</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120 bps</w:t>
            </w:r>
          </w:p>
        </w:tc>
      </w:tr>
      <w:tr>
        <w:trPr>
          <w:trHeight w:val="322"/>
        </w:trPr>
        <w:tc>
          <w:tcPr>
            <w:tcW w:w="6160" w:type="dxa"/>
            <w:vAlign w:val="bottom"/>
            <w:tcBorders>
              <w:left w:val="single" w:sz="8" w:color="B8CCE4"/>
              <w:bottom w:val="single" w:sz="8" w:color="B8CCE4"/>
            </w:tcBorders>
          </w:tcPr>
          <w:p>
            <w:pPr>
              <w:spacing w:after="0"/>
              <w:rPr>
                <w:sz w:val="24"/>
                <w:szCs w:val="24"/>
                <w:color w:val="auto"/>
              </w:rPr>
            </w:pPr>
          </w:p>
        </w:tc>
        <w:tc>
          <w:tcPr>
            <w:tcW w:w="1900" w:type="dxa"/>
            <w:vAlign w:val="bottom"/>
            <w:tcBorders>
              <w:bottom w:val="single" w:sz="8" w:color="B8CCE4"/>
            </w:tcBorders>
          </w:tcPr>
          <w:p>
            <w:pPr>
              <w:spacing w:after="0"/>
              <w:rPr>
                <w:sz w:val="24"/>
                <w:szCs w:val="24"/>
                <w:color w:val="auto"/>
              </w:rPr>
            </w:pPr>
          </w:p>
        </w:tc>
        <w:tc>
          <w:tcPr>
            <w:tcW w:w="1800" w:type="dxa"/>
            <w:vAlign w:val="bottom"/>
            <w:tcBorders>
              <w:bottom w:val="single" w:sz="8" w:color="B8CCE4"/>
            </w:tcBorders>
          </w:tcPr>
          <w:p>
            <w:pPr>
              <w:spacing w:after="0"/>
              <w:rPr>
                <w:sz w:val="24"/>
                <w:szCs w:val="24"/>
                <w:color w:val="auto"/>
              </w:rPr>
            </w:pPr>
          </w:p>
        </w:tc>
        <w:tc>
          <w:tcPr>
            <w:tcW w:w="1580" w:type="dxa"/>
            <w:vAlign w:val="bottom"/>
            <w:tcBorders>
              <w:bottom w:val="single" w:sz="8" w:color="B8CCE4"/>
              <w:right w:val="single" w:sz="8" w:color="B8CCE4"/>
            </w:tcBorders>
          </w:tcPr>
          <w:p>
            <w:pPr>
              <w:spacing w:after="0"/>
              <w:rPr>
                <w:sz w:val="24"/>
                <w:szCs w:val="24"/>
                <w:color w:val="auto"/>
              </w:rPr>
            </w:pPr>
          </w:p>
        </w:tc>
      </w:tr>
      <w:tr>
        <w:trPr>
          <w:trHeight w:val="259"/>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$1,114.5</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$1,609.4</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(30.8%)</w:t>
            </w:r>
          </w:p>
        </w:tc>
      </w:tr>
      <w:tr>
        <w:trPr>
          <w:trHeight w:val="264"/>
        </w:trPr>
        <w:tc>
          <w:tcPr>
            <w:tcW w:w="616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9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$15,298.1</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$8,090.5</w:t>
            </w:r>
          </w:p>
        </w:tc>
        <w:tc>
          <w:tcPr>
            <w:tcW w:w="15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89.1%</w:t>
            </w:r>
          </w:p>
        </w:tc>
      </w:tr>
    </w:tbl>
    <w:p>
      <w:pPr>
        <w:spacing w:after="0" w:line="388"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Onshore/Offshore reported fourth quarter revenue of $1,832.4 million. Revenue increased 9.6 percent from the prior-year quarter, primarily driven by higher activity in Europe, Asia and North America as well as in our Process Technology business. Lower activity on Yamal LNG driven by continued progress towards project completion was partially offset by the ramp-up of Arctic LNG 2.</w:t>
      </w:r>
    </w:p>
    <w:p>
      <w:pPr>
        <w:spacing w:after="0" w:line="166"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Onshore/Offshore reported operating profit of $245.3 million; adjusted EBITDA was $259.7 million. Operating profit increased 18.8 percent versus the prior-year quarter. Operating results in the period benefited from strength in execution across the portfolio, particularly Yamal LNG. These same factors drove the year-over-year increase in adjusted EBITDA; adjusted EBITDA margin increased 120 basis points from the prior-year results to 14.2 percent.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Onshore/Offshore Highlights</w:t>
      </w:r>
    </w:p>
    <w:p>
      <w:pPr>
        <w:spacing w:after="0" w:line="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Novatek Yamal LNG </w:t>
      </w:r>
      <w:r>
        <w:rPr>
          <w:rFonts w:ascii="Arial" w:cs="Arial" w:eastAsia="Arial" w:hAnsi="Arial"/>
          <w:sz w:val="18"/>
          <w:szCs w:val="18"/>
          <w:b w:val="1"/>
          <w:bCs w:val="1"/>
          <w:color w:val="auto"/>
        </w:rPr>
        <w:t>(Russia)</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Awarded “LNG Project of the Year” by Petroleum Economist.</w:t>
      </w:r>
    </w:p>
    <w:p>
      <w:pPr>
        <w:spacing w:after="0" w:line="83" w:lineRule="exact"/>
        <w:rPr>
          <w:rFonts w:ascii="Arial" w:cs="Arial" w:eastAsia="Arial" w:hAnsi="Arial"/>
          <w:sz w:val="20"/>
          <w:szCs w:val="20"/>
          <w:b w:val="1"/>
          <w:bCs w:val="1"/>
          <w:color w:val="auto"/>
        </w:rPr>
      </w:pPr>
    </w:p>
    <w:p>
      <w:pPr>
        <w:jc w:val="both"/>
        <w:ind w:left="660" w:right="8000" w:hanging="328"/>
        <w:spacing w:after="0" w:line="299" w:lineRule="auto"/>
        <w:tabs>
          <w:tab w:leader="none" w:pos="66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Novatek Arctic LNG 2 </w:t>
      </w:r>
      <w:r>
        <w:rPr>
          <w:rFonts w:ascii="Arial" w:cs="Arial" w:eastAsia="Arial" w:hAnsi="Arial"/>
          <w:sz w:val="17"/>
          <w:szCs w:val="17"/>
          <w:b w:val="1"/>
          <w:bCs w:val="1"/>
          <w:color w:val="auto"/>
        </w:rPr>
        <w:t>(Russia)</w:t>
      </w:r>
      <w:r>
        <w:rPr>
          <w:rFonts w:ascii="Arial" w:cs="Arial" w:eastAsia="Arial" w:hAnsi="Arial"/>
          <w:sz w:val="19"/>
          <w:szCs w:val="19"/>
          <w:b w:val="1"/>
          <w:bCs w:val="1"/>
          <w:color w:val="auto"/>
        </w:rPr>
        <w:t xml:space="preserve"> </w:t>
      </w:r>
      <w:r>
        <w:rPr>
          <w:rFonts w:ascii="Arial" w:cs="Arial" w:eastAsia="Arial" w:hAnsi="Arial"/>
          <w:sz w:val="19"/>
          <w:szCs w:val="19"/>
          <w:color w:val="auto"/>
        </w:rPr>
        <w:t>First steel cuts for the topsides.</w:t>
      </w:r>
    </w:p>
    <w:p>
      <w:pPr>
        <w:spacing w:after="0" w:line="22" w:lineRule="exact"/>
        <w:rPr>
          <w:rFonts w:ascii="Arial" w:cs="Arial" w:eastAsia="Arial" w:hAnsi="Arial"/>
          <w:sz w:val="19"/>
          <w:szCs w:val="19"/>
          <w:b w:val="1"/>
          <w:bCs w:val="1"/>
          <w:color w:val="auto"/>
        </w:rPr>
      </w:pPr>
    </w:p>
    <w:p>
      <w:pPr>
        <w:ind w:left="660" w:hanging="328"/>
        <w:spacing w:after="0"/>
        <w:tabs>
          <w:tab w:leader="none" w:pos="6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Bapco Sitra Refinery Expansion </w:t>
      </w:r>
      <w:r>
        <w:rPr>
          <w:rFonts w:ascii="Arial" w:cs="Arial" w:eastAsia="Arial" w:hAnsi="Arial"/>
          <w:sz w:val="18"/>
          <w:szCs w:val="18"/>
          <w:b w:val="1"/>
          <w:bCs w:val="1"/>
          <w:color w:val="auto"/>
        </w:rPr>
        <w:t>(Bahrain)</w:t>
      </w:r>
    </w:p>
    <w:p>
      <w:pPr>
        <w:spacing w:after="0" w:line="23"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Civil work well advanced and pipe prefabrication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8 of </w:t>
      </w:r>
      <w:hyperlink w:anchor="page35">
        <w:r>
          <w:rPr>
            <w:rFonts w:ascii="Arial" w:cs="Arial" w:eastAsia="Arial" w:hAnsi="Arial"/>
            <w:sz w:val="14"/>
            <w:szCs w:val="14"/>
            <w:b w:val="1"/>
            <w:bCs w:val="1"/>
            <w:color w:val="auto"/>
          </w:rPr>
          <w:t>29</w:t>
        </w:r>
      </w:hyperlink>
    </w:p>
    <w:p>
      <w:pPr>
        <w:sectPr>
          <w:pgSz w:w="11900" w:h="16838" w:orient="portrait"/>
          <w:cols w:equalWidth="0" w:num="1">
            <w:col w:w="11440"/>
          </w:cols>
          <w:pgMar w:left="240" w:top="1327" w:right="219" w:bottom="1440" w:gutter="0" w:footer="0" w:header="0"/>
        </w:sectPr>
      </w:pPr>
    </w:p>
    <w:bookmarkStart w:id="12" w:name="page13"/>
    <w:bookmarkEnd w:id="12"/>
    <w:p>
      <w:pPr>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Onshore/Offshore inbound orders for the quarter were $1,114.5 million, resulting in a book-to-bill of 0.6. Full-year inbound orders were $13,080.5 million, resulting in a book-to-bill of 2.1. The following announced award was included in the period:</w:t>
      </w:r>
    </w:p>
    <w:p>
      <w:pPr>
        <w:spacing w:after="0" w:line="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Motor Oil Hellas New Naphtha Complex </w:t>
      </w:r>
      <w:r>
        <w:rPr>
          <w:rFonts w:ascii="Arial" w:cs="Arial" w:eastAsia="Arial" w:hAnsi="Arial"/>
          <w:sz w:val="18"/>
          <w:szCs w:val="18"/>
          <w:b w:val="1"/>
          <w:bCs w:val="1"/>
          <w:color w:val="auto"/>
        </w:rPr>
        <w:t>(Greece)</w:t>
      </w:r>
    </w:p>
    <w:p>
      <w:pPr>
        <w:spacing w:after="0" w:line="23" w:lineRule="exact"/>
        <w:rPr>
          <w:rFonts w:ascii="Arial" w:cs="Arial" w:eastAsia="Arial" w:hAnsi="Arial"/>
          <w:sz w:val="20"/>
          <w:szCs w:val="20"/>
          <w:b w:val="1"/>
          <w:bCs w:val="1"/>
          <w:color w:val="auto"/>
        </w:rPr>
      </w:pPr>
    </w:p>
    <w:p>
      <w:pPr>
        <w:jc w:val="both"/>
        <w:ind w:left="660"/>
        <w:spacing w:after="0"/>
        <w:rPr>
          <w:rFonts w:ascii="Arial" w:cs="Arial" w:eastAsia="Arial" w:hAnsi="Arial"/>
          <w:sz w:val="20"/>
          <w:szCs w:val="20"/>
          <w:b w:val="1"/>
          <w:bCs w:val="1"/>
          <w:color w:val="auto"/>
        </w:rPr>
      </w:pPr>
      <w:r>
        <w:rPr>
          <w:rFonts w:ascii="Arial" w:cs="Arial" w:eastAsia="Arial" w:hAnsi="Arial"/>
          <w:sz w:val="20"/>
          <w:szCs w:val="20"/>
          <w:color w:val="auto"/>
        </w:rPr>
        <w:t>Significant* engineering, procurement and construction management services contract for the construction of a new naphtha complex in Greece. Upon completion, the complex will allow Motor Oil Hellas Refinery to increase production of Euro 5 gasoline, aligned with its strategy to increase production of clean fuels. This award follows the successful execution of TechnipFMC’s front end engineering design for the same complex.</w:t>
      </w:r>
    </w:p>
    <w:p>
      <w:pPr>
        <w:spacing w:after="0" w:line="1"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i w:val="1"/>
          <w:iCs w:val="1"/>
          <w:color w:val="auto"/>
        </w:rPr>
        <w:t>* A “significant” award ranges between $75 million and $250 million.</w:t>
      </w:r>
    </w:p>
    <w:p>
      <w:pPr>
        <w:spacing w:after="0" w:line="200" w:lineRule="exact"/>
        <w:rPr>
          <w:sz w:val="20"/>
          <w:szCs w:val="20"/>
          <w:color w:val="auto"/>
        </w:rPr>
      </w:pPr>
    </w:p>
    <w:p>
      <w:pPr>
        <w:spacing w:after="0" w:line="320"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In addition to the announced award in the period, we continue to secure contracts that support our strategy for early engagement as well as increasing our participation in biofuels, green chemistry and other energy alternatives.</w:t>
      </w: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0" w:type="dxa"/>
            <w:vAlign w:val="bottom"/>
            <w:tcBorders>
              <w:top w:val="single" w:sz="8" w:color="B6DDE8"/>
              <w:right w:val="single" w:sz="8" w:color="B6DDE8"/>
            </w:tcBorders>
            <w:shd w:val="clear" w:color="auto" w:fill="B6DDE8"/>
          </w:tcPr>
          <w:p>
            <w:pPr>
              <w:spacing w:after="0"/>
              <w:rPr>
                <w:sz w:val="22"/>
                <w:szCs w:val="22"/>
                <w:color w:val="auto"/>
              </w:rPr>
            </w:pPr>
          </w:p>
        </w:tc>
        <w:tc>
          <w:tcPr>
            <w:tcW w:w="7260" w:type="dxa"/>
            <w:vAlign w:val="bottom"/>
            <w:tcBorders>
              <w:top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Onshore/Offshore</w:t>
            </w:r>
          </w:p>
        </w:tc>
        <w:tc>
          <w:tcPr>
            <w:tcW w:w="2040" w:type="dxa"/>
            <w:vAlign w:val="bottom"/>
            <w:tcBorders>
              <w:top w:val="single" w:sz="8" w:color="B6DDE8"/>
              <w:right w:val="single" w:sz="8" w:color="B6DDE8"/>
            </w:tcBorders>
            <w:vMerge w:val="restart"/>
          </w:tcPr>
          <w:p>
            <w:pPr>
              <w:jc w:val="right"/>
              <w:ind w:right="1"/>
              <w:spacing w:after="0"/>
              <w:rPr>
                <w:sz w:val="20"/>
                <w:szCs w:val="20"/>
                <w:color w:val="auto"/>
              </w:rPr>
            </w:pPr>
            <w:r>
              <w:rPr>
                <w:rFonts w:ascii="Arial" w:cs="Arial" w:eastAsia="Arial" w:hAnsi="Arial"/>
                <w:sz w:val="20"/>
                <w:szCs w:val="20"/>
                <w:color w:val="auto"/>
              </w:rPr>
              <w:t>Consolidated backlog</w:t>
            </w:r>
          </w:p>
        </w:tc>
        <w:tc>
          <w:tcPr>
            <w:tcW w:w="2040" w:type="dxa"/>
            <w:vAlign w:val="bottom"/>
            <w:tcBorders>
              <w:top w:val="single" w:sz="8" w:color="B6DDE8"/>
              <w:right w:val="single" w:sz="8" w:color="B6DDE8"/>
            </w:tcBorders>
            <w:vMerge w:val="restart"/>
          </w:tcPr>
          <w:p>
            <w:pPr>
              <w:jc w:val="right"/>
              <w:ind w:right="161"/>
              <w:spacing w:after="0"/>
              <w:rPr>
                <w:sz w:val="20"/>
                <w:szCs w:val="20"/>
                <w:color w:val="auto"/>
              </w:rPr>
            </w:pPr>
            <w:r>
              <w:rPr>
                <w:rFonts w:ascii="Arial" w:cs="Arial" w:eastAsia="Arial" w:hAnsi="Arial"/>
                <w:sz w:val="20"/>
                <w:szCs w:val="20"/>
                <w:color w:val="auto"/>
              </w:rPr>
              <w:t>Non-consolidated</w:t>
            </w:r>
          </w:p>
        </w:tc>
        <w:tc>
          <w:tcPr>
            <w:tcW w:w="0" w:type="dxa"/>
            <w:vAlign w:val="bottom"/>
          </w:tcPr>
          <w:p>
            <w:pPr>
              <w:spacing w:after="0"/>
              <w:rPr>
                <w:sz w:val="1"/>
                <w:szCs w:val="1"/>
                <w:color w:val="auto"/>
              </w:rPr>
            </w:pPr>
          </w:p>
        </w:tc>
      </w:tr>
      <w:tr>
        <w:trPr>
          <w:trHeight w:val="65"/>
        </w:trPr>
        <w:tc>
          <w:tcPr>
            <w:tcW w:w="40" w:type="dxa"/>
            <w:vAlign w:val="bottom"/>
            <w:tcBorders>
              <w:right w:val="single" w:sz="8" w:color="B6DDE8"/>
            </w:tcBorders>
            <w:shd w:val="clear" w:color="auto" w:fill="B6DDE8"/>
          </w:tcPr>
          <w:p>
            <w:pPr>
              <w:spacing w:after="0"/>
              <w:rPr>
                <w:sz w:val="5"/>
                <w:szCs w:val="5"/>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8"/>
                <w:szCs w:val="18"/>
                <w:color w:val="auto"/>
              </w:rPr>
              <w:t>Estimated Backlog Scheduling as of December 31, 2019</w:t>
            </w:r>
          </w:p>
        </w:tc>
        <w:tc>
          <w:tcPr>
            <w:tcW w:w="2040" w:type="dxa"/>
            <w:vAlign w:val="bottom"/>
            <w:tcBorders>
              <w:right w:val="single" w:sz="8" w:color="B6DDE8"/>
            </w:tcBorders>
            <w:vMerge w:val="continue"/>
          </w:tcPr>
          <w:p>
            <w:pPr>
              <w:spacing w:after="0"/>
              <w:rPr>
                <w:sz w:val="5"/>
                <w:szCs w:val="5"/>
                <w:color w:val="auto"/>
              </w:rPr>
            </w:pPr>
          </w:p>
        </w:tc>
        <w:tc>
          <w:tcPr>
            <w:tcW w:w="2040" w:type="dxa"/>
            <w:vAlign w:val="bottom"/>
            <w:tcBorders>
              <w:right w:val="single" w:sz="8" w:color="B6DDE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B6DDE8"/>
            </w:tcBorders>
            <w:shd w:val="clear" w:color="auto" w:fill="B6DDE8"/>
          </w:tcPr>
          <w:p>
            <w:pPr>
              <w:spacing w:after="0"/>
              <w:rPr>
                <w:sz w:val="12"/>
                <w:szCs w:val="12"/>
                <w:color w:val="auto"/>
              </w:rPr>
            </w:pPr>
          </w:p>
        </w:tc>
        <w:tc>
          <w:tcPr>
            <w:tcW w:w="726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continue"/>
          </w:tcPr>
          <w:p>
            <w:pPr>
              <w:spacing w:after="0"/>
              <w:rPr>
                <w:sz w:val="12"/>
                <w:szCs w:val="12"/>
                <w:color w:val="auto"/>
              </w:rPr>
            </w:pPr>
          </w:p>
        </w:tc>
        <w:tc>
          <w:tcPr>
            <w:tcW w:w="2040" w:type="dxa"/>
            <w:vAlign w:val="bottom"/>
            <w:tcBorders>
              <w:right w:val="single" w:sz="8" w:color="B6DDE8"/>
            </w:tcBorders>
            <w:vMerge w:val="restart"/>
          </w:tcPr>
          <w:p>
            <w:pPr>
              <w:jc w:val="right"/>
              <w:ind w:right="561"/>
              <w:spacing w:after="0"/>
              <w:rPr>
                <w:sz w:val="20"/>
                <w:szCs w:val="20"/>
                <w:color w:val="auto"/>
              </w:rPr>
            </w:pPr>
            <w:r>
              <w:rPr>
                <w:rFonts w:ascii="Arial" w:cs="Arial" w:eastAsia="Arial" w:hAnsi="Arial"/>
                <w:sz w:val="20"/>
                <w:szCs w:val="20"/>
                <w:color w:val="auto"/>
              </w:rPr>
              <w:t>backlog*</w:t>
            </w:r>
          </w:p>
        </w:tc>
        <w:tc>
          <w:tcPr>
            <w:tcW w:w="0" w:type="dxa"/>
            <w:vAlign w:val="bottom"/>
          </w:tcPr>
          <w:p>
            <w:pPr>
              <w:spacing w:after="0"/>
              <w:rPr>
                <w:sz w:val="1"/>
                <w:szCs w:val="1"/>
                <w:color w:val="auto"/>
              </w:rPr>
            </w:pPr>
          </w:p>
        </w:tc>
      </w:tr>
      <w:tr>
        <w:trPr>
          <w:trHeight w:val="94"/>
        </w:trPr>
        <w:tc>
          <w:tcPr>
            <w:tcW w:w="40" w:type="dxa"/>
            <w:vAlign w:val="bottom"/>
            <w:tcBorders>
              <w:right w:val="single" w:sz="8" w:color="B6DDE8"/>
            </w:tcBorders>
            <w:shd w:val="clear" w:color="auto" w:fill="B6DDE8"/>
          </w:tcPr>
          <w:p>
            <w:pPr>
              <w:spacing w:after="0"/>
              <w:rPr>
                <w:sz w:val="8"/>
                <w:szCs w:val="8"/>
                <w:color w:val="auto"/>
              </w:rPr>
            </w:pPr>
          </w:p>
        </w:tc>
        <w:tc>
          <w:tcPr>
            <w:tcW w:w="7260" w:type="dxa"/>
            <w:vAlign w:val="bottom"/>
            <w:tcBorders>
              <w:right w:val="single" w:sz="8" w:color="B6DDE8"/>
            </w:tcBorders>
            <w:vMerge w:val="restart"/>
          </w:tcPr>
          <w:p>
            <w:pPr>
              <w:spacing w:after="0"/>
              <w:rPr>
                <w:sz w:val="20"/>
                <w:szCs w:val="20"/>
                <w:color w:val="auto"/>
              </w:rPr>
            </w:pPr>
            <w:r>
              <w:rPr>
                <w:rFonts w:ascii="Arial" w:cs="Arial" w:eastAsia="Arial" w:hAnsi="Arial"/>
                <w:sz w:val="14"/>
                <w:szCs w:val="14"/>
                <w:color w:val="auto"/>
              </w:rPr>
              <w:t>(In millions)</w:t>
            </w:r>
          </w:p>
        </w:tc>
        <w:tc>
          <w:tcPr>
            <w:tcW w:w="2040" w:type="dxa"/>
            <w:vAlign w:val="bottom"/>
            <w:tcBorders>
              <w:right w:val="single" w:sz="8" w:color="B6DDE8"/>
            </w:tcBorders>
          </w:tcPr>
          <w:p>
            <w:pPr>
              <w:spacing w:after="0"/>
              <w:rPr>
                <w:sz w:val="8"/>
                <w:szCs w:val="8"/>
                <w:color w:val="auto"/>
              </w:rPr>
            </w:pPr>
          </w:p>
        </w:tc>
        <w:tc>
          <w:tcPr>
            <w:tcW w:w="2040" w:type="dxa"/>
            <w:vAlign w:val="bottom"/>
            <w:tcBorders>
              <w:right w:val="single" w:sz="8" w:color="B6DDE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0" w:type="dxa"/>
            <w:vAlign w:val="bottom"/>
            <w:tcBorders>
              <w:bottom w:val="single" w:sz="8" w:color="B6DDE8"/>
              <w:right w:val="single" w:sz="8" w:color="B6DDE8"/>
            </w:tcBorders>
            <w:shd w:val="clear" w:color="auto" w:fill="B6DDE8"/>
          </w:tcPr>
          <w:p>
            <w:pPr>
              <w:spacing w:after="0"/>
              <w:rPr>
                <w:sz w:val="8"/>
                <w:szCs w:val="8"/>
                <w:color w:val="auto"/>
              </w:rPr>
            </w:pPr>
          </w:p>
        </w:tc>
        <w:tc>
          <w:tcPr>
            <w:tcW w:w="7260" w:type="dxa"/>
            <w:vAlign w:val="bottom"/>
            <w:tcBorders>
              <w:bottom w:val="single" w:sz="8" w:color="B8CCE4"/>
              <w:right w:val="single" w:sz="8" w:color="B6DDE8"/>
            </w:tcBorders>
            <w:vMerge w:val="continue"/>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2040" w:type="dxa"/>
            <w:vAlign w:val="bottom"/>
            <w:tcBorders>
              <w:bottom w:val="single" w:sz="8" w:color="B8CCE4"/>
              <w:right w:val="single" w:sz="8" w:color="B6DDE8"/>
            </w:tcBorders>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40" w:type="dxa"/>
            <w:vAlign w:val="bottom"/>
            <w:tcBorders>
              <w:bottom w:val="single" w:sz="8" w:color="B6DDE8"/>
              <w:right w:val="single" w:sz="8" w:color="B6DDE8"/>
            </w:tcBorders>
            <w:shd w:val="clear" w:color="auto" w:fill="B6DDE8"/>
          </w:tcPr>
          <w:p>
            <w:pPr>
              <w:spacing w:after="0"/>
              <w:rPr>
                <w:sz w:val="23"/>
                <w:szCs w:val="23"/>
                <w:color w:val="auto"/>
              </w:rPr>
            </w:pPr>
          </w:p>
        </w:tc>
        <w:tc>
          <w:tcPr>
            <w:tcW w:w="7260" w:type="dxa"/>
            <w:vAlign w:val="bottom"/>
            <w:tcBorders>
              <w:bottom w:val="single" w:sz="8" w:color="BFE4FF"/>
              <w:right w:val="single" w:sz="8" w:color="B6DDE8"/>
            </w:tcBorders>
          </w:tcPr>
          <w:p>
            <w:pPr>
              <w:spacing w:after="0"/>
              <w:rPr>
                <w:sz w:val="20"/>
                <w:szCs w:val="20"/>
                <w:color w:val="auto"/>
              </w:rPr>
            </w:pPr>
            <w:r>
              <w:rPr>
                <w:rFonts w:ascii="Arial" w:cs="Arial" w:eastAsia="Arial" w:hAnsi="Arial"/>
                <w:sz w:val="20"/>
                <w:szCs w:val="20"/>
                <w:b w:val="1"/>
                <w:bCs w:val="1"/>
                <w:color w:val="auto"/>
              </w:rPr>
              <w:t>2020</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$6,581</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$893</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2021</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$5,128</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$874</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2022 and beyond</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$3,589</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color w:val="auto"/>
              </w:rPr>
              <w:t>$1,209</w:t>
            </w:r>
          </w:p>
        </w:tc>
        <w:tc>
          <w:tcPr>
            <w:tcW w:w="0" w:type="dxa"/>
            <w:vAlign w:val="bottom"/>
          </w:tcPr>
          <w:p>
            <w:pPr>
              <w:spacing w:after="0"/>
              <w:rPr>
                <w:sz w:val="1"/>
                <w:szCs w:val="1"/>
                <w:color w:val="auto"/>
              </w:rPr>
            </w:pPr>
          </w:p>
        </w:tc>
      </w:tr>
      <w:tr>
        <w:trPr>
          <w:trHeight w:val="264"/>
        </w:trPr>
        <w:tc>
          <w:tcPr>
            <w:tcW w:w="40" w:type="dxa"/>
            <w:vAlign w:val="bottom"/>
            <w:tcBorders>
              <w:bottom w:val="single" w:sz="8" w:color="B6DDE8"/>
              <w:right w:val="single" w:sz="8" w:color="B6DDE8"/>
            </w:tcBorders>
            <w:shd w:val="clear" w:color="auto" w:fill="B6DDE8"/>
          </w:tcPr>
          <w:p>
            <w:pPr>
              <w:spacing w:after="0"/>
              <w:rPr>
                <w:sz w:val="22"/>
                <w:szCs w:val="22"/>
                <w:color w:val="auto"/>
              </w:rPr>
            </w:pPr>
          </w:p>
        </w:tc>
        <w:tc>
          <w:tcPr>
            <w:tcW w:w="7260" w:type="dxa"/>
            <w:vAlign w:val="bottom"/>
            <w:tcBorders>
              <w:bottom w:val="single" w:sz="8" w:color="B6DDE8"/>
              <w:right w:val="single" w:sz="8" w:color="B6DDE8"/>
            </w:tcBorders>
          </w:tcPr>
          <w:p>
            <w:pPr>
              <w:spacing w:after="0"/>
              <w:rPr>
                <w:sz w:val="20"/>
                <w:szCs w:val="20"/>
                <w:color w:val="auto"/>
              </w:rPr>
            </w:pPr>
            <w:r>
              <w:rPr>
                <w:rFonts w:ascii="Arial" w:cs="Arial" w:eastAsia="Arial" w:hAnsi="Arial"/>
                <w:sz w:val="20"/>
                <w:szCs w:val="20"/>
                <w:b w:val="1"/>
                <w:bCs w:val="1"/>
                <w:color w:val="auto"/>
              </w:rPr>
              <w:t>Total</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$15,298</w:t>
            </w:r>
          </w:p>
        </w:tc>
        <w:tc>
          <w:tcPr>
            <w:tcW w:w="2040" w:type="dxa"/>
            <w:vAlign w:val="bottom"/>
            <w:tcBorders>
              <w:bottom w:val="single" w:sz="8" w:color="B6DDE8"/>
              <w:right w:val="single" w:sz="8" w:color="B6DDE8"/>
            </w:tcBorders>
          </w:tcPr>
          <w:p>
            <w:pPr>
              <w:jc w:val="right"/>
              <w:spacing w:after="0"/>
              <w:rPr>
                <w:sz w:val="20"/>
                <w:szCs w:val="20"/>
                <w:color w:val="auto"/>
              </w:rPr>
            </w:pPr>
            <w:r>
              <w:rPr>
                <w:rFonts w:ascii="Arial" w:cs="Arial" w:eastAsia="Arial" w:hAnsi="Arial"/>
                <w:sz w:val="20"/>
                <w:szCs w:val="20"/>
                <w:b w:val="1"/>
                <w:bCs w:val="1"/>
                <w:color w:val="auto"/>
              </w:rPr>
              <w:t>$2,976</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0" w:right="520" w:firstLine="2"/>
        <w:spacing w:after="0" w:line="267" w:lineRule="auto"/>
        <w:tabs>
          <w:tab w:leader="none" w:pos="1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Non-consolidated backlog reflects the proportional share of backlog related to joint ventures that is not consolidated due to our minority ownership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80"/>
        <w:spacing w:after="0"/>
        <w:tabs>
          <w:tab w:leader="none" w:pos="105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9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89"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Surface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GAAP to non-GAAP financial measures are below and in financial schedules.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380" w:type="dxa"/>
            <w:vAlign w:val="bottom"/>
            <w:tcBorders>
              <w:top w:val="single" w:sz="8" w:color="B8CCE4"/>
              <w:left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tcBorders>
              <w:top w:val="single" w:sz="8" w:color="B8CCE4"/>
              <w:right w:val="single" w:sz="8" w:color="B8CCE4"/>
            </w:tcBorders>
          </w:tcPr>
          <w:p>
            <w:pPr>
              <w:jc w:val="right"/>
              <w:ind w:right="348"/>
              <w:spacing w:after="0"/>
              <w:rPr>
                <w:sz w:val="20"/>
                <w:szCs w:val="20"/>
                <w:color w:val="auto"/>
              </w:rPr>
            </w:pPr>
            <w:r>
              <w:rPr>
                <w:rFonts w:ascii="Arial" w:cs="Arial" w:eastAsia="Arial" w:hAnsi="Arial"/>
                <w:sz w:val="14"/>
                <w:szCs w:val="14"/>
                <w:b w:val="1"/>
                <w:bCs w:val="1"/>
                <w:color w:val="auto"/>
              </w:rPr>
              <w:t>December 31,</w:t>
            </w:r>
          </w:p>
        </w:tc>
        <w:tc>
          <w:tcPr>
            <w:tcW w:w="1800" w:type="dxa"/>
            <w:vAlign w:val="bottom"/>
            <w:tcBorders>
              <w:top w:val="single" w:sz="8" w:color="B8CCE4"/>
              <w:right w:val="single" w:sz="8" w:color="B8CCE4"/>
            </w:tcBorders>
          </w:tcPr>
          <w:p>
            <w:pPr>
              <w:spacing w:after="0"/>
              <w:rPr>
                <w:sz w:val="16"/>
                <w:szCs w:val="16"/>
                <w:color w:val="auto"/>
              </w:rPr>
            </w:pPr>
          </w:p>
        </w:tc>
        <w:tc>
          <w:tcPr>
            <w:tcW w:w="1460" w:type="dxa"/>
            <w:vAlign w:val="bottom"/>
            <w:tcBorders>
              <w:top w:val="single" w:sz="8" w:color="B8CCE4"/>
              <w:right w:val="single" w:sz="8" w:color="B8CCE4"/>
            </w:tcBorders>
          </w:tcPr>
          <w:p>
            <w:pPr>
              <w:spacing w:after="0"/>
              <w:rPr>
                <w:sz w:val="16"/>
                <w:szCs w:val="16"/>
                <w:color w:val="auto"/>
              </w:rPr>
            </w:pPr>
          </w:p>
        </w:tc>
      </w:tr>
      <w:tr>
        <w:trPr>
          <w:trHeight w:val="196"/>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Borders>
              <w:bottom w:val="single" w:sz="8" w:color="B8CCE4"/>
              <w:right w:val="single" w:sz="8" w:color="B8CCE4"/>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1800" w:type="dxa"/>
            <w:vAlign w:val="bottom"/>
            <w:tcBorders>
              <w:bottom w:val="single" w:sz="8" w:color="B8CCE4"/>
              <w:right w:val="single" w:sz="8" w:color="B8CCE4"/>
            </w:tcBorders>
          </w:tcPr>
          <w:p>
            <w:pPr>
              <w:jc w:val="right"/>
              <w:ind w:right="165"/>
              <w:spacing w:after="0"/>
              <w:rPr>
                <w:sz w:val="20"/>
                <w:szCs w:val="20"/>
                <w:color w:val="auto"/>
              </w:rPr>
            </w:pPr>
            <w:r>
              <w:rPr>
                <w:rFonts w:ascii="Arial" w:cs="Arial" w:eastAsia="Arial" w:hAnsi="Arial"/>
                <w:sz w:val="14"/>
                <w:szCs w:val="14"/>
                <w:b w:val="1"/>
                <w:bCs w:val="1"/>
                <w:color w:val="auto"/>
              </w:rPr>
              <w:t>December 31, 2018</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265"/>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Revenue</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$407.6</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$417.3</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(2.3%)</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Operating profit (loss)</w:t>
            </w:r>
          </w:p>
        </w:tc>
        <w:tc>
          <w:tcPr>
            <w:tcW w:w="180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$(698.2)</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$38.8</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5"/>
              </w:rPr>
              <w:t>n/m</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w:t>
            </w:r>
          </w:p>
        </w:tc>
        <w:tc>
          <w:tcPr>
            <w:tcW w:w="180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$55.9</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$64.9</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7"/>
              </w:rPr>
              <w:t>(13.9%)</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Adjusted EBITDA margin</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13.7%</w:t>
            </w:r>
          </w:p>
        </w:tc>
        <w:tc>
          <w:tcPr>
            <w:tcW w:w="1800" w:type="dxa"/>
            <w:vAlign w:val="bottom"/>
            <w:tcBorders>
              <w:bottom w:val="single" w:sz="8" w:color="B4C6E7"/>
              <w:right w:val="single" w:sz="8" w:color="B8CCE4"/>
            </w:tcBorders>
          </w:tcPr>
          <w:p>
            <w:pPr>
              <w:jc w:val="right"/>
              <w:spacing w:after="0"/>
              <w:rPr>
                <w:sz w:val="20"/>
                <w:szCs w:val="20"/>
                <w:color w:val="auto"/>
              </w:rPr>
            </w:pPr>
            <w:r>
              <w:rPr>
                <w:rFonts w:ascii="Arial" w:cs="Arial" w:eastAsia="Arial" w:hAnsi="Arial"/>
                <w:sz w:val="20"/>
                <w:szCs w:val="20"/>
                <w:color w:val="auto"/>
              </w:rPr>
              <w:t>15.6%</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9"/>
              </w:rPr>
              <w:t>(190 bps)</w:t>
            </w:r>
          </w:p>
        </w:tc>
      </w:tr>
      <w:tr>
        <w:trPr>
          <w:trHeight w:val="322"/>
        </w:trPr>
        <w:tc>
          <w:tcPr>
            <w:tcW w:w="6380" w:type="dxa"/>
            <w:vAlign w:val="bottom"/>
            <w:tcBorders>
              <w:left w:val="single" w:sz="8" w:color="B8CCE4"/>
              <w:bottom w:val="single" w:sz="8" w:color="B8CCE4"/>
            </w:tcBorders>
          </w:tcPr>
          <w:p>
            <w:pPr>
              <w:spacing w:after="0"/>
              <w:rPr>
                <w:sz w:val="24"/>
                <w:szCs w:val="24"/>
                <w:color w:val="auto"/>
              </w:rPr>
            </w:pPr>
          </w:p>
        </w:tc>
        <w:tc>
          <w:tcPr>
            <w:tcW w:w="1800" w:type="dxa"/>
            <w:vAlign w:val="bottom"/>
            <w:tcBorders>
              <w:bottom w:val="single" w:sz="8" w:color="B8CCE4"/>
            </w:tcBorders>
          </w:tcPr>
          <w:p>
            <w:pPr>
              <w:spacing w:after="0"/>
              <w:rPr>
                <w:sz w:val="24"/>
                <w:szCs w:val="24"/>
                <w:color w:val="auto"/>
              </w:rPr>
            </w:pPr>
          </w:p>
        </w:tc>
        <w:tc>
          <w:tcPr>
            <w:tcW w:w="1800" w:type="dxa"/>
            <w:vAlign w:val="bottom"/>
            <w:tcBorders>
              <w:bottom w:val="single" w:sz="8" w:color="B8CCE4"/>
            </w:tcBorders>
          </w:tcPr>
          <w:p>
            <w:pPr>
              <w:spacing w:after="0"/>
              <w:rPr>
                <w:sz w:val="24"/>
                <w:szCs w:val="24"/>
                <w:color w:val="auto"/>
              </w:rPr>
            </w:pPr>
          </w:p>
        </w:tc>
        <w:tc>
          <w:tcPr>
            <w:tcW w:w="1460" w:type="dxa"/>
            <w:vAlign w:val="bottom"/>
            <w:tcBorders>
              <w:bottom w:val="single" w:sz="8" w:color="B8CCE4"/>
              <w:right w:val="single" w:sz="8" w:color="B8CCE4"/>
            </w:tcBorders>
          </w:tcPr>
          <w:p>
            <w:pPr>
              <w:spacing w:after="0"/>
              <w:rPr>
                <w:sz w:val="24"/>
                <w:szCs w:val="24"/>
                <w:color w:val="auto"/>
              </w:rPr>
            </w:pPr>
          </w:p>
        </w:tc>
      </w:tr>
      <w:tr>
        <w:trPr>
          <w:trHeight w:val="259"/>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Inbound orders</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$431.6</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$435.1</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8"/>
              </w:rPr>
              <w:t>(0.8%)</w:t>
            </w:r>
          </w:p>
        </w:tc>
      </w:tr>
      <w:tr>
        <w:trPr>
          <w:trHeight w:val="264"/>
        </w:trPr>
        <w:tc>
          <w:tcPr>
            <w:tcW w:w="638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Backlog</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$473.2</w:t>
            </w:r>
          </w:p>
        </w:tc>
        <w:tc>
          <w:tcPr>
            <w:tcW w:w="180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$469.9</w:t>
            </w:r>
          </w:p>
        </w:tc>
        <w:tc>
          <w:tcPr>
            <w:tcW w:w="146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20"/>
                <w:szCs w:val="20"/>
                <w:color w:val="auto"/>
                <w:w w:val="96"/>
              </w:rPr>
              <w:t>0.7%</w:t>
            </w:r>
          </w:p>
        </w:tc>
      </w:tr>
    </w:tbl>
    <w:p>
      <w:pPr>
        <w:spacing w:after="0" w:line="388"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Surface Technologies reported fourth quarter revenue of $407.6 million, a decrease of 2.3 percent from the prior-year quarter. The revenue decline was primarily driven by lower completions related activity in North America, largely offset by revenue growth in international markets.</w:t>
      </w:r>
    </w:p>
    <w:p>
      <w:pPr>
        <w:spacing w:after="0" w:line="166"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Significant growth in international markets was mainly driven by higher wellhead equipment sales and demand for pressure control equipment. Fourth quarter revenue outside North America represented more than 50 percent of the total segment as market activity reached low double-digit growth for the full year.</w:t>
      </w:r>
    </w:p>
    <w:p>
      <w:pPr>
        <w:spacing w:after="0" w:line="166" w:lineRule="exact"/>
        <w:rPr>
          <w:sz w:val="20"/>
          <w:szCs w:val="20"/>
          <w:color w:val="auto"/>
        </w:rPr>
      </w:pPr>
    </w:p>
    <w:p>
      <w:pPr>
        <w:jc w:val="both"/>
        <w:ind w:right="20"/>
        <w:spacing w:after="0" w:line="242" w:lineRule="auto"/>
        <w:rPr>
          <w:sz w:val="20"/>
          <w:szCs w:val="20"/>
          <w:color w:val="auto"/>
        </w:rPr>
      </w:pPr>
      <w:r>
        <w:rPr>
          <w:rFonts w:ascii="Arial" w:cs="Arial" w:eastAsia="Arial" w:hAnsi="Arial"/>
          <w:sz w:val="20"/>
          <w:szCs w:val="20"/>
          <w:color w:val="auto"/>
        </w:rPr>
        <w:t>In the quarter, the Company recorded non-cash impairment and other charges totaling $684.9 million in Surface Technologies, which comprised a goodwill impairment charge of $666.8 million and fixed asset impairment charges of $18.1 million. The charges reflect a change in our outlook for the North American market given the challenging near-term environment and reductions to our regional activities focused on improving the economic returns of our business.</w:t>
      </w:r>
    </w:p>
    <w:p>
      <w:pPr>
        <w:spacing w:after="0" w:line="166"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Surface Technologies reported an operating loss of $698.2 million; adjusted EBITDA was $55.9 million with a margin of 13.7 percent, a decrease of 190 basis points from the prior-year quarter. Adjusted EBITDA declined versus the prior-year quarter primarily due to further declines in volume and pricing in North America, partially offset by cost reduction activities.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Inbound orders for the quarter were $431.6 million. Backlog increased 0.7 percent versus the prior-year quarter to $473.2 million.</w:t>
      </w:r>
    </w:p>
    <w:p>
      <w:pPr>
        <w:spacing w:after="0"/>
        <w:rPr>
          <w:sz w:val="20"/>
          <w:szCs w:val="20"/>
          <w:color w:val="auto"/>
        </w:rPr>
      </w:pPr>
      <w:r>
        <w:rPr>
          <w:rFonts w:ascii="Arial" w:cs="Arial" w:eastAsia="Arial" w:hAnsi="Arial"/>
          <w:sz w:val="20"/>
          <w:szCs w:val="20"/>
          <w:color w:val="auto"/>
        </w:rPr>
        <w:t>Given the short-cycle nature of the business, orders are generally converted into revenue within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10 of </w:t>
      </w:r>
      <w:hyperlink w:anchor="page35">
        <w:r>
          <w:rPr>
            <w:rFonts w:ascii="Arial" w:cs="Arial" w:eastAsia="Arial" w:hAnsi="Arial"/>
            <w:sz w:val="14"/>
            <w:szCs w:val="14"/>
            <w:b w:val="1"/>
            <w:bCs w:val="1"/>
            <w:color w:val="auto"/>
          </w:rPr>
          <w:t>29</w:t>
        </w:r>
      </w:hyperlink>
    </w:p>
    <w:p>
      <w:pPr>
        <w:sectPr>
          <w:pgSz w:w="11900" w:h="16838" w:orient="portrait"/>
          <w:cols w:equalWidth="0" w:num="1">
            <w:col w:w="11440"/>
          </w:cols>
          <w:pgMar w:left="240" w:top="1327" w:right="21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Fourth Quarter Surface Technologies Award Highlights</w:t>
      </w:r>
    </w:p>
    <w:p>
      <w:pPr>
        <w:spacing w:after="0" w:line="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 xml:space="preserve">ConocoPhillips </w:t>
      </w:r>
      <w:r>
        <w:rPr>
          <w:rFonts w:ascii="Arial" w:cs="Arial" w:eastAsia="Arial" w:hAnsi="Arial"/>
          <w:sz w:val="18"/>
          <w:szCs w:val="18"/>
          <w:b w:val="1"/>
          <w:bCs w:val="1"/>
          <w:color w:val="auto"/>
        </w:rPr>
        <w:t>(United States)</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Successful introduction of first Automated Well Testing Unit.</w:t>
      </w:r>
    </w:p>
    <w:p>
      <w:pPr>
        <w:spacing w:after="0" w:line="83" w:lineRule="exact"/>
        <w:rPr>
          <w:rFonts w:ascii="Arial" w:cs="Arial" w:eastAsia="Arial" w:hAnsi="Arial"/>
          <w:sz w:val="20"/>
          <w:szCs w:val="20"/>
          <w:color w:val="auto"/>
        </w:rPr>
      </w:pPr>
    </w:p>
    <w:p>
      <w:pPr>
        <w:ind w:left="660" w:hanging="328"/>
        <w:spacing w:after="0"/>
        <w:tabs>
          <w:tab w:leader="none" w:pos="660"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 xml:space="preserve">Equinor Snorre </w:t>
      </w:r>
      <w:r>
        <w:rPr>
          <w:rFonts w:ascii="Arial" w:cs="Arial" w:eastAsia="Arial" w:hAnsi="Arial"/>
          <w:sz w:val="18"/>
          <w:szCs w:val="18"/>
          <w:b w:val="1"/>
          <w:bCs w:val="1"/>
          <w:color w:val="auto"/>
        </w:rPr>
        <w:t>(North Sea)</w:t>
      </w:r>
    </w:p>
    <w:p>
      <w:pPr>
        <w:spacing w:after="0" w:line="23"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Award for frame contract to replace risers of the tension leg platform.</w:t>
      </w:r>
    </w:p>
    <w:p>
      <w:pPr>
        <w:spacing w:after="0" w:line="83" w:lineRule="exact"/>
        <w:rPr>
          <w:rFonts w:ascii="Arial" w:cs="Arial" w:eastAsia="Arial" w:hAnsi="Arial"/>
          <w:sz w:val="20"/>
          <w:szCs w:val="20"/>
          <w:color w:val="auto"/>
        </w:rPr>
      </w:pPr>
    </w:p>
    <w:p>
      <w:pPr>
        <w:ind w:left="660" w:right="7860" w:hanging="328"/>
        <w:spacing w:after="0" w:line="299" w:lineRule="auto"/>
        <w:tabs>
          <w:tab w:leader="none" w:pos="660" w:val="left"/>
        </w:tabs>
        <w:numPr>
          <w:ilvl w:val="0"/>
          <w:numId w:val="16"/>
        </w:numPr>
        <w:rPr>
          <w:rFonts w:ascii="Arial" w:cs="Arial" w:eastAsia="Arial" w:hAnsi="Arial"/>
          <w:sz w:val="19"/>
          <w:szCs w:val="19"/>
          <w:color w:val="auto"/>
        </w:rPr>
      </w:pPr>
      <w:r>
        <w:rPr>
          <w:rFonts w:ascii="Arial" w:cs="Arial" w:eastAsia="Arial" w:hAnsi="Arial"/>
          <w:sz w:val="19"/>
          <w:szCs w:val="19"/>
          <w:b w:val="1"/>
          <w:bCs w:val="1"/>
          <w:color w:val="auto"/>
        </w:rPr>
        <w:t xml:space="preserve">Golden Beach </w:t>
      </w:r>
      <w:r>
        <w:rPr>
          <w:rFonts w:ascii="Arial" w:cs="Arial" w:eastAsia="Arial" w:hAnsi="Arial"/>
          <w:sz w:val="17"/>
          <w:szCs w:val="17"/>
          <w:b w:val="1"/>
          <w:bCs w:val="1"/>
          <w:color w:val="auto"/>
        </w:rPr>
        <w:t>(Australia)</w:t>
      </w:r>
      <w:r>
        <w:rPr>
          <w:rFonts w:ascii="Arial" w:cs="Arial" w:eastAsia="Arial" w:hAnsi="Arial"/>
          <w:sz w:val="19"/>
          <w:szCs w:val="19"/>
          <w:b w:val="1"/>
          <w:bCs w:val="1"/>
          <w:color w:val="auto"/>
        </w:rPr>
        <w:t xml:space="preserve"> </w:t>
      </w:r>
      <w:r>
        <w:rPr>
          <w:rFonts w:ascii="Arial" w:cs="Arial" w:eastAsia="Arial" w:hAnsi="Arial"/>
          <w:sz w:val="19"/>
          <w:szCs w:val="19"/>
          <w:color w:val="auto"/>
        </w:rPr>
        <w:t>Award for shallow water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11 of </w:t>
      </w:r>
      <w:hyperlink w:anchor="page35">
        <w:r>
          <w:rPr>
            <w:rFonts w:ascii="Arial" w:cs="Arial" w:eastAsia="Arial" w:hAnsi="Arial"/>
            <w:sz w:val="14"/>
            <w:szCs w:val="14"/>
            <w:b w:val="1"/>
            <w:bCs w:val="1"/>
            <w:color w:val="auto"/>
          </w:rPr>
          <w:t>29</w:t>
        </w:r>
      </w:hyperlink>
    </w:p>
    <w:p>
      <w:pPr>
        <w:sectPr>
          <w:pgSz w:w="11900" w:h="16838" w:orient="portrait"/>
          <w:cols w:equalWidth="0" w:num="1">
            <w:col w:w="11360"/>
          </w:cols>
          <w:pgMar w:left="240" w:top="1189" w:right="29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Corporate and Other Items</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Corporate expense in the fourth quarter was $178.9 million. This includes charges and credits totaling $75.8 million of expense. Excluding charges and credits, corporate expense was $103.1 million which included $64.1 million of foreign exchange losses mainly due to the devaluation of the unhedged Angolan Kwanza.</w:t>
      </w:r>
    </w:p>
    <w:p>
      <w:pPr>
        <w:spacing w:after="0" w:line="284" w:lineRule="exact"/>
        <w:rPr>
          <w:sz w:val="20"/>
          <w:szCs w:val="20"/>
          <w:color w:val="auto"/>
        </w:rPr>
      </w:pPr>
    </w:p>
    <w:tbl>
      <w:tblPr>
        <w:tblLayout w:type="fixed"/>
        <w:tblInd w:w="50" w:type="dxa"/>
        <w:tblCellMar>
          <w:top w:w="0" w:type="dxa"/>
          <w:left w:w="0" w:type="dxa"/>
          <w:bottom w:w="0" w:type="dxa"/>
          <w:right w:w="0" w:type="dxa"/>
        </w:tblCellMar>
      </w:tblPr>
      <w:tr>
        <w:trPr>
          <w:trHeight w:val="278"/>
        </w:trPr>
        <w:tc>
          <w:tcPr>
            <w:tcW w:w="6600" w:type="dxa"/>
            <w:vAlign w:val="bottom"/>
            <w:tcBorders>
              <w:top w:val="single" w:sz="8" w:color="B8CCE4"/>
              <w:left w:val="single" w:sz="8" w:color="B8CCE4"/>
              <w:bottom w:val="single" w:sz="8" w:color="B8CCE4"/>
              <w:right w:val="single" w:sz="8" w:color="B8CCE4"/>
            </w:tcBorders>
          </w:tcPr>
          <w:p>
            <w:pPr>
              <w:spacing w:after="0"/>
              <w:rPr>
                <w:sz w:val="24"/>
                <w:szCs w:val="24"/>
                <w:color w:val="auto"/>
              </w:rPr>
            </w:pPr>
          </w:p>
        </w:tc>
        <w:tc>
          <w:tcPr>
            <w:tcW w:w="2380" w:type="dxa"/>
            <w:vAlign w:val="bottom"/>
            <w:tcBorders>
              <w:top w:val="single" w:sz="8" w:color="B8CCE4"/>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380" w:type="dxa"/>
            <w:vAlign w:val="bottom"/>
            <w:tcBorders>
              <w:top w:val="single" w:sz="8" w:color="B8CCE4"/>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Twelve Months Ended</w:t>
            </w:r>
          </w:p>
        </w:tc>
      </w:tr>
      <w:tr>
        <w:trPr>
          <w:trHeight w:val="175"/>
        </w:trPr>
        <w:tc>
          <w:tcPr>
            <w:tcW w:w="6600" w:type="dxa"/>
            <w:vAlign w:val="bottom"/>
            <w:tcBorders>
              <w:left w:val="single" w:sz="8" w:color="B8CCE4"/>
              <w:right w:val="single" w:sz="8" w:color="B8CCE4"/>
            </w:tcBorders>
          </w:tcPr>
          <w:p>
            <w:pPr>
              <w:spacing w:after="0"/>
              <w:rPr>
                <w:sz w:val="15"/>
                <w:szCs w:val="15"/>
                <w:color w:val="auto"/>
              </w:rPr>
            </w:pPr>
          </w:p>
        </w:tc>
        <w:tc>
          <w:tcPr>
            <w:tcW w:w="238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December 31,</w:t>
            </w:r>
          </w:p>
        </w:tc>
        <w:tc>
          <w:tcPr>
            <w:tcW w:w="2380" w:type="dxa"/>
            <w:vAlign w:val="bottom"/>
            <w:tcBorders>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6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3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2019</w:t>
            </w:r>
          </w:p>
        </w:tc>
        <w:tc>
          <w:tcPr>
            <w:tcW w:w="2380" w:type="dxa"/>
            <w:vAlign w:val="bottom"/>
            <w:tcBorders>
              <w:bottom w:val="single" w:sz="8" w:color="B8CCE4"/>
              <w:right w:val="single" w:sz="8" w:color="B8CCE4"/>
            </w:tcBorders>
          </w:tcPr>
          <w:p>
            <w:pPr>
              <w:jc w:val="center"/>
              <w:spacing w:after="0"/>
              <w:rPr>
                <w:sz w:val="20"/>
                <w:szCs w:val="20"/>
                <w:color w:val="auto"/>
              </w:rPr>
            </w:pPr>
            <w:r>
              <w:rPr>
                <w:rFonts w:ascii="Arial" w:cs="Arial" w:eastAsia="Arial" w:hAnsi="Arial"/>
                <w:sz w:val="14"/>
                <w:szCs w:val="14"/>
                <w:b w:val="1"/>
                <w:bCs w:val="1"/>
                <w:color w:val="auto"/>
              </w:rPr>
              <w:t>2019</w:t>
            </w:r>
          </w:p>
        </w:tc>
      </w:tr>
      <w:tr>
        <w:trPr>
          <w:trHeight w:val="265"/>
        </w:trPr>
        <w:tc>
          <w:tcPr>
            <w:tcW w:w="6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Corporate expense, reported</w:t>
            </w:r>
          </w:p>
        </w:tc>
        <w:tc>
          <w:tcPr>
            <w:tcW w:w="2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$178.9</w:t>
            </w:r>
          </w:p>
        </w:tc>
        <w:tc>
          <w:tcPr>
            <w:tcW w:w="2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$540.3</w:t>
            </w:r>
          </w:p>
        </w:tc>
      </w:tr>
      <w:tr>
        <w:trPr>
          <w:trHeight w:val="264"/>
        </w:trPr>
        <w:tc>
          <w:tcPr>
            <w:tcW w:w="6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 xml:space="preserve">Less charges and (credits) </w:t>
            </w:r>
            <w:r>
              <w:rPr>
                <w:rFonts w:ascii="Arial" w:cs="Arial" w:eastAsia="Arial" w:hAnsi="Arial"/>
                <w:sz w:val="18"/>
                <w:szCs w:val="18"/>
                <w:color w:val="auto"/>
              </w:rPr>
              <w:t>[Exhibits 9,10]</w:t>
            </w:r>
          </w:p>
        </w:tc>
        <w:tc>
          <w:tcPr>
            <w:tcW w:w="2380" w:type="dxa"/>
            <w:vAlign w:val="bottom"/>
            <w:tcBorders>
              <w:bottom w:val="single" w:sz="8" w:color="auto"/>
              <w:right w:val="single" w:sz="8" w:color="B8CCE4"/>
            </w:tcBorders>
          </w:tcPr>
          <w:p>
            <w:pPr>
              <w:jc w:val="right"/>
              <w:spacing w:after="0"/>
              <w:rPr>
                <w:sz w:val="20"/>
                <w:szCs w:val="20"/>
                <w:color w:val="auto"/>
              </w:rPr>
            </w:pPr>
            <w:r>
              <w:rPr>
                <w:rFonts w:ascii="Arial" w:cs="Arial" w:eastAsia="Arial" w:hAnsi="Arial"/>
                <w:sz w:val="20"/>
                <w:szCs w:val="20"/>
                <w:color w:val="auto"/>
              </w:rPr>
              <w:t>$75.8</w:t>
            </w:r>
          </w:p>
        </w:tc>
        <w:tc>
          <w:tcPr>
            <w:tcW w:w="2380" w:type="dxa"/>
            <w:vAlign w:val="bottom"/>
            <w:tcBorders>
              <w:bottom w:val="single" w:sz="8" w:color="auto"/>
              <w:right w:val="single" w:sz="8" w:color="B8CCE4"/>
            </w:tcBorders>
          </w:tcPr>
          <w:p>
            <w:pPr>
              <w:jc w:val="right"/>
              <w:spacing w:after="0"/>
              <w:rPr>
                <w:sz w:val="20"/>
                <w:szCs w:val="20"/>
                <w:color w:val="auto"/>
              </w:rPr>
            </w:pPr>
            <w:r>
              <w:rPr>
                <w:rFonts w:ascii="Arial" w:cs="Arial" w:eastAsia="Arial" w:hAnsi="Arial"/>
                <w:sz w:val="20"/>
                <w:szCs w:val="20"/>
                <w:color w:val="auto"/>
              </w:rPr>
              <w:t>$184.5</w:t>
            </w:r>
          </w:p>
        </w:tc>
      </w:tr>
      <w:tr>
        <w:trPr>
          <w:trHeight w:val="264"/>
        </w:trPr>
        <w:tc>
          <w:tcPr>
            <w:tcW w:w="6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Corporate expense, adjusted</w:t>
            </w:r>
          </w:p>
        </w:tc>
        <w:tc>
          <w:tcPr>
            <w:tcW w:w="2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$103.1</w:t>
            </w:r>
          </w:p>
        </w:tc>
        <w:tc>
          <w:tcPr>
            <w:tcW w:w="2380" w:type="dxa"/>
            <w:vAlign w:val="bottom"/>
            <w:tcBorders>
              <w:bottom w:val="single" w:sz="8" w:color="B8CCE4"/>
              <w:right w:val="single" w:sz="8" w:color="B8CCE4"/>
            </w:tcBorders>
          </w:tcPr>
          <w:p>
            <w:pPr>
              <w:jc w:val="right"/>
              <w:spacing w:after="0"/>
              <w:rPr>
                <w:sz w:val="20"/>
                <w:szCs w:val="20"/>
                <w:color w:val="auto"/>
              </w:rPr>
            </w:pPr>
            <w:r>
              <w:rPr>
                <w:rFonts w:ascii="Arial" w:cs="Arial" w:eastAsia="Arial" w:hAnsi="Arial"/>
                <w:sz w:val="20"/>
                <w:szCs w:val="20"/>
                <w:color w:val="auto"/>
              </w:rPr>
              <w:t>$355.8</w:t>
            </w:r>
          </w:p>
        </w:tc>
      </w:tr>
      <w:tr>
        <w:trPr>
          <w:trHeight w:val="264"/>
        </w:trPr>
        <w:tc>
          <w:tcPr>
            <w:tcW w:w="6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rPr>
              <w:t>Less foreign exchange losses</w:t>
            </w:r>
          </w:p>
        </w:tc>
        <w:tc>
          <w:tcPr>
            <w:tcW w:w="2380" w:type="dxa"/>
            <w:vAlign w:val="bottom"/>
            <w:tcBorders>
              <w:bottom w:val="single" w:sz="8" w:color="auto"/>
              <w:right w:val="single" w:sz="8" w:color="B8CCE4"/>
            </w:tcBorders>
          </w:tcPr>
          <w:p>
            <w:pPr>
              <w:jc w:val="right"/>
              <w:spacing w:after="0"/>
              <w:rPr>
                <w:sz w:val="20"/>
                <w:szCs w:val="20"/>
                <w:color w:val="auto"/>
              </w:rPr>
            </w:pPr>
            <w:r>
              <w:rPr>
                <w:rFonts w:ascii="Arial" w:cs="Arial" w:eastAsia="Arial" w:hAnsi="Arial"/>
                <w:sz w:val="20"/>
                <w:szCs w:val="20"/>
                <w:color w:val="auto"/>
              </w:rPr>
              <w:t>$64.1</w:t>
            </w:r>
          </w:p>
        </w:tc>
        <w:tc>
          <w:tcPr>
            <w:tcW w:w="2380" w:type="dxa"/>
            <w:vAlign w:val="bottom"/>
            <w:tcBorders>
              <w:bottom w:val="single" w:sz="8" w:color="auto"/>
              <w:right w:val="single" w:sz="8" w:color="B8CCE4"/>
            </w:tcBorders>
          </w:tcPr>
          <w:p>
            <w:pPr>
              <w:jc w:val="right"/>
              <w:spacing w:after="0"/>
              <w:rPr>
                <w:sz w:val="20"/>
                <w:szCs w:val="20"/>
                <w:color w:val="auto"/>
              </w:rPr>
            </w:pPr>
            <w:r>
              <w:rPr>
                <w:rFonts w:ascii="Arial" w:cs="Arial" w:eastAsia="Arial" w:hAnsi="Arial"/>
                <w:sz w:val="20"/>
                <w:szCs w:val="20"/>
                <w:color w:val="auto"/>
              </w:rPr>
              <w:t>$146.9</w:t>
            </w:r>
          </w:p>
        </w:tc>
      </w:tr>
      <w:tr>
        <w:trPr>
          <w:trHeight w:val="308"/>
        </w:trPr>
        <w:tc>
          <w:tcPr>
            <w:tcW w:w="6600" w:type="dxa"/>
            <w:vAlign w:val="bottom"/>
            <w:tcBorders>
              <w:left w:val="single" w:sz="8" w:color="B8CCE4"/>
              <w:bottom w:val="single" w:sz="8" w:color="B8CCE4"/>
              <w:right w:val="single" w:sz="8" w:color="B8CCE4"/>
            </w:tcBorders>
          </w:tcPr>
          <w:p>
            <w:pPr>
              <w:ind w:left="40"/>
              <w:spacing w:after="0"/>
              <w:rPr>
                <w:sz w:val="20"/>
                <w:szCs w:val="20"/>
                <w:color w:val="auto"/>
              </w:rPr>
            </w:pPr>
            <w:r>
              <w:rPr>
                <w:rFonts w:ascii="Arial" w:cs="Arial" w:eastAsia="Arial" w:hAnsi="Arial"/>
                <w:sz w:val="20"/>
                <w:szCs w:val="20"/>
                <w:b w:val="1"/>
                <w:bCs w:val="1"/>
                <w:color w:val="auto"/>
                <w:w w:val="99"/>
              </w:rPr>
              <w:t>Corporate expense, adjusted and excluding foreign exchange losses</w:t>
            </w:r>
          </w:p>
        </w:tc>
        <w:tc>
          <w:tcPr>
            <w:tcW w:w="2380" w:type="dxa"/>
            <w:vAlign w:val="bottom"/>
            <w:tcBorders>
              <w:bottom w:val="single" w:sz="8" w:color="auto"/>
              <w:right w:val="single" w:sz="8" w:color="CCEEFF"/>
            </w:tcBorders>
          </w:tcPr>
          <w:p>
            <w:pPr>
              <w:jc w:val="right"/>
              <w:spacing w:after="0"/>
              <w:rPr>
                <w:sz w:val="20"/>
                <w:szCs w:val="20"/>
                <w:color w:val="auto"/>
              </w:rPr>
            </w:pPr>
            <w:r>
              <w:rPr>
                <w:rFonts w:ascii="Arial" w:cs="Arial" w:eastAsia="Arial" w:hAnsi="Arial"/>
                <w:sz w:val="20"/>
                <w:szCs w:val="20"/>
                <w:color w:val="auto"/>
              </w:rPr>
              <w:t>$39.0</w:t>
            </w:r>
          </w:p>
        </w:tc>
        <w:tc>
          <w:tcPr>
            <w:tcW w:w="2380" w:type="dxa"/>
            <w:vAlign w:val="bottom"/>
            <w:tcBorders>
              <w:bottom w:val="single" w:sz="8" w:color="auto"/>
              <w:right w:val="single" w:sz="8" w:color="CCEEFF"/>
            </w:tcBorders>
          </w:tcPr>
          <w:p>
            <w:pPr>
              <w:jc w:val="right"/>
              <w:spacing w:after="0"/>
              <w:rPr>
                <w:sz w:val="20"/>
                <w:szCs w:val="20"/>
                <w:color w:val="auto"/>
              </w:rPr>
            </w:pPr>
            <w:r>
              <w:rPr>
                <w:rFonts w:ascii="Arial" w:cs="Arial" w:eastAsia="Arial" w:hAnsi="Arial"/>
                <w:sz w:val="20"/>
                <w:szCs w:val="20"/>
                <w:color w:val="auto"/>
              </w:rPr>
              <w:t>$208.9</w:t>
            </w:r>
          </w:p>
        </w:tc>
      </w:tr>
    </w:tbl>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Net interest expense was $106 million in the quarter, which included an increase in the liability payable to joint venture partners of $99.1 million.</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Company recorded a tax provision in the quarter of $179.8 million. The provision was impacted by a valuation allowance of $108 million. The quarterly tax rate was impacted by the non-deductible impairment charges recorded in the quarter.</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Total depreciation and amortization for the quarter was $131.1 million, including depreciation and amortization related to purchase price accounting for the merger of $8.5 million.</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Cash flow from operations in the quarter was $559.1 million. The Company ended the period with cash and cash equivalents of $5,190.2 million; net cash was $714.8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12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65" w:right="2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2020 Financial Guidance</w:t>
      </w:r>
      <w:r>
        <w:rPr>
          <w:rFonts w:ascii="Arial" w:cs="Arial" w:eastAsia="Arial" w:hAnsi="Arial"/>
          <w:sz w:val="25"/>
          <w:szCs w:val="25"/>
          <w:b w:val="1"/>
          <w:bCs w:val="1"/>
          <w:color w:val="auto"/>
          <w:vertAlign w:val="superscript"/>
        </w:rPr>
        <w:t>1</w:t>
      </w:r>
    </w:p>
    <w:p>
      <w:pPr>
        <w:spacing w:after="0" w:line="7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2020 segment guidance is reflective of the new business perimeters related to the Company’s announced separation. Businesses with approximately $120 million of total revenue in 2019, most of which was in the Surface Technologies segment, were re-allocated to Onshore/Offshore at the beginning of 2020. The revenue of these businesses is now included in Onshore/Offshore guidance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227965</wp:posOffset>
            </wp:positionV>
            <wp:extent cx="686943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69430" cy="300355"/>
                    </a:xfrm>
                    <a:prstGeom prst="rect">
                      <a:avLst/>
                    </a:prstGeom>
                    <a:noFill/>
                  </pic:spPr>
                </pic:pic>
              </a:graphicData>
            </a:graphic>
          </wp:anchor>
        </w:drawing>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2020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351790</wp:posOffset>
            </wp:positionV>
            <wp:extent cx="6869430" cy="900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69430" cy="90043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left="680"/>
        <w:spacing w:after="0"/>
        <w:rPr>
          <w:sz w:val="20"/>
          <w:szCs w:val="20"/>
          <w:color w:val="auto"/>
        </w:rPr>
      </w:pPr>
      <w:r>
        <w:rPr>
          <w:rFonts w:ascii="Arial" w:cs="Arial" w:eastAsia="Arial" w:hAnsi="Arial"/>
          <w:sz w:val="20"/>
          <w:szCs w:val="20"/>
          <w:b w:val="1"/>
          <w:bCs w:val="1"/>
          <w:color w:val="FFFFFF"/>
        </w:rPr>
        <w:t>Subsea</w:t>
      </w:r>
    </w:p>
    <w:p>
      <w:pPr>
        <w:spacing w:after="0" w:line="78" w:lineRule="exact"/>
        <w:rPr>
          <w:sz w:val="20"/>
          <w:szCs w:val="20"/>
          <w:color w:val="auto"/>
        </w:rPr>
      </w:pPr>
    </w:p>
    <w:p>
      <w:pPr>
        <w:ind w:left="360"/>
        <w:spacing w:after="0" w:line="236" w:lineRule="auto"/>
        <w:rPr>
          <w:sz w:val="20"/>
          <w:szCs w:val="20"/>
          <w:color w:val="auto"/>
        </w:rPr>
      </w:pPr>
      <w:r>
        <w:rPr>
          <w:rFonts w:ascii="Arial" w:cs="Arial" w:eastAsia="Arial" w:hAnsi="Arial"/>
          <w:sz w:val="20"/>
          <w:szCs w:val="20"/>
          <w:color w:val="auto"/>
        </w:rPr>
        <w:t>Revenue in a range of $6.2 - 6.5 billion</w:t>
      </w:r>
    </w:p>
    <w:p>
      <w:pPr>
        <w:spacing w:after="0" w:line="169" w:lineRule="exact"/>
        <w:rPr>
          <w:sz w:val="20"/>
          <w:szCs w:val="20"/>
          <w:color w:val="auto"/>
        </w:rPr>
      </w:pPr>
    </w:p>
    <w:p>
      <w:pPr>
        <w:ind w:left="360" w:right="100"/>
        <w:spacing w:after="0" w:line="257" w:lineRule="auto"/>
        <w:rPr>
          <w:sz w:val="20"/>
          <w:szCs w:val="20"/>
          <w:color w:val="auto"/>
        </w:rPr>
      </w:pPr>
      <w:r>
        <w:rPr>
          <w:rFonts w:ascii="Arial" w:cs="Arial" w:eastAsia="Arial" w:hAnsi="Arial"/>
          <w:sz w:val="19"/>
          <w:szCs w:val="19"/>
          <w:color w:val="auto"/>
        </w:rPr>
        <w:t>EBITDA margin at least 11% (excluding charges and credits)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FFFFFF"/>
        </w:rPr>
        <w:t>Onshore/Offshore</w:t>
      </w:r>
    </w:p>
    <w:p>
      <w:pPr>
        <w:spacing w:after="0" w:line="78"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Revenue in a range of $7.5 - 7.8 billion</w:t>
      </w:r>
    </w:p>
    <w:p>
      <w:pPr>
        <w:spacing w:after="0" w:line="169" w:lineRule="exact"/>
        <w:rPr>
          <w:sz w:val="20"/>
          <w:szCs w:val="20"/>
          <w:color w:val="auto"/>
        </w:rPr>
      </w:pPr>
    </w:p>
    <w:p>
      <w:pPr>
        <w:ind w:right="320"/>
        <w:spacing w:after="0" w:line="257" w:lineRule="auto"/>
        <w:rPr>
          <w:sz w:val="20"/>
          <w:szCs w:val="20"/>
          <w:color w:val="auto"/>
        </w:rPr>
      </w:pPr>
      <w:r>
        <w:rPr>
          <w:rFonts w:ascii="Arial" w:cs="Arial" w:eastAsia="Arial" w:hAnsi="Arial"/>
          <w:sz w:val="19"/>
          <w:szCs w:val="19"/>
          <w:color w:val="auto"/>
        </w:rPr>
        <w:t>EBITDA margin at least 10% (excluding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210820</wp:posOffset>
            </wp:positionV>
            <wp:extent cx="6869430" cy="257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69430" cy="257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FFFFFF"/>
        </w:rPr>
        <w:t>Surface Technologies</w:t>
      </w:r>
    </w:p>
    <w:p>
      <w:pPr>
        <w:spacing w:after="0" w:line="78" w:lineRule="exact"/>
        <w:rPr>
          <w:sz w:val="20"/>
          <w:szCs w:val="20"/>
          <w:color w:val="auto"/>
        </w:rPr>
      </w:pPr>
    </w:p>
    <w:p>
      <w:pPr>
        <w:ind w:right="880"/>
        <w:spacing w:after="0" w:line="236" w:lineRule="auto"/>
        <w:rPr>
          <w:sz w:val="20"/>
          <w:szCs w:val="20"/>
          <w:color w:val="auto"/>
        </w:rPr>
      </w:pPr>
      <w:r>
        <w:rPr>
          <w:rFonts w:ascii="Arial" w:cs="Arial" w:eastAsia="Arial" w:hAnsi="Arial"/>
          <w:sz w:val="20"/>
          <w:szCs w:val="20"/>
          <w:color w:val="auto"/>
        </w:rPr>
        <w:t>Revenue in a range of $1.4 - 1.6 billion</w:t>
      </w:r>
    </w:p>
    <w:p>
      <w:pPr>
        <w:spacing w:after="0" w:line="169" w:lineRule="exact"/>
        <w:rPr>
          <w:sz w:val="20"/>
          <w:szCs w:val="20"/>
          <w:color w:val="auto"/>
        </w:rPr>
      </w:pPr>
    </w:p>
    <w:p>
      <w:pPr>
        <w:ind w:right="980"/>
        <w:spacing w:after="0" w:line="257" w:lineRule="auto"/>
        <w:rPr>
          <w:sz w:val="20"/>
          <w:szCs w:val="20"/>
          <w:color w:val="auto"/>
        </w:rPr>
      </w:pPr>
      <w:r>
        <w:rPr>
          <w:rFonts w:ascii="Arial" w:cs="Arial" w:eastAsia="Arial" w:hAnsi="Arial"/>
          <w:sz w:val="19"/>
          <w:szCs w:val="19"/>
          <w:color w:val="auto"/>
        </w:rPr>
        <w:t>EBITDA margin at least 12% (excluding charges and credits)</w:t>
      </w:r>
    </w:p>
    <w:p>
      <w:pPr>
        <w:spacing w:after="0" w:line="200" w:lineRule="exact"/>
        <w:rPr>
          <w:sz w:val="20"/>
          <w:szCs w:val="20"/>
          <w:color w:val="auto"/>
        </w:rPr>
      </w:pPr>
    </w:p>
    <w:p>
      <w:pPr>
        <w:sectPr>
          <w:pgSz w:w="11900" w:h="16838" w:orient="portrait"/>
          <w:cols w:equalWidth="0" w:num="3">
            <w:col w:w="3200" w:space="720"/>
            <w:col w:w="3060" w:space="720"/>
            <w:col w:w="3720"/>
          </w:cols>
          <w:pgMar w:left="240" w:top="1165" w:right="239" w:bottom="1440" w:gutter="0" w:footer="0" w:header="0"/>
          <w:type w:val="continuous"/>
        </w:sectPr>
      </w:pP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FFFFFF"/>
        </w:rPr>
        <w:t>TechnipFMC</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Corporate expense, net </w:t>
      </w:r>
      <w:r>
        <w:rPr>
          <w:rFonts w:ascii="Arial" w:cs="Arial" w:eastAsia="Arial" w:hAnsi="Arial"/>
          <w:sz w:val="20"/>
          <w:szCs w:val="20"/>
          <w:color w:val="auto"/>
        </w:rPr>
        <w:t>$180 - 190 million for the full year (excluding the impact of foreign currency fluctuations)</w:t>
      </w:r>
    </w:p>
    <w:p>
      <w:pPr>
        <w:spacing w:after="0" w:line="200" w:lineRule="exact"/>
        <w:rPr>
          <w:sz w:val="20"/>
          <w:szCs w:val="20"/>
          <w:color w:val="auto"/>
        </w:rPr>
      </w:pPr>
    </w:p>
    <w:p>
      <w:pPr>
        <w:spacing w:after="0" w:line="340" w:lineRule="exact"/>
        <w:rPr>
          <w:sz w:val="20"/>
          <w:szCs w:val="20"/>
          <w:color w:val="auto"/>
        </w:rPr>
      </w:pPr>
    </w:p>
    <w:p>
      <w:pPr>
        <w:ind w:left="360" w:right="340"/>
        <w:spacing w:after="0" w:line="258" w:lineRule="auto"/>
        <w:rPr>
          <w:sz w:val="20"/>
          <w:szCs w:val="20"/>
          <w:color w:val="auto"/>
        </w:rPr>
      </w:pPr>
      <w:r>
        <w:rPr>
          <w:rFonts w:ascii="Arial" w:cs="Arial" w:eastAsia="Arial" w:hAnsi="Arial"/>
          <w:sz w:val="20"/>
          <w:szCs w:val="20"/>
          <w:b w:val="1"/>
          <w:bCs w:val="1"/>
          <w:color w:val="auto"/>
        </w:rPr>
        <w:t xml:space="preserve">Net interest expense </w:t>
      </w:r>
      <w:r>
        <w:rPr>
          <w:rFonts w:ascii="Arial" w:cs="Arial" w:eastAsia="Arial" w:hAnsi="Arial"/>
          <w:sz w:val="20"/>
          <w:szCs w:val="20"/>
          <w:color w:val="auto"/>
        </w:rPr>
        <w:t>$80 - 90 million for the full year (excluding the impact of revaluation of partners’ mandatorily</w:t>
      </w:r>
      <w:r>
        <w:rPr>
          <w:rFonts w:ascii="Arial" w:cs="Arial" w:eastAsia="Arial" w:hAnsi="Arial"/>
          <w:sz w:val="20"/>
          <w:szCs w:val="20"/>
          <w:b w:val="1"/>
          <w:bCs w:val="1"/>
          <w:color w:val="auto"/>
        </w:rPr>
        <w:t xml:space="preserve"> </w:t>
      </w:r>
      <w:r>
        <w:rPr>
          <w:rFonts w:ascii="Arial" w:cs="Arial" w:eastAsia="Arial" w:hAnsi="Arial"/>
          <w:sz w:val="20"/>
          <w:szCs w:val="20"/>
          <w:color w:val="auto"/>
        </w:rPr>
        <w:t>redeemable financial liability)</w:t>
      </w:r>
    </w:p>
    <w:p>
      <w:pPr>
        <w:spacing w:after="0" w:line="200" w:lineRule="exact"/>
        <w:rPr>
          <w:sz w:val="20"/>
          <w:szCs w:val="20"/>
          <w:color w:val="auto"/>
        </w:rPr>
      </w:pPr>
    </w:p>
    <w:p>
      <w:pPr>
        <w:spacing w:after="0" w:line="291"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Tax rate </w:t>
      </w:r>
      <w:r>
        <w:rPr>
          <w:rFonts w:ascii="Arial" w:cs="Arial" w:eastAsia="Arial" w:hAnsi="Arial"/>
          <w:sz w:val="20"/>
          <w:szCs w:val="20"/>
          <w:color w:val="auto"/>
        </w:rPr>
        <w:t>28 - 32%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Capital expenditures </w:t>
      </w:r>
      <w:r>
        <w:rPr>
          <w:rFonts w:ascii="Arial" w:cs="Arial" w:eastAsia="Arial" w:hAnsi="Arial"/>
          <w:sz w:val="20"/>
          <w:szCs w:val="20"/>
          <w:color w:val="auto"/>
        </w:rPr>
        <w:t>approximately $450 million for the full year</w:t>
      </w:r>
    </w:p>
    <w:p>
      <w:pPr>
        <w:spacing w:after="0" w:line="200" w:lineRule="exact"/>
        <w:rPr>
          <w:sz w:val="20"/>
          <w:szCs w:val="20"/>
          <w:color w:val="auto"/>
        </w:rPr>
      </w:pPr>
    </w:p>
    <w:p>
      <w:pPr>
        <w:spacing w:after="0" w:line="340"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Cash flow from operating activities </w:t>
      </w:r>
      <w:r>
        <w:rPr>
          <w:rFonts w:ascii="Arial" w:cs="Arial" w:eastAsia="Arial" w:hAnsi="Arial"/>
          <w:sz w:val="20"/>
          <w:szCs w:val="20"/>
          <w:color w:val="auto"/>
        </w:rPr>
        <w:t>to exceed $1 billion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120" w:lineRule="exact"/>
        <w:rPr>
          <w:sz w:val="20"/>
          <w:szCs w:val="20"/>
          <w:color w:val="auto"/>
        </w:rPr>
      </w:pPr>
    </w:p>
    <w:p>
      <w:pPr>
        <w:jc w:val="both"/>
        <w:ind w:firstLine="8"/>
        <w:spacing w:after="0" w:line="230" w:lineRule="auto"/>
        <w:tabs>
          <w:tab w:leader="none" w:pos="117"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Our guidance measures adjusted EBITDA margin, corporate expense, net (excluding the impact of foreign currency fluctuations), net interest expense (excluding the impact of revaluation of partners’ mandatorily redeemable financial liability), and tax rate are non-GAAP financial measures. We are unable to provide a reconciliation to comparable GAAP financial measures on a forward-looking basis without unreasonable effort because of the unpredictability of the individual components of the most directly comparable GAAP financial measure and the variability of items excluded from each such measure. Such information may have a significant, and potentially unpredictable, impact on our future financial results.</w:t>
      </w:r>
    </w:p>
    <w:p>
      <w:pPr>
        <w:sectPr>
          <w:pgSz w:w="11900" w:h="16838" w:orient="portrait"/>
          <w:cols w:equalWidth="0" w:num="1">
            <w:col w:w="11420"/>
          </w:cols>
          <w:pgMar w:left="240" w:top="1165" w:right="2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13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65"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Teleconference</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Company will host a teleconference on Thursday, February 27, 2020 to discuss the fourth quarter 2019 financial results. The call will begin at 1 p.m. London time (8 a.m. New York time). Dial-in information and an accompanying presentation can be found at </w:t>
      </w:r>
      <w:r>
        <w:rPr>
          <w:rFonts w:ascii="Arial" w:cs="Arial" w:eastAsia="Arial" w:hAnsi="Arial"/>
          <w:sz w:val="20"/>
          <w:szCs w:val="20"/>
          <w:u w:val="single" w:color="auto"/>
          <w:color w:val="0000FF"/>
        </w:rPr>
        <w:t>www.TechnipFMC.com</w:t>
      </w:r>
      <w:r>
        <w:rPr>
          <w:rFonts w:ascii="Arial" w:cs="Arial" w:eastAsia="Arial" w:hAnsi="Arial"/>
          <w:sz w:val="20"/>
          <w:szCs w:val="20"/>
          <w:color w:val="auto"/>
        </w:rPr>
        <w:t>.</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Webcast access will also be available on our website prior to the start of the call. An archived audio replay will be available after the event at the same website address. In the event of a disruption of service or technical difficulty during the call, information will be posted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14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6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39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i w:val="1"/>
          <w:iCs w:val="1"/>
          <w:color w:val="808080"/>
        </w:rPr>
        <w:t>TechnipFMC is a global leader in subsea, onshore/offshore, and surface projects. With our proprietary technologies and production systems, integrated expertise, and comprehensive solutions, we are transforming our clients’ project economics.</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808080"/>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color w:val="808080"/>
        </w:rPr>
        <w:t>Each of our more than 37,000 employees is driven by a steady commitment to clients and a culture of purposeful innovation, challenging industry conventions, and rethinking how the best results are achieved.</w:t>
      </w:r>
    </w:p>
    <w:p>
      <w:pPr>
        <w:spacing w:after="0" w:line="123"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i w:val="1"/>
          <w:iCs w:val="1"/>
          <w:color w:val="808080"/>
        </w:rPr>
        <w:t>TechnipFMC utilizes its website www.TechnipFMC.com as a channel of distribution of material company information. To learn more about us and how we are enhancing the performance of the world’s energy industry, go to www.TechnipFMC.com and follow us on Twitter @TechnipFMC.</w:t>
      </w:r>
    </w:p>
    <w:p>
      <w:pPr>
        <w:spacing w:after="0" w:line="2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808080"/>
        </w:rPr>
        <w:t>This communication contains “forward-looking statements” as defined in Section 27A of the United States Securities Act of 1933, as amended, and Section 21E of the United States Securities Exchange Act of 1934, as amended. Words such as “guidance,” “confident,” “believe,” “expect,” “anticipate,” “plan,” “intend,” “foresee,” “should,” “would,” “could,” “may,” “will,” “likely,” “predicated,”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142" w:lineRule="exact"/>
        <w:rPr>
          <w:sz w:val="20"/>
          <w:szCs w:val="20"/>
          <w:color w:val="auto"/>
        </w:rPr>
      </w:pPr>
    </w:p>
    <w:p>
      <w:pPr>
        <w:ind w:left="660" w:hanging="328"/>
        <w:spacing w:after="0" w:line="26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risks associated with our ability to consummate our proposed separation and spin-off, and our ability to achieve the intended benefits and synergies of the transaction;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unanticipated changes relating to competitive factors in our industry;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demand for our products and services, which is affected by changes in the price of, and demand for, crude oil and natural gas in domestic and international markets;</w:t>
      </w: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our ability to develop and implement new technologies and services, as well as our ability to protect and maintain critical intellectual property assets;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potential liabilities arising out of the installation or use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cost overruns related to our fixed price contracts or capital asset construction projects that may affect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our ability to timely deliver our backlog and its effect on our future sales, profitability, and our relationships with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our reliance on subcontractors, suppliers and joint venture partners in the performance of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our ability to hire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the potential impacts of seasonal and weather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the cumulative loss of major contracts or alliances;</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808080"/>
        </w:rPr>
        <w:t>U.S. and international laws and regulations, including existing or future environmental regulations, that may increase our costs, limit the demand for our products and services or restrict our operations;</w:t>
      </w:r>
    </w:p>
    <w:p>
      <w:pPr>
        <w:spacing w:after="0" w:line="400"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15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65" w:right="239" w:bottom="1440" w:gutter="0" w:footer="0" w:header="0"/>
        </w:sectPr>
      </w:pPr>
    </w:p>
    <w:bookmarkStart w:id="19" w:name="page20"/>
    <w:bookmarkEnd w:id="19"/>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disruptions in the political, regulatory, economic and social conditions of the countries in which we conduct business;</w:t>
      </w:r>
    </w:p>
    <w:p>
      <w:pPr>
        <w:spacing w:after="0" w:line="27"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risks associated with The Depository Trust Company and Euroclear for clearance services for shares traded on the NYSE and Euronext Paris, respectively;</w:t>
      </w:r>
    </w:p>
    <w:p>
      <w:pPr>
        <w:jc w:val="both"/>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the United Kingdom’s withdrawal from the European Union; 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compliance with covenants under our debt instruments and conditions in the credit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downgrade in the ratings of our debt could restrict our ability to access the debt capital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the outcome of uninsured claims and litigation against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the risks of currency exchange rate fluctuations associated with our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risks related to our acquisition and divestiture activities;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failure of our information technology infrastructure or any significant breach of security, including related to cyber attacks, and actual or perceived failure to comply with data security and privacy obligations;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risks associated with tax liabilities, changes in U.S. federal or international tax laws or interpretations to which they are subject;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piracy risks for our maritime employees and assets;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808080"/>
        </w:rPr>
        <w:t>such other risk factors as set forth in our filings with the U.S. Securities and Exchange Commission and in our filings with the Autorité des marchés financiers or the U.K. Financial Conduct Authority.</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808080"/>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16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1174"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778760" cy="531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778760" cy="531495"/>
                    </a:xfrm>
                    <a:prstGeom prst="rect">
                      <a:avLst/>
                    </a:prstGeom>
                    <a:noFill/>
                  </pic:spPr>
                </pic:pic>
              </a:graphicData>
            </a:graphic>
          </wp:anchor>
        </w:drawing>
        <w:t>Contacts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60" w:type="dxa"/>
            <w:vAlign w:val="bottom"/>
            <w:gridSpan w:val="4"/>
          </w:tcPr>
          <w:p>
            <w:pPr>
              <w:spacing w:after="0"/>
              <w:rPr>
                <w:sz w:val="20"/>
                <w:szCs w:val="20"/>
                <w:color w:val="auto"/>
              </w:rPr>
            </w:pPr>
            <w:r>
              <w:rPr>
                <w:rFonts w:ascii="Arial" w:cs="Arial" w:eastAsia="Arial" w:hAnsi="Arial"/>
                <w:sz w:val="20"/>
                <w:szCs w:val="20"/>
                <w:b w:val="1"/>
                <w:bCs w:val="1"/>
                <w:color w:val="auto"/>
              </w:rPr>
              <w:t>Investor relations</w:t>
            </w:r>
          </w:p>
        </w:tc>
        <w:tc>
          <w:tcPr>
            <w:tcW w:w="5120" w:type="dxa"/>
            <w:vAlign w:val="bottom"/>
            <w:gridSpan w:val="4"/>
          </w:tcPr>
          <w:p>
            <w:pPr>
              <w:ind w:left="1120"/>
              <w:spacing w:after="0"/>
              <w:rPr>
                <w:sz w:val="20"/>
                <w:szCs w:val="20"/>
                <w:color w:val="auto"/>
              </w:rPr>
            </w:pPr>
            <w:r>
              <w:rPr>
                <w:rFonts w:ascii="Arial" w:cs="Arial" w:eastAsia="Arial" w:hAnsi="Arial"/>
                <w:sz w:val="20"/>
                <w:szCs w:val="20"/>
                <w:b w:val="1"/>
                <w:bCs w:val="1"/>
                <w:color w:val="auto"/>
              </w:rPr>
              <w:t>Media relations</w:t>
            </w:r>
          </w:p>
        </w:tc>
      </w:tr>
      <w:tr>
        <w:trPr>
          <w:trHeight w:val="411"/>
        </w:trPr>
        <w:tc>
          <w:tcPr>
            <w:tcW w:w="426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Christophe Bélorgeot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Vice President Investor Relations</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w w:val="98"/>
              </w:rPr>
              <w:t>Senior Vice President Corporate Engagement</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Tel: +1 281 260 3665</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Tel: +33 1 47 78 39 92</w:t>
            </w:r>
          </w:p>
        </w:tc>
      </w:tr>
      <w:tr>
        <w:trPr>
          <w:trHeight w:val="193"/>
        </w:trPr>
        <w:tc>
          <w:tcPr>
            <w:tcW w:w="426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Matt Seinsheimer</w:t>
            </w:r>
          </w:p>
        </w:tc>
        <w:tc>
          <w:tcPr>
            <w:tcW w:w="5120" w:type="dxa"/>
            <w:vAlign w:val="bottom"/>
            <w:gridSpan w:val="4"/>
          </w:tcPr>
          <w:p>
            <w:pPr>
              <w:ind w:left="112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Christophe Belorgeot</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36"/>
        </w:trPr>
        <w:tc>
          <w:tcPr>
            <w:tcW w:w="4260" w:type="dxa"/>
            <w:vAlign w:val="bottom"/>
            <w:gridSpan w:val="4"/>
          </w:tcPr>
          <w:p>
            <w:pPr>
              <w:spacing w:after="0"/>
              <w:rPr>
                <w:sz w:val="20"/>
                <w:szCs w:val="20"/>
                <w:color w:val="auto"/>
              </w:rPr>
            </w:pPr>
            <w:r>
              <w:rPr>
                <w:rFonts w:ascii="Arial" w:cs="Arial" w:eastAsia="Arial" w:hAnsi="Arial"/>
                <w:sz w:val="20"/>
                <w:szCs w:val="20"/>
                <w:color w:val="auto"/>
              </w:rPr>
              <w:t>Phillip Lindsay</w:t>
            </w:r>
          </w:p>
        </w:tc>
        <w:tc>
          <w:tcPr>
            <w:tcW w:w="5120" w:type="dxa"/>
            <w:vAlign w:val="bottom"/>
            <w:gridSpan w:val="4"/>
          </w:tcPr>
          <w:p>
            <w:pPr>
              <w:ind w:left="1120"/>
              <w:spacing w:after="0"/>
              <w:rPr>
                <w:sz w:val="20"/>
                <w:szCs w:val="20"/>
                <w:color w:val="auto"/>
              </w:rPr>
            </w:pPr>
            <w:r>
              <w:rPr>
                <w:rFonts w:ascii="Arial" w:cs="Arial" w:eastAsia="Arial" w:hAnsi="Arial"/>
                <w:sz w:val="20"/>
                <w:szCs w:val="20"/>
                <w:color w:val="auto"/>
              </w:rPr>
              <w:t>Brooke Robertson</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Director Investor Relations (Europe)</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Public Relations Director</w:t>
            </w:r>
          </w:p>
        </w:tc>
      </w:tr>
      <w:tr>
        <w:trPr>
          <w:trHeight w:val="216"/>
        </w:trPr>
        <w:tc>
          <w:tcPr>
            <w:tcW w:w="4260" w:type="dxa"/>
            <w:vAlign w:val="bottom"/>
            <w:gridSpan w:val="4"/>
          </w:tcPr>
          <w:p>
            <w:pPr>
              <w:spacing w:after="0" w:line="216" w:lineRule="exact"/>
              <w:rPr>
                <w:sz w:val="20"/>
                <w:szCs w:val="20"/>
                <w:color w:val="auto"/>
              </w:rPr>
            </w:pPr>
            <w:r>
              <w:rPr>
                <w:rFonts w:ascii="Arial" w:cs="Arial" w:eastAsia="Arial" w:hAnsi="Arial"/>
                <w:sz w:val="20"/>
                <w:szCs w:val="20"/>
                <w:color w:val="auto"/>
              </w:rPr>
              <w:t>Tel: +44 (0) 20 3429 3929</w:t>
            </w:r>
          </w:p>
        </w:tc>
        <w:tc>
          <w:tcPr>
            <w:tcW w:w="5120" w:type="dxa"/>
            <w:vAlign w:val="bottom"/>
            <w:gridSpan w:val="4"/>
          </w:tcPr>
          <w:p>
            <w:pPr>
              <w:ind w:left="1120"/>
              <w:spacing w:after="0" w:line="216" w:lineRule="exact"/>
              <w:rPr>
                <w:sz w:val="20"/>
                <w:szCs w:val="20"/>
                <w:color w:val="auto"/>
              </w:rPr>
            </w:pPr>
            <w:r>
              <w:rPr>
                <w:rFonts w:ascii="Arial" w:cs="Arial" w:eastAsia="Arial" w:hAnsi="Arial"/>
                <w:sz w:val="20"/>
                <w:szCs w:val="20"/>
                <w:color w:val="auto"/>
              </w:rPr>
              <w:t>Tel: +1 281 591 4108</w:t>
            </w:r>
          </w:p>
        </w:tc>
      </w:tr>
      <w:tr>
        <w:trPr>
          <w:trHeight w:val="193"/>
        </w:trPr>
        <w:tc>
          <w:tcPr>
            <w:tcW w:w="4260" w:type="dxa"/>
            <w:vAlign w:val="bottom"/>
            <w:gridSpan w:val="4"/>
          </w:tcPr>
          <w:p>
            <w:pPr>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Phillip Lindsay</w:t>
            </w:r>
          </w:p>
        </w:tc>
        <w:tc>
          <w:tcPr>
            <w:tcW w:w="5120" w:type="dxa"/>
            <w:vAlign w:val="bottom"/>
            <w:gridSpan w:val="4"/>
          </w:tcPr>
          <w:p>
            <w:pPr>
              <w:ind w:left="1120"/>
              <w:spacing w:after="0" w:line="193" w:lineRule="exact"/>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EE"/>
              </w:rPr>
              <w:t>Brooke Robertson</w:t>
            </w:r>
          </w:p>
        </w:tc>
      </w:tr>
      <w:tr>
        <w:trPr>
          <w:trHeight w:val="20"/>
        </w:trPr>
        <w:tc>
          <w:tcPr>
            <w:tcW w:w="60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5140"/>
        <w:spacing w:after="0"/>
        <w:tabs>
          <w:tab w:leader="none" w:pos="1038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17 of </w:t>
      </w:r>
      <w:hyperlink w:anchor="page35">
        <w:r>
          <w:rPr>
            <w:rFonts w:ascii="Arial" w:cs="Arial" w:eastAsia="Arial" w:hAnsi="Arial"/>
            <w:sz w:val="14"/>
            <w:szCs w:val="14"/>
            <w:b w:val="1"/>
            <w:bCs w:val="1"/>
            <w:color w:val="auto"/>
          </w:rPr>
          <w:t>29</w:t>
        </w:r>
      </w:hyperlink>
    </w:p>
    <w:p>
      <w:pPr>
        <w:sectPr>
          <w:pgSz w:w="11900" w:h="16838" w:orient="portrait"/>
          <w:cols w:equalWidth="0" w:num="1">
            <w:col w:w="11320"/>
          </w:cols>
          <w:pgMar w:left="280" w:top="1322" w:right="299" w:bottom="1440" w:gutter="0" w:footer="0" w:header="0"/>
        </w:sectPr>
      </w:pPr>
    </w:p>
    <w:bookmarkStart w:id="21" w:name="page22"/>
    <w:bookmarkEnd w:id="21"/>
    <w:p>
      <w:pPr>
        <w:jc w:val="right"/>
        <w:spacing w:after="0"/>
        <w:rPr>
          <w:sz w:val="20"/>
          <w:szCs w:val="20"/>
          <w:color w:val="auto"/>
        </w:rPr>
      </w:pPr>
      <w:r>
        <w:rPr>
          <w:rFonts w:ascii="Arial" w:cs="Arial" w:eastAsia="Arial" w:hAnsi="Arial"/>
          <w:sz w:val="13"/>
          <w:szCs w:val="13"/>
          <w:b w:val="1"/>
          <w:bCs w:val="1"/>
          <w:color w:val="auto"/>
        </w:rPr>
        <w:t>Exhibit 1</w:t>
      </w:r>
    </w:p>
    <w:p>
      <w:pPr>
        <w:spacing w:after="0" w:line="16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u w:val="single" w:color="auto"/>
          <w:color w:val="auto"/>
        </w:rPr>
        <w:t>CONDENSED CONSOLIDATED STATEMENTS OF INCOME</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millions,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0"/>
                <w:szCs w:val="20"/>
                <w:color w:val="auto"/>
              </w:rPr>
            </w:pPr>
          </w:p>
        </w:tc>
        <w:tc>
          <w:tcPr>
            <w:tcW w:w="3260" w:type="dxa"/>
            <w:vAlign w:val="bottom"/>
            <w:gridSpan w:val="5"/>
          </w:tcPr>
          <w:p>
            <w:pPr>
              <w:jc w:val="center"/>
              <w:ind w:right="1208"/>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3"/>
                <w:szCs w:val="23"/>
                <w:color w:val="auto"/>
              </w:rPr>
            </w:pPr>
          </w:p>
        </w:tc>
        <w:tc>
          <w:tcPr>
            <w:tcW w:w="3260" w:type="dxa"/>
            <w:vAlign w:val="bottom"/>
            <w:gridSpan w:val="5"/>
          </w:tcPr>
          <w:p>
            <w:pPr>
              <w:jc w:val="center"/>
              <w:ind w:right="1228"/>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12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3,726.8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3,323.0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13,409.1</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12,552.9</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5,816.0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4,943.3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14,935.8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13,470.5</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(209.6)</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0"/>
                <w:szCs w:val="20"/>
                <w:color w:val="auto"/>
              </w:rPr>
            </w:pPr>
            <w:r>
              <w:rPr>
                <w:rFonts w:ascii="Arial" w:cs="Arial" w:eastAsia="Arial" w:hAnsi="Arial"/>
                <w:sz w:val="18"/>
                <w:szCs w:val="18"/>
                <w:color w:val="auto"/>
              </w:rPr>
              <w:t>Loss before net interest expense and income taxes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(1,127.2)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(360.9)</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(2,135.8)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(1,488.1)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422.7</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(2,430.3)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(2,412.1)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(1,910.8)</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w w:val="92"/>
              </w:rPr>
              <w:t>Net (income) loss attributable to noncontrolling interests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120" w:type="dxa"/>
            <w:vAlign w:val="bottom"/>
          </w:tcPr>
          <w:p>
            <w:pPr>
              <w:spacing w:after="0"/>
              <w:rPr>
                <w:sz w:val="20"/>
                <w:szCs w:val="20"/>
                <w:color w:val="auto"/>
              </w:rPr>
            </w:pPr>
            <w:r>
              <w:rPr>
                <w:rFonts w:ascii="Arial" w:cs="Arial" w:eastAsia="Arial" w:hAnsi="Arial"/>
                <w:sz w:val="18"/>
                <w:szCs w:val="18"/>
                <w:color w:val="auto"/>
              </w:rPr>
              <w:t>Net loss attributable to TechnipFMC plc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(2,259.3)</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(1,921.6)</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Loss per share attributable to TechnipFMC plc: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1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458.0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458.0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12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5400" w:type="dxa"/>
            <w:vAlign w:val="bottom"/>
            <w:gridSpan w:val="4"/>
          </w:tcPr>
          <w:p>
            <w:pPr>
              <w:ind w:left="4020"/>
              <w:spacing w:after="0"/>
              <w:rPr>
                <w:sz w:val="20"/>
                <w:szCs w:val="20"/>
                <w:color w:val="auto"/>
              </w:rPr>
            </w:pPr>
            <w:r>
              <w:rPr>
                <w:rFonts w:ascii="Arial" w:cs="Arial" w:eastAsia="Arial" w:hAnsi="Arial"/>
                <w:sz w:val="14"/>
                <w:szCs w:val="14"/>
                <w:b w:val="1"/>
                <w:bCs w:val="1"/>
                <w:color w:val="auto"/>
              </w:rPr>
              <w:t>TechnipFMC.com</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ind w:left="1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18 of </w:t>
            </w:r>
            <w:hyperlink w:anchor="page35">
              <w:r>
                <w:rPr>
                  <w:rFonts w:ascii="Arial" w:cs="Arial" w:eastAsia="Arial" w:hAnsi="Arial"/>
                  <w:sz w:val="14"/>
                  <w:szCs w:val="14"/>
                  <w:b w:val="1"/>
                  <w:bCs w:val="1"/>
                  <w:color w:val="auto"/>
                </w:rPr>
                <w:t>29</w:t>
              </w:r>
            </w:hyperlink>
          </w:p>
        </w:tc>
        <w:tc>
          <w:tcPr>
            <w:tcW w:w="0" w:type="dxa"/>
            <w:vAlign w:val="bottom"/>
          </w:tcPr>
          <w:p>
            <w:pPr>
              <w:spacing w:after="0"/>
              <w:rPr>
                <w:sz w:val="1"/>
                <w:szCs w:val="1"/>
                <w:color w:val="auto"/>
              </w:rPr>
            </w:pPr>
          </w:p>
        </w:tc>
      </w:tr>
    </w:tbl>
    <w:p>
      <w:pPr>
        <w:sectPr>
          <w:pgSz w:w="11900" w:h="16838" w:orient="portrait"/>
          <w:cols w:equalWidth="0" w:num="1">
            <w:col w:w="10260"/>
          </w:cols>
          <w:pgMar w:left="1400" w:top="49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3"/>
          <w:szCs w:val="13"/>
          <w:b w:val="1"/>
          <w:bCs w:val="1"/>
          <w:color w:val="auto"/>
        </w:rPr>
        <w:t>Exhibit 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20"/>
                <w:szCs w:val="20"/>
                <w:color w:val="auto"/>
              </w:rPr>
            </w:pPr>
          </w:p>
        </w:tc>
        <w:tc>
          <w:tcPr>
            <w:tcW w:w="22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3"/>
                <w:szCs w:val="23"/>
                <w:color w:val="auto"/>
              </w:rPr>
            </w:pPr>
          </w:p>
        </w:tc>
        <w:tc>
          <w:tcPr>
            <w:tcW w:w="22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85"/>
              </w:rPr>
              <w:t>Revenue</w:t>
            </w:r>
          </w:p>
        </w:tc>
        <w:tc>
          <w:tcPr>
            <w:tcW w:w="3020" w:type="dxa"/>
            <w:vAlign w:val="bottom"/>
            <w:gridSpan w:val="4"/>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60" w:type="dxa"/>
            <w:vAlign w:val="bottom"/>
            <w:tcBorders>
              <w:bottom w:val="single" w:sz="8" w:color="auto"/>
            </w:tcBorders>
            <w:vMerge w:val="continue"/>
          </w:tcPr>
          <w:p>
            <w:pPr>
              <w:spacing w:after="0"/>
              <w:rPr>
                <w:sz w:val="17"/>
                <w:szCs w:val="17"/>
                <w:color w:val="auto"/>
              </w:rPr>
            </w:pPr>
          </w:p>
        </w:tc>
        <w:tc>
          <w:tcPr>
            <w:tcW w:w="302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3680" w:type="dxa"/>
            <w:vAlign w:val="bottom"/>
            <w:gridSpan w:val="5"/>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1,486.8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5,523.0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4,840.0</w:t>
            </w:r>
          </w:p>
        </w:tc>
        <w:tc>
          <w:tcPr>
            <w:tcW w:w="0" w:type="dxa"/>
            <w:vAlign w:val="bottom"/>
          </w:tcPr>
          <w:p>
            <w:pPr>
              <w:spacing w:after="0"/>
              <w:rPr>
                <w:sz w:val="1"/>
                <w:szCs w:val="1"/>
                <w:color w:val="auto"/>
              </w:rPr>
            </w:pPr>
          </w:p>
        </w:tc>
      </w:tr>
      <w:tr>
        <w:trPr>
          <w:trHeight w:val="270"/>
        </w:trPr>
        <w:tc>
          <w:tcPr>
            <w:tcW w:w="368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1,832.4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6,268.8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6,120.7</w:t>
            </w:r>
          </w:p>
        </w:tc>
        <w:tc>
          <w:tcPr>
            <w:tcW w:w="0" w:type="dxa"/>
            <w:vAlign w:val="bottom"/>
          </w:tcPr>
          <w:p>
            <w:pPr>
              <w:spacing w:after="0"/>
              <w:rPr>
                <w:sz w:val="1"/>
                <w:szCs w:val="1"/>
                <w:color w:val="auto"/>
              </w:rPr>
            </w:pPr>
          </w:p>
        </w:tc>
      </w:tr>
      <w:tr>
        <w:trPr>
          <w:trHeight w:val="270"/>
        </w:trPr>
        <w:tc>
          <w:tcPr>
            <w:tcW w:w="368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1,592.2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3,726.8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3,323.0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13,409.1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12,552.9</w:t>
            </w:r>
          </w:p>
        </w:tc>
        <w:tc>
          <w:tcPr>
            <w:tcW w:w="0" w:type="dxa"/>
            <w:vAlign w:val="bottom"/>
          </w:tcPr>
          <w:p>
            <w:pPr>
              <w:spacing w:after="0"/>
              <w:rPr>
                <w:sz w:val="1"/>
                <w:szCs w:val="1"/>
                <w:color w:val="auto"/>
              </w:rPr>
            </w:pPr>
          </w:p>
        </w:tc>
      </w:tr>
      <w:tr>
        <w:trPr>
          <w:trHeight w:val="27"/>
        </w:trPr>
        <w:tc>
          <w:tcPr>
            <w:tcW w:w="36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gridSpan w:val="5"/>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68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2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0"/>
              </w:rPr>
              <w:t>Segment operating profit (loss)</w:t>
            </w:r>
          </w:p>
        </w:tc>
        <w:tc>
          <w:tcPr>
            <w:tcW w:w="3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680" w:type="dxa"/>
            <w:vAlign w:val="bottom"/>
            <w:gridSpan w:val="5"/>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(1,739.5)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(1,447.7)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(1,529.5)</w:t>
            </w:r>
          </w:p>
        </w:tc>
        <w:tc>
          <w:tcPr>
            <w:tcW w:w="0" w:type="dxa"/>
            <w:vAlign w:val="bottom"/>
          </w:tcPr>
          <w:p>
            <w:pPr>
              <w:spacing w:after="0"/>
              <w:rPr>
                <w:sz w:val="1"/>
                <w:szCs w:val="1"/>
                <w:color w:val="auto"/>
              </w:rPr>
            </w:pPr>
          </w:p>
        </w:tc>
      </w:tr>
      <w:tr>
        <w:trPr>
          <w:trHeight w:val="270"/>
        </w:trPr>
        <w:tc>
          <w:tcPr>
            <w:tcW w:w="3680" w:type="dxa"/>
            <w:vAlign w:val="bottom"/>
            <w:gridSpan w:val="5"/>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70"/>
        </w:trPr>
        <w:tc>
          <w:tcPr>
            <w:tcW w:w="3680" w:type="dxa"/>
            <w:vAlign w:val="bottom"/>
            <w:gridSpan w:val="5"/>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gridSpan w:val="5"/>
          </w:tcPr>
          <w:p>
            <w:pPr>
              <w:spacing w:after="0"/>
              <w:rPr>
                <w:sz w:val="20"/>
                <w:szCs w:val="20"/>
                <w:color w:val="auto"/>
              </w:rPr>
            </w:pPr>
            <w:r>
              <w:rPr>
                <w:rFonts w:ascii="Arial" w:cs="Arial" w:eastAsia="Arial" w:hAnsi="Arial"/>
                <w:sz w:val="18"/>
                <w:szCs w:val="18"/>
                <w:color w:val="auto"/>
              </w:rPr>
              <w:t>Total segment operating profit (loss)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7"/>
        </w:trPr>
        <w:tc>
          <w:tcPr>
            <w:tcW w:w="3680" w:type="dxa"/>
            <w:vAlign w:val="bottom"/>
            <w:gridSpan w:val="5"/>
            <w:vMerge w:val="restart"/>
          </w:tcPr>
          <w:p>
            <w:pPr>
              <w:spacing w:after="0"/>
              <w:rPr>
                <w:sz w:val="20"/>
                <w:szCs w:val="20"/>
                <w:color w:val="auto"/>
              </w:rPr>
            </w:pPr>
            <w:r>
              <w:rPr>
                <w:rFonts w:ascii="Arial" w:cs="Arial" w:eastAsia="Arial" w:hAnsi="Arial"/>
                <w:sz w:val="18"/>
                <w:szCs w:val="18"/>
                <w:color w:val="auto"/>
              </w:rPr>
              <w:t>Corporate items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368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680" w:type="dxa"/>
            <w:vAlign w:val="bottom"/>
            <w:gridSpan w:val="5"/>
          </w:tcPr>
          <w:p>
            <w:pPr>
              <w:spacing w:after="0"/>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30"/>
        </w:trPr>
        <w:tc>
          <w:tcPr>
            <w:tcW w:w="3680" w:type="dxa"/>
            <w:vAlign w:val="bottom"/>
            <w:gridSpan w:val="5"/>
          </w:tcPr>
          <w:p>
            <w:pPr>
              <w:spacing w:after="0"/>
              <w:rPr>
                <w:sz w:val="20"/>
                <w:szCs w:val="20"/>
                <w:color w:val="auto"/>
              </w:rPr>
            </w:pPr>
            <w:r>
              <w:rPr>
                <w:rFonts w:ascii="Arial" w:cs="Arial" w:eastAsia="Arial" w:hAnsi="Arial"/>
                <w:sz w:val="18"/>
                <w:szCs w:val="18"/>
                <w:color w:val="auto"/>
              </w:rPr>
              <w:t>Net interest expense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gridSpan w:val="5"/>
          </w:tcPr>
          <w:p>
            <w:pPr>
              <w:spacing w:after="0"/>
              <w:rPr>
                <w:sz w:val="20"/>
                <w:szCs w:val="20"/>
                <w:color w:val="auto"/>
              </w:rPr>
            </w:pPr>
            <w:r>
              <w:rPr>
                <w:rFonts w:ascii="Arial" w:cs="Arial" w:eastAsia="Arial" w:hAnsi="Arial"/>
                <w:sz w:val="18"/>
                <w:szCs w:val="18"/>
                <w:color w:val="auto"/>
              </w:rPr>
              <w:t>Total corporate items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3680" w:type="dxa"/>
            <w:vAlign w:val="bottom"/>
            <w:gridSpan w:val="5"/>
          </w:tcPr>
          <w:p>
            <w:pPr>
              <w:spacing w:after="0"/>
              <w:rPr>
                <w:sz w:val="20"/>
                <w:szCs w:val="20"/>
                <w:color w:val="auto"/>
              </w:rPr>
            </w:pPr>
            <w:r>
              <w:rPr>
                <w:rFonts w:ascii="Arial" w:cs="Arial" w:eastAsia="Arial" w:hAnsi="Arial"/>
                <w:sz w:val="18"/>
                <w:szCs w:val="18"/>
                <w:color w:val="auto"/>
              </w:rPr>
              <w:t xml:space="preserve">Loss before income taxes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(2,250.5)</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(2,004.5)</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(2,135.8)</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5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Corporate expense primarily includes corporate staff expenses, legal reserve, share-based compensation expenses, other employee benefits, certain foreign exchange gains and losses, merger transaction and integration expenses and separation expenses.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amounts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19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499"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3"/>
          <w:szCs w:val="13"/>
          <w:b w:val="1"/>
          <w:bCs w:val="1"/>
          <w:color w:val="auto"/>
        </w:rPr>
        <w:t>Exhibit 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1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Year Ended</w:t>
            </w:r>
          </w:p>
        </w:tc>
      </w:tr>
      <w:tr>
        <w:trPr>
          <w:trHeight w:val="230"/>
        </w:trPr>
        <w:tc>
          <w:tcPr>
            <w:tcW w:w="4220" w:type="dxa"/>
            <w:vAlign w:val="bottom"/>
            <w:gridSpan w:val="2"/>
          </w:tcPr>
          <w:p>
            <w:pPr>
              <w:spacing w:after="0" w:line="229" w:lineRule="exact"/>
              <w:rPr>
                <w:sz w:val="20"/>
                <w:szCs w:val="20"/>
                <w:color w:val="auto"/>
              </w:rPr>
            </w:pPr>
            <w:r>
              <w:rPr>
                <w:rFonts w:ascii="Arial" w:cs="Arial" w:eastAsia="Arial" w:hAnsi="Arial"/>
                <w:sz w:val="18"/>
                <w:szCs w:val="18"/>
                <w:b w:val="1"/>
                <w:bCs w:val="1"/>
                <w:color w:val="auto"/>
              </w:rPr>
              <w:t xml:space="preserve">Inbound Orders </w:t>
            </w:r>
            <w:r>
              <w:rPr>
                <w:rFonts w:ascii="Arial" w:cs="Arial" w:eastAsia="Arial" w:hAnsi="Arial"/>
                <w:sz w:val="25"/>
                <w:szCs w:val="25"/>
                <w:b w:val="1"/>
                <w:bCs w:val="1"/>
                <w:color w:val="auto"/>
                <w:vertAlign w:val="superscript"/>
              </w:rPr>
              <w:t>(1)</w:t>
            </w:r>
          </w:p>
        </w:tc>
        <w:tc>
          <w:tcPr>
            <w:tcW w:w="260" w:type="dxa"/>
            <w:vAlign w:val="bottom"/>
          </w:tcPr>
          <w:p>
            <w:pPr>
              <w:spacing w:after="0"/>
              <w:rPr>
                <w:sz w:val="19"/>
                <w:szCs w:val="19"/>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21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December 31,</w:t>
            </w:r>
          </w:p>
        </w:tc>
      </w:tr>
      <w:tr>
        <w:trPr>
          <w:trHeight w:val="48"/>
        </w:trPr>
        <w:tc>
          <w:tcPr>
            <w:tcW w:w="1260" w:type="dxa"/>
            <w:vAlign w:val="bottom"/>
            <w:tcBorders>
              <w:top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7"/>
        </w:trPr>
        <w:tc>
          <w:tcPr>
            <w:tcW w:w="12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7"/>
        </w:trPr>
        <w:tc>
          <w:tcPr>
            <w:tcW w:w="1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20"/>
        </w:trPr>
        <w:tc>
          <w:tcPr>
            <w:tcW w:w="422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880.6</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7,992.6</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5,178.5</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13,080.5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7,425.9</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1,686.6</w:t>
            </w:r>
          </w:p>
        </w:tc>
      </w:tr>
      <w:tr>
        <w:trPr>
          <w:trHeight w:val="27"/>
        </w:trPr>
        <w:tc>
          <w:tcPr>
            <w:tcW w:w="12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auto"/>
              </w:rPr>
              <w:t>Total inbound orders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22,693.0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14,291.0</w:t>
            </w:r>
          </w:p>
        </w:tc>
      </w:tr>
      <w:tr>
        <w:trPr>
          <w:trHeight w:val="20"/>
        </w:trPr>
        <w:tc>
          <w:tcPr>
            <w:tcW w:w="1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87"/>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Order Backlog </w:t>
            </w:r>
            <w:r>
              <w:rPr>
                <w:rFonts w:ascii="Arial" w:cs="Arial" w:eastAsia="Arial" w:hAnsi="Arial"/>
                <w:sz w:val="25"/>
                <w:szCs w:val="25"/>
                <w:b w:val="1"/>
                <w:bCs w:val="1"/>
                <w:color w:val="auto"/>
                <w:vertAlign w:val="superscript"/>
              </w:rPr>
              <w:t>(2)</w:t>
            </w:r>
          </w:p>
        </w:tc>
        <w:tc>
          <w:tcPr>
            <w:tcW w:w="260" w:type="dxa"/>
            <w:vAlign w:val="bottom"/>
          </w:tcPr>
          <w:p>
            <w:pPr>
              <w:spacing w:after="0"/>
              <w:rPr>
                <w:sz w:val="24"/>
                <w:szCs w:val="24"/>
                <w:color w:val="auto"/>
              </w:rPr>
            </w:pPr>
          </w:p>
        </w:tc>
        <w:tc>
          <w:tcPr>
            <w:tcW w:w="21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December 31,</w:t>
            </w:r>
          </w:p>
        </w:tc>
      </w:tr>
      <w:tr>
        <w:trPr>
          <w:trHeight w:val="48"/>
        </w:trPr>
        <w:tc>
          <w:tcPr>
            <w:tcW w:w="1140" w:type="dxa"/>
            <w:vAlign w:val="bottom"/>
            <w:tcBorders>
              <w:top w:val="single" w:sz="8" w:color="auto"/>
            </w:tcBorders>
          </w:tcPr>
          <w:p>
            <w:pPr>
              <w:spacing w:after="0"/>
              <w:rPr>
                <w:sz w:val="4"/>
                <w:szCs w:val="4"/>
                <w:color w:val="auto"/>
              </w:rPr>
            </w:pPr>
          </w:p>
        </w:tc>
        <w:tc>
          <w:tcPr>
            <w:tcW w:w="56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37"/>
        </w:trPr>
        <w:tc>
          <w:tcPr>
            <w:tcW w:w="11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7"/>
        </w:trPr>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20"/>
        </w:trPr>
        <w:tc>
          <w:tcPr>
            <w:tcW w:w="6760" w:type="dxa"/>
            <w:vAlign w:val="bottom"/>
            <w:gridSpan w:val="2"/>
          </w:tcPr>
          <w:p>
            <w:pPr>
              <w:spacing w:after="0"/>
              <w:rPr>
                <w:sz w:val="20"/>
                <w:szCs w:val="20"/>
                <w:color w:val="auto"/>
              </w:rPr>
            </w:pPr>
            <w:r>
              <w:rPr>
                <w:rFonts w:ascii="Arial" w:cs="Arial" w:eastAsia="Arial" w:hAnsi="Arial"/>
                <w:sz w:val="18"/>
                <w:szCs w:val="18"/>
                <w:color w:val="auto"/>
              </w:rPr>
              <w:t>Subsea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8,479.8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5,999.6</w:t>
            </w: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color w:val="auto"/>
              </w:rPr>
              <w:t>Onshore/Offshore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15,298.1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8,090.5</w:t>
            </w: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color w:val="auto"/>
              </w:rPr>
              <w:t>Surface Technologies</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469.9</w:t>
            </w:r>
          </w:p>
        </w:tc>
      </w:tr>
      <w:tr>
        <w:trPr>
          <w:trHeight w:val="27"/>
        </w:trPr>
        <w:tc>
          <w:tcPr>
            <w:tcW w:w="1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760" w:type="dxa"/>
            <w:vAlign w:val="bottom"/>
            <w:gridSpan w:val="2"/>
          </w:tcPr>
          <w:p>
            <w:pPr>
              <w:spacing w:after="0"/>
              <w:rPr>
                <w:sz w:val="20"/>
                <w:szCs w:val="20"/>
                <w:color w:val="auto"/>
              </w:rPr>
            </w:pPr>
            <w:r>
              <w:rPr>
                <w:rFonts w:ascii="Arial" w:cs="Arial" w:eastAsia="Arial" w:hAnsi="Arial"/>
                <w:sz w:val="18"/>
                <w:szCs w:val="18"/>
                <w:color w:val="auto"/>
              </w:rPr>
              <w:t>Total order backlog</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24,251.1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14,560.0</w:t>
            </w: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Inbound orders represent the estimated sales value of confirmed customer orders received during the reporting period.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Order backlog is calculated as the estimated sales value of unfilled, confirmed customer orders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20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49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3"/>
          <w:szCs w:val="13"/>
          <w:b w:val="1"/>
          <w:bCs w:val="1"/>
          <w:color w:val="auto"/>
        </w:rPr>
        <w:t>Exhibit 4</w:t>
      </w:r>
    </w:p>
    <w:p>
      <w:pPr>
        <w:spacing w:after="0" w:line="161"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6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w:t>
            </w:r>
          </w:p>
        </w:tc>
        <w:tc>
          <w:tcPr>
            <w:tcW w:w="22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3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30"/>
              <w:spacing w:after="0"/>
              <w:rPr>
                <w:sz w:val="20"/>
                <w:szCs w:val="20"/>
                <w:color w:val="auto"/>
              </w:rPr>
            </w:pPr>
            <w:r>
              <w:rPr>
                <w:rFonts w:ascii="Arial" w:cs="Arial" w:eastAsia="Arial" w:hAnsi="Arial"/>
                <w:sz w:val="16"/>
                <w:szCs w:val="16"/>
                <w:b w:val="1"/>
                <w:bCs w:val="1"/>
                <w:color w:val="auto"/>
                <w:w w:val="89"/>
              </w:rPr>
              <w:t>2018</w:t>
            </w:r>
          </w:p>
        </w:tc>
        <w:tc>
          <w:tcPr>
            <w:tcW w:w="1040" w:type="dxa"/>
            <w:vAlign w:val="bottom"/>
          </w:tcPr>
          <w:p>
            <w:pPr>
              <w:spacing w:after="0"/>
              <w:rPr>
                <w:sz w:val="18"/>
                <w:szCs w:val="18"/>
                <w:color w:val="auto"/>
              </w:rPr>
            </w:pPr>
          </w:p>
        </w:tc>
      </w:tr>
      <w:tr>
        <w:trPr>
          <w:trHeight w:val="33"/>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520"/>
        </w:trPr>
        <w:tc>
          <w:tcPr>
            <w:tcW w:w="3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5,190.2</w:t>
            </w:r>
          </w:p>
        </w:tc>
        <w:tc>
          <w:tcPr>
            <w:tcW w:w="100" w:type="dxa"/>
            <w:vAlign w:val="bottom"/>
          </w:tcPr>
          <w:p>
            <w:pPr>
              <w:spacing w:after="0"/>
              <w:rPr>
                <w:sz w:val="24"/>
                <w:szCs w:val="24"/>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5,540.0</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Trade receivables, net</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2,218.1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2,469.7</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Contract assets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1,295.0</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Inventories, net</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1,416.0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1,251.2</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1,473.1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1,225.3</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9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11,781.2</w:t>
            </w:r>
          </w:p>
        </w:tc>
        <w:tc>
          <w:tcPr>
            <w:tcW w:w="1040" w:type="dxa"/>
            <w:vAlign w:val="bottom"/>
          </w:tcPr>
          <w:p>
            <w:pPr>
              <w:spacing w:after="0"/>
              <w:rPr>
                <w:sz w:val="20"/>
                <w:szCs w:val="20"/>
                <w:color w:val="auto"/>
              </w:rPr>
            </w:pPr>
          </w:p>
        </w:tc>
      </w:tr>
      <w:tr>
        <w:trPr>
          <w:trHeight w:val="554"/>
        </w:trPr>
        <w:tc>
          <w:tcPr>
            <w:tcW w:w="3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3,162.0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3,259.8</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Goodwill</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5,598.3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7,607.6</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1,176.7</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assets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1,785.5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959.2</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280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23,449.8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24,784.5</w:t>
            </w:r>
          </w:p>
        </w:tc>
        <w:tc>
          <w:tcPr>
            <w:tcW w:w="1040" w:type="dxa"/>
            <w:vAlign w:val="bottom"/>
          </w:tcPr>
          <w:p>
            <w:pPr>
              <w:spacing w:after="0"/>
              <w:rPr>
                <w:sz w:val="22"/>
                <w:szCs w:val="22"/>
                <w:color w:val="auto"/>
              </w:rPr>
            </w:pPr>
          </w:p>
        </w:tc>
      </w:tr>
      <w:tr>
        <w:trPr>
          <w:trHeight w:val="20"/>
        </w:trPr>
        <w:tc>
          <w:tcPr>
            <w:tcW w:w="3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14"/>
        </w:trPr>
        <w:tc>
          <w:tcPr>
            <w:tcW w:w="3960" w:type="dxa"/>
            <w:vAlign w:val="bottom"/>
          </w:tcPr>
          <w:p>
            <w:pPr>
              <w:spacing w:after="0"/>
              <w:rPr>
                <w:sz w:val="20"/>
                <w:szCs w:val="20"/>
                <w:color w:val="auto"/>
              </w:rPr>
            </w:pPr>
            <w:r>
              <w:rPr>
                <w:rFonts w:ascii="Arial" w:cs="Arial" w:eastAsia="Arial" w:hAnsi="Arial"/>
                <w:sz w:val="18"/>
                <w:szCs w:val="18"/>
                <w:color w:val="auto"/>
                <w:w w:val="93"/>
              </w:rPr>
              <w:t>Short-term debt and current portion of long-term debt</w:t>
            </w:r>
          </w:p>
        </w:tc>
        <w:tc>
          <w:tcPr>
            <w:tcW w:w="308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4"/>
                <w:szCs w:val="24"/>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67.4</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Accounts payable, trade</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2,590.8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2,600.3</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Contract liabilities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4,585.1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4,085.1</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2,398.1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2,386.6</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9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10,069.4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9,139.4</w:t>
            </w:r>
          </w:p>
        </w:tc>
        <w:tc>
          <w:tcPr>
            <w:tcW w:w="1040" w:type="dxa"/>
            <w:vAlign w:val="bottom"/>
          </w:tcPr>
          <w:p>
            <w:pPr>
              <w:spacing w:after="0"/>
              <w:rPr>
                <w:sz w:val="20"/>
                <w:szCs w:val="20"/>
                <w:color w:val="auto"/>
              </w:rPr>
            </w:pPr>
          </w:p>
        </w:tc>
      </w:tr>
      <w:tr>
        <w:trPr>
          <w:trHeight w:val="554"/>
        </w:trPr>
        <w:tc>
          <w:tcPr>
            <w:tcW w:w="39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4,124.3</w:t>
            </w:r>
          </w:p>
        </w:tc>
        <w:tc>
          <w:tcPr>
            <w:tcW w:w="1040" w:type="dxa"/>
            <w:vAlign w:val="bottom"/>
          </w:tcPr>
          <w:p>
            <w:pPr>
              <w:spacing w:after="0"/>
              <w:rPr>
                <w:sz w:val="24"/>
                <w:szCs w:val="24"/>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liabilities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1,093.4</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TechnipFMC plc stockholders’ equity</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7,659.3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6"/>
              </w:rPr>
              <w:t>10,357.6</w:t>
            </w:r>
          </w:p>
        </w:tc>
        <w:tc>
          <w:tcPr>
            <w:tcW w:w="104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w:t>
            </w:r>
          </w:p>
        </w:tc>
        <w:tc>
          <w:tcPr>
            <w:tcW w:w="1040" w:type="dxa"/>
            <w:vAlign w:val="bottom"/>
          </w:tcPr>
          <w:p>
            <w:pPr>
              <w:spacing w:after="0"/>
              <w:rPr>
                <w:sz w:val="23"/>
                <w:szCs w:val="23"/>
                <w:color w:val="auto"/>
              </w:rPr>
            </w:pPr>
          </w:p>
        </w:tc>
      </w:tr>
      <w:tr>
        <w:trPr>
          <w:trHeight w:val="27"/>
        </w:trPr>
        <w:tc>
          <w:tcPr>
            <w:tcW w:w="3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3080" w:type="dxa"/>
            <w:vAlign w:val="bottom"/>
            <w:gridSpan w:val="2"/>
          </w:tcPr>
          <w:p>
            <w:pPr>
              <w:jc w:val="right"/>
              <w:ind w:right="7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23,449.8</w:t>
            </w:r>
          </w:p>
        </w:tc>
        <w:tc>
          <w:tcPr>
            <w:tcW w:w="100" w:type="dxa"/>
            <w:vAlign w:val="bottom"/>
          </w:tcPr>
          <w:p>
            <w:pPr>
              <w:spacing w:after="0"/>
              <w:rPr>
                <w:sz w:val="22"/>
                <w:szCs w:val="22"/>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6"/>
              </w:rPr>
              <w:t>24,784.5</w:t>
            </w:r>
          </w:p>
        </w:tc>
        <w:tc>
          <w:tcPr>
            <w:tcW w:w="1040" w:type="dxa"/>
            <w:vAlign w:val="bottom"/>
          </w:tcPr>
          <w:p>
            <w:pPr>
              <w:spacing w:after="0"/>
              <w:rPr>
                <w:sz w:val="22"/>
                <w:szCs w:val="22"/>
                <w:color w:val="auto"/>
              </w:rPr>
            </w:pPr>
          </w:p>
        </w:tc>
      </w:tr>
      <w:tr>
        <w:trPr>
          <w:trHeight w:val="20"/>
        </w:trPr>
        <w:tc>
          <w:tcPr>
            <w:tcW w:w="3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96"/>
        </w:trPr>
        <w:tc>
          <w:tcPr>
            <w:tcW w:w="3960" w:type="dxa"/>
            <w:vAlign w:val="bottom"/>
          </w:tcPr>
          <w:p>
            <w:pPr>
              <w:spacing w:after="0"/>
              <w:rPr>
                <w:sz w:val="24"/>
                <w:szCs w:val="24"/>
                <w:color w:val="auto"/>
              </w:rPr>
            </w:pPr>
          </w:p>
        </w:tc>
        <w:tc>
          <w:tcPr>
            <w:tcW w:w="3080" w:type="dxa"/>
            <w:vAlign w:val="bottom"/>
            <w:gridSpan w:val="2"/>
          </w:tcPr>
          <w:p>
            <w:pPr>
              <w:jc w:val="right"/>
              <w:ind w:right="1734"/>
              <w:spacing w:after="0"/>
              <w:rPr>
                <w:sz w:val="20"/>
                <w:szCs w:val="20"/>
                <w:color w:val="auto"/>
              </w:rPr>
            </w:pPr>
            <w:r>
              <w:rPr>
                <w:rFonts w:ascii="Arial" w:cs="Arial" w:eastAsia="Arial" w:hAnsi="Arial"/>
                <w:sz w:val="14"/>
                <w:szCs w:val="14"/>
                <w:b w:val="1"/>
                <w:bCs w:val="1"/>
                <w:color w:val="auto"/>
              </w:rPr>
              <w:t>TechnipFMC.com</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ind w:left="1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21 of </w:t>
            </w:r>
            <w:hyperlink w:anchor="page35">
              <w:r>
                <w:rPr>
                  <w:rFonts w:ascii="Arial" w:cs="Arial" w:eastAsia="Arial" w:hAnsi="Arial"/>
                  <w:sz w:val="14"/>
                  <w:szCs w:val="14"/>
                  <w:b w:val="1"/>
                  <w:bCs w:val="1"/>
                  <w:color w:val="auto"/>
                </w:rPr>
                <w:t>29</w:t>
              </w:r>
            </w:hyperlink>
          </w:p>
        </w:tc>
      </w:tr>
    </w:tbl>
    <w:p>
      <w:pPr>
        <w:sectPr>
          <w:pgSz w:w="11900" w:h="16838" w:orient="portrait"/>
          <w:cols w:equalWidth="0" w:num="1">
            <w:col w:w="10280"/>
          </w:cols>
          <w:pgMar w:left="1380" w:top="499"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3"/>
          <w:szCs w:val="13"/>
          <w:b w:val="1"/>
          <w:bCs w:val="1"/>
          <w:color w:val="auto"/>
        </w:rPr>
        <w:t>Exhibit 5</w:t>
      </w:r>
    </w:p>
    <w:p>
      <w:pPr>
        <w:spacing w:after="0" w:line="166"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TECHNIPFMC PLC AND CONSOLIDATED SUBSIDIARIES</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u w:val="single" w:color="auto"/>
          <w:color w:val="auto"/>
        </w:rPr>
        <w:t>CONSOLIDATED STATEMENTS OF CASH FLOWS</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4"/>
              </w:rPr>
              <w:t>(Unaudited)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3"/>
              </w:rPr>
              <w:t>Year Ended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0"/>
              </w:rPr>
              <w:t>December 31,</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359"/>
              <w:spacing w:after="0"/>
              <w:rPr>
                <w:sz w:val="20"/>
                <w:szCs w:val="20"/>
                <w:color w:val="auto"/>
              </w:rPr>
            </w:pPr>
            <w:r>
              <w:rPr>
                <w:rFonts w:ascii="Arial" w:cs="Arial" w:eastAsia="Arial" w:hAnsi="Arial"/>
                <w:sz w:val="16"/>
                <w:szCs w:val="16"/>
                <w:b w:val="1"/>
                <w:bCs w:val="1"/>
                <w:color w:val="auto"/>
                <w:w w:val="84"/>
              </w:rPr>
              <w:t>2018</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provided (required) by operating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(2,412.1)</w:t>
            </w:r>
          </w:p>
        </w:tc>
        <w:tc>
          <w:tcPr>
            <w:tcW w:w="100" w:type="dxa"/>
            <w:vAlign w:val="bottom"/>
          </w:tcPr>
          <w:p>
            <w:pPr>
              <w:spacing w:after="0"/>
              <w:rPr>
                <w:sz w:val="23"/>
                <w:szCs w:val="23"/>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(1,910.8)</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6"/>
                <w:szCs w:val="16"/>
                <w:color w:val="auto"/>
              </w:rPr>
              <w:t>Adjustments to reconcile net income to cash provided (required)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367.8</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Impairments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2,484.1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1,792.6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Employee benefit plan and share-based compensation costs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Deferred income tax provision (benefit),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Unrealized loss on derivative instruments and foreign exchange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Income from equity affiliates, net of dividends received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Trade receivables, net and contract assets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(664.1)</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Inventories,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Accounts payable, trade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(1,248.7)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Contract liabilities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762.7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Income taxes payable (receivable),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 current assets and liabilities,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921.2</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 noncurrent assets and liabilities, net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(213.6)</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Arial" w:cs="Arial" w:eastAsia="Arial" w:hAnsi="Arial"/>
                <w:sz w:val="16"/>
                <w:szCs w:val="16"/>
                <w:color w:val="auto"/>
              </w:rPr>
              <w:t>Cash provided (required) by operating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(185.4)</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provided (required) by investing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(368.1)</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Payment to acquire debt securities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sale of debt securities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Cash divested from deconsolidation</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sale of assets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repayment of advance to joint venture</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Arial" w:cs="Arial" w:eastAsia="Arial" w:hAnsi="Arial"/>
                <w:sz w:val="16"/>
                <w:szCs w:val="16"/>
                <w:color w:val="auto"/>
              </w:rPr>
              <w:t>Cash required by investing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(460.2)</w:t>
            </w:r>
          </w:p>
        </w:tc>
        <w:tc>
          <w:tcPr>
            <w:tcW w:w="0" w:type="dxa"/>
            <w:vAlign w:val="bottom"/>
          </w:tcPr>
          <w:p>
            <w:pPr>
              <w:spacing w:after="0"/>
              <w:rPr>
                <w:sz w:val="1"/>
                <w:szCs w:val="1"/>
                <w:color w:val="auto"/>
              </w:rPr>
            </w:pPr>
          </w:p>
        </w:tc>
      </w:tr>
      <w:tr>
        <w:trPr>
          <w:trHeight w:val="33"/>
        </w:trPr>
        <w:tc>
          <w:tcPr>
            <w:tcW w:w="6700" w:type="dxa"/>
            <w:vAlign w:val="bottom"/>
            <w:vMerge w:val="restart"/>
          </w:tcPr>
          <w:p>
            <w:pPr>
              <w:spacing w:after="0"/>
              <w:rPr>
                <w:sz w:val="20"/>
                <w:szCs w:val="20"/>
                <w:color w:val="auto"/>
              </w:rPr>
            </w:pPr>
            <w:r>
              <w:rPr>
                <w:rFonts w:ascii="Arial" w:cs="Arial" w:eastAsia="Arial" w:hAnsi="Arial"/>
                <w:sz w:val="16"/>
                <w:szCs w:val="16"/>
                <w:color w:val="auto"/>
              </w:rPr>
              <w:t>Cash required by financing activities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14"/>
        </w:trPr>
        <w:tc>
          <w:tcPr>
            <w:tcW w:w="6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Net decrease in short-term debt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Net (decrease) increase in commercial paper</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496.6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Purchase of ordinary shares</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(442.6)</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(238.1)</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Settlements of mandatorily redeemable financial liability</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(225.8)</w:t>
            </w:r>
          </w:p>
        </w:tc>
        <w:tc>
          <w:tcPr>
            <w:tcW w:w="0" w:type="dxa"/>
            <w:vAlign w:val="bottom"/>
          </w:tcPr>
          <w:p>
            <w:pPr>
              <w:spacing w:after="0"/>
              <w:rPr>
                <w:sz w:val="1"/>
                <w:szCs w:val="1"/>
                <w:color w:val="auto"/>
              </w:rPr>
            </w:pPr>
          </w:p>
        </w:tc>
      </w:tr>
      <w:tr>
        <w:trPr>
          <w:trHeight w:val="270"/>
        </w:trPr>
        <w:tc>
          <w:tcPr>
            <w:tcW w:w="6700" w:type="dxa"/>
            <w:vAlign w:val="bottom"/>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spacing w:after="0"/>
              <w:rPr>
                <w:sz w:val="20"/>
                <w:szCs w:val="20"/>
                <w:color w:val="auto"/>
              </w:rPr>
            </w:pPr>
            <w:r>
              <w:rPr>
                <w:rFonts w:ascii="Arial" w:cs="Arial" w:eastAsia="Arial" w:hAnsi="Arial"/>
                <w:sz w:val="16"/>
                <w:szCs w:val="16"/>
                <w:color w:val="auto"/>
              </w:rPr>
              <w:t>Cash required by financing activities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360"/>
              <w:spacing w:after="0"/>
              <w:rPr>
                <w:sz w:val="20"/>
                <w:szCs w:val="20"/>
                <w:color w:val="auto"/>
              </w:rPr>
            </w:pPr>
            <w:r>
              <w:rPr>
                <w:rFonts w:ascii="Arial" w:cs="Arial" w:eastAsia="Arial" w:hAnsi="Arial"/>
                <w:sz w:val="16"/>
                <w:szCs w:val="16"/>
                <w:color w:val="auto"/>
              </w:rPr>
              <w:t>Effect of changes in foreign exchange rates on cash and cash equivalents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360"/>
              <w:spacing w:after="0"/>
              <w:rPr>
                <w:sz w:val="20"/>
                <w:szCs w:val="20"/>
                <w:color w:val="auto"/>
              </w:rPr>
            </w:pPr>
            <w:r>
              <w:rPr>
                <w:rFonts w:ascii="Arial" w:cs="Arial" w:eastAsia="Arial" w:hAnsi="Arial"/>
                <w:sz w:val="16"/>
                <w:szCs w:val="16"/>
                <w:color w:val="auto"/>
              </w:rPr>
              <w:t>Decrease in cash and cash equivalents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(1,197.4)</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6,737.4</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5,190.2</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1360" w:top="499" w:right="239" w:bottom="820" w:gutter="0" w:footer="0" w:header="0"/>
        </w:sectPr>
      </w:pPr>
    </w:p>
    <w:p>
      <w:pPr>
        <w:spacing w:after="0" w:line="219" w:lineRule="exact"/>
        <w:rPr>
          <w:sz w:val="20"/>
          <w:szCs w:val="20"/>
          <w:color w:val="auto"/>
        </w:rPr>
      </w:pPr>
    </w:p>
    <w:p>
      <w:pPr>
        <w:ind w:left="4060"/>
        <w:spacing w:after="0"/>
        <w:tabs>
          <w:tab w:leader="none" w:pos="930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22 of </w:t>
      </w:r>
      <w:hyperlink w:anchor="page35">
        <w:r>
          <w:rPr>
            <w:rFonts w:ascii="Arial" w:cs="Arial" w:eastAsia="Arial" w:hAnsi="Arial"/>
            <w:sz w:val="14"/>
            <w:szCs w:val="14"/>
            <w:b w:val="1"/>
            <w:bCs w:val="1"/>
            <w:color w:val="auto"/>
          </w:rPr>
          <w:t>29</w:t>
        </w:r>
      </w:hyperlink>
    </w:p>
    <w:p>
      <w:pPr>
        <w:sectPr>
          <w:pgSz w:w="11900" w:h="16838" w:orient="portrait"/>
          <w:cols w:equalWidth="0" w:num="1">
            <w:col w:w="10300"/>
          </w:cols>
          <w:pgMar w:left="1360" w:top="499" w:right="239" w:bottom="82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auto"/>
        </w:rPr>
        <w:t>Exhibit 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SEGMENT DATA FOR YAMAL LNG JOINT VENTURE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control the voting control interests in the legal onshore/offshore contract entities which own and account for the design, engineering, and construction of the Yamal LNG plant. Our partners have a 50% joint interest in these entities. Below is summarized financial information for the consolidated Yamal LNG joint venture as reflected at 100% in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278765</wp:posOffset>
            </wp:positionV>
            <wp:extent cx="7372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3"/>
          </w:tcPr>
          <w:p>
            <w:pPr>
              <w:jc w:val="center"/>
              <w:ind w:right="968"/>
              <w:spacing w:after="0"/>
              <w:rPr>
                <w:sz w:val="20"/>
                <w:szCs w:val="20"/>
                <w:color w:val="auto"/>
              </w:rPr>
            </w:pPr>
            <w:r>
              <w:rPr>
                <w:rFonts w:ascii="Arial" w:cs="Arial" w:eastAsia="Arial" w:hAnsi="Arial"/>
                <w:sz w:val="16"/>
                <w:szCs w:val="16"/>
                <w:b w:val="1"/>
                <w:bCs w:val="1"/>
                <w:color w:val="auto"/>
                <w:w w:val="92"/>
              </w:rPr>
              <w:t>December 31,</w:t>
            </w: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40" w:type="dxa"/>
            <w:vAlign w:val="bottom"/>
          </w:tcPr>
          <w:p>
            <w:pPr>
              <w:spacing w:after="0"/>
              <w:rPr>
                <w:sz w:val="23"/>
                <w:szCs w:val="23"/>
                <w:color w:val="auto"/>
              </w:rPr>
            </w:pPr>
          </w:p>
        </w:tc>
      </w:tr>
      <w:tr>
        <w:trPr>
          <w:trHeight w:val="33"/>
        </w:trPr>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Contract liabilities</w:t>
            </w:r>
          </w:p>
        </w:tc>
        <w:tc>
          <w:tcPr>
            <w:tcW w:w="2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1,268.7</w:t>
            </w:r>
          </w:p>
        </w:tc>
        <w:tc>
          <w:tcPr>
            <w:tcW w:w="1040" w:type="dxa"/>
            <w:vAlign w:val="bottom"/>
          </w:tcPr>
          <w:p>
            <w:pPr>
              <w:spacing w:after="0"/>
              <w:rPr>
                <w:sz w:val="20"/>
                <w:szCs w:val="20"/>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Mandatorily redeemable financial liability</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268.8</w:t>
            </w:r>
          </w:p>
        </w:tc>
        <w:tc>
          <w:tcPr>
            <w:tcW w:w="1040" w:type="dxa"/>
            <w:vAlign w:val="bottom"/>
          </w:tcPr>
          <w:p>
            <w:pPr>
              <w:spacing w:after="0"/>
              <w:rPr>
                <w:sz w:val="23"/>
                <w:szCs w:val="23"/>
                <w:color w:val="auto"/>
              </w:rPr>
            </w:pPr>
          </w:p>
        </w:tc>
      </w:tr>
      <w:tr>
        <w:trPr>
          <w:trHeight w:val="594"/>
        </w:trPr>
        <w:tc>
          <w:tcPr>
            <w:tcW w:w="8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040" w:type="dxa"/>
            <w:vAlign w:val="bottom"/>
          </w:tcPr>
          <w:p>
            <w:pPr>
              <w:spacing w:after="0"/>
              <w:rPr>
                <w:sz w:val="24"/>
                <w:szCs w:val="24"/>
                <w:color w:val="auto"/>
              </w:rPr>
            </w:pPr>
          </w:p>
        </w:tc>
      </w:tr>
      <w:tr>
        <w:trPr>
          <w:trHeight w:val="209"/>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0" w:type="dxa"/>
            <w:vAlign w:val="bottom"/>
            <w:gridSpan w:val="3"/>
          </w:tcPr>
          <w:p>
            <w:pPr>
              <w:jc w:val="center"/>
              <w:ind w:right="988"/>
              <w:spacing w:after="0"/>
              <w:rPr>
                <w:sz w:val="20"/>
                <w:szCs w:val="20"/>
                <w:color w:val="auto"/>
              </w:rPr>
            </w:pPr>
            <w:r>
              <w:rPr>
                <w:rFonts w:ascii="Arial" w:cs="Arial" w:eastAsia="Arial" w:hAnsi="Arial"/>
                <w:sz w:val="16"/>
                <w:szCs w:val="16"/>
                <w:b w:val="1"/>
                <w:bCs w:val="1"/>
                <w:color w:val="auto"/>
                <w:w w:val="93"/>
              </w:rPr>
              <w:t>Three Months</w:t>
            </w:r>
          </w:p>
        </w:tc>
      </w:tr>
      <w:tr>
        <w:trPr>
          <w:trHeight w:val="210"/>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1208"/>
              <w:spacing w:after="0"/>
              <w:rPr>
                <w:sz w:val="20"/>
                <w:szCs w:val="20"/>
                <w:color w:val="auto"/>
              </w:rPr>
            </w:pPr>
            <w:r>
              <w:rPr>
                <w:rFonts w:ascii="Arial" w:cs="Arial" w:eastAsia="Arial" w:hAnsi="Arial"/>
                <w:sz w:val="16"/>
                <w:szCs w:val="16"/>
                <w:b w:val="1"/>
                <w:bCs w:val="1"/>
                <w:color w:val="auto"/>
                <w:w w:val="93"/>
              </w:rPr>
              <w:t>Ended</w:t>
            </w:r>
          </w:p>
        </w:tc>
      </w:tr>
      <w:tr>
        <w:trPr>
          <w:trHeight w:val="270"/>
        </w:trPr>
        <w:tc>
          <w:tcPr>
            <w:tcW w:w="8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0" w:type="dxa"/>
            <w:vAlign w:val="bottom"/>
            <w:gridSpan w:val="3"/>
          </w:tcPr>
          <w:p>
            <w:pPr>
              <w:jc w:val="center"/>
              <w:ind w:right="988"/>
              <w:spacing w:after="0"/>
              <w:rPr>
                <w:sz w:val="20"/>
                <w:szCs w:val="20"/>
                <w:color w:val="auto"/>
              </w:rPr>
            </w:pPr>
            <w:r>
              <w:rPr>
                <w:rFonts w:ascii="Arial" w:cs="Arial" w:eastAsia="Arial" w:hAnsi="Arial"/>
                <w:sz w:val="16"/>
                <w:szCs w:val="16"/>
                <w:b w:val="1"/>
                <w:bCs w:val="1"/>
                <w:color w:val="auto"/>
                <w:w w:val="90"/>
              </w:rPr>
              <w:t>December 31,</w:t>
            </w:r>
          </w:p>
        </w:tc>
      </w:tr>
      <w:tr>
        <w:trPr>
          <w:trHeight w:val="276"/>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33"/>
              <w:spacing w:after="0"/>
              <w:rPr>
                <w:sz w:val="20"/>
                <w:szCs w:val="20"/>
                <w:color w:val="auto"/>
              </w:rPr>
            </w:pPr>
            <w:r>
              <w:rPr>
                <w:rFonts w:ascii="Arial" w:cs="Arial" w:eastAsia="Arial" w:hAnsi="Arial"/>
                <w:sz w:val="18"/>
                <w:szCs w:val="18"/>
                <w:b w:val="1"/>
                <w:bCs w:val="1"/>
                <w:color w:val="auto"/>
              </w:rPr>
              <w:t>2019</w:t>
            </w:r>
          </w:p>
        </w:tc>
        <w:tc>
          <w:tcPr>
            <w:tcW w:w="104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gridSpan w:val="2"/>
          </w:tcPr>
          <w:p>
            <w:pPr>
              <w:jc w:val="right"/>
              <w:ind w:right="59"/>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58.2</w:t>
            </w:r>
          </w:p>
        </w:tc>
        <w:tc>
          <w:tcPr>
            <w:tcW w:w="1040" w:type="dxa"/>
            <w:vAlign w:val="bottom"/>
          </w:tcPr>
          <w:p>
            <w:pPr>
              <w:spacing w:after="0"/>
              <w:rPr>
                <w:sz w:val="20"/>
                <w:szCs w:val="20"/>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Settlements of mandatorily redeemable financial liability</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w:t>
            </w:r>
          </w:p>
        </w:tc>
        <w:tc>
          <w:tcPr>
            <w:tcW w:w="1040" w:type="dxa"/>
            <w:vAlign w:val="bottom"/>
          </w:tcPr>
          <w:p>
            <w:pPr>
              <w:spacing w:after="0"/>
              <w:rPr>
                <w:sz w:val="23"/>
                <w:szCs w:val="23"/>
                <w:color w:val="auto"/>
              </w:rPr>
            </w:pPr>
          </w:p>
        </w:tc>
      </w:tr>
      <w:tr>
        <w:trPr>
          <w:trHeight w:val="636"/>
        </w:trPr>
        <w:tc>
          <w:tcPr>
            <w:tcW w:w="8000" w:type="dxa"/>
            <w:vAlign w:val="bottom"/>
          </w:tcPr>
          <w:p>
            <w:pPr>
              <w:ind w:left="4040"/>
              <w:spacing w:after="0"/>
              <w:rPr>
                <w:sz w:val="20"/>
                <w:szCs w:val="20"/>
                <w:color w:val="auto"/>
              </w:rPr>
            </w:pPr>
            <w:r>
              <w:rPr>
                <w:rFonts w:ascii="Arial" w:cs="Arial" w:eastAsia="Arial" w:hAnsi="Arial"/>
                <w:sz w:val="14"/>
                <w:szCs w:val="14"/>
                <w:b w:val="1"/>
                <w:bCs w:val="1"/>
                <w:color w:val="auto"/>
              </w:rPr>
              <w:t>TechnipFMC.com</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ind w:left="1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Page 23 of </w:t>
            </w:r>
            <w:hyperlink w:anchor="page35">
              <w:r>
                <w:rPr>
                  <w:rFonts w:ascii="Arial" w:cs="Arial" w:eastAsia="Arial" w:hAnsi="Arial"/>
                  <w:sz w:val="14"/>
                  <w:szCs w:val="14"/>
                  <w:b w:val="1"/>
                  <w:bCs w:val="1"/>
                  <w:color w:val="auto"/>
                </w:rPr>
                <w:t>29</w:t>
              </w:r>
            </w:hyperlink>
          </w:p>
        </w:tc>
      </w:tr>
    </w:tbl>
    <w:p>
      <w:pPr>
        <w:sectPr>
          <w:pgSz w:w="11900" w:h="16838" w:orient="portrait"/>
          <w:cols w:equalWidth="0" w:num="1">
            <w:col w:w="11420"/>
          </w:cols>
          <w:pgMar w:left="240" w:top="499" w:right="239" w:bottom="1440" w:gutter="0" w:footer="0" w:header="0"/>
        </w:sectPr>
      </w:pPr>
    </w:p>
    <w:bookmarkStart w:id="27" w:name="page28"/>
    <w:bookmarkEnd w:id="27"/>
    <w:p>
      <w:pPr>
        <w:ind w:left="10920"/>
        <w:spacing w:after="0"/>
        <w:rPr>
          <w:sz w:val="20"/>
          <w:szCs w:val="20"/>
          <w:color w:val="auto"/>
        </w:rPr>
      </w:pPr>
      <w:r>
        <w:rPr>
          <w:rFonts w:ascii="Arial" w:cs="Arial" w:eastAsia="Arial" w:hAnsi="Arial"/>
          <w:sz w:val="11"/>
          <w:szCs w:val="11"/>
          <w:b w:val="1"/>
          <w:bCs w:val="1"/>
          <w:color w:val="auto"/>
        </w:rPr>
        <w:t>Exhibit 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In addition to financial results determined in accordance with U.S. generally accepted accounting principles (GAAP), the fourth quarter 2019 Earnings Release also includes non-GAAP financial measures (as defined in Item 10 of Regulation S-K of the Securities Exchange Act of 1934, as amended) and describes performance on a year-over-year basis against 2018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71755</wp:posOffset>
            </wp:positionV>
            <wp:extent cx="4742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201" w:lineRule="exact"/>
        <w:rPr>
          <w:sz w:val="20"/>
          <w:szCs w:val="20"/>
          <w:color w:val="auto"/>
        </w:rPr>
      </w:pPr>
    </w:p>
    <w:p>
      <w:pPr>
        <w:jc w:val="center"/>
        <w:ind w:left="1800"/>
        <w:spacing w:after="0"/>
        <w:rPr>
          <w:sz w:val="20"/>
          <w:szCs w:val="20"/>
          <w:color w:val="auto"/>
        </w:rPr>
      </w:pPr>
      <w:r>
        <w:rPr>
          <w:rFonts w:ascii="Arial" w:cs="Arial" w:eastAsia="Arial" w:hAnsi="Arial"/>
          <w:sz w:val="11"/>
          <w:szCs w:val="11"/>
          <w:b w:val="1"/>
          <w:bCs w:val="1"/>
          <w:color w:val="auto"/>
        </w:rPr>
        <w:t>Three Months Ended</w:t>
      </w:r>
    </w:p>
    <w:p>
      <w:pPr>
        <w:spacing w:after="0" w:line="49" w:lineRule="exact"/>
        <w:rPr>
          <w:sz w:val="20"/>
          <w:szCs w:val="20"/>
          <w:color w:val="auto"/>
        </w:rPr>
      </w:pPr>
    </w:p>
    <w:p>
      <w:pPr>
        <w:jc w:val="center"/>
        <w:ind w:left="1800"/>
        <w:spacing w:after="0"/>
        <w:rPr>
          <w:sz w:val="20"/>
          <w:szCs w:val="20"/>
          <w:color w:val="auto"/>
        </w:rPr>
      </w:pPr>
      <w:r>
        <w:rPr>
          <w:rFonts w:ascii="Arial" w:cs="Arial" w:eastAsia="Arial" w:hAnsi="Arial"/>
          <w:sz w:val="11"/>
          <w:szCs w:val="11"/>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82550</wp:posOffset>
            </wp:positionV>
            <wp:extent cx="47421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132"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6"/>
              <w:spacing w:after="0"/>
              <w:rPr>
                <w:sz w:val="20"/>
                <w:szCs w:val="20"/>
                <w:color w:val="auto"/>
              </w:rPr>
            </w:pPr>
            <w:r>
              <w:rPr>
                <w:rFonts w:ascii="Arial" w:cs="Arial" w:eastAsia="Arial" w:hAnsi="Arial"/>
                <w:sz w:val="11"/>
                <w:szCs w:val="11"/>
                <w:b w:val="1"/>
                <w:bCs w:val="1"/>
                <w:color w:val="auto"/>
                <w:w w:val="88"/>
              </w:rPr>
              <w:t>Earnings before</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net interest</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Income (loss) before</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3"/>
              </w:rPr>
              <w:t>expense, income</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Net income (loss)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attributable to</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net interest expense</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taxes, depreciation</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noncontrolling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Provision for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4"/>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Net interest</w:t>
            </w:r>
          </w:p>
        </w:tc>
        <w:tc>
          <w:tcPr>
            <w:tcW w:w="8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and income taxes</w:t>
            </w: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10"/>
                <w:szCs w:val="10"/>
                <w:color w:val="auto"/>
              </w:rPr>
            </w:pPr>
          </w:p>
        </w:tc>
        <w:tc>
          <w:tcPr>
            <w:tcW w:w="8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0"/>
              </w:rPr>
              <w:t>and amortization</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1"/>
              </w:rPr>
              <w:t>TechnipFMC plc</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2"/>
              </w:rPr>
              <w:t>interests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income taxes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1"/>
              </w:rPr>
              <w:t>expense</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(Operating profit)</w:t>
            </w: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88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74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(2,414.0)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(16.3)</w:t>
            </w:r>
          </w:p>
        </w:tc>
        <w:tc>
          <w:tcPr>
            <w:tcW w:w="20" w:type="dxa"/>
            <w:vAlign w:val="bottom"/>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179.8</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(2,144.5)</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131.1</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(2,013.4)</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0"/>
                <w:szCs w:val="20"/>
                <w:color w:val="auto"/>
              </w:rPr>
            </w:pPr>
            <w:r>
              <w:rPr>
                <w:rFonts w:ascii="Arial" w:cs="Arial" w:eastAsia="Arial" w:hAnsi="Arial"/>
                <w:sz w:val="11"/>
                <w:szCs w:val="11"/>
                <w:color w:val="auto"/>
              </w:rPr>
              <w:t>Charges and (credits):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40" w:type="dxa"/>
            <w:vAlign w:val="bottom"/>
          </w:tcPr>
          <w:p>
            <w:pPr>
              <w:ind w:left="260"/>
              <w:spacing w:after="0"/>
              <w:rPr>
                <w:sz w:val="20"/>
                <w:szCs w:val="20"/>
                <w:color w:val="auto"/>
              </w:rPr>
            </w:pPr>
            <w:r>
              <w:rPr>
                <w:rFonts w:ascii="Arial" w:cs="Arial" w:eastAsia="Arial" w:hAnsi="Arial"/>
                <w:sz w:val="11"/>
                <w:szCs w:val="11"/>
                <w:color w:val="auto"/>
                <w:w w:val="99"/>
              </w:rPr>
              <w:t>Impairment and other charges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2,268.6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88.0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2,356.6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2,356.6</w:t>
            </w:r>
          </w:p>
        </w:tc>
        <w:tc>
          <w:tcPr>
            <w:tcW w:w="0" w:type="dxa"/>
            <w:vAlign w:val="bottom"/>
          </w:tcPr>
          <w:p>
            <w:pPr>
              <w:spacing w:after="0"/>
              <w:rPr>
                <w:sz w:val="1"/>
                <w:szCs w:val="1"/>
                <w:color w:val="auto"/>
              </w:rPr>
            </w:pPr>
          </w:p>
        </w:tc>
      </w:tr>
      <w:tr>
        <w:trPr>
          <w:trHeight w:val="270"/>
        </w:trPr>
        <w:tc>
          <w:tcPr>
            <w:tcW w:w="1740" w:type="dxa"/>
            <w:vAlign w:val="bottom"/>
          </w:tcPr>
          <w:p>
            <w:pPr>
              <w:ind w:left="260"/>
              <w:spacing w:after="0"/>
              <w:rPr>
                <w:sz w:val="20"/>
                <w:szCs w:val="20"/>
                <w:color w:val="auto"/>
              </w:rPr>
            </w:pPr>
            <w:r>
              <w:rPr>
                <w:rFonts w:ascii="Arial" w:cs="Arial" w:eastAsia="Arial" w:hAnsi="Arial"/>
                <w:sz w:val="11"/>
                <w:szCs w:val="11"/>
                <w:color w:val="auto"/>
                <w:w w:val="92"/>
              </w:rPr>
              <w:t>Restructuring and other charges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270"/>
        </w:trPr>
        <w:tc>
          <w:tcPr>
            <w:tcW w:w="1740" w:type="dxa"/>
            <w:vAlign w:val="bottom"/>
          </w:tcPr>
          <w:p>
            <w:pPr>
              <w:ind w:left="260"/>
              <w:spacing w:after="0"/>
              <w:rPr>
                <w:sz w:val="20"/>
                <w:szCs w:val="20"/>
                <w:color w:val="auto"/>
              </w:rPr>
            </w:pPr>
            <w:r>
              <w:rPr>
                <w:rFonts w:ascii="Arial" w:cs="Arial" w:eastAsia="Arial" w:hAnsi="Arial"/>
                <w:sz w:val="11"/>
                <w:szCs w:val="11"/>
                <w:color w:val="auto"/>
              </w:rPr>
              <w:t>Separation costs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47.1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62.7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62.7</w:t>
            </w:r>
          </w:p>
        </w:tc>
        <w:tc>
          <w:tcPr>
            <w:tcW w:w="0" w:type="dxa"/>
            <w:vAlign w:val="bottom"/>
          </w:tcPr>
          <w:p>
            <w:pPr>
              <w:spacing w:after="0"/>
              <w:rPr>
                <w:sz w:val="1"/>
                <w:szCs w:val="1"/>
                <w:color w:val="auto"/>
              </w:rPr>
            </w:pPr>
          </w:p>
        </w:tc>
      </w:tr>
      <w:tr>
        <w:trPr>
          <w:trHeight w:val="161"/>
        </w:trPr>
        <w:tc>
          <w:tcPr>
            <w:tcW w:w="1740" w:type="dxa"/>
            <w:vAlign w:val="bottom"/>
          </w:tcPr>
          <w:p>
            <w:pPr>
              <w:ind w:left="260"/>
              <w:spacing w:after="0"/>
              <w:rPr>
                <w:sz w:val="20"/>
                <w:szCs w:val="20"/>
                <w:color w:val="auto"/>
              </w:rPr>
            </w:pPr>
            <w:r>
              <w:rPr>
                <w:rFonts w:ascii="Arial" w:cs="Arial" w:eastAsia="Arial" w:hAnsi="Arial"/>
                <w:sz w:val="11"/>
                <w:szCs w:val="11"/>
                <w:color w:val="auto"/>
              </w:rPr>
              <w:t>Purchase price accounting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40" w:type="dxa"/>
            <w:vAlign w:val="bottom"/>
          </w:tcPr>
          <w:p>
            <w:pPr>
              <w:ind w:left="260"/>
              <w:spacing w:after="0"/>
              <w:rPr>
                <w:sz w:val="20"/>
                <w:szCs w:val="20"/>
                <w:color w:val="auto"/>
              </w:rPr>
            </w:pPr>
            <w:r>
              <w:rPr>
                <w:rFonts w:ascii="Arial" w:cs="Arial" w:eastAsia="Arial" w:hAnsi="Arial"/>
                <w:sz w:val="11"/>
                <w:szCs w:val="11"/>
                <w:color w:val="auto"/>
              </w:rPr>
              <w:t>adjustment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6.5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740" w:type="dxa"/>
            <w:vAlign w:val="bottom"/>
          </w:tcPr>
          <w:p>
            <w:pPr>
              <w:ind w:left="260"/>
              <w:spacing w:after="0"/>
              <w:rPr>
                <w:sz w:val="20"/>
                <w:szCs w:val="20"/>
                <w:color w:val="auto"/>
              </w:rPr>
            </w:pPr>
            <w:r>
              <w:rPr>
                <w:rFonts w:ascii="Arial" w:cs="Arial" w:eastAsia="Arial" w:hAnsi="Arial"/>
                <w:sz w:val="11"/>
                <w:szCs w:val="11"/>
                <w:color w:val="auto"/>
              </w:rPr>
              <w:t>Valuation allowance</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108.0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(108.0)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(16.3)</w:t>
            </w:r>
          </w:p>
        </w:tc>
        <w:tc>
          <w:tcPr>
            <w:tcW w:w="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177.0</w:t>
            </w:r>
          </w:p>
        </w:tc>
        <w:tc>
          <w:tcPr>
            <w:tcW w:w="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106.0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281.8</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122.6</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404.4</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rPr>
                <w:sz w:val="20"/>
                <w:szCs w:val="20"/>
                <w:color w:val="auto"/>
              </w:rPr>
            </w:pPr>
            <w:r>
              <w:rPr>
                <w:rFonts w:ascii="Arial" w:cs="Arial" w:eastAsia="Arial" w:hAnsi="Arial"/>
                <w:sz w:val="11"/>
                <w:szCs w:val="11"/>
                <w:color w:val="auto"/>
              </w:rPr>
              <w:t>Diluted earnings (loss) per share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40" w:type="dxa"/>
            <w:vAlign w:val="bottom"/>
          </w:tcPr>
          <w:p>
            <w:pPr>
              <w:spacing w:after="0" w:line="122" w:lineRule="exact"/>
              <w:rPr>
                <w:sz w:val="20"/>
                <w:szCs w:val="20"/>
                <w:color w:val="auto"/>
              </w:rPr>
            </w:pPr>
            <w:r>
              <w:rPr>
                <w:rFonts w:ascii="Arial" w:cs="Arial" w:eastAsia="Arial" w:hAnsi="Arial"/>
                <w:sz w:val="11"/>
                <w:szCs w:val="11"/>
                <w:color w:val="auto"/>
              </w:rPr>
              <w:t>attributable to TechnipFMC plc, as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rPr>
                <w:sz w:val="20"/>
                <w:szCs w:val="20"/>
                <w:color w:val="auto"/>
              </w:rPr>
            </w:pPr>
            <w:r>
              <w:rPr>
                <w:rFonts w:ascii="Arial" w:cs="Arial" w:eastAsia="Arial" w:hAnsi="Arial"/>
                <w:sz w:val="11"/>
                <w:szCs w:val="11"/>
                <w:color w:val="auto"/>
              </w:rPr>
              <w:t>reported</w:t>
            </w: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(5.40)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20"/>
                <w:szCs w:val="20"/>
                <w:color w:val="auto"/>
              </w:rPr>
            </w:pPr>
            <w:r>
              <w:rPr>
                <w:rFonts w:ascii="Arial" w:cs="Arial" w:eastAsia="Arial" w:hAnsi="Arial"/>
                <w:sz w:val="11"/>
                <w:szCs w:val="11"/>
                <w:color w:val="auto"/>
                <w:w w:val="99"/>
              </w:rPr>
              <w:t>Adjusted diluted earnings per share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rPr>
                <w:sz w:val="20"/>
                <w:szCs w:val="20"/>
                <w:color w:val="auto"/>
              </w:rPr>
            </w:pPr>
            <w:r>
              <w:rPr>
                <w:rFonts w:ascii="Arial" w:cs="Arial" w:eastAsia="Arial" w:hAnsi="Arial"/>
                <w:sz w:val="11"/>
                <w:szCs w:val="11"/>
                <w:color w:val="auto"/>
              </w:rPr>
              <w:t>attributable to TechnipFMC plc</w:t>
            </w: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0.03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3"/>
        </w:trPr>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7"/>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7"/>
          </w:tcPr>
          <w:p>
            <w:pPr>
              <w:jc w:val="center"/>
              <w:spacing w:after="0"/>
              <w:rPr>
                <w:sz w:val="20"/>
                <w:szCs w:val="20"/>
                <w:color w:val="auto"/>
              </w:rPr>
            </w:pPr>
            <w:r>
              <w:rPr>
                <w:rFonts w:ascii="Arial" w:cs="Arial" w:eastAsia="Arial" w:hAnsi="Arial"/>
                <w:sz w:val="11"/>
                <w:szCs w:val="11"/>
                <w:b w:val="1"/>
                <w:bCs w:val="1"/>
                <w:color w:val="auto"/>
                <w:w w:val="90"/>
              </w:rPr>
              <w:t>Three Months Ended</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86"/>
              </w:rPr>
              <w:t>December 31, 2018</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6"/>
              <w:spacing w:after="0"/>
              <w:rPr>
                <w:sz w:val="20"/>
                <w:szCs w:val="20"/>
                <w:color w:val="auto"/>
              </w:rPr>
            </w:pPr>
            <w:r>
              <w:rPr>
                <w:rFonts w:ascii="Arial" w:cs="Arial" w:eastAsia="Arial" w:hAnsi="Arial"/>
                <w:sz w:val="11"/>
                <w:szCs w:val="11"/>
                <w:b w:val="1"/>
                <w:bCs w:val="1"/>
                <w:color w:val="auto"/>
                <w:w w:val="88"/>
              </w:rPr>
              <w:t>Earnings before</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net interest</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Income (loss) before</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3"/>
              </w:rPr>
              <w:t>expense, income</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Net income (loss)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attributable to</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4"/>
              </w:rPr>
              <w:t>net interest expense</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taxes, depreciation</w:t>
            </w: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noncontrolling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Provision for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4"/>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Net interest</w:t>
            </w:r>
          </w:p>
        </w:tc>
        <w:tc>
          <w:tcPr>
            <w:tcW w:w="8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and income taxes</w:t>
            </w: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10"/>
                <w:szCs w:val="10"/>
                <w:color w:val="auto"/>
              </w:rPr>
            </w:pPr>
          </w:p>
        </w:tc>
        <w:tc>
          <w:tcPr>
            <w:tcW w:w="8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0"/>
              </w:rPr>
              <w:t>and amortization</w:t>
            </w: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91"/>
              </w:rPr>
              <w:t>TechnipFMC plc</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2"/>
              </w:rPr>
              <w:t>interests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income taxes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300"/>
              <w:spacing w:after="0"/>
              <w:rPr>
                <w:sz w:val="20"/>
                <w:szCs w:val="20"/>
                <w:color w:val="auto"/>
              </w:rPr>
            </w:pPr>
            <w:r>
              <w:rPr>
                <w:rFonts w:ascii="Arial" w:cs="Arial" w:eastAsia="Arial" w:hAnsi="Arial"/>
                <w:sz w:val="11"/>
                <w:szCs w:val="11"/>
                <w:b w:val="1"/>
                <w:bCs w:val="1"/>
                <w:color w:val="auto"/>
                <w:w w:val="81"/>
              </w:rPr>
              <w:t>expense</w:t>
            </w:r>
          </w:p>
        </w:tc>
        <w:tc>
          <w:tcPr>
            <w:tcW w:w="11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0"/>
              </w:rPr>
              <w:t>(Operating profit)</w:t>
            </w: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88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74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(2,259.3)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12.8</w:t>
            </w:r>
          </w:p>
        </w:tc>
        <w:tc>
          <w:tcPr>
            <w:tcW w:w="2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242.0</w:t>
            </w:r>
          </w:p>
        </w:tc>
        <w:tc>
          <w:tcPr>
            <w:tcW w:w="20" w:type="dxa"/>
            <w:vAlign w:val="bottom"/>
          </w:tcPr>
          <w:p>
            <w:pPr>
              <w:spacing w:after="0"/>
              <w:rPr>
                <w:sz w:val="19"/>
                <w:szCs w:val="19"/>
                <w:color w:val="auto"/>
              </w:rPr>
            </w:pPr>
          </w:p>
        </w:tc>
        <w:tc>
          <w:tcPr>
            <w:tcW w:w="240" w:type="dxa"/>
            <w:vAlign w:val="bottom"/>
            <w:gridSpan w:val="3"/>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116.6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(1,887.9)</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137.9</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(1,750.0)</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0"/>
                <w:szCs w:val="20"/>
                <w:color w:val="auto"/>
              </w:rPr>
            </w:pPr>
            <w:r>
              <w:rPr>
                <w:rFonts w:ascii="Arial" w:cs="Arial" w:eastAsia="Arial" w:hAnsi="Arial"/>
                <w:sz w:val="11"/>
                <w:szCs w:val="11"/>
                <w:color w:val="auto"/>
              </w:rPr>
              <w:t>Charges and (credits):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40" w:type="dxa"/>
            <w:vAlign w:val="bottom"/>
          </w:tcPr>
          <w:p>
            <w:pPr>
              <w:ind w:left="260"/>
              <w:spacing w:after="0"/>
              <w:rPr>
                <w:sz w:val="20"/>
                <w:szCs w:val="20"/>
                <w:color w:val="auto"/>
              </w:rPr>
            </w:pPr>
            <w:r>
              <w:rPr>
                <w:rFonts w:ascii="Arial" w:cs="Arial" w:eastAsia="Arial" w:hAnsi="Arial"/>
                <w:sz w:val="11"/>
                <w:szCs w:val="11"/>
                <w:color w:val="auto"/>
                <w:w w:val="99"/>
              </w:rPr>
              <w:t>Impairment and other charges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1,688.8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89.7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1,778.5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1,778.5</w:t>
            </w:r>
          </w:p>
        </w:tc>
        <w:tc>
          <w:tcPr>
            <w:tcW w:w="0" w:type="dxa"/>
            <w:vAlign w:val="bottom"/>
          </w:tcPr>
          <w:p>
            <w:pPr>
              <w:spacing w:after="0"/>
              <w:rPr>
                <w:sz w:val="1"/>
                <w:szCs w:val="1"/>
                <w:color w:val="auto"/>
              </w:rPr>
            </w:pPr>
          </w:p>
        </w:tc>
      </w:tr>
      <w:tr>
        <w:trPr>
          <w:trHeight w:val="161"/>
        </w:trPr>
        <w:tc>
          <w:tcPr>
            <w:tcW w:w="1740" w:type="dxa"/>
            <w:vAlign w:val="bottom"/>
          </w:tcPr>
          <w:p>
            <w:pPr>
              <w:ind w:left="260"/>
              <w:spacing w:after="0"/>
              <w:rPr>
                <w:sz w:val="20"/>
                <w:szCs w:val="20"/>
                <w:color w:val="auto"/>
              </w:rPr>
            </w:pPr>
            <w:r>
              <w:rPr>
                <w:rFonts w:ascii="Arial" w:cs="Arial" w:eastAsia="Arial" w:hAnsi="Arial"/>
                <w:sz w:val="11"/>
                <w:szCs w:val="11"/>
                <w:color w:val="auto"/>
              </w:rPr>
              <w:t>Restructuring and 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40" w:type="dxa"/>
            <w:vAlign w:val="bottom"/>
          </w:tcPr>
          <w:p>
            <w:pPr>
              <w:ind w:left="260"/>
              <w:spacing w:after="0"/>
              <w:rPr>
                <w:sz w:val="20"/>
                <w:szCs w:val="20"/>
                <w:color w:val="auto"/>
              </w:rPr>
            </w:pPr>
            <w:r>
              <w:rPr>
                <w:rFonts w:ascii="Arial" w:cs="Arial" w:eastAsia="Arial" w:hAnsi="Arial"/>
                <w:sz w:val="11"/>
                <w:szCs w:val="11"/>
                <w:color w:val="auto"/>
              </w:rPr>
              <w:t>severance charges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11.6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8.5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161"/>
        </w:trPr>
        <w:tc>
          <w:tcPr>
            <w:tcW w:w="1740" w:type="dxa"/>
            <w:vAlign w:val="bottom"/>
          </w:tcPr>
          <w:p>
            <w:pPr>
              <w:ind w:left="260"/>
              <w:spacing w:after="0"/>
              <w:rPr>
                <w:sz w:val="20"/>
                <w:szCs w:val="20"/>
                <w:color w:val="auto"/>
              </w:rPr>
            </w:pPr>
            <w:r>
              <w:rPr>
                <w:rFonts w:ascii="Arial" w:cs="Arial" w:eastAsia="Arial" w:hAnsi="Arial"/>
                <w:sz w:val="11"/>
                <w:szCs w:val="11"/>
                <w:color w:val="auto"/>
                <w:w w:val="89"/>
              </w:rPr>
              <w:t>Business combination transaction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40" w:type="dxa"/>
            <w:vAlign w:val="bottom"/>
          </w:tcPr>
          <w:p>
            <w:pPr>
              <w:ind w:left="260"/>
              <w:spacing w:after="0"/>
              <w:rPr>
                <w:sz w:val="20"/>
                <w:szCs w:val="20"/>
                <w:color w:val="auto"/>
              </w:rPr>
            </w:pPr>
            <w:r>
              <w:rPr>
                <w:rFonts w:ascii="Arial" w:cs="Arial" w:eastAsia="Arial" w:hAnsi="Arial"/>
                <w:sz w:val="11"/>
                <w:szCs w:val="11"/>
                <w:color w:val="auto"/>
              </w:rPr>
              <w:t>and integration costs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8.7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6.9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15.6</w:t>
            </w:r>
          </w:p>
        </w:tc>
        <w:tc>
          <w:tcPr>
            <w:tcW w:w="0" w:type="dxa"/>
            <w:vAlign w:val="bottom"/>
          </w:tcPr>
          <w:p>
            <w:pPr>
              <w:spacing w:after="0"/>
              <w:rPr>
                <w:sz w:val="1"/>
                <w:szCs w:val="1"/>
                <w:color w:val="auto"/>
              </w:rPr>
            </w:pPr>
          </w:p>
        </w:tc>
      </w:tr>
      <w:tr>
        <w:trPr>
          <w:trHeight w:val="270"/>
        </w:trPr>
        <w:tc>
          <w:tcPr>
            <w:tcW w:w="1740" w:type="dxa"/>
            <w:vAlign w:val="bottom"/>
          </w:tcPr>
          <w:p>
            <w:pPr>
              <w:ind w:left="260"/>
              <w:spacing w:after="0"/>
              <w:rPr>
                <w:sz w:val="20"/>
                <w:szCs w:val="20"/>
                <w:color w:val="auto"/>
              </w:rPr>
            </w:pPr>
            <w:r>
              <w:rPr>
                <w:rFonts w:ascii="Arial" w:cs="Arial" w:eastAsia="Arial" w:hAnsi="Arial"/>
                <w:sz w:val="11"/>
                <w:szCs w:val="11"/>
                <w:color w:val="auto"/>
              </w:rPr>
              <w:t>Legal provision</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280.0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280.0</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280.0</w:t>
            </w:r>
          </w:p>
        </w:tc>
        <w:tc>
          <w:tcPr>
            <w:tcW w:w="0" w:type="dxa"/>
            <w:vAlign w:val="bottom"/>
          </w:tcPr>
          <w:p>
            <w:pPr>
              <w:spacing w:after="0"/>
              <w:rPr>
                <w:sz w:val="1"/>
                <w:szCs w:val="1"/>
                <w:color w:val="auto"/>
              </w:rPr>
            </w:pPr>
          </w:p>
        </w:tc>
      </w:tr>
      <w:tr>
        <w:trPr>
          <w:trHeight w:val="161"/>
        </w:trPr>
        <w:tc>
          <w:tcPr>
            <w:tcW w:w="1740" w:type="dxa"/>
            <w:vAlign w:val="bottom"/>
          </w:tcPr>
          <w:p>
            <w:pPr>
              <w:ind w:left="260"/>
              <w:spacing w:after="0"/>
              <w:rPr>
                <w:sz w:val="20"/>
                <w:szCs w:val="20"/>
                <w:color w:val="auto"/>
              </w:rPr>
            </w:pPr>
            <w:r>
              <w:rPr>
                <w:rFonts w:ascii="Arial" w:cs="Arial" w:eastAsia="Arial" w:hAnsi="Arial"/>
                <w:sz w:val="11"/>
                <w:szCs w:val="11"/>
                <w:color w:val="auto"/>
              </w:rPr>
              <w:t>Purchase price accounting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40" w:type="dxa"/>
            <w:vAlign w:val="bottom"/>
          </w:tcPr>
          <w:p>
            <w:pPr>
              <w:ind w:left="260"/>
              <w:spacing w:after="0"/>
              <w:rPr>
                <w:sz w:val="20"/>
                <w:szCs w:val="20"/>
                <w:color w:val="auto"/>
              </w:rPr>
            </w:pPr>
            <w:r>
              <w:rPr>
                <w:rFonts w:ascii="Arial" w:cs="Arial" w:eastAsia="Arial" w:hAnsi="Arial"/>
                <w:sz w:val="11"/>
                <w:szCs w:val="11"/>
                <w:color w:val="auto"/>
              </w:rPr>
              <w:t>adjustment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17.0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70"/>
        </w:trPr>
        <w:tc>
          <w:tcPr>
            <w:tcW w:w="1740" w:type="dxa"/>
            <w:vAlign w:val="bottom"/>
          </w:tcPr>
          <w:p>
            <w:pPr>
              <w:ind w:left="260"/>
              <w:spacing w:after="0"/>
              <w:rPr>
                <w:sz w:val="20"/>
                <w:szCs w:val="20"/>
                <w:color w:val="auto"/>
              </w:rPr>
            </w:pPr>
            <w:r>
              <w:rPr>
                <w:rFonts w:ascii="Arial" w:cs="Arial" w:eastAsia="Arial" w:hAnsi="Arial"/>
                <w:sz w:val="11"/>
                <w:szCs w:val="11"/>
                <w:color w:val="auto"/>
              </w:rPr>
              <w:t>Tax reform</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1740" w:type="dxa"/>
            <w:vAlign w:val="bottom"/>
          </w:tcPr>
          <w:p>
            <w:pPr>
              <w:ind w:left="260"/>
              <w:spacing w:after="0"/>
              <w:rPr>
                <w:sz w:val="20"/>
                <w:szCs w:val="20"/>
                <w:color w:val="auto"/>
              </w:rPr>
            </w:pPr>
            <w:r>
              <w:rPr>
                <w:rFonts w:ascii="Arial" w:cs="Arial" w:eastAsia="Arial" w:hAnsi="Arial"/>
                <w:sz w:val="11"/>
                <w:szCs w:val="11"/>
                <w:color w:val="auto"/>
              </w:rPr>
              <w:t>Valuation allowance</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202.4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(202.4)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12.8</w:t>
            </w:r>
          </w:p>
        </w:tc>
        <w:tc>
          <w:tcPr>
            <w:tcW w:w="20" w:type="dxa"/>
            <w:vAlign w:val="bottom"/>
          </w:tcPr>
          <w:p>
            <w:pPr>
              <w:spacing w:after="0"/>
              <w:rPr>
                <w:sz w:val="17"/>
                <w:szCs w:val="17"/>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138.1</w:t>
            </w:r>
          </w:p>
        </w:tc>
        <w:tc>
          <w:tcPr>
            <w:tcW w:w="20" w:type="dxa"/>
            <w:vAlign w:val="bottom"/>
          </w:tcPr>
          <w:p>
            <w:pPr>
              <w:spacing w:after="0"/>
              <w:rPr>
                <w:sz w:val="17"/>
                <w:szCs w:val="17"/>
                <w:color w:val="auto"/>
              </w:rPr>
            </w:pPr>
          </w:p>
        </w:tc>
        <w:tc>
          <w:tcPr>
            <w:tcW w:w="240" w:type="dxa"/>
            <w:vAlign w:val="bottom"/>
            <w:gridSpan w:val="3"/>
          </w:tcPr>
          <w:p>
            <w:pPr>
              <w:jc w:val="right"/>
              <w:ind w:right="2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116.6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228.5</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113.9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342.4</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rPr>
                <w:sz w:val="20"/>
                <w:szCs w:val="20"/>
                <w:color w:val="auto"/>
              </w:rPr>
            </w:pPr>
            <w:r>
              <w:rPr>
                <w:rFonts w:ascii="Arial" w:cs="Arial" w:eastAsia="Arial" w:hAnsi="Arial"/>
                <w:sz w:val="11"/>
                <w:szCs w:val="11"/>
                <w:color w:val="auto"/>
                <w:w w:val="92"/>
              </w:rPr>
              <w:t>Diluted earnings per share attributable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rPr>
                <w:sz w:val="20"/>
                <w:szCs w:val="20"/>
                <w:color w:val="auto"/>
              </w:rPr>
            </w:pPr>
            <w:r>
              <w:rPr>
                <w:rFonts w:ascii="Arial" w:cs="Arial" w:eastAsia="Arial" w:hAnsi="Arial"/>
                <w:sz w:val="11"/>
                <w:szCs w:val="11"/>
                <w:color w:val="auto"/>
              </w:rPr>
              <w:t>to TechnipFMC plc, as reported</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20"/>
                <w:szCs w:val="20"/>
                <w:color w:val="auto"/>
              </w:rPr>
            </w:pPr>
            <w:r>
              <w:rPr>
                <w:rFonts w:ascii="Arial" w:cs="Arial" w:eastAsia="Arial" w:hAnsi="Arial"/>
                <w:sz w:val="11"/>
                <w:szCs w:val="11"/>
                <w:color w:val="auto"/>
                <w:w w:val="99"/>
              </w:rPr>
              <w:t>Adjusted diluted earnings per share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rPr>
                <w:sz w:val="20"/>
                <w:szCs w:val="20"/>
                <w:color w:val="auto"/>
              </w:rPr>
            </w:pPr>
            <w:r>
              <w:rPr>
                <w:rFonts w:ascii="Arial" w:cs="Arial" w:eastAsia="Arial" w:hAnsi="Arial"/>
                <w:sz w:val="11"/>
                <w:szCs w:val="11"/>
                <w:color w:val="auto"/>
              </w:rPr>
              <w:t>attributable to TechnipFMC plc</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(0.09)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99" w:right="239" w:bottom="1440" w:gutter="0" w:footer="0" w:header="0"/>
        </w:sectPr>
      </w:pPr>
    </w:p>
    <w:p>
      <w:pPr>
        <w:spacing w:after="0" w:line="241"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24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499" w:right="239" w:bottom="1440" w:gutter="0" w:footer="0" w:header="0"/>
          <w:type w:val="continuous"/>
        </w:sectPr>
      </w:pPr>
    </w:p>
    <w:bookmarkStart w:id="28" w:name="page29"/>
    <w:bookmarkEnd w:id="28"/>
    <w:p>
      <w:pPr>
        <w:ind w:left="10920"/>
        <w:spacing w:after="0"/>
        <w:rPr>
          <w:sz w:val="20"/>
          <w:szCs w:val="20"/>
          <w:color w:val="auto"/>
        </w:rPr>
      </w:pPr>
      <w:r>
        <w:rPr>
          <w:rFonts w:ascii="Arial" w:cs="Arial" w:eastAsia="Arial" w:hAnsi="Arial"/>
          <w:sz w:val="11"/>
          <w:szCs w:val="11"/>
          <w:b w:val="1"/>
          <w:bCs w:val="1"/>
          <w:color w:val="auto"/>
        </w:rPr>
        <w:t>Exhibit 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spacing w:after="0"/>
        <w:rPr>
          <w:sz w:val="20"/>
          <w:szCs w:val="20"/>
          <w:color w:val="auto"/>
        </w:rPr>
      </w:pPr>
      <w:r>
        <w:rPr>
          <w:rFonts w:ascii="Arial" w:cs="Arial" w:eastAsia="Arial" w:hAnsi="Arial"/>
          <w:sz w:val="13"/>
          <w:szCs w:val="13"/>
          <w:b w:val="1"/>
          <w:bCs w:val="1"/>
          <w:color w:val="auto"/>
        </w:rPr>
        <w:t>(In millions, unaudited)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Charges and Credits</w:t>
      </w:r>
    </w:p>
    <w:p>
      <w:pPr>
        <w:spacing w:after="0" w:line="13" w:lineRule="exact"/>
        <w:rPr>
          <w:sz w:val="20"/>
          <w:szCs w:val="20"/>
          <w:color w:val="auto"/>
        </w:rPr>
      </w:pPr>
    </w:p>
    <w:p>
      <w:pPr>
        <w:jc w:val="both"/>
        <w:spacing w:after="0" w:line="288" w:lineRule="auto"/>
        <w:rPr>
          <w:sz w:val="20"/>
          <w:szCs w:val="20"/>
          <w:color w:val="auto"/>
        </w:rPr>
      </w:pPr>
      <w:r>
        <w:rPr>
          <w:rFonts w:ascii="Arial" w:cs="Arial" w:eastAsia="Arial" w:hAnsi="Arial"/>
          <w:sz w:val="11"/>
          <w:szCs w:val="11"/>
          <w:color w:val="auto"/>
        </w:rPr>
        <w:t>In addition to financial results determined in accordance with U.S. generally accepted accounting principles (GAAP), the fourth quarter 2019 Earnings Release also includes non-GAAP financial measures (as defined in Item 10 of Regulation S-K of the Securities Exchange Act of 1934, as amended) and describes performance on a year-over-year basis against 2018 results and measures. Net income, excluding charges and credits, as well as measures derived from it (including Diluted EPS, excluding charges and credits; Income before net interest expense and taxes, excluding charges and credits ("Adjusted Operating profit"); Depreciation and amortization, excluding charges and credits; Earnings before net interest expense, income taxes, depreciation and amortization, excluding charges and credits ("Adjusted EBITDA"); and net cash) are non-GAAP financial measures. Management believes that the exclusion of charges and credits from these financial measures enables investors and management to more effectively evaluate TechnipFMC's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by investors in addition to, not as a substitute for or superior to, other measures of financial performance prepared in accordance with GAAP. The following is a reconciliation of the most comparable financial measures under GAAP to the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71755</wp:posOffset>
            </wp:positionV>
            <wp:extent cx="4699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140"/>
        </w:trPr>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92"/>
              </w:rPr>
              <w:t>Year Ended</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88"/>
              </w:rPr>
              <w:t>December 31, 2019</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6"/>
              <w:spacing w:after="0"/>
              <w:rPr>
                <w:sz w:val="20"/>
                <w:szCs w:val="20"/>
                <w:color w:val="auto"/>
              </w:rPr>
            </w:pPr>
            <w:r>
              <w:rPr>
                <w:rFonts w:ascii="Arial" w:cs="Arial" w:eastAsia="Arial" w:hAnsi="Arial"/>
                <w:sz w:val="11"/>
                <w:szCs w:val="11"/>
                <w:b w:val="1"/>
                <w:bCs w:val="1"/>
                <w:color w:val="auto"/>
                <w:w w:val="88"/>
              </w:rPr>
              <w:t>Earnings before</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net interest</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Net income (loss)</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Income before net</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3"/>
              </w:rPr>
              <w:t>expense, income</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Net income</w:t>
            </w:r>
          </w:p>
        </w:tc>
        <w:tc>
          <w:tcPr>
            <w:tcW w:w="80" w:type="dxa"/>
            <w:vAlign w:val="bottom"/>
          </w:tcPr>
          <w:p>
            <w:pPr>
              <w:spacing w:after="0"/>
              <w:rPr>
                <w:sz w:val="10"/>
                <w:szCs w:val="10"/>
                <w:color w:val="auto"/>
              </w:rPr>
            </w:pPr>
          </w:p>
        </w:tc>
        <w:tc>
          <w:tcPr>
            <w:tcW w:w="98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5"/>
              </w:rPr>
              <w:t>interest expense and</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taxes, depreciation</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attributable to</w:t>
            </w:r>
          </w:p>
        </w:tc>
        <w:tc>
          <w:tcPr>
            <w:tcW w:w="80" w:type="dxa"/>
            <w:vAlign w:val="bottom"/>
          </w:tcPr>
          <w:p>
            <w:pPr>
              <w:spacing w:after="0"/>
              <w:rPr>
                <w:sz w:val="10"/>
                <w:szCs w:val="10"/>
                <w:color w:val="auto"/>
              </w:rPr>
            </w:pPr>
          </w:p>
        </w:tc>
        <w:tc>
          <w:tcPr>
            <w:tcW w:w="98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noncontrolling</w:t>
            </w:r>
          </w:p>
        </w:tc>
        <w:tc>
          <w:tcPr>
            <w:tcW w:w="120" w:type="dxa"/>
            <w:vAlign w:val="bottom"/>
          </w:tcPr>
          <w:p>
            <w:pPr>
              <w:spacing w:after="0"/>
              <w:rPr>
                <w:sz w:val="10"/>
                <w:szCs w:val="10"/>
                <w:color w:val="auto"/>
              </w:rPr>
            </w:pPr>
          </w:p>
        </w:tc>
        <w:tc>
          <w:tcPr>
            <w:tcW w:w="9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Provision for</w:t>
            </w:r>
          </w:p>
        </w:tc>
        <w:tc>
          <w:tcPr>
            <w:tcW w:w="120" w:type="dxa"/>
            <w:vAlign w:val="bottom"/>
          </w:tcPr>
          <w:p>
            <w:pPr>
              <w:spacing w:after="0"/>
              <w:rPr>
                <w:sz w:val="10"/>
                <w:szCs w:val="10"/>
                <w:color w:val="auto"/>
              </w:rPr>
            </w:pPr>
          </w:p>
        </w:tc>
        <w:tc>
          <w:tcPr>
            <w:tcW w:w="900" w:type="dxa"/>
            <w:vAlign w:val="bottom"/>
            <w:gridSpan w:val="4"/>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Net interest</w:t>
            </w:r>
          </w:p>
        </w:tc>
        <w:tc>
          <w:tcPr>
            <w:tcW w:w="80" w:type="dxa"/>
            <w:vAlign w:val="bottom"/>
          </w:tcPr>
          <w:p>
            <w:pPr>
              <w:spacing w:after="0"/>
              <w:rPr>
                <w:sz w:val="10"/>
                <w:szCs w:val="10"/>
                <w:color w:val="auto"/>
              </w:rPr>
            </w:pPr>
          </w:p>
        </w:tc>
        <w:tc>
          <w:tcPr>
            <w:tcW w:w="10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3"/>
              </w:rPr>
              <w:t>income taxes</w:t>
            </w: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10"/>
                <w:szCs w:val="10"/>
                <w:color w:val="auto"/>
              </w:rPr>
            </w:pPr>
          </w:p>
        </w:tc>
        <w:tc>
          <w:tcPr>
            <w:tcW w:w="8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0"/>
              </w:rPr>
              <w:t>and amortization</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20" w:type="dxa"/>
            <w:vAlign w:val="bottom"/>
          </w:tcPr>
          <w:p>
            <w:pPr>
              <w:spacing w:after="0"/>
              <w:rPr>
                <w:sz w:val="12"/>
                <w:szCs w:val="12"/>
                <w:color w:val="auto"/>
              </w:rPr>
            </w:pPr>
          </w:p>
        </w:tc>
        <w:tc>
          <w:tcPr>
            <w:tcW w:w="960" w:type="dxa"/>
            <w:vAlign w:val="bottom"/>
            <w:gridSpan w:val="3"/>
          </w:tcPr>
          <w:p>
            <w:pPr>
              <w:ind w:left="60"/>
              <w:spacing w:after="0"/>
              <w:rPr>
                <w:sz w:val="20"/>
                <w:szCs w:val="20"/>
                <w:color w:val="auto"/>
              </w:rPr>
            </w:pPr>
            <w:r>
              <w:rPr>
                <w:rFonts w:ascii="Arial" w:cs="Arial" w:eastAsia="Arial" w:hAnsi="Arial"/>
                <w:sz w:val="11"/>
                <w:szCs w:val="11"/>
                <w:b w:val="1"/>
                <w:bCs w:val="1"/>
                <w:color w:val="auto"/>
              </w:rPr>
              <w:t>income taxes</w:t>
            </w:r>
          </w:p>
        </w:tc>
        <w:tc>
          <w:tcPr>
            <w:tcW w:w="120" w:type="dxa"/>
            <w:vAlign w:val="bottom"/>
          </w:tcPr>
          <w:p>
            <w:pPr>
              <w:spacing w:after="0"/>
              <w:rPr>
                <w:sz w:val="12"/>
                <w:szCs w:val="12"/>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1"/>
              </w:rPr>
              <w:t>expense</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(Operating profit)</w:t>
            </w: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88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(2,415.2)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276.3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451.3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(1,684.5)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509.6</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(1,174.9)</w:t>
            </w:r>
          </w:p>
        </w:tc>
        <w:tc>
          <w:tcPr>
            <w:tcW w:w="0" w:type="dxa"/>
            <w:vAlign w:val="bottom"/>
          </w:tcPr>
          <w:p>
            <w:pPr>
              <w:spacing w:after="0"/>
              <w:rPr>
                <w:sz w:val="1"/>
                <w:szCs w:val="1"/>
                <w:color w:val="auto"/>
              </w:rPr>
            </w:pPr>
          </w:p>
        </w:tc>
      </w:tr>
      <w:tr>
        <w:trPr>
          <w:trHeight w:val="486"/>
        </w:trPr>
        <w:tc>
          <w:tcPr>
            <w:tcW w:w="1760" w:type="dxa"/>
            <w:vAlign w:val="bottom"/>
          </w:tcPr>
          <w:p>
            <w:pPr>
              <w:spacing w:after="0"/>
              <w:rPr>
                <w:sz w:val="20"/>
                <w:szCs w:val="20"/>
                <w:color w:val="auto"/>
              </w:rPr>
            </w:pPr>
            <w:r>
              <w:rPr>
                <w:rFonts w:ascii="Arial" w:cs="Arial" w:eastAsia="Arial" w:hAnsi="Arial"/>
                <w:sz w:val="11"/>
                <w:szCs w:val="11"/>
                <w:color w:val="auto"/>
              </w:rPr>
              <w:t>Charges and (credits):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rPr>
              <w:t>Impairment and other charges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2,364.2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119.9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2,484.1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2,484.1</w:t>
            </w: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w w:val="94"/>
              </w:rPr>
              <w:t>Restructuring and other charges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37.0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37.0</w:t>
            </w:r>
          </w:p>
        </w:tc>
        <w:tc>
          <w:tcPr>
            <w:tcW w:w="0" w:type="dxa"/>
            <w:vAlign w:val="bottom"/>
          </w:tcPr>
          <w:p>
            <w:pPr>
              <w:spacing w:after="0"/>
              <w:rPr>
                <w:sz w:val="1"/>
                <w:szCs w:val="1"/>
                <w:color w:val="auto"/>
              </w:rPr>
            </w:pPr>
          </w:p>
        </w:tc>
      </w:tr>
      <w:tr>
        <w:trPr>
          <w:trHeight w:val="161"/>
        </w:trPr>
        <w:tc>
          <w:tcPr>
            <w:tcW w:w="1760" w:type="dxa"/>
            <w:vAlign w:val="bottom"/>
          </w:tcPr>
          <w:p>
            <w:pPr>
              <w:ind w:left="260"/>
              <w:spacing w:after="0"/>
              <w:rPr>
                <w:sz w:val="20"/>
                <w:szCs w:val="20"/>
                <w:color w:val="auto"/>
              </w:rPr>
            </w:pPr>
            <w:r>
              <w:rPr>
                <w:rFonts w:ascii="Arial" w:cs="Arial" w:eastAsia="Arial" w:hAnsi="Arial"/>
                <w:sz w:val="11"/>
                <w:szCs w:val="11"/>
                <w:color w:val="auto"/>
                <w:w w:val="90"/>
              </w:rPr>
              <w:t>Business combination transaction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ind w:left="260"/>
              <w:spacing w:after="0"/>
              <w:rPr>
                <w:sz w:val="20"/>
                <w:szCs w:val="20"/>
                <w:color w:val="auto"/>
              </w:rPr>
            </w:pPr>
            <w:r>
              <w:rPr>
                <w:rFonts w:ascii="Arial" w:cs="Arial" w:eastAsia="Arial" w:hAnsi="Arial"/>
                <w:sz w:val="11"/>
                <w:szCs w:val="11"/>
                <w:color w:val="auto"/>
              </w:rPr>
              <w:t>and integration costs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31.2</w:t>
            </w: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rPr>
              <w:t>Separation costs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72.1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72.1</w:t>
            </w: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rPr>
              <w:t>Reorganization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25.3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rPr>
              <w:t>Legal provision,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54.6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54.6</w:t>
            </w:r>
          </w:p>
        </w:tc>
        <w:tc>
          <w:tcPr>
            <w:tcW w:w="0" w:type="dxa"/>
            <w:vAlign w:val="bottom"/>
          </w:tcPr>
          <w:p>
            <w:pPr>
              <w:spacing w:after="0"/>
              <w:rPr>
                <w:sz w:val="1"/>
                <w:szCs w:val="1"/>
                <w:color w:val="auto"/>
              </w:rPr>
            </w:pPr>
          </w:p>
        </w:tc>
      </w:tr>
      <w:tr>
        <w:trPr>
          <w:trHeight w:val="161"/>
        </w:trPr>
        <w:tc>
          <w:tcPr>
            <w:tcW w:w="1760" w:type="dxa"/>
            <w:vAlign w:val="bottom"/>
          </w:tcPr>
          <w:p>
            <w:pPr>
              <w:ind w:left="260"/>
              <w:spacing w:after="0"/>
              <w:rPr>
                <w:sz w:val="20"/>
                <w:szCs w:val="20"/>
                <w:color w:val="auto"/>
              </w:rPr>
            </w:pPr>
            <w:r>
              <w:rPr>
                <w:rFonts w:ascii="Arial" w:cs="Arial" w:eastAsia="Arial" w:hAnsi="Arial"/>
                <w:sz w:val="11"/>
                <w:szCs w:val="11"/>
                <w:color w:val="auto"/>
              </w:rPr>
              <w:t>Purchase price accounting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ind w:left="260"/>
              <w:spacing w:after="0"/>
              <w:rPr>
                <w:sz w:val="20"/>
                <w:szCs w:val="20"/>
                <w:color w:val="auto"/>
              </w:rPr>
            </w:pPr>
            <w:r>
              <w:rPr>
                <w:rFonts w:ascii="Arial" w:cs="Arial" w:eastAsia="Arial" w:hAnsi="Arial"/>
                <w:sz w:val="11"/>
                <w:szCs w:val="11"/>
                <w:color w:val="auto"/>
              </w:rPr>
              <w:t>adjustment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26.0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34.0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rPr>
              <w:t>Valuation allowance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187.0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330.5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268.9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451.3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46"/>
              <w:spacing w:after="0"/>
              <w:rPr>
                <w:sz w:val="20"/>
                <w:szCs w:val="20"/>
                <w:color w:val="auto"/>
              </w:rPr>
            </w:pPr>
            <w:r>
              <w:rPr>
                <w:rFonts w:ascii="Arial" w:cs="Arial" w:eastAsia="Arial" w:hAnsi="Arial"/>
                <w:sz w:val="11"/>
                <w:szCs w:val="11"/>
                <w:color w:val="auto"/>
              </w:rPr>
              <w:t>1,053.8</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475.6</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1,529.4</w:t>
            </w: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1"/>
                <w:szCs w:val="11"/>
                <w:color w:val="auto"/>
              </w:rPr>
              <w:t>Diluted earnings (loss) per share</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attributable to TechnipFMC plc, as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60" w:type="dxa"/>
            <w:vAlign w:val="bottom"/>
          </w:tcPr>
          <w:p>
            <w:pPr>
              <w:spacing w:after="0"/>
              <w:rPr>
                <w:sz w:val="20"/>
                <w:szCs w:val="20"/>
                <w:color w:val="auto"/>
              </w:rPr>
            </w:pPr>
            <w:r>
              <w:rPr>
                <w:rFonts w:ascii="Arial" w:cs="Arial" w:eastAsia="Arial" w:hAnsi="Arial"/>
                <w:sz w:val="11"/>
                <w:szCs w:val="11"/>
                <w:color w:val="auto"/>
              </w:rPr>
              <w:t>reported</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(5.39)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60" w:type="dxa"/>
            <w:vAlign w:val="bottom"/>
          </w:tcPr>
          <w:p>
            <w:pPr>
              <w:spacing w:after="0"/>
              <w:rPr>
                <w:sz w:val="20"/>
                <w:szCs w:val="20"/>
                <w:color w:val="auto"/>
              </w:rPr>
            </w:pPr>
            <w:r>
              <w:rPr>
                <w:rFonts w:ascii="Arial" w:cs="Arial" w:eastAsia="Arial" w:hAnsi="Arial"/>
                <w:sz w:val="11"/>
                <w:szCs w:val="11"/>
                <w:color w:val="auto"/>
              </w:rPr>
              <w:t>Adjusted diluted earnings per share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spacing w:after="0"/>
              <w:rPr>
                <w:sz w:val="20"/>
                <w:szCs w:val="20"/>
                <w:color w:val="auto"/>
              </w:rPr>
            </w:pPr>
            <w:r>
              <w:rPr>
                <w:rFonts w:ascii="Arial" w:cs="Arial" w:eastAsia="Arial" w:hAnsi="Arial"/>
                <w:sz w:val="11"/>
                <w:szCs w:val="11"/>
                <w:color w:val="auto"/>
              </w:rPr>
              <w:t>attributable to TechnipFMC plc</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0.74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2"/>
              </w:rPr>
              <w:t>Year Ended</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gridSpan w:val="5"/>
          </w:tcPr>
          <w:p>
            <w:pPr>
              <w:ind w:left="20"/>
              <w:spacing w:after="0"/>
              <w:rPr>
                <w:sz w:val="20"/>
                <w:szCs w:val="20"/>
                <w:color w:val="auto"/>
              </w:rPr>
            </w:pPr>
            <w:r>
              <w:rPr>
                <w:rFonts w:ascii="Arial" w:cs="Arial" w:eastAsia="Arial" w:hAnsi="Arial"/>
                <w:sz w:val="11"/>
                <w:szCs w:val="11"/>
                <w:b w:val="1"/>
                <w:bCs w:val="1"/>
                <w:color w:val="auto"/>
                <w:w w:val="98"/>
              </w:rPr>
              <w:t>December 31, 2018</w:t>
            </w: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6"/>
              <w:spacing w:after="0"/>
              <w:rPr>
                <w:sz w:val="20"/>
                <w:szCs w:val="20"/>
                <w:color w:val="auto"/>
              </w:rPr>
            </w:pPr>
            <w:r>
              <w:rPr>
                <w:rFonts w:ascii="Arial" w:cs="Arial" w:eastAsia="Arial" w:hAnsi="Arial"/>
                <w:sz w:val="11"/>
                <w:szCs w:val="11"/>
                <w:b w:val="1"/>
                <w:bCs w:val="1"/>
                <w:color w:val="auto"/>
                <w:w w:val="88"/>
              </w:rPr>
              <w:t>Earnings before</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net interest</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Income before net</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3"/>
              </w:rPr>
              <w:t>expense, income</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5"/>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Net income (loss)</w:t>
            </w:r>
          </w:p>
        </w:tc>
        <w:tc>
          <w:tcPr>
            <w:tcW w:w="80" w:type="dxa"/>
            <w:vAlign w:val="bottom"/>
          </w:tcPr>
          <w:p>
            <w:pPr>
              <w:spacing w:after="0"/>
              <w:rPr>
                <w:sz w:val="10"/>
                <w:szCs w:val="10"/>
                <w:color w:val="auto"/>
              </w:rPr>
            </w:pPr>
          </w:p>
        </w:tc>
        <w:tc>
          <w:tcPr>
            <w:tcW w:w="98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attributable to</w:t>
            </w: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4"/>
              </w:rPr>
              <w:t>interest expense and</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taxes, depreciation</w:t>
            </w: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attributable to</w:t>
            </w:r>
          </w:p>
        </w:tc>
        <w:tc>
          <w:tcPr>
            <w:tcW w:w="80" w:type="dxa"/>
            <w:vAlign w:val="bottom"/>
          </w:tcPr>
          <w:p>
            <w:pPr>
              <w:spacing w:after="0"/>
              <w:rPr>
                <w:sz w:val="10"/>
                <w:szCs w:val="10"/>
                <w:color w:val="auto"/>
              </w:rPr>
            </w:pPr>
          </w:p>
        </w:tc>
        <w:tc>
          <w:tcPr>
            <w:tcW w:w="9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noncontrolling</w:t>
            </w:r>
          </w:p>
        </w:tc>
        <w:tc>
          <w:tcPr>
            <w:tcW w:w="120" w:type="dxa"/>
            <w:vAlign w:val="bottom"/>
          </w:tcPr>
          <w:p>
            <w:pPr>
              <w:spacing w:after="0"/>
              <w:rPr>
                <w:sz w:val="10"/>
                <w:szCs w:val="10"/>
                <w:color w:val="auto"/>
              </w:rPr>
            </w:pPr>
          </w:p>
        </w:tc>
        <w:tc>
          <w:tcPr>
            <w:tcW w:w="9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Provision for</w:t>
            </w:r>
          </w:p>
        </w:tc>
        <w:tc>
          <w:tcPr>
            <w:tcW w:w="120" w:type="dxa"/>
            <w:vAlign w:val="bottom"/>
          </w:tcPr>
          <w:p>
            <w:pPr>
              <w:spacing w:after="0"/>
              <w:rPr>
                <w:sz w:val="10"/>
                <w:szCs w:val="10"/>
                <w:color w:val="auto"/>
              </w:rPr>
            </w:pPr>
          </w:p>
        </w:tc>
        <w:tc>
          <w:tcPr>
            <w:tcW w:w="900" w:type="dxa"/>
            <w:vAlign w:val="bottom"/>
            <w:gridSpan w:val="4"/>
          </w:tcPr>
          <w:p>
            <w:pPr>
              <w:jc w:val="center"/>
              <w:ind w:right="260"/>
              <w:spacing w:after="0" w:line="122" w:lineRule="exact"/>
              <w:rPr>
                <w:sz w:val="20"/>
                <w:szCs w:val="20"/>
                <w:color w:val="auto"/>
              </w:rPr>
            </w:pPr>
            <w:r>
              <w:rPr>
                <w:rFonts w:ascii="Arial" w:cs="Arial" w:eastAsia="Arial" w:hAnsi="Arial"/>
                <w:sz w:val="11"/>
                <w:szCs w:val="11"/>
                <w:b w:val="1"/>
                <w:bCs w:val="1"/>
                <w:color w:val="auto"/>
                <w:w w:val="85"/>
              </w:rPr>
              <w:t>Net interest</w:t>
            </w:r>
          </w:p>
        </w:tc>
        <w:tc>
          <w:tcPr>
            <w:tcW w:w="8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income taxes</w:t>
            </w:r>
          </w:p>
        </w:tc>
        <w:tc>
          <w:tcPr>
            <w:tcW w:w="8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Depreciation and</w:t>
            </w:r>
          </w:p>
        </w:tc>
        <w:tc>
          <w:tcPr>
            <w:tcW w:w="80" w:type="dxa"/>
            <w:vAlign w:val="bottom"/>
          </w:tcPr>
          <w:p>
            <w:pPr>
              <w:spacing w:after="0"/>
              <w:rPr>
                <w:sz w:val="10"/>
                <w:szCs w:val="10"/>
                <w:color w:val="auto"/>
              </w:rPr>
            </w:pPr>
          </w:p>
        </w:tc>
        <w:tc>
          <w:tcPr>
            <w:tcW w:w="88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0"/>
              </w:rPr>
              <w:t>and amortization</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1"/>
              </w:rPr>
              <w:t>TechnipFMC plc</w:t>
            </w:r>
          </w:p>
        </w:tc>
        <w:tc>
          <w:tcPr>
            <w:tcW w:w="80" w:type="dxa"/>
            <w:vAlign w:val="bottom"/>
          </w:tcPr>
          <w:p>
            <w:pPr>
              <w:spacing w:after="0"/>
              <w:rPr>
                <w:sz w:val="12"/>
                <w:szCs w:val="12"/>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2"/>
              </w:rPr>
              <w:t>interests</w:t>
            </w:r>
          </w:p>
        </w:tc>
        <w:tc>
          <w:tcPr>
            <w:tcW w:w="120" w:type="dxa"/>
            <w:vAlign w:val="bottom"/>
          </w:tcPr>
          <w:p>
            <w:pPr>
              <w:spacing w:after="0"/>
              <w:rPr>
                <w:sz w:val="12"/>
                <w:szCs w:val="12"/>
                <w:color w:val="auto"/>
              </w:rPr>
            </w:pPr>
          </w:p>
        </w:tc>
        <w:tc>
          <w:tcPr>
            <w:tcW w:w="960" w:type="dxa"/>
            <w:vAlign w:val="bottom"/>
            <w:gridSpan w:val="3"/>
          </w:tcPr>
          <w:p>
            <w:pPr>
              <w:ind w:left="60"/>
              <w:spacing w:after="0"/>
              <w:rPr>
                <w:sz w:val="20"/>
                <w:szCs w:val="20"/>
                <w:color w:val="auto"/>
              </w:rPr>
            </w:pPr>
            <w:r>
              <w:rPr>
                <w:rFonts w:ascii="Arial" w:cs="Arial" w:eastAsia="Arial" w:hAnsi="Arial"/>
                <w:sz w:val="11"/>
                <w:szCs w:val="11"/>
                <w:b w:val="1"/>
                <w:bCs w:val="1"/>
                <w:color w:val="auto"/>
              </w:rPr>
              <w:t>income taxes</w:t>
            </w:r>
          </w:p>
        </w:tc>
        <w:tc>
          <w:tcPr>
            <w:tcW w:w="120" w:type="dxa"/>
            <w:vAlign w:val="bottom"/>
          </w:tcPr>
          <w:p>
            <w:pPr>
              <w:spacing w:after="0"/>
              <w:rPr>
                <w:sz w:val="12"/>
                <w:szCs w:val="12"/>
                <w:color w:val="auto"/>
              </w:rPr>
            </w:pPr>
          </w:p>
        </w:tc>
        <w:tc>
          <w:tcPr>
            <w:tcW w:w="90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81"/>
              </w:rPr>
              <w:t>expense</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(Operating profit)</w:t>
            </w: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amortization</w:t>
            </w:r>
          </w:p>
        </w:tc>
        <w:tc>
          <w:tcPr>
            <w:tcW w:w="80" w:type="dxa"/>
            <w:vAlign w:val="bottom"/>
          </w:tcPr>
          <w:p>
            <w:pPr>
              <w:spacing w:after="0"/>
              <w:rPr>
                <w:sz w:val="12"/>
                <w:szCs w:val="12"/>
                <w:color w:val="auto"/>
              </w:rPr>
            </w:pPr>
          </w:p>
        </w:tc>
        <w:tc>
          <w:tcPr>
            <w:tcW w:w="880" w:type="dxa"/>
            <w:vAlign w:val="bottom"/>
          </w:tcPr>
          <w:p>
            <w:pPr>
              <w:jc w:val="center"/>
              <w:ind w:right="26"/>
              <w:spacing w:after="0"/>
              <w:rPr>
                <w:sz w:val="20"/>
                <w:szCs w:val="20"/>
                <w:color w:val="auto"/>
              </w:rPr>
            </w:pPr>
            <w:r>
              <w:rPr>
                <w:rFonts w:ascii="Arial" w:cs="Arial" w:eastAsia="Arial" w:hAnsi="Arial"/>
                <w:sz w:val="11"/>
                <w:szCs w:val="11"/>
                <w:b w:val="1"/>
                <w:bCs w:val="1"/>
                <w:color w:val="auto"/>
                <w:w w:val="99"/>
              </w:rPr>
              <w:t>(EBITDA)</w:t>
            </w: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20"/>
                <w:szCs w:val="20"/>
                <w:color w:val="auto"/>
              </w:rPr>
            </w:pPr>
            <w:r>
              <w:rPr>
                <w:rFonts w:ascii="Arial" w:cs="Arial" w:eastAsia="Arial" w:hAnsi="Arial"/>
                <w:sz w:val="11"/>
                <w:szCs w:val="11"/>
                <w:color w:val="auto"/>
              </w:rPr>
              <w:t>TechnipFMC plc, as reported</w:t>
            </w: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(1,921.6)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10.8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422.7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360.9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(1,127.2)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550.4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(576.8)</w:t>
            </w:r>
          </w:p>
        </w:tc>
        <w:tc>
          <w:tcPr>
            <w:tcW w:w="0" w:type="dxa"/>
            <w:vAlign w:val="bottom"/>
          </w:tcPr>
          <w:p>
            <w:pPr>
              <w:spacing w:after="0"/>
              <w:rPr>
                <w:sz w:val="1"/>
                <w:szCs w:val="1"/>
                <w:color w:val="auto"/>
              </w:rPr>
            </w:pPr>
          </w:p>
        </w:tc>
      </w:tr>
      <w:tr>
        <w:trPr>
          <w:trHeight w:val="486"/>
        </w:trPr>
        <w:tc>
          <w:tcPr>
            <w:tcW w:w="1760" w:type="dxa"/>
            <w:vAlign w:val="bottom"/>
          </w:tcPr>
          <w:p>
            <w:pPr>
              <w:spacing w:after="0"/>
              <w:rPr>
                <w:sz w:val="20"/>
                <w:szCs w:val="20"/>
                <w:color w:val="auto"/>
              </w:rPr>
            </w:pPr>
            <w:r>
              <w:rPr>
                <w:rFonts w:ascii="Arial" w:cs="Arial" w:eastAsia="Arial" w:hAnsi="Arial"/>
                <w:sz w:val="11"/>
                <w:szCs w:val="11"/>
                <w:color w:val="auto"/>
              </w:rPr>
              <w:t>Charges and (credits):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rPr>
              <w:t>Impairment and other charges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1,698.2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94.4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1,792.6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1,792.6</w:t>
            </w:r>
          </w:p>
        </w:tc>
        <w:tc>
          <w:tcPr>
            <w:tcW w:w="0" w:type="dxa"/>
            <w:vAlign w:val="bottom"/>
          </w:tcPr>
          <w:p>
            <w:pPr>
              <w:spacing w:after="0"/>
              <w:rPr>
                <w:sz w:val="1"/>
                <w:szCs w:val="1"/>
                <w:color w:val="auto"/>
              </w:rPr>
            </w:pPr>
          </w:p>
        </w:tc>
      </w:tr>
      <w:tr>
        <w:trPr>
          <w:trHeight w:val="161"/>
        </w:trPr>
        <w:tc>
          <w:tcPr>
            <w:tcW w:w="1760" w:type="dxa"/>
            <w:vAlign w:val="bottom"/>
          </w:tcPr>
          <w:p>
            <w:pPr>
              <w:ind w:left="260"/>
              <w:spacing w:after="0"/>
              <w:rPr>
                <w:sz w:val="20"/>
                <w:szCs w:val="20"/>
                <w:color w:val="auto"/>
              </w:rPr>
            </w:pPr>
            <w:r>
              <w:rPr>
                <w:rFonts w:ascii="Arial" w:cs="Arial" w:eastAsia="Arial" w:hAnsi="Arial"/>
                <w:sz w:val="11"/>
                <w:szCs w:val="11"/>
                <w:color w:val="auto"/>
                <w:w w:val="87"/>
              </w:rPr>
              <w:t>Restructuring and other severance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ind w:left="260"/>
              <w:spacing w:after="0"/>
              <w:rPr>
                <w:sz w:val="20"/>
                <w:szCs w:val="20"/>
                <w:color w:val="auto"/>
              </w:rPr>
            </w:pPr>
            <w:r>
              <w:rPr>
                <w:rFonts w:ascii="Arial" w:cs="Arial" w:eastAsia="Arial" w:hAnsi="Arial"/>
                <w:sz w:val="11"/>
                <w:szCs w:val="11"/>
                <w:color w:val="auto"/>
              </w:rPr>
              <w:t>charges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23.9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38.6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38.6</w:t>
            </w:r>
          </w:p>
        </w:tc>
        <w:tc>
          <w:tcPr>
            <w:tcW w:w="0" w:type="dxa"/>
            <w:vAlign w:val="bottom"/>
          </w:tcPr>
          <w:p>
            <w:pPr>
              <w:spacing w:after="0"/>
              <w:rPr>
                <w:sz w:val="1"/>
                <w:szCs w:val="1"/>
                <w:color w:val="auto"/>
              </w:rPr>
            </w:pPr>
          </w:p>
        </w:tc>
      </w:tr>
      <w:tr>
        <w:trPr>
          <w:trHeight w:val="161"/>
        </w:trPr>
        <w:tc>
          <w:tcPr>
            <w:tcW w:w="1760" w:type="dxa"/>
            <w:vAlign w:val="bottom"/>
          </w:tcPr>
          <w:p>
            <w:pPr>
              <w:ind w:left="260"/>
              <w:spacing w:after="0"/>
              <w:rPr>
                <w:sz w:val="20"/>
                <w:szCs w:val="20"/>
                <w:color w:val="auto"/>
              </w:rPr>
            </w:pPr>
            <w:r>
              <w:rPr>
                <w:rFonts w:ascii="Arial" w:cs="Arial" w:eastAsia="Arial" w:hAnsi="Arial"/>
                <w:sz w:val="11"/>
                <w:szCs w:val="11"/>
                <w:color w:val="auto"/>
                <w:w w:val="90"/>
              </w:rPr>
              <w:t>Business combination transaction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ind w:left="260"/>
              <w:spacing w:after="0"/>
              <w:rPr>
                <w:sz w:val="20"/>
                <w:szCs w:val="20"/>
                <w:color w:val="auto"/>
              </w:rPr>
            </w:pPr>
            <w:r>
              <w:rPr>
                <w:rFonts w:ascii="Arial" w:cs="Arial" w:eastAsia="Arial" w:hAnsi="Arial"/>
                <w:sz w:val="11"/>
                <w:szCs w:val="11"/>
                <w:color w:val="auto"/>
              </w:rPr>
              <w:t>and integration costs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22.6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36.5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36.5</w:t>
            </w: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rPr>
              <w:t>Legal Provision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280.0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280.0</w:t>
            </w: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rPr>
              <w:t>Gain on divestitures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40" w:type="dxa"/>
            <w:vAlign w:val="bottom"/>
          </w:tcPr>
          <w:p>
            <w:pPr>
              <w:jc w:val="right"/>
              <w:ind w:right="26"/>
              <w:spacing w:after="0"/>
              <w:rPr>
                <w:sz w:val="20"/>
                <w:szCs w:val="20"/>
                <w:color w:val="auto"/>
              </w:rPr>
            </w:pPr>
            <w:r>
              <w:rPr>
                <w:rFonts w:ascii="Arial" w:cs="Arial" w:eastAsia="Arial" w:hAnsi="Arial"/>
                <w:sz w:val="11"/>
                <w:szCs w:val="11"/>
                <w:color w:val="auto"/>
              </w:rPr>
              <w:t>(31.6)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(31.6)</w:t>
            </w:r>
          </w:p>
        </w:tc>
        <w:tc>
          <w:tcPr>
            <w:tcW w:w="0" w:type="dxa"/>
            <w:vAlign w:val="bottom"/>
          </w:tcPr>
          <w:p>
            <w:pPr>
              <w:spacing w:after="0"/>
              <w:rPr>
                <w:sz w:val="1"/>
                <w:szCs w:val="1"/>
                <w:color w:val="auto"/>
              </w:rPr>
            </w:pPr>
          </w:p>
        </w:tc>
      </w:tr>
      <w:tr>
        <w:trPr>
          <w:trHeight w:val="161"/>
        </w:trPr>
        <w:tc>
          <w:tcPr>
            <w:tcW w:w="1760" w:type="dxa"/>
            <w:vAlign w:val="bottom"/>
          </w:tcPr>
          <w:p>
            <w:pPr>
              <w:ind w:left="260"/>
              <w:spacing w:after="0"/>
              <w:rPr>
                <w:sz w:val="20"/>
                <w:szCs w:val="20"/>
                <w:color w:val="auto"/>
              </w:rPr>
            </w:pPr>
            <w:r>
              <w:rPr>
                <w:rFonts w:ascii="Arial" w:cs="Arial" w:eastAsia="Arial" w:hAnsi="Arial"/>
                <w:sz w:val="11"/>
                <w:szCs w:val="11"/>
                <w:color w:val="auto"/>
              </w:rPr>
              <w:t>Purchase price accounting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ind w:left="260"/>
              <w:spacing w:after="0"/>
              <w:rPr>
                <w:sz w:val="20"/>
                <w:szCs w:val="20"/>
                <w:color w:val="auto"/>
              </w:rPr>
            </w:pPr>
            <w:r>
              <w:rPr>
                <w:rFonts w:ascii="Arial" w:cs="Arial" w:eastAsia="Arial" w:hAnsi="Arial"/>
                <w:sz w:val="11"/>
                <w:szCs w:val="11"/>
                <w:color w:val="auto"/>
              </w:rPr>
              <w:t>adjustment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20.9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88.8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rPr>
              <w:t>Tax reform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6"/>
        </w:trPr>
        <w:tc>
          <w:tcPr>
            <w:tcW w:w="1760" w:type="dxa"/>
            <w:vAlign w:val="bottom"/>
          </w:tcPr>
          <w:p>
            <w:pPr>
              <w:ind w:left="260"/>
              <w:spacing w:after="0"/>
              <w:rPr>
                <w:sz w:val="20"/>
                <w:szCs w:val="20"/>
                <w:color w:val="auto"/>
              </w:rPr>
            </w:pPr>
            <w:r>
              <w:rPr>
                <w:rFonts w:ascii="Arial" w:cs="Arial" w:eastAsia="Arial" w:hAnsi="Arial"/>
                <w:sz w:val="11"/>
                <w:szCs w:val="11"/>
                <w:color w:val="auto"/>
              </w:rPr>
              <w:t>Valuation allowance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213.8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60" w:type="dxa"/>
            <w:vAlign w:val="bottom"/>
          </w:tcPr>
          <w:p>
            <w:pPr>
              <w:spacing w:after="0"/>
              <w:rPr>
                <w:sz w:val="20"/>
                <w:szCs w:val="20"/>
                <w:color w:val="auto"/>
              </w:rPr>
            </w:pPr>
            <w:r>
              <w:rPr>
                <w:rFonts w:ascii="Arial" w:cs="Arial" w:eastAsia="Arial" w:hAnsi="Arial"/>
                <w:sz w:val="11"/>
                <w:szCs w:val="11"/>
                <w:color w:val="auto"/>
              </w:rPr>
              <w:t>Adjusted financial measures</w:t>
            </w:r>
          </w:p>
        </w:tc>
        <w:tc>
          <w:tcPr>
            <w:tcW w:w="1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377.1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328.9</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360.9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1,077.7</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459.1</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1,536.8</w:t>
            </w: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1"/>
                <w:szCs w:val="11"/>
                <w:color w:val="auto"/>
                <w:w w:val="93"/>
              </w:rPr>
              <w:t>Diluted earnings per share attributable</w:t>
            </w: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760" w:type="dxa"/>
            <w:vAlign w:val="bottom"/>
          </w:tcPr>
          <w:p>
            <w:pPr>
              <w:spacing w:after="0"/>
              <w:rPr>
                <w:sz w:val="20"/>
                <w:szCs w:val="20"/>
                <w:color w:val="auto"/>
              </w:rPr>
            </w:pPr>
            <w:r>
              <w:rPr>
                <w:rFonts w:ascii="Arial" w:cs="Arial" w:eastAsia="Arial" w:hAnsi="Arial"/>
                <w:sz w:val="11"/>
                <w:szCs w:val="11"/>
                <w:color w:val="auto"/>
              </w:rPr>
              <w:t>to TechnipFMC plc, as reported</w:t>
            </w: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(4.20)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60" w:type="dxa"/>
            <w:vAlign w:val="bottom"/>
          </w:tcPr>
          <w:p>
            <w:pPr>
              <w:spacing w:after="0"/>
              <w:rPr>
                <w:sz w:val="20"/>
                <w:szCs w:val="20"/>
                <w:color w:val="auto"/>
              </w:rPr>
            </w:pPr>
            <w:r>
              <w:rPr>
                <w:rFonts w:ascii="Arial" w:cs="Arial" w:eastAsia="Arial" w:hAnsi="Arial"/>
                <w:sz w:val="11"/>
                <w:szCs w:val="11"/>
                <w:color w:val="auto"/>
              </w:rPr>
              <w:t>Adjusted diluted earnings per share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60" w:type="dxa"/>
            <w:vAlign w:val="bottom"/>
          </w:tcPr>
          <w:p>
            <w:pPr>
              <w:spacing w:after="0"/>
              <w:rPr>
                <w:sz w:val="20"/>
                <w:szCs w:val="20"/>
                <w:color w:val="auto"/>
              </w:rPr>
            </w:pPr>
            <w:r>
              <w:rPr>
                <w:rFonts w:ascii="Arial" w:cs="Arial" w:eastAsia="Arial" w:hAnsi="Arial"/>
                <w:sz w:val="11"/>
                <w:szCs w:val="11"/>
                <w:color w:val="auto"/>
              </w:rPr>
              <w:t>attributable to TechnipFMC plc</w:t>
            </w:r>
          </w:p>
        </w:tc>
        <w:tc>
          <w:tcPr>
            <w:tcW w:w="140" w:type="dxa"/>
            <w:vAlign w:val="bottom"/>
            <w:gridSpan w:val="2"/>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0.82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99" w:right="239" w:bottom="1440" w:gutter="0" w:footer="0" w:header="0"/>
        </w:sectPr>
      </w:pPr>
    </w:p>
    <w:p>
      <w:pPr>
        <w:spacing w:after="0" w:line="241"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25 of </w:t>
      </w:r>
      <w:hyperlink w:anchor="page35">
        <w:r>
          <w:rPr>
            <w:rFonts w:ascii="Arial" w:cs="Arial" w:eastAsia="Arial" w:hAnsi="Arial"/>
            <w:sz w:val="14"/>
            <w:szCs w:val="14"/>
            <w:b w:val="1"/>
            <w:bCs w:val="1"/>
            <w:color w:val="auto"/>
          </w:rPr>
          <w:t>29</w:t>
        </w:r>
      </w:hyperlink>
    </w:p>
    <w:p>
      <w:pPr>
        <w:sectPr>
          <w:pgSz w:w="11900" w:h="16838" w:orient="portrait"/>
          <w:cols w:equalWidth="0" w:num="1">
            <w:col w:w="11420"/>
          </w:cols>
          <w:pgMar w:left="240" w:top="499" w:right="23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3"/>
          <w:szCs w:val="13"/>
          <w:b w:val="1"/>
          <w:bCs w:val="1"/>
          <w:color w:val="auto"/>
        </w:rPr>
        <w:t>Exhibit 9</w:t>
      </w:r>
    </w:p>
    <w:p>
      <w:pPr>
        <w:spacing w:after="0" w:line="161"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ind w:right="112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224790</wp:posOffset>
            </wp:positionV>
            <wp:extent cx="3310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6"/>
          </w:tcPr>
          <w:p>
            <w:pPr>
              <w:jc w:val="center"/>
              <w:ind w:left="608"/>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4"/>
              </w:rPr>
              <w:t>Onshore/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Offshore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2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1,486.8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1,832.4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407.6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3,726.8</w:t>
            </w:r>
          </w:p>
        </w:tc>
        <w:tc>
          <w:tcPr>
            <w:tcW w:w="0" w:type="dxa"/>
            <w:vAlign w:val="bottom"/>
          </w:tcPr>
          <w:p>
            <w:pPr>
              <w:spacing w:after="0"/>
              <w:rPr>
                <w:sz w:val="1"/>
                <w:szCs w:val="1"/>
                <w:color w:val="auto"/>
              </w:rPr>
            </w:pPr>
          </w:p>
        </w:tc>
      </w:tr>
      <w:tr>
        <w:trPr>
          <w:trHeight w:val="486"/>
        </w:trPr>
        <w:tc>
          <w:tcPr>
            <w:tcW w:w="392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(1,512.7)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245.3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(698.2)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(2,144.5)</w:t>
            </w:r>
          </w:p>
        </w:tc>
        <w:tc>
          <w:tcPr>
            <w:tcW w:w="0" w:type="dxa"/>
            <w:vAlign w:val="bottom"/>
          </w:tcPr>
          <w:p>
            <w:pPr>
              <w:spacing w:after="0"/>
              <w:rPr>
                <w:sz w:val="1"/>
                <w:szCs w:val="1"/>
                <w:color w:val="auto"/>
              </w:rPr>
            </w:pPr>
          </w:p>
        </w:tc>
      </w:tr>
      <w:tr>
        <w:trPr>
          <w:trHeight w:val="486"/>
        </w:trPr>
        <w:tc>
          <w:tcPr>
            <w:tcW w:w="392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1,671.7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684.9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2,356.6</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4"/>
                <w:szCs w:val="14"/>
                <w:color w:val="auto"/>
              </w:rPr>
              <w:t>Restructuring and other charges*</w:t>
            </w:r>
          </w:p>
        </w:tc>
        <w:tc>
          <w:tcPr>
            <w:tcW w:w="180" w:type="dxa"/>
            <w:vAlign w:val="bottom"/>
          </w:tcPr>
          <w:p>
            <w:pPr>
              <w:spacing w:after="0"/>
              <w:rPr>
                <w:sz w:val="23"/>
                <w:szCs w:val="23"/>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4"/>
                <w:szCs w:val="14"/>
                <w:color w:val="auto"/>
              </w:rPr>
              <w:t>Separation costs</w:t>
            </w:r>
          </w:p>
        </w:tc>
        <w:tc>
          <w:tcPr>
            <w:tcW w:w="18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276"/>
        </w:trPr>
        <w:tc>
          <w:tcPr>
            <w:tcW w:w="3920" w:type="dxa"/>
            <w:vAlign w:val="bottom"/>
          </w:tcPr>
          <w:p>
            <w:pPr>
              <w:ind w:left="240"/>
              <w:spacing w:after="0"/>
              <w:rPr>
                <w:sz w:val="20"/>
                <w:szCs w:val="20"/>
                <w:color w:val="auto"/>
              </w:rPr>
            </w:pPr>
            <w:r>
              <w:rPr>
                <w:rFonts w:ascii="Arial" w:cs="Arial" w:eastAsia="Arial" w:hAnsi="Arial"/>
                <w:sz w:val="14"/>
                <w:szCs w:val="14"/>
                <w:color w:val="auto"/>
              </w:rPr>
              <w:t>Purchase price accounting adjustments</w:t>
            </w: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44"/>
        </w:trPr>
        <w:tc>
          <w:tcPr>
            <w:tcW w:w="392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1,622.7</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721.9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2,426.3</w:t>
            </w: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2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251.2</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281.8</w:t>
            </w:r>
          </w:p>
        </w:tc>
        <w:tc>
          <w:tcPr>
            <w:tcW w:w="0" w:type="dxa"/>
            <w:vAlign w:val="bottom"/>
          </w:tcPr>
          <w:p>
            <w:pPr>
              <w:spacing w:after="0"/>
              <w:rPr>
                <w:sz w:val="1"/>
                <w:szCs w:val="1"/>
                <w:color w:val="auto"/>
              </w:rPr>
            </w:pPr>
          </w:p>
        </w:tc>
      </w:tr>
      <w:tr>
        <w:trPr>
          <w:trHeight w:val="474"/>
        </w:trPr>
        <w:tc>
          <w:tcPr>
            <w:tcW w:w="392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259.7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404.4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92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-101.7 %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-171.3 %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-57.5 %</w:t>
            </w:r>
          </w:p>
        </w:tc>
        <w:tc>
          <w:tcPr>
            <w:tcW w:w="0" w:type="dxa"/>
            <w:vAlign w:val="bottom"/>
          </w:tcPr>
          <w:p>
            <w:pPr>
              <w:spacing w:after="0"/>
              <w:rPr>
                <w:sz w:val="1"/>
                <w:szCs w:val="1"/>
                <w:color w:val="auto"/>
              </w:rPr>
            </w:pPr>
          </w:p>
        </w:tc>
      </w:tr>
      <w:tr>
        <w:trPr>
          <w:trHeight w:val="486"/>
        </w:trPr>
        <w:tc>
          <w:tcPr>
            <w:tcW w:w="392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486"/>
        </w:trPr>
        <w:tc>
          <w:tcPr>
            <w:tcW w:w="392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200"/>
        <w:spacing w:after="0" w:line="238" w:lineRule="auto"/>
        <w:rPr>
          <w:sz w:val="20"/>
          <w:szCs w:val="20"/>
          <w:color w:val="auto"/>
        </w:rPr>
      </w:pPr>
      <w:r>
        <w:rPr>
          <w:rFonts w:ascii="Arial" w:cs="Arial" w:eastAsia="Arial" w:hAnsi="Arial"/>
          <w:sz w:val="14"/>
          <w:szCs w:val="14"/>
          <w:color w:val="auto"/>
        </w:rPr>
        <w:t>*On December 30, 2019, the Company completed the acquisition of the remaining 50 percent of Technip Odebrecht PLSV CV, which resulted in a net loss of $0.9 million that was recorded in the Subsea segment. The net loss comprises an impairment charge of $84.2 million included within impairment and other charges and a bargain purchase gain of $83.3 million included within restructuring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299720</wp:posOffset>
            </wp:positionV>
            <wp:extent cx="32848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7"/>
          </w:tcPr>
          <w:p>
            <w:pPr>
              <w:jc w:val="center"/>
              <w:ind w:left="608"/>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4"/>
              </w:rPr>
              <w:t>Onshore/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3"/>
                <w:szCs w:val="13"/>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9"/>
              </w:rPr>
              <w:t>Offshore</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1,233.3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1,672.4</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417.3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3,323.0</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(1,739.5)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206.4</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(393.6)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(1,887.9)</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1,775.6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1,778.5</w:t>
            </w: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4"/>
                <w:szCs w:val="14"/>
                <w:color w:val="auto"/>
              </w:rPr>
              <w:t>Legal provision</w:t>
            </w:r>
          </w:p>
        </w:tc>
        <w:tc>
          <w:tcPr>
            <w:tcW w:w="18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69"/>
        </w:trPr>
        <w:tc>
          <w:tcPr>
            <w:tcW w:w="3960" w:type="dxa"/>
            <w:vAlign w:val="bottom"/>
          </w:tcPr>
          <w:p>
            <w:pPr>
              <w:ind w:left="240"/>
              <w:spacing w:after="0"/>
              <w:rPr>
                <w:sz w:val="20"/>
                <w:szCs w:val="20"/>
                <w:color w:val="auto"/>
              </w:rPr>
            </w:pPr>
            <w:r>
              <w:rPr>
                <w:rFonts w:ascii="Arial" w:cs="Arial" w:eastAsia="Arial" w:hAnsi="Arial"/>
                <w:sz w:val="14"/>
                <w:szCs w:val="14"/>
                <w:color w:val="auto"/>
              </w:rPr>
              <w:t>Purchase price accounting adjustments - non-amortization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Pr>
          <w:p>
            <w:pPr>
              <w:ind w:left="240"/>
              <w:spacing w:after="0"/>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960" w:type="dxa"/>
            <w:vAlign w:val="bottom"/>
          </w:tcPr>
          <w:p>
            <w:pPr>
              <w:ind w:left="240"/>
              <w:spacing w:after="0"/>
              <w:rPr>
                <w:sz w:val="20"/>
                <w:szCs w:val="20"/>
                <w:color w:val="auto"/>
              </w:rPr>
            </w:pPr>
            <w:r>
              <w:rPr>
                <w:rFonts w:ascii="Arial" w:cs="Arial" w:eastAsia="Arial" w:hAnsi="Arial"/>
                <w:sz w:val="14"/>
                <w:szCs w:val="14"/>
                <w:color w:val="auto"/>
                <w:w w:val="97"/>
              </w:rPr>
              <w:t>Purchase price accounting adjustments - amortization related</w:t>
            </w: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44"/>
        </w:trPr>
        <w:tc>
          <w:tcPr>
            <w:tcW w:w="396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1,803.1</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303.3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2,116.4</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208.8</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228.5</w:t>
            </w:r>
          </w:p>
        </w:tc>
        <w:tc>
          <w:tcPr>
            <w:tcW w:w="0" w:type="dxa"/>
            <w:vAlign w:val="bottom"/>
          </w:tcPr>
          <w:p>
            <w:pPr>
              <w:spacing w:after="0"/>
              <w:rPr>
                <w:sz w:val="1"/>
                <w:szCs w:val="1"/>
                <w:color w:val="auto"/>
              </w:rPr>
            </w:pPr>
          </w:p>
        </w:tc>
      </w:tr>
      <w:tr>
        <w:trPr>
          <w:trHeight w:val="474"/>
        </w:trPr>
        <w:tc>
          <w:tcPr>
            <w:tcW w:w="39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84.9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217.2</w:t>
            </w: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342.4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9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-141.0 %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-56.8 %</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1360" w:top="499" w:right="239" w:bottom="55" w:gutter="0" w:footer="0" w:header="0"/>
        </w:sectPr>
      </w:pPr>
    </w:p>
    <w:p>
      <w:pPr>
        <w:spacing w:after="0" w:line="104" w:lineRule="exact"/>
        <w:rPr>
          <w:sz w:val="20"/>
          <w:szCs w:val="20"/>
          <w:color w:val="auto"/>
        </w:rPr>
      </w:pPr>
    </w:p>
    <w:p>
      <w:pPr>
        <w:ind w:left="40"/>
        <w:spacing w:after="0"/>
        <w:tabs>
          <w:tab w:leader="none" w:pos="4520" w:val="left"/>
          <w:tab w:leader="none" w:pos="5600" w:val="left"/>
          <w:tab w:leader="none" w:pos="6660" w:val="left"/>
          <w:tab w:leader="none" w:pos="8720" w:val="left"/>
        </w:tabs>
        <w:rPr>
          <w:sz w:val="20"/>
          <w:szCs w:val="20"/>
          <w:color w:val="auto"/>
        </w:rPr>
      </w:pPr>
      <w:r>
        <w:rPr>
          <w:rFonts w:ascii="Arial" w:cs="Arial" w:eastAsia="Arial" w:hAnsi="Arial"/>
          <w:sz w:val="14"/>
          <w:szCs w:val="14"/>
          <w:color w:val="auto"/>
        </w:rPr>
        <w:t>Adjusted EBITDA margin</w:t>
      </w:r>
      <w:r>
        <w:rPr>
          <w:sz w:val="20"/>
          <w:szCs w:val="20"/>
          <w:color w:val="auto"/>
        </w:rPr>
        <w:tab/>
      </w:r>
      <w:r>
        <w:rPr>
          <w:rFonts w:ascii="Arial" w:cs="Arial" w:eastAsia="Arial" w:hAnsi="Arial"/>
          <w:sz w:val="14"/>
          <w:szCs w:val="14"/>
          <w:color w:val="auto"/>
        </w:rPr>
        <w:t>12.0 %</w:t>
      </w:r>
      <w:r>
        <w:rPr>
          <w:sz w:val="20"/>
          <w:szCs w:val="20"/>
          <w:color w:val="auto"/>
        </w:rPr>
        <w:tab/>
      </w:r>
      <w:r>
        <w:rPr>
          <w:rFonts w:ascii="Arial" w:cs="Arial" w:eastAsia="Arial" w:hAnsi="Arial"/>
          <w:sz w:val="14"/>
          <w:szCs w:val="14"/>
          <w:color w:val="auto"/>
        </w:rPr>
        <w:t>13.0%</w:t>
      </w:r>
      <w:r>
        <w:rPr>
          <w:sz w:val="20"/>
          <w:szCs w:val="20"/>
          <w:color w:val="auto"/>
        </w:rPr>
        <w:tab/>
      </w:r>
      <w:r>
        <w:rPr>
          <w:rFonts w:ascii="Arial" w:cs="Arial" w:eastAsia="Arial" w:hAnsi="Arial"/>
          <w:sz w:val="14"/>
          <w:szCs w:val="14"/>
          <w:color w:val="auto"/>
        </w:rPr>
        <w:t>15.6%</w:t>
      </w:r>
      <w:r>
        <w:rPr>
          <w:sz w:val="20"/>
          <w:szCs w:val="20"/>
          <w:color w:val="auto"/>
        </w:rPr>
        <w:tab/>
      </w:r>
      <w:r>
        <w:rPr>
          <w:rFonts w:ascii="Arial" w:cs="Arial" w:eastAsia="Arial" w:hAnsi="Arial"/>
          <w:sz w:val="12"/>
          <w:szCs w:val="12"/>
          <w:color w:val="auto"/>
        </w:rPr>
        <w:t>10.3 %</w:t>
      </w:r>
    </w:p>
    <w:p>
      <w:pPr>
        <w:sectPr>
          <w:pgSz w:w="11900" w:h="16838" w:orient="portrait"/>
          <w:cols w:equalWidth="0" w:num="1">
            <w:col w:w="10300"/>
          </w:cols>
          <w:pgMar w:left="1360" w:top="499" w:right="239" w:bottom="55" w:gutter="0" w:footer="0" w:header="0"/>
          <w:type w:val="continuous"/>
        </w:sectPr>
      </w:pPr>
    </w:p>
    <w:bookmarkStart w:id="30" w:name="page31"/>
    <w:bookmarkEnd w:id="30"/>
    <w:p>
      <w:pPr>
        <w:ind w:left="3980"/>
        <w:spacing w:after="0"/>
        <w:tabs>
          <w:tab w:leader="none" w:pos="92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26 of </w:t>
      </w:r>
      <w:hyperlink w:anchor="page35">
        <w:r>
          <w:rPr>
            <w:rFonts w:ascii="Arial" w:cs="Arial" w:eastAsia="Arial" w:hAnsi="Arial"/>
            <w:sz w:val="14"/>
            <w:szCs w:val="14"/>
            <w:b w:val="1"/>
            <w:bCs w:val="1"/>
            <w:color w:val="auto"/>
          </w:rPr>
          <w:t>29</w:t>
        </w:r>
      </w:hyperlink>
    </w:p>
    <w:p>
      <w:pPr>
        <w:sectPr>
          <w:pgSz w:w="11900" w:h="16838" w:orient="portrait"/>
          <w:cols w:equalWidth="0" w:num="1">
            <w:col w:w="10160"/>
          </w:cols>
          <w:pgMar w:left="1440" w:top="126"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3"/>
          <w:szCs w:val="13"/>
          <w:b w:val="1"/>
          <w:bCs w:val="1"/>
          <w:color w:val="auto"/>
        </w:rPr>
        <w:t>Exhibit 10</w:t>
      </w:r>
    </w:p>
    <w:p>
      <w:pPr>
        <w:spacing w:after="0" w:line="161"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u w:val="single" w:color="auto"/>
          <w:color w:val="auto"/>
        </w:rPr>
        <w:t>TECHNIPFMC PLC AND CONSOLIDATED SUBSIDIARIES</w:t>
      </w:r>
    </w:p>
    <w:p>
      <w:pPr>
        <w:spacing w:after="0" w:line="12"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u w:val="single" w:color="auto"/>
          <w:color w:val="auto"/>
        </w:rPr>
        <w:t>RECONCILIATION OF GAAP TO NON-GAAP FINANCIAL MEASURES</w:t>
      </w:r>
    </w:p>
    <w:p>
      <w:pPr>
        <w:jc w:val="center"/>
        <w:ind w:right="1120"/>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2518410</wp:posOffset>
            </wp:positionH>
            <wp:positionV relativeFrom="paragraph">
              <wp:posOffset>87630</wp:posOffset>
            </wp:positionV>
            <wp:extent cx="3310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39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Subsea</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28"/>
              <w:spacing w:after="0" w:line="147" w:lineRule="exact"/>
              <w:rPr>
                <w:sz w:val="20"/>
                <w:szCs w:val="20"/>
                <w:color w:val="auto"/>
              </w:rPr>
            </w:pPr>
            <w:r>
              <w:rPr>
                <w:rFonts w:ascii="Arial" w:cs="Arial" w:eastAsia="Arial" w:hAnsi="Arial"/>
                <w:sz w:val="14"/>
                <w:szCs w:val="14"/>
                <w:b w:val="1"/>
                <w:bCs w:val="1"/>
                <w:color w:val="auto"/>
                <w:w w:val="94"/>
              </w:rPr>
              <w:t>Onshore/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Surface</w:t>
            </w:r>
          </w:p>
        </w:tc>
        <w:tc>
          <w:tcPr>
            <w:tcW w:w="100" w:type="dxa"/>
            <w:vAlign w:val="bottom"/>
          </w:tcPr>
          <w:p>
            <w:pPr>
              <w:spacing w:after="0"/>
              <w:rPr>
                <w:sz w:val="12"/>
                <w:szCs w:val="12"/>
                <w:color w:val="auto"/>
              </w:rPr>
            </w:pPr>
          </w:p>
        </w:tc>
        <w:tc>
          <w:tcPr>
            <w:tcW w:w="9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Offshore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Technologies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2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5,523.0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6,268.8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1,617.3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13,409.1</w:t>
            </w:r>
          </w:p>
        </w:tc>
        <w:tc>
          <w:tcPr>
            <w:tcW w:w="0" w:type="dxa"/>
            <w:vAlign w:val="bottom"/>
          </w:tcPr>
          <w:p>
            <w:pPr>
              <w:spacing w:after="0"/>
              <w:rPr>
                <w:sz w:val="1"/>
                <w:szCs w:val="1"/>
                <w:color w:val="auto"/>
              </w:rPr>
            </w:pPr>
          </w:p>
        </w:tc>
      </w:tr>
      <w:tr>
        <w:trPr>
          <w:trHeight w:val="486"/>
        </w:trPr>
        <w:tc>
          <w:tcPr>
            <w:tcW w:w="392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(1,447.7)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959.6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(656.1)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(540.3)</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(1,684.5)</w:t>
            </w:r>
          </w:p>
        </w:tc>
        <w:tc>
          <w:tcPr>
            <w:tcW w:w="0" w:type="dxa"/>
            <w:vAlign w:val="bottom"/>
          </w:tcPr>
          <w:p>
            <w:pPr>
              <w:spacing w:after="0"/>
              <w:rPr>
                <w:sz w:val="1"/>
                <w:szCs w:val="1"/>
                <w:color w:val="auto"/>
              </w:rPr>
            </w:pPr>
          </w:p>
        </w:tc>
      </w:tr>
      <w:tr>
        <w:trPr>
          <w:trHeight w:val="486"/>
        </w:trPr>
        <w:tc>
          <w:tcPr>
            <w:tcW w:w="392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1,798.6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685.5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2,484.1</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4"/>
                <w:szCs w:val="14"/>
                <w:color w:val="auto"/>
              </w:rPr>
              <w:t>Restructuring and other charges*</w:t>
            </w:r>
          </w:p>
        </w:tc>
        <w:tc>
          <w:tcPr>
            <w:tcW w:w="180" w:type="dxa"/>
            <w:vAlign w:val="bottom"/>
          </w:tcPr>
          <w:p>
            <w:pPr>
              <w:spacing w:after="0"/>
              <w:rPr>
                <w:sz w:val="23"/>
                <w:szCs w:val="23"/>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4"/>
                <w:szCs w:val="14"/>
                <w:color w:val="auto"/>
              </w:rPr>
              <w:t>Separation costs</w:t>
            </w:r>
          </w:p>
        </w:tc>
        <w:tc>
          <w:tcPr>
            <w:tcW w:w="18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16"/>
        </w:trPr>
        <w:tc>
          <w:tcPr>
            <w:tcW w:w="3920" w:type="dxa"/>
            <w:vAlign w:val="bottom"/>
          </w:tcPr>
          <w:p>
            <w:pPr>
              <w:ind w:left="240"/>
              <w:spacing w:after="0"/>
              <w:rPr>
                <w:sz w:val="20"/>
                <w:szCs w:val="20"/>
                <w:color w:val="auto"/>
              </w:rPr>
            </w:pPr>
            <w:r>
              <w:rPr>
                <w:rFonts w:ascii="Arial" w:cs="Arial" w:eastAsia="Arial" w:hAnsi="Arial"/>
                <w:sz w:val="14"/>
                <w:szCs w:val="14"/>
                <w:color w:val="auto"/>
              </w:rPr>
              <w:t>Reorganization</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70"/>
        </w:trPr>
        <w:tc>
          <w:tcPr>
            <w:tcW w:w="3920" w:type="dxa"/>
            <w:vAlign w:val="bottom"/>
          </w:tcPr>
          <w:p>
            <w:pPr>
              <w:ind w:left="240"/>
              <w:spacing w:after="0"/>
              <w:rPr>
                <w:sz w:val="20"/>
                <w:szCs w:val="20"/>
                <w:color w:val="auto"/>
              </w:rPr>
            </w:pPr>
            <w:r>
              <w:rPr>
                <w:rFonts w:ascii="Arial" w:cs="Arial" w:eastAsia="Arial" w:hAnsi="Arial"/>
                <w:sz w:val="14"/>
                <w:szCs w:val="14"/>
                <w:color w:val="auto"/>
              </w:rPr>
              <w:t>Legal provision, net</w:t>
            </w:r>
          </w:p>
        </w:tc>
        <w:tc>
          <w:tcPr>
            <w:tcW w:w="18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76"/>
        </w:trPr>
        <w:tc>
          <w:tcPr>
            <w:tcW w:w="3920" w:type="dxa"/>
            <w:vAlign w:val="bottom"/>
          </w:tcPr>
          <w:p>
            <w:pPr>
              <w:ind w:left="240"/>
              <w:spacing w:after="0"/>
              <w:rPr>
                <w:sz w:val="20"/>
                <w:szCs w:val="20"/>
                <w:color w:val="auto"/>
              </w:rPr>
            </w:pPr>
            <w:r>
              <w:rPr>
                <w:rFonts w:ascii="Arial" w:cs="Arial" w:eastAsia="Arial" w:hAnsi="Arial"/>
                <w:sz w:val="14"/>
                <w:szCs w:val="14"/>
                <w:color w:val="auto"/>
              </w:rPr>
              <w:t>Purchase price accounting adjustment</w:t>
            </w: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44"/>
        </w:trPr>
        <w:tc>
          <w:tcPr>
            <w:tcW w:w="392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1,786.2</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725.3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184.5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2,738.3</w:t>
            </w: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2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1,001.9</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1,053.8</w:t>
            </w:r>
          </w:p>
        </w:tc>
        <w:tc>
          <w:tcPr>
            <w:tcW w:w="0" w:type="dxa"/>
            <w:vAlign w:val="bottom"/>
          </w:tcPr>
          <w:p>
            <w:pPr>
              <w:spacing w:after="0"/>
              <w:rPr>
                <w:sz w:val="1"/>
                <w:szCs w:val="1"/>
                <w:color w:val="auto"/>
              </w:rPr>
            </w:pPr>
          </w:p>
        </w:tc>
      </w:tr>
      <w:tr>
        <w:trPr>
          <w:trHeight w:val="474"/>
        </w:trPr>
        <w:tc>
          <w:tcPr>
            <w:tcW w:w="392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311.6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475.6</w:t>
            </w:r>
          </w:p>
        </w:tc>
        <w:tc>
          <w:tcPr>
            <w:tcW w:w="0" w:type="dxa"/>
            <w:vAlign w:val="bottom"/>
          </w:tcPr>
          <w:p>
            <w:pPr>
              <w:spacing w:after="0"/>
              <w:rPr>
                <w:sz w:val="1"/>
                <w:szCs w:val="1"/>
                <w:color w:val="auto"/>
              </w:rPr>
            </w:pPr>
          </w:p>
        </w:tc>
      </w:tr>
      <w:tr>
        <w:trPr>
          <w:trHeight w:val="228"/>
        </w:trPr>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650.1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1,040.6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177.1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(338.4)</w:t>
            </w:r>
          </w:p>
        </w:tc>
        <w:tc>
          <w:tcPr>
            <w:tcW w:w="12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1,529.4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92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-26.2 %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-40.6 %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-12.6 %</w:t>
            </w:r>
          </w:p>
        </w:tc>
        <w:tc>
          <w:tcPr>
            <w:tcW w:w="0" w:type="dxa"/>
            <w:vAlign w:val="bottom"/>
          </w:tcPr>
          <w:p>
            <w:pPr>
              <w:spacing w:after="0"/>
              <w:rPr>
                <w:sz w:val="1"/>
                <w:szCs w:val="1"/>
                <w:color w:val="auto"/>
              </w:rPr>
            </w:pPr>
          </w:p>
        </w:tc>
      </w:tr>
      <w:tr>
        <w:trPr>
          <w:trHeight w:val="486"/>
        </w:trPr>
        <w:tc>
          <w:tcPr>
            <w:tcW w:w="392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486"/>
        </w:trPr>
        <w:tc>
          <w:tcPr>
            <w:tcW w:w="3920" w:type="dxa"/>
            <w:vAlign w:val="bottom"/>
          </w:tcPr>
          <w:p>
            <w:pPr>
              <w:spacing w:after="0"/>
              <w:rPr>
                <w:sz w:val="20"/>
                <w:szCs w:val="20"/>
                <w:color w:val="auto"/>
              </w:rPr>
            </w:pPr>
            <w:r>
              <w:rPr>
                <w:rFonts w:ascii="Arial" w:cs="Arial" w:eastAsia="Arial" w:hAnsi="Arial"/>
                <w:sz w:val="14"/>
                <w:szCs w:val="14"/>
                <w:color w:val="auto"/>
              </w:rPr>
              <w:t>Adjusted EBITDA margin</w:t>
            </w: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1240"/>
        <w:spacing w:after="0" w:line="230" w:lineRule="auto"/>
        <w:rPr>
          <w:sz w:val="20"/>
          <w:szCs w:val="20"/>
          <w:color w:val="auto"/>
        </w:rPr>
      </w:pPr>
      <w:r>
        <w:rPr>
          <w:rFonts w:ascii="Arial" w:cs="Arial" w:eastAsia="Arial" w:hAnsi="Arial"/>
          <w:sz w:val="13"/>
          <w:szCs w:val="13"/>
          <w:color w:val="auto"/>
        </w:rPr>
        <w:t>*On December 30, 2019, the Company completed the acquisition of the remaining 50 percent of Technip Odebrecht PLSV CV, which resulted in a net loss of $0.9 million that was recorded in the Subsea segment. The net loss comprises an impairment charge of $84.2 million included within impairment and other charges and a bargain purchase gain of $83.3 million included within restructuring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96520</wp:posOffset>
            </wp:positionV>
            <wp:extent cx="32931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39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96"/>
              </w:rPr>
              <w:t>Subsea</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w w:val="97"/>
              </w:rPr>
              <w:t>Onshore/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Surface</w:t>
            </w:r>
          </w:p>
        </w:tc>
        <w:tc>
          <w:tcPr>
            <w:tcW w:w="100" w:type="dxa"/>
            <w:vAlign w:val="bottom"/>
          </w:tcPr>
          <w:p>
            <w:pPr>
              <w:spacing w:after="0"/>
              <w:rPr>
                <w:sz w:val="12"/>
                <w:szCs w:val="12"/>
                <w:color w:val="auto"/>
              </w:rPr>
            </w:pPr>
          </w:p>
        </w:tc>
        <w:tc>
          <w:tcPr>
            <w:tcW w:w="9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Offshore</w:t>
            </w:r>
          </w:p>
        </w:tc>
        <w:tc>
          <w:tcPr>
            <w:tcW w:w="12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Technologies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Arial" w:cs="Arial" w:eastAsia="Arial" w:hAnsi="Arial"/>
                <w:sz w:val="14"/>
                <w:szCs w:val="14"/>
                <w:color w:val="auto"/>
              </w:rPr>
              <w:t>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4,840.0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6,120.7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1,592.2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12,552.9</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0"/>
                <w:szCs w:val="20"/>
                <w:color w:val="auto"/>
              </w:rPr>
            </w:pPr>
            <w:r>
              <w:rPr>
                <w:rFonts w:ascii="Arial" w:cs="Arial" w:eastAsia="Arial" w:hAnsi="Arial"/>
                <w:sz w:val="14"/>
                <w:szCs w:val="14"/>
                <w:color w:val="auto"/>
              </w:rPr>
              <w:t>Operating profit (loss), as reported (pre-tax)</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(1,529.5)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824.0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172.8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(594.5)</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(1,127.2)</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0"/>
                <w:szCs w:val="20"/>
                <w:color w:val="auto"/>
              </w:rPr>
            </w:pPr>
            <w:r>
              <w:rPr>
                <w:rFonts w:ascii="Arial" w:cs="Arial" w:eastAsia="Arial" w:hAnsi="Arial"/>
                <w:sz w:val="14"/>
                <w:szCs w:val="14"/>
                <w:color w:val="auto"/>
              </w:rPr>
              <w:t>Charges and (credits):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40"/>
              <w:spacing w:after="0"/>
              <w:rPr>
                <w:sz w:val="20"/>
                <w:szCs w:val="20"/>
                <w:color w:val="auto"/>
              </w:rPr>
            </w:pPr>
            <w:r>
              <w:rPr>
                <w:rFonts w:ascii="Arial" w:cs="Arial" w:eastAsia="Arial" w:hAnsi="Arial"/>
                <w:sz w:val="14"/>
                <w:szCs w:val="14"/>
                <w:color w:val="auto"/>
              </w:rPr>
              <w:t>Impairment and other charges</w:t>
            </w:r>
          </w:p>
        </w:tc>
        <w:tc>
          <w:tcPr>
            <w:tcW w:w="18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1,784.2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1,792.6</w:t>
            </w:r>
          </w:p>
        </w:tc>
        <w:tc>
          <w:tcPr>
            <w:tcW w:w="0" w:type="dxa"/>
            <w:vAlign w:val="bottom"/>
          </w:tcPr>
          <w:p>
            <w:pPr>
              <w:spacing w:after="0"/>
              <w:rPr>
                <w:sz w:val="1"/>
                <w:szCs w:val="1"/>
                <w:color w:val="auto"/>
              </w:rPr>
            </w:pPr>
          </w:p>
        </w:tc>
      </w:tr>
      <w:tr>
        <w:trPr>
          <w:trHeight w:val="216"/>
        </w:trPr>
        <w:tc>
          <w:tcPr>
            <w:tcW w:w="3960" w:type="dxa"/>
            <w:vAlign w:val="bottom"/>
          </w:tcPr>
          <w:p>
            <w:pPr>
              <w:ind w:left="240"/>
              <w:spacing w:after="0"/>
              <w:rPr>
                <w:sz w:val="20"/>
                <w:szCs w:val="20"/>
                <w:color w:val="auto"/>
              </w:rPr>
            </w:pPr>
            <w:r>
              <w:rPr>
                <w:rFonts w:ascii="Arial" w:cs="Arial" w:eastAsia="Arial" w:hAnsi="Arial"/>
                <w:sz w:val="14"/>
                <w:szCs w:val="14"/>
                <w:color w:val="auto"/>
              </w:rPr>
              <w:t>Restructuring and other severance charges</w:t>
            </w:r>
          </w:p>
        </w:tc>
        <w:tc>
          <w:tcPr>
            <w:tcW w:w="18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16"/>
        </w:trPr>
        <w:tc>
          <w:tcPr>
            <w:tcW w:w="3960" w:type="dxa"/>
            <w:vAlign w:val="bottom"/>
          </w:tcPr>
          <w:p>
            <w:pPr>
              <w:ind w:left="240"/>
              <w:spacing w:after="0"/>
              <w:rPr>
                <w:sz w:val="20"/>
                <w:szCs w:val="20"/>
                <w:color w:val="auto"/>
              </w:rPr>
            </w:pPr>
            <w:r>
              <w:rPr>
                <w:rFonts w:ascii="Arial" w:cs="Arial" w:eastAsia="Arial" w:hAnsi="Arial"/>
                <w:sz w:val="14"/>
                <w:szCs w:val="14"/>
                <w:color w:val="auto"/>
              </w:rPr>
              <w:t>Business combination transaction and integration costs</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16"/>
        </w:trPr>
        <w:tc>
          <w:tcPr>
            <w:tcW w:w="3960" w:type="dxa"/>
            <w:vAlign w:val="bottom"/>
          </w:tcPr>
          <w:p>
            <w:pPr>
              <w:ind w:left="240"/>
              <w:spacing w:after="0"/>
              <w:rPr>
                <w:sz w:val="20"/>
                <w:szCs w:val="20"/>
                <w:color w:val="auto"/>
              </w:rPr>
            </w:pPr>
            <w:r>
              <w:rPr>
                <w:rFonts w:ascii="Arial" w:cs="Arial" w:eastAsia="Arial" w:hAnsi="Arial"/>
                <w:sz w:val="14"/>
                <w:szCs w:val="14"/>
                <w:color w:val="auto"/>
              </w:rPr>
              <w:t>Legal provision</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216"/>
        </w:trPr>
        <w:tc>
          <w:tcPr>
            <w:tcW w:w="3960" w:type="dxa"/>
            <w:vAlign w:val="bottom"/>
          </w:tcPr>
          <w:p>
            <w:pPr>
              <w:ind w:left="240"/>
              <w:spacing w:after="0"/>
              <w:rPr>
                <w:sz w:val="20"/>
                <w:szCs w:val="20"/>
                <w:color w:val="auto"/>
              </w:rPr>
            </w:pPr>
            <w:r>
              <w:rPr>
                <w:rFonts w:ascii="Arial" w:cs="Arial" w:eastAsia="Arial" w:hAnsi="Arial"/>
                <w:sz w:val="14"/>
                <w:szCs w:val="14"/>
                <w:color w:val="auto"/>
              </w:rPr>
              <w:t>Gain on divestitures</w:t>
            </w:r>
          </w:p>
        </w:tc>
        <w:tc>
          <w:tcPr>
            <w:tcW w:w="18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69"/>
        </w:trPr>
        <w:tc>
          <w:tcPr>
            <w:tcW w:w="3960" w:type="dxa"/>
            <w:vAlign w:val="bottom"/>
          </w:tcPr>
          <w:p>
            <w:pPr>
              <w:ind w:left="240"/>
              <w:spacing w:after="0"/>
              <w:rPr>
                <w:sz w:val="20"/>
                <w:szCs w:val="20"/>
                <w:color w:val="auto"/>
              </w:rPr>
            </w:pPr>
            <w:r>
              <w:rPr>
                <w:rFonts w:ascii="Arial" w:cs="Arial" w:eastAsia="Arial" w:hAnsi="Arial"/>
                <w:sz w:val="14"/>
                <w:szCs w:val="14"/>
                <w:color w:val="auto"/>
              </w:rPr>
              <w:t>Purchase price accounting adjustments - non-amortization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60" w:type="dxa"/>
            <w:vAlign w:val="bottom"/>
          </w:tcPr>
          <w:p>
            <w:pPr>
              <w:ind w:left="240"/>
              <w:spacing w:after="0"/>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2"/>
        </w:trPr>
        <w:tc>
          <w:tcPr>
            <w:tcW w:w="3960" w:type="dxa"/>
            <w:vAlign w:val="bottom"/>
          </w:tcPr>
          <w:p>
            <w:pPr>
              <w:ind w:left="240"/>
              <w:spacing w:after="0"/>
              <w:rPr>
                <w:sz w:val="20"/>
                <w:szCs w:val="20"/>
                <w:color w:val="auto"/>
              </w:rPr>
            </w:pPr>
            <w:r>
              <w:rPr>
                <w:rFonts w:ascii="Arial" w:cs="Arial" w:eastAsia="Arial" w:hAnsi="Arial"/>
                <w:sz w:val="14"/>
                <w:szCs w:val="14"/>
                <w:color w:val="auto"/>
                <w:w w:val="97"/>
              </w:rPr>
              <w:t>Purchase price accounting adjustments - amortization related</w:t>
            </w:r>
          </w:p>
        </w:tc>
        <w:tc>
          <w:tcPr>
            <w:tcW w:w="180" w:type="dxa"/>
            <w:vAlign w:val="bottom"/>
          </w:tcPr>
          <w:p>
            <w:pPr>
              <w:spacing w:after="0"/>
              <w:rPr>
                <w:sz w:val="19"/>
                <w:szCs w:val="19"/>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244"/>
        </w:trPr>
        <w:tc>
          <w:tcPr>
            <w:tcW w:w="3960" w:type="dxa"/>
            <w:vAlign w:val="bottom"/>
          </w:tcPr>
          <w:p>
            <w:pPr>
              <w:ind w:left="46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1,880.5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335.2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2,204.9</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Arial" w:cs="Arial" w:eastAsia="Arial" w:hAnsi="Arial"/>
                <w:sz w:val="14"/>
                <w:szCs w:val="14"/>
                <w:color w:val="auto"/>
              </w:rPr>
              <w:t>Adjusted Operating profit (loss)</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351.0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792.3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193.7</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1,077.7</w:t>
            </w:r>
          </w:p>
        </w:tc>
        <w:tc>
          <w:tcPr>
            <w:tcW w:w="0" w:type="dxa"/>
            <w:vAlign w:val="bottom"/>
          </w:tcPr>
          <w:p>
            <w:pPr>
              <w:spacing w:after="0"/>
              <w:rPr>
                <w:sz w:val="1"/>
                <w:szCs w:val="1"/>
                <w:color w:val="auto"/>
              </w:rPr>
            </w:pPr>
          </w:p>
        </w:tc>
      </w:tr>
      <w:tr>
        <w:trPr>
          <w:trHeight w:val="474"/>
        </w:trPr>
        <w:tc>
          <w:tcPr>
            <w:tcW w:w="3960" w:type="dxa"/>
            <w:vAlign w:val="bottom"/>
          </w:tcPr>
          <w:p>
            <w:pPr>
              <w:spacing w:after="0"/>
              <w:rPr>
                <w:sz w:val="20"/>
                <w:szCs w:val="20"/>
                <w:color w:val="auto"/>
              </w:rPr>
            </w:pPr>
            <w:r>
              <w:rPr>
                <w:rFonts w:ascii="Arial" w:cs="Arial" w:eastAsia="Arial" w:hAnsi="Arial"/>
                <w:sz w:val="14"/>
                <w:szCs w:val="14"/>
                <w:color w:val="auto"/>
              </w:rPr>
              <w:t>Adjusted Depreciation and amortization</w:t>
            </w:r>
          </w:p>
        </w:tc>
        <w:tc>
          <w:tcPr>
            <w:tcW w:w="180" w:type="dxa"/>
            <w:vAlign w:val="bottom"/>
          </w:tcPr>
          <w:p>
            <w:pPr>
              <w:spacing w:after="0"/>
              <w:rPr>
                <w:sz w:val="24"/>
                <w:szCs w:val="2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349.2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459.1</w:t>
            </w:r>
          </w:p>
        </w:tc>
        <w:tc>
          <w:tcPr>
            <w:tcW w:w="0" w:type="dxa"/>
            <w:vAlign w:val="bottom"/>
          </w:tcPr>
          <w:p>
            <w:pPr>
              <w:spacing w:after="0"/>
              <w:rPr>
                <w:sz w:val="1"/>
                <w:szCs w:val="1"/>
                <w:color w:val="auto"/>
              </w:rPr>
            </w:pPr>
          </w:p>
        </w:tc>
      </w:tr>
      <w:tr>
        <w:trPr>
          <w:trHeight w:val="228"/>
        </w:trPr>
        <w:tc>
          <w:tcPr>
            <w:tcW w:w="3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r>
              <w:rPr>
                <w:rFonts w:ascii="Arial" w:cs="Arial" w:eastAsia="Arial" w:hAnsi="Arial"/>
                <w:sz w:val="14"/>
                <w:szCs w:val="14"/>
                <w:color w:val="auto"/>
              </w:rPr>
              <w:t>Adjusted EBITDA</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700.2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830.4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260.3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(254.1)</w:t>
            </w:r>
          </w:p>
        </w:tc>
        <w:tc>
          <w:tcPr>
            <w:tcW w:w="12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1,536.8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3960" w:type="dxa"/>
            <w:vAlign w:val="bottom"/>
          </w:tcPr>
          <w:p>
            <w:pPr>
              <w:spacing w:after="0"/>
              <w:rPr>
                <w:sz w:val="20"/>
                <w:szCs w:val="20"/>
                <w:color w:val="auto"/>
              </w:rPr>
            </w:pPr>
            <w:r>
              <w:rPr>
                <w:rFonts w:ascii="Arial" w:cs="Arial" w:eastAsia="Arial" w:hAnsi="Arial"/>
                <w:sz w:val="14"/>
                <w:szCs w:val="14"/>
                <w:color w:val="auto"/>
              </w:rPr>
              <w:t>Operating profit margin, as reported</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-9.0 %</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0"/>
                <w:szCs w:val="20"/>
                <w:color w:val="auto"/>
              </w:rPr>
            </w:pPr>
            <w:r>
              <w:rPr>
                <w:rFonts w:ascii="Arial" w:cs="Arial" w:eastAsia="Arial" w:hAnsi="Arial"/>
                <w:sz w:val="14"/>
                <w:szCs w:val="14"/>
                <w:color w:val="auto"/>
              </w:rPr>
              <w:t>Adjusted Operating profit margin</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00"/>
          </w:cols>
          <w:pgMar w:left="1360" w:top="499" w:right="239" w:bottom="0" w:gutter="0" w:footer="0" w:header="0"/>
        </w:sectPr>
      </w:pPr>
    </w:p>
    <w:p>
      <w:pPr>
        <w:spacing w:after="0" w:line="104" w:lineRule="exact"/>
        <w:rPr>
          <w:sz w:val="20"/>
          <w:szCs w:val="20"/>
          <w:color w:val="auto"/>
        </w:rPr>
      </w:pPr>
    </w:p>
    <w:p>
      <w:pPr>
        <w:ind w:left="40"/>
        <w:spacing w:after="0"/>
        <w:tabs>
          <w:tab w:leader="none" w:pos="4500" w:val="left"/>
          <w:tab w:leader="none" w:pos="5580" w:val="left"/>
          <w:tab w:leader="none" w:pos="6640" w:val="left"/>
          <w:tab w:leader="none" w:pos="8720" w:val="left"/>
        </w:tabs>
        <w:rPr>
          <w:sz w:val="20"/>
          <w:szCs w:val="20"/>
          <w:color w:val="auto"/>
        </w:rPr>
      </w:pPr>
      <w:r>
        <w:rPr>
          <w:rFonts w:ascii="Arial" w:cs="Arial" w:eastAsia="Arial" w:hAnsi="Arial"/>
          <w:sz w:val="14"/>
          <w:szCs w:val="14"/>
          <w:color w:val="auto"/>
        </w:rPr>
        <w:t>Adjusted EBITDA margin</w:t>
      </w:r>
      <w:r>
        <w:rPr>
          <w:sz w:val="20"/>
          <w:szCs w:val="20"/>
          <w:color w:val="auto"/>
        </w:rPr>
        <w:tab/>
      </w:r>
      <w:r>
        <w:rPr>
          <w:rFonts w:ascii="Arial" w:cs="Arial" w:eastAsia="Arial" w:hAnsi="Arial"/>
          <w:sz w:val="14"/>
          <w:szCs w:val="14"/>
          <w:color w:val="auto"/>
        </w:rPr>
        <w:t>14.5 %</w:t>
      </w:r>
      <w:r>
        <w:rPr>
          <w:sz w:val="20"/>
          <w:szCs w:val="20"/>
          <w:color w:val="auto"/>
        </w:rPr>
        <w:tab/>
      </w:r>
      <w:r>
        <w:rPr>
          <w:rFonts w:ascii="Arial" w:cs="Arial" w:eastAsia="Arial" w:hAnsi="Arial"/>
          <w:sz w:val="14"/>
          <w:szCs w:val="14"/>
          <w:color w:val="auto"/>
        </w:rPr>
        <w:t>13.6%</w:t>
      </w:r>
      <w:r>
        <w:rPr>
          <w:sz w:val="20"/>
          <w:szCs w:val="20"/>
          <w:color w:val="auto"/>
        </w:rPr>
        <w:tab/>
      </w:r>
      <w:r>
        <w:rPr>
          <w:rFonts w:ascii="Arial" w:cs="Arial" w:eastAsia="Arial" w:hAnsi="Arial"/>
          <w:sz w:val="14"/>
          <w:szCs w:val="14"/>
          <w:color w:val="auto"/>
        </w:rPr>
        <w:t>16.3%</w:t>
      </w:r>
      <w:r>
        <w:rPr>
          <w:sz w:val="20"/>
          <w:szCs w:val="20"/>
          <w:color w:val="auto"/>
        </w:rPr>
        <w:tab/>
      </w:r>
      <w:r>
        <w:rPr>
          <w:rFonts w:ascii="Arial" w:cs="Arial" w:eastAsia="Arial" w:hAnsi="Arial"/>
          <w:sz w:val="12"/>
          <w:szCs w:val="12"/>
          <w:color w:val="auto"/>
        </w:rPr>
        <w:t>12.2 %</w:t>
      </w:r>
    </w:p>
    <w:p>
      <w:pPr>
        <w:sectPr>
          <w:pgSz w:w="11900" w:h="16838" w:orient="portrait"/>
          <w:cols w:equalWidth="0" w:num="1">
            <w:col w:w="10300"/>
          </w:cols>
          <w:pgMar w:left="1360" w:top="499" w:right="239" w:bottom="0" w:gutter="0" w:footer="0" w:header="0"/>
          <w:type w:val="continuous"/>
        </w:sectPr>
      </w:pPr>
    </w:p>
    <w:bookmarkStart w:id="32" w:name="page33"/>
    <w:bookmarkEnd w:id="32"/>
    <w:p>
      <w:pPr>
        <w:ind w:left="3980"/>
        <w:spacing w:after="0"/>
        <w:tabs>
          <w:tab w:leader="none" w:pos="92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27 of </w:t>
      </w:r>
      <w:hyperlink w:anchor="page35">
        <w:r>
          <w:rPr>
            <w:rFonts w:ascii="Arial" w:cs="Arial" w:eastAsia="Arial" w:hAnsi="Arial"/>
            <w:sz w:val="14"/>
            <w:szCs w:val="14"/>
            <w:b w:val="1"/>
            <w:bCs w:val="1"/>
            <w:color w:val="auto"/>
          </w:rPr>
          <w:t>29</w:t>
        </w:r>
      </w:hyperlink>
    </w:p>
    <w:p>
      <w:pPr>
        <w:sectPr>
          <w:pgSz w:w="11900" w:h="16838" w:orient="portrait"/>
          <w:cols w:equalWidth="0" w:num="1">
            <w:col w:w="10160"/>
          </w:cols>
          <w:pgMar w:left="1440" w:top="275" w:right="299" w:bottom="1440" w:gutter="0" w:footer="0" w:header="0"/>
        </w:sectPr>
      </w:pPr>
    </w:p>
    <w:bookmarkStart w:id="33" w:name="page34"/>
    <w:bookmarkEnd w:id="33"/>
    <w:p>
      <w:pPr>
        <w:jc w:val="right"/>
        <w:spacing w:after="0"/>
        <w:rPr>
          <w:sz w:val="20"/>
          <w:szCs w:val="20"/>
          <w:color w:val="auto"/>
        </w:rPr>
      </w:pPr>
      <w:r>
        <w:rPr>
          <w:rFonts w:ascii="Arial" w:cs="Arial" w:eastAsia="Arial" w:hAnsi="Arial"/>
          <w:sz w:val="13"/>
          <w:szCs w:val="13"/>
          <w:b w:val="1"/>
          <w:bCs w:val="1"/>
          <w:color w:val="auto"/>
        </w:rPr>
        <w:t>Exhibit 11</w:t>
      </w:r>
    </w:p>
    <w:p>
      <w:pPr>
        <w:spacing w:after="0" w:line="16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TECHNIPFMC PLC AND CONSOLIDATED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RECONCILIATION OF CORPORATE EXPENSE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4457065</wp:posOffset>
            </wp:positionH>
            <wp:positionV relativeFrom="paragraph">
              <wp:posOffset>365760</wp:posOffset>
            </wp:positionV>
            <wp:extent cx="1235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Three Months Ended</w:t>
      </w:r>
    </w:p>
    <w:p>
      <w:pPr>
        <w:spacing w:after="0" w:line="96"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4457065</wp:posOffset>
            </wp:positionH>
            <wp:positionV relativeFrom="paragraph">
              <wp:posOffset>49530</wp:posOffset>
            </wp:positionV>
            <wp:extent cx="1235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204"/>
        </w:trPr>
        <w:tc>
          <w:tcPr>
            <w:tcW w:w="6920" w:type="dxa"/>
            <w:vAlign w:val="bottom"/>
          </w:tcPr>
          <w:p>
            <w:pPr>
              <w:spacing w:after="0"/>
              <w:rPr>
                <w:sz w:val="20"/>
                <w:szCs w:val="20"/>
                <w:color w:val="auto"/>
              </w:rPr>
            </w:pPr>
            <w:r>
              <w:rPr>
                <w:rFonts w:ascii="Arial" w:cs="Arial" w:eastAsia="Arial" w:hAnsi="Arial"/>
                <w:sz w:val="14"/>
                <w:szCs w:val="14"/>
                <w:color w:val="auto"/>
              </w:rPr>
              <w:t>Corporate expense, reported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393.6</w:t>
            </w:r>
          </w:p>
        </w:tc>
      </w:tr>
      <w:tr>
        <w:trPr>
          <w:trHeight w:val="222"/>
        </w:trPr>
        <w:tc>
          <w:tcPr>
            <w:tcW w:w="6920" w:type="dxa"/>
            <w:vAlign w:val="bottom"/>
          </w:tcPr>
          <w:p>
            <w:pPr>
              <w:spacing w:after="0"/>
              <w:rPr>
                <w:sz w:val="20"/>
                <w:szCs w:val="20"/>
                <w:color w:val="auto"/>
              </w:rPr>
            </w:pPr>
            <w:r>
              <w:rPr>
                <w:rFonts w:ascii="Arial" w:cs="Arial" w:eastAsia="Arial" w:hAnsi="Arial"/>
                <w:sz w:val="14"/>
                <w:szCs w:val="14"/>
                <w:color w:val="auto"/>
              </w:rPr>
              <w:t>Less charges and (credits) [Exhibit 9]</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303.3</w:t>
            </w:r>
          </w:p>
        </w:tc>
      </w:tr>
      <w:tr>
        <w:trPr>
          <w:trHeight w:val="204"/>
        </w:trPr>
        <w:tc>
          <w:tcPr>
            <w:tcW w:w="6920" w:type="dxa"/>
            <w:vAlign w:val="bottom"/>
          </w:tcPr>
          <w:p>
            <w:pPr>
              <w:spacing w:after="0"/>
              <w:rPr>
                <w:sz w:val="20"/>
                <w:szCs w:val="20"/>
                <w:color w:val="auto"/>
              </w:rPr>
            </w:pPr>
            <w:r>
              <w:rPr>
                <w:rFonts w:ascii="Arial" w:cs="Arial" w:eastAsia="Arial" w:hAnsi="Arial"/>
                <w:sz w:val="14"/>
                <w:szCs w:val="14"/>
                <w:color w:val="auto"/>
              </w:rPr>
              <w:t>Corporate expense, adjusted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90.3</w:t>
            </w:r>
          </w:p>
        </w:tc>
      </w:tr>
      <w:tr>
        <w:trPr>
          <w:trHeight w:val="222"/>
        </w:trPr>
        <w:tc>
          <w:tcPr>
            <w:tcW w:w="6920" w:type="dxa"/>
            <w:vAlign w:val="bottom"/>
          </w:tcPr>
          <w:p>
            <w:pPr>
              <w:spacing w:after="0"/>
              <w:rPr>
                <w:sz w:val="20"/>
                <w:szCs w:val="20"/>
                <w:color w:val="auto"/>
              </w:rPr>
            </w:pPr>
            <w:r>
              <w:rPr>
                <w:rFonts w:ascii="Arial" w:cs="Arial" w:eastAsia="Arial" w:hAnsi="Arial"/>
                <w:sz w:val="14"/>
                <w:szCs w:val="14"/>
                <w:color w:val="auto"/>
              </w:rPr>
              <w:t>Less foreign exchange losses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r>
      <w:tr>
        <w:trPr>
          <w:trHeight w:val="216"/>
        </w:trPr>
        <w:tc>
          <w:tcPr>
            <w:tcW w:w="6920" w:type="dxa"/>
            <w:vAlign w:val="bottom"/>
          </w:tcPr>
          <w:p>
            <w:pPr>
              <w:spacing w:after="0"/>
              <w:rPr>
                <w:sz w:val="20"/>
                <w:szCs w:val="20"/>
                <w:color w:val="auto"/>
              </w:rPr>
            </w:pPr>
            <w:r>
              <w:rPr>
                <w:rFonts w:ascii="Arial" w:cs="Arial" w:eastAsia="Arial" w:hAnsi="Arial"/>
                <w:sz w:val="14"/>
                <w:szCs w:val="14"/>
                <w:b w:val="1"/>
                <w:bCs w:val="1"/>
                <w:color w:val="auto"/>
              </w:rPr>
              <w:t>Corporate expense, adjusted and excluding foreign exchange losses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4457065</wp:posOffset>
            </wp:positionH>
            <wp:positionV relativeFrom="paragraph">
              <wp:posOffset>360045</wp:posOffset>
            </wp:positionV>
            <wp:extent cx="1235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Year Ended</w:t>
      </w:r>
    </w:p>
    <w:p>
      <w:pPr>
        <w:spacing w:after="0" w:line="96"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4457065</wp:posOffset>
            </wp:positionH>
            <wp:positionV relativeFrom="paragraph">
              <wp:posOffset>49530</wp:posOffset>
            </wp:positionV>
            <wp:extent cx="1235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r>
      <w:tr>
        <w:trPr>
          <w:trHeight w:val="204"/>
        </w:trPr>
        <w:tc>
          <w:tcPr>
            <w:tcW w:w="6920" w:type="dxa"/>
            <w:vAlign w:val="bottom"/>
          </w:tcPr>
          <w:p>
            <w:pPr>
              <w:spacing w:after="0"/>
              <w:rPr>
                <w:sz w:val="20"/>
                <w:szCs w:val="20"/>
                <w:color w:val="auto"/>
              </w:rPr>
            </w:pPr>
            <w:r>
              <w:rPr>
                <w:rFonts w:ascii="Arial" w:cs="Arial" w:eastAsia="Arial" w:hAnsi="Arial"/>
                <w:sz w:val="14"/>
                <w:szCs w:val="14"/>
                <w:color w:val="auto"/>
              </w:rPr>
              <w:t>Corporate expense, reported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540.3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594.5</w:t>
            </w:r>
          </w:p>
        </w:tc>
      </w:tr>
      <w:tr>
        <w:trPr>
          <w:trHeight w:val="222"/>
        </w:trPr>
        <w:tc>
          <w:tcPr>
            <w:tcW w:w="6920" w:type="dxa"/>
            <w:vAlign w:val="bottom"/>
          </w:tcPr>
          <w:p>
            <w:pPr>
              <w:spacing w:after="0"/>
              <w:rPr>
                <w:sz w:val="20"/>
                <w:szCs w:val="20"/>
                <w:color w:val="auto"/>
              </w:rPr>
            </w:pPr>
            <w:r>
              <w:rPr>
                <w:rFonts w:ascii="Arial" w:cs="Arial" w:eastAsia="Arial" w:hAnsi="Arial"/>
                <w:sz w:val="14"/>
                <w:szCs w:val="14"/>
                <w:color w:val="auto"/>
              </w:rPr>
              <w:t>Less charges and (credits) [Exhibit 10]</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w:t>
            </w:r>
          </w:p>
        </w:tc>
      </w:tr>
      <w:tr>
        <w:trPr>
          <w:trHeight w:val="204"/>
        </w:trPr>
        <w:tc>
          <w:tcPr>
            <w:tcW w:w="6920" w:type="dxa"/>
            <w:vAlign w:val="bottom"/>
          </w:tcPr>
          <w:p>
            <w:pPr>
              <w:spacing w:after="0"/>
              <w:rPr>
                <w:sz w:val="20"/>
                <w:szCs w:val="20"/>
                <w:color w:val="auto"/>
              </w:rPr>
            </w:pPr>
            <w:r>
              <w:rPr>
                <w:rFonts w:ascii="Arial" w:cs="Arial" w:eastAsia="Arial" w:hAnsi="Arial"/>
                <w:sz w:val="14"/>
                <w:szCs w:val="14"/>
                <w:color w:val="auto"/>
              </w:rPr>
              <w:t>Corporate expense, adjusted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259.3</w:t>
            </w:r>
          </w:p>
        </w:tc>
      </w:tr>
      <w:tr>
        <w:trPr>
          <w:trHeight w:val="222"/>
        </w:trPr>
        <w:tc>
          <w:tcPr>
            <w:tcW w:w="6920" w:type="dxa"/>
            <w:vAlign w:val="bottom"/>
          </w:tcPr>
          <w:p>
            <w:pPr>
              <w:spacing w:after="0"/>
              <w:rPr>
                <w:sz w:val="20"/>
                <w:szCs w:val="20"/>
                <w:color w:val="auto"/>
              </w:rPr>
            </w:pPr>
            <w:r>
              <w:rPr>
                <w:rFonts w:ascii="Arial" w:cs="Arial" w:eastAsia="Arial" w:hAnsi="Arial"/>
                <w:sz w:val="14"/>
                <w:szCs w:val="14"/>
                <w:color w:val="auto"/>
              </w:rPr>
              <w:t>Less foreign exchange losses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r>
      <w:tr>
        <w:trPr>
          <w:trHeight w:val="216"/>
        </w:trPr>
        <w:tc>
          <w:tcPr>
            <w:tcW w:w="6920" w:type="dxa"/>
            <w:vAlign w:val="bottom"/>
          </w:tcPr>
          <w:p>
            <w:pPr>
              <w:spacing w:after="0"/>
              <w:rPr>
                <w:sz w:val="20"/>
                <w:szCs w:val="20"/>
                <w:color w:val="auto"/>
              </w:rPr>
            </w:pPr>
            <w:r>
              <w:rPr>
                <w:rFonts w:ascii="Arial" w:cs="Arial" w:eastAsia="Arial" w:hAnsi="Arial"/>
                <w:sz w:val="14"/>
                <w:szCs w:val="14"/>
                <w:b w:val="1"/>
                <w:bCs w:val="1"/>
                <w:color w:val="auto"/>
              </w:rPr>
              <w:t>Corporate expense, adjusted and excluding foreign exchange losses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w:t>
            </w:r>
          </w:p>
        </w:tc>
      </w:tr>
      <w:tr>
        <w:trPr>
          <w:trHeight w:val="20"/>
        </w:trPr>
        <w:tc>
          <w:tcPr>
            <w:tcW w:w="6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980"/>
        <w:spacing w:after="0"/>
        <w:tabs>
          <w:tab w:leader="none" w:pos="92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28 of </w:t>
      </w:r>
      <w:hyperlink w:anchor="page35">
        <w:r>
          <w:rPr>
            <w:rFonts w:ascii="Arial" w:cs="Arial" w:eastAsia="Arial" w:hAnsi="Arial"/>
            <w:sz w:val="14"/>
            <w:szCs w:val="14"/>
            <w:b w:val="1"/>
            <w:bCs w:val="1"/>
            <w:color w:val="auto"/>
          </w:rPr>
          <w:t>29</w:t>
        </w:r>
      </w:hyperlink>
    </w:p>
    <w:p>
      <w:pPr>
        <w:sectPr>
          <w:pgSz w:w="11900" w:h="16838" w:orient="portrait"/>
          <w:cols w:equalWidth="0" w:num="1">
            <w:col w:w="10220"/>
          </w:cols>
          <w:pgMar w:left="1440" w:top="49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b w:val="1"/>
          <w:bCs w:val="1"/>
          <w:color w:val="auto"/>
        </w:rPr>
        <w:t>Exhibit 12</w:t>
      </w:r>
    </w:p>
    <w:p>
      <w:pPr>
        <w:spacing w:after="0" w:line="1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 xml:space="preserve">TECHNIPFMC PLC AND CONSOLIDATED SUBSIDIARIES RECONCILIATION OF GAAP TO NON-GAAP FINANCIAL MEASURES </w:t>
      </w:r>
      <w:r>
        <w:rPr>
          <w:rFonts w:ascii="Arial" w:cs="Arial" w:eastAsia="Arial" w:hAnsi="Arial"/>
          <w:sz w:val="18"/>
          <w:szCs w:val="18"/>
          <w:b w:val="1"/>
          <w:bCs w:val="1"/>
          <w:color w:val="auto"/>
        </w:rPr>
        <w:t>(In millions, unaudited)</w:t>
      </w:r>
    </w:p>
    <w:p>
      <w:pPr>
        <w:spacing w:after="0" w:line="343"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1300" w:type="dxa"/>
            <w:vAlign w:val="bottom"/>
            <w:gridSpan w:val="3"/>
          </w:tcPr>
          <w:p>
            <w:pPr>
              <w:ind w:left="12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6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2018</w:t>
            </w:r>
          </w:p>
        </w:tc>
      </w:tr>
      <w:tr>
        <w:trPr>
          <w:trHeight w:val="33"/>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5,190.2</w:t>
            </w:r>
          </w:p>
        </w:tc>
        <w:tc>
          <w:tcPr>
            <w:tcW w:w="100" w:type="dxa"/>
            <w:vAlign w:val="bottom"/>
          </w:tcPr>
          <w:p>
            <w:pPr>
              <w:spacing w:after="0"/>
              <w:rPr>
                <w:sz w:val="20"/>
                <w:szCs w:val="20"/>
                <w:color w:val="auto"/>
              </w:rPr>
            </w:pP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5,540.0</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Short-term debt and current portion of long-term debt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(4,124.3)</w:t>
            </w:r>
          </w:p>
        </w:tc>
      </w:tr>
      <w:tr>
        <w:trPr>
          <w:trHeight w:val="27"/>
        </w:trPr>
        <w:tc>
          <w:tcPr>
            <w:tcW w:w="6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Net cash</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714.8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1,348.3</w:t>
            </w: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(debt) cash, is a non-GAAP financial measure reflecting cash and cash equivalents, net of debt. Management uses 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372" w:lineRule="exact"/>
        <w:rPr>
          <w:sz w:val="20"/>
          <w:szCs w:val="20"/>
          <w:color w:val="auto"/>
        </w:rPr>
      </w:pPr>
    </w:p>
    <w:p>
      <w:pPr>
        <w:ind w:left="5180"/>
        <w:spacing w:after="0"/>
        <w:tabs>
          <w:tab w:leader="none" w:pos="10420" w:val="left"/>
        </w:tabs>
        <w:rPr>
          <w:rFonts w:ascii="Arial" w:cs="Arial" w:eastAsia="Arial" w:hAnsi="Arial"/>
          <w:sz w:val="14"/>
          <w:szCs w:val="14"/>
          <w:b w:val="1"/>
          <w:bCs w:val="1"/>
          <w:color w:val="auto"/>
        </w:rPr>
      </w:pPr>
      <w:r>
        <w:rPr>
          <w:rFonts w:ascii="Arial" w:cs="Arial" w:eastAsia="Arial" w:hAnsi="Arial"/>
          <w:sz w:val="14"/>
          <w:szCs w:val="14"/>
          <w:b w:val="1"/>
          <w:bCs w:val="1"/>
          <w:color w:val="auto"/>
        </w:rPr>
        <w:t>TechnipFMC.com</w:t>
      </w:r>
      <w:r>
        <w:rPr>
          <w:sz w:val="20"/>
          <w:szCs w:val="20"/>
          <w:color w:val="auto"/>
        </w:rPr>
        <w:tab/>
      </w:r>
      <w:r>
        <w:rPr>
          <w:rFonts w:ascii="Arial" w:cs="Arial" w:eastAsia="Arial" w:hAnsi="Arial"/>
          <w:sz w:val="14"/>
          <w:szCs w:val="14"/>
          <w:b w:val="1"/>
          <w:bCs w:val="1"/>
          <w:color w:val="auto"/>
        </w:rPr>
        <w:t xml:space="preserve">Page 29 of </w:t>
      </w:r>
      <w:hyperlink w:anchor="page35">
        <w:r>
          <w:rPr>
            <w:rFonts w:ascii="Arial" w:cs="Arial" w:eastAsia="Arial" w:hAnsi="Arial"/>
            <w:sz w:val="14"/>
            <w:szCs w:val="14"/>
            <w:b w:val="1"/>
            <w:bCs w:val="1"/>
            <w:color w:val="auto"/>
          </w:rPr>
          <w:t>29</w:t>
        </w:r>
      </w:hyperlink>
    </w:p>
    <w:sectPr>
      <w:pgSz w:w="11900" w:h="16838" w:orient="portrait"/>
      <w:cols w:equalWidth="0" w:num="1">
        <w:col w:w="11420"/>
      </w:cols>
      <w:pgMar w:left="240" w:top="4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1)"/>
      <w:numFmt w:val="decimal"/>
      <w:start w:val="1"/>
    </w:lvl>
    <w:lvl w:ilvl="1">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lvl w:ilvl="1">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lvl w:ilvl="1">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lvl w:ilvl="1">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2020-02-26T16:17:36Z</dcterms:created>
  <dcterms:modified xsi:type="dcterms:W3CDTF">2020-02-26T16:17:36Z</dcterms:modified>
</cp:coreProperties>
</file>