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G87110105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32,768,781</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34,142,596</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34,142,771</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7.6%</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480" w:right="8180" w:hanging="553"/>
        <w:spacing w:after="0" w:line="335" w:lineRule="auto"/>
        <w:tabs>
          <w:tab w:leader="none" w:pos="14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TechnipFMC PLC</w:t>
      </w:r>
    </w:p>
    <w:p>
      <w:pPr>
        <w:spacing w:after="0" w:line="11" w:lineRule="exact"/>
        <w:rPr>
          <w:rFonts w:ascii="Arial" w:cs="Arial" w:eastAsia="Arial" w:hAnsi="Arial"/>
          <w:sz w:val="19"/>
          <w:szCs w:val="19"/>
          <w:b w:val="1"/>
          <w:bCs w:val="1"/>
          <w:color w:val="auto"/>
        </w:rPr>
      </w:pPr>
    </w:p>
    <w:p>
      <w:pPr>
        <w:ind w:left="1480" w:hanging="553"/>
        <w:spacing w:after="0"/>
        <w:tabs>
          <w:tab w:leader="none" w:pos="1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480"/>
        <w:spacing w:after="0"/>
        <w:rPr>
          <w:rFonts w:ascii="Arial" w:cs="Arial" w:eastAsia="Arial" w:hAnsi="Arial"/>
          <w:sz w:val="22"/>
          <w:szCs w:val="22"/>
          <w:b w:val="1"/>
          <w:bCs w:val="1"/>
          <w:color w:val="auto"/>
        </w:rPr>
      </w:pPr>
      <w:r>
        <w:rPr>
          <w:rFonts w:ascii="Arial" w:cs="Arial" w:eastAsia="Arial" w:hAnsi="Arial"/>
          <w:sz w:val="22"/>
          <w:szCs w:val="22"/>
          <w:color w:val="auto"/>
        </w:rPr>
        <w:t>1 Saint Paul's Churchyard, London EC4M 8AP, GB</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480" w:right="724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480" w:right="438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480" w:right="874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480" w:right="738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480" w:right="830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G87110105</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(a)</w:t>
        <w:tab/>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(b)</w:t>
        <w:tab/>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(c)</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(d)</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(g)</w:t>
        <w:tab/>
        <w:t>[X]</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(h)</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260"/>
            <w:col w:w="900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480" w:right="86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34,142,771 shares of the Issuer which are held of record by clients of Invesco Ltd. ..</w:t>
      </w:r>
    </w:p>
    <w:p>
      <w:pPr>
        <w:spacing w:after="0" w:line="24" w:lineRule="exact"/>
        <w:rPr>
          <w:rFonts w:ascii="Arial" w:cs="Arial" w:eastAsia="Arial" w:hAnsi="Arial"/>
          <w:sz w:val="22"/>
          <w:szCs w:val="22"/>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7.6%</w:t>
      </w:r>
    </w:p>
    <w:p>
      <w:pPr>
        <w:spacing w:after="0" w:line="125" w:lineRule="exact"/>
        <w:rPr>
          <w:rFonts w:ascii="Arial" w:cs="Arial" w:eastAsia="Arial" w:hAnsi="Arial"/>
          <w:sz w:val="22"/>
          <w:szCs w:val="22"/>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480" w:type="dxa"/>
        <w:tblCellMar>
          <w:top w:w="0" w:type="dxa"/>
          <w:left w:w="0" w:type="dxa"/>
          <w:bottom w:w="0" w:type="dxa"/>
          <w:right w:w="0" w:type="dxa"/>
        </w:tblCellMar>
      </w:tblP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(i)</w:t>
            </w:r>
          </w:p>
        </w:tc>
        <w:tc>
          <w:tcPr>
            <w:tcW w:w="4580" w:type="dxa"/>
            <w:vAlign w:val="bottom"/>
          </w:tcPr>
          <w:p>
            <w:pPr>
              <w:ind w:left="240"/>
              <w:spacing w:after="0"/>
              <w:rPr>
                <w:sz w:val="20"/>
                <w:szCs w:val="20"/>
                <w:color w:val="auto"/>
              </w:rPr>
            </w:pPr>
            <w:r>
              <w:rPr>
                <w:rFonts w:ascii="Arial" w:cs="Arial" w:eastAsia="Arial" w:hAnsi="Arial"/>
                <w:sz w:val="22"/>
                <w:szCs w:val="22"/>
                <w:color w:val="auto"/>
              </w:rPr>
              <w:t>sole power to vote or to direct the vote</w:t>
            </w:r>
          </w:p>
        </w:tc>
        <w:tc>
          <w:tcPr>
            <w:tcW w:w="1140" w:type="dxa"/>
            <w:vAlign w:val="bottom"/>
          </w:tcPr>
          <w:p>
            <w:pPr>
              <w:ind w:left="180"/>
              <w:spacing w:after="0"/>
              <w:rPr>
                <w:sz w:val="20"/>
                <w:szCs w:val="20"/>
                <w:color w:val="auto"/>
              </w:rPr>
            </w:pPr>
            <w:r>
              <w:rPr>
                <w:rFonts w:ascii="Arial" w:cs="Arial" w:eastAsia="Arial" w:hAnsi="Arial"/>
                <w:sz w:val="22"/>
                <w:szCs w:val="22"/>
                <w:color w:val="auto"/>
                <w:w w:val="85"/>
              </w:rPr>
              <w:t>32,768,781</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22"/>
                <w:szCs w:val="22"/>
                <w:color w:val="auto"/>
              </w:rPr>
              <w:t>(ii)</w:t>
            </w:r>
          </w:p>
        </w:tc>
        <w:tc>
          <w:tcPr>
            <w:tcW w:w="4580" w:type="dxa"/>
            <w:vAlign w:val="bottom"/>
          </w:tcPr>
          <w:p>
            <w:pPr>
              <w:ind w:left="240"/>
              <w:spacing w:after="0"/>
              <w:rPr>
                <w:sz w:val="20"/>
                <w:szCs w:val="20"/>
                <w:color w:val="auto"/>
              </w:rPr>
            </w:pPr>
            <w:r>
              <w:rPr>
                <w:rFonts w:ascii="Arial" w:cs="Arial" w:eastAsia="Arial" w:hAnsi="Arial"/>
                <w:sz w:val="22"/>
                <w:szCs w:val="22"/>
                <w:color w:val="auto"/>
              </w:rPr>
              <w:t>shared power to vote or to direct the vote</w:t>
            </w:r>
          </w:p>
        </w:tc>
        <w:tc>
          <w:tcPr>
            <w:tcW w:w="1140" w:type="dxa"/>
            <w:vAlign w:val="bottom"/>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540" w:type="dxa"/>
            <w:vAlign w:val="bottom"/>
            <w:vMerge w:val="restart"/>
          </w:tcPr>
          <w:p>
            <w:pPr>
              <w:spacing w:after="0"/>
              <w:rPr>
                <w:sz w:val="20"/>
                <w:szCs w:val="20"/>
                <w:color w:val="auto"/>
              </w:rPr>
            </w:pPr>
            <w:r>
              <w:rPr>
                <w:rFonts w:ascii="Arial" w:cs="Arial" w:eastAsia="Arial" w:hAnsi="Arial"/>
                <w:sz w:val="22"/>
                <w:szCs w:val="22"/>
                <w:color w:val="auto"/>
              </w:rPr>
              <w:t>(iii)</w:t>
            </w:r>
          </w:p>
        </w:tc>
        <w:tc>
          <w:tcPr>
            <w:tcW w:w="4580" w:type="dxa"/>
            <w:vAlign w:val="bottom"/>
          </w:tcPr>
          <w:p>
            <w:pPr>
              <w:ind w:left="240"/>
              <w:spacing w:after="0"/>
              <w:rPr>
                <w:sz w:val="20"/>
                <w:szCs w:val="20"/>
                <w:color w:val="auto"/>
              </w:rPr>
            </w:pPr>
            <w:r>
              <w:rPr>
                <w:rFonts w:ascii="Arial" w:cs="Arial" w:eastAsia="Arial" w:hAnsi="Arial"/>
                <w:sz w:val="22"/>
                <w:szCs w:val="22"/>
                <w:color w:val="auto"/>
                <w:w w:val="91"/>
              </w:rPr>
              <w:t>sole power to dispose or to direct the disposition</w:t>
            </w:r>
          </w:p>
        </w:tc>
        <w:tc>
          <w:tcPr>
            <w:tcW w:w="1140" w:type="dxa"/>
            <w:vAlign w:val="bottom"/>
            <w:vMerge w:val="restart"/>
          </w:tcPr>
          <w:p>
            <w:pPr>
              <w:ind w:left="180"/>
              <w:spacing w:after="0"/>
              <w:rPr>
                <w:sz w:val="20"/>
                <w:szCs w:val="20"/>
                <w:color w:val="auto"/>
              </w:rPr>
            </w:pPr>
            <w:r>
              <w:rPr>
                <w:rFonts w:ascii="Arial" w:cs="Arial" w:eastAsia="Arial" w:hAnsi="Arial"/>
                <w:sz w:val="22"/>
                <w:szCs w:val="22"/>
                <w:color w:val="auto"/>
                <w:w w:val="85"/>
              </w:rPr>
              <w:t>34,142,596</w:t>
            </w:r>
          </w:p>
        </w:tc>
        <w:tc>
          <w:tcPr>
            <w:tcW w:w="0" w:type="dxa"/>
            <w:vAlign w:val="bottom"/>
          </w:tcPr>
          <w:p>
            <w:pPr>
              <w:spacing w:after="0"/>
              <w:rPr>
                <w:sz w:val="1"/>
                <w:szCs w:val="1"/>
                <w:color w:val="auto"/>
              </w:rPr>
            </w:pPr>
          </w:p>
        </w:tc>
      </w:tr>
      <w:tr>
        <w:trPr>
          <w:trHeight w:val="153"/>
        </w:trPr>
        <w:tc>
          <w:tcPr>
            <w:tcW w:w="540" w:type="dxa"/>
            <w:vAlign w:val="bottom"/>
            <w:vMerge w:val="continue"/>
          </w:tcPr>
          <w:p>
            <w:pPr>
              <w:spacing w:after="0"/>
              <w:rPr>
                <w:sz w:val="13"/>
                <w:szCs w:val="13"/>
                <w:color w:val="auto"/>
              </w:rPr>
            </w:pPr>
          </w:p>
        </w:tc>
        <w:tc>
          <w:tcPr>
            <w:tcW w:w="4580" w:type="dxa"/>
            <w:vAlign w:val="bottom"/>
            <w:vMerge w:val="restart"/>
          </w:tcPr>
          <w:p>
            <w:pPr>
              <w:ind w:left="240"/>
              <w:spacing w:after="0"/>
              <w:rPr>
                <w:sz w:val="20"/>
                <w:szCs w:val="20"/>
                <w:color w:val="auto"/>
              </w:rPr>
            </w:pPr>
            <w:r>
              <w:rPr>
                <w:rFonts w:ascii="Arial" w:cs="Arial" w:eastAsia="Arial" w:hAnsi="Arial"/>
                <w:sz w:val="22"/>
                <w:szCs w:val="22"/>
                <w:color w:val="auto"/>
              </w:rPr>
              <w:t>of</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4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540" w:type="dxa"/>
            <w:vAlign w:val="bottom"/>
            <w:vMerge w:val="restart"/>
          </w:tcPr>
          <w:p>
            <w:pPr>
              <w:spacing w:after="0"/>
              <w:rPr>
                <w:sz w:val="20"/>
                <w:szCs w:val="20"/>
                <w:color w:val="auto"/>
              </w:rPr>
            </w:pPr>
            <w:r>
              <w:rPr>
                <w:rFonts w:ascii="Arial" w:cs="Arial" w:eastAsia="Arial" w:hAnsi="Arial"/>
                <w:sz w:val="22"/>
                <w:szCs w:val="22"/>
                <w:color w:val="auto"/>
              </w:rPr>
              <w:t>(iv)</w:t>
            </w:r>
          </w:p>
        </w:tc>
        <w:tc>
          <w:tcPr>
            <w:tcW w:w="4580" w:type="dxa"/>
            <w:vAlign w:val="bottom"/>
          </w:tcPr>
          <w:p>
            <w:pPr>
              <w:ind w:left="240"/>
              <w:spacing w:after="0"/>
              <w:rPr>
                <w:sz w:val="20"/>
                <w:szCs w:val="20"/>
                <w:color w:val="auto"/>
              </w:rPr>
            </w:pPr>
            <w:r>
              <w:rPr>
                <w:rFonts w:ascii="Arial" w:cs="Arial" w:eastAsia="Arial" w:hAnsi="Arial"/>
                <w:sz w:val="22"/>
                <w:szCs w:val="22"/>
                <w:color w:val="auto"/>
              </w:rPr>
              <w:t>shared power to dispose or to direct the</w:t>
            </w:r>
          </w:p>
        </w:tc>
        <w:tc>
          <w:tcPr>
            <w:tcW w:w="114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3"/>
        </w:trPr>
        <w:tc>
          <w:tcPr>
            <w:tcW w:w="540" w:type="dxa"/>
            <w:vAlign w:val="bottom"/>
            <w:vMerge w:val="continue"/>
          </w:tcPr>
          <w:p>
            <w:pPr>
              <w:spacing w:after="0"/>
              <w:rPr>
                <w:sz w:val="13"/>
                <w:szCs w:val="13"/>
                <w:color w:val="auto"/>
              </w:rPr>
            </w:pPr>
          </w:p>
        </w:tc>
        <w:tc>
          <w:tcPr>
            <w:tcW w:w="4580" w:type="dxa"/>
            <w:vAlign w:val="bottom"/>
            <w:vMerge w:val="restart"/>
          </w:tcPr>
          <w:p>
            <w:pPr>
              <w:ind w:left="240"/>
              <w:spacing w:after="0"/>
              <w:rPr>
                <w:sz w:val="20"/>
                <w:szCs w:val="20"/>
                <w:color w:val="auto"/>
              </w:rPr>
            </w:pPr>
            <w:r>
              <w:rPr>
                <w:rFonts w:ascii="Arial" w:cs="Arial" w:eastAsia="Arial" w:hAnsi="Arial"/>
                <w:sz w:val="22"/>
                <w:szCs w:val="22"/>
                <w:color w:val="auto"/>
              </w:rPr>
              <w:t>disposition of</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4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ectPr>
          <w:pgSz w:w="11900" w:h="16838" w:orient="portrait"/>
          <w:cols w:equalWidth="0" w:num="1">
            <w:col w:w="11260"/>
          </w:cols>
          <w:pgMar w:left="320" w:top="423" w:right="319" w:bottom="0" w:gutter="0" w:footer="0" w:header="0"/>
          <w:type w:val="continuous"/>
        </w:sectPr>
      </w:pPr>
    </w:p>
    <w:bookmarkStart w:id="3" w:name="page4"/>
    <w:bookmarkEnd w:id="3"/>
    <w:p>
      <w:pPr>
        <w:ind w:left="920" w:right="100"/>
        <w:spacing w:after="0" w:line="329"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7"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Deutschland GmbH</w:t>
      </w:r>
    </w:p>
    <w:p>
      <w:pPr>
        <w:ind w:left="920"/>
        <w:spacing w:after="0" w:line="230" w:lineRule="auto"/>
        <w:rPr>
          <w:sz w:val="20"/>
          <w:szCs w:val="20"/>
          <w:color w:val="auto"/>
        </w:rPr>
      </w:pPr>
      <w:r>
        <w:rPr>
          <w:rFonts w:ascii="Arial" w:cs="Arial" w:eastAsia="Arial" w:hAnsi="Arial"/>
          <w:sz w:val="22"/>
          <w:szCs w:val="22"/>
          <w:color w:val="auto"/>
        </w:rPr>
        <w:t>Invesco Asset Management Japan Limited</w:t>
      </w:r>
    </w:p>
    <w:p>
      <w:pPr>
        <w:ind w:left="920"/>
        <w:spacing w:after="0" w:line="231"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8"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 February 12, 2020</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2020-02-12T15:22:35Z</dcterms:created>
  <dcterms:modified xsi:type="dcterms:W3CDTF">2020-02-12T15:22:35Z</dcterms:modified>
</cp:coreProperties>
</file>