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832" w:hAnchor="page" w:vAnchor="page" w:x="628" w:y="193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3152" w:hAnchor="page" w:vAnchor="page" w:x="1609" w:y="193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7  Sole Dispositive Power </w:t>
      </w:r>
    </w:p>
    <w:p>
      <w:pPr>
        <w:pStyle w:val="Normal"/>
        <w:framePr w:w="942" w:hAnchor="page" w:vAnchor="page" w:x="578" w:y="19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90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88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8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85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8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83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1783" w:hAnchor="page" w:vAnchor="page" w:x="1856" w:y="181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47,991,894.00</w:t>
      </w:r>
    </w:p>
    <w:p>
      <w:pPr>
        <w:pStyle w:val="Normal"/>
        <w:framePr w:w="1430" w:hAnchor="page" w:vAnchor="page" w:x="356" w:y="180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78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75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75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1602" w:hAnchor="page" w:vAnchor="page" w:x="1526" w:y="172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361" w:hAnchor="page" w:vAnchor="page" w:x="842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803" w:hAnchor="page" w:vAnchor="page" w:x="1766" w:y="160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not checked  (b)</w:t>
      </w:r>
    </w:p>
    <w:p>
      <w:pPr>
        <w:pStyle w:val="Normal"/>
        <w:framePr w:w="2849" w:hAnchor="page" w:vAnchor="page" w:x="1766" w:y="157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56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3148" w:hAnchor="page" w:vAnchor="page" w:x="152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Associates, Inc.</w:t>
      </w:r>
    </w:p>
    <w:p>
      <w:pPr>
        <w:pStyle w:val="Normal"/>
        <w:framePr w:w="361" w:hAnchor="page" w:vAnchor="page" w:x="842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44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2688" w:hAnchor="page" w:vAnchor="page" w:x="340" w:y="13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CUSIP No.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G87110105</w:t>
      </w:r>
    </w:p>
    <w:p>
      <w:pPr>
        <w:pStyle w:val="Normal"/>
        <w:framePr w:w="2599" w:hAnchor="page" w:vAnchor="page" w:x="332" w:y="1282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106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102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99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96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5914" w:hAnchor="page" w:vAnchor="page" w:x="2461" w:y="87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(Date of Event Which Requires Filing of this Statement)</w:t>
      </w:r>
    </w:p>
    <w:p>
      <w:pPr>
        <w:pStyle w:val="Normal"/>
        <w:framePr w:w="1325" w:hAnchor="page" w:vAnchor="page" w:x="4547" w:y="83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12/31/2024</w:t>
      </w:r>
    </w:p>
    <w:p>
      <w:pPr>
        <w:pStyle w:val="Normal"/>
        <w:framePr w:w="2018" w:hAnchor="page" w:vAnchor="page" w:x="4232" w:y="74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(CUSIP Number)</w:t>
      </w:r>
    </w:p>
    <w:p>
      <w:pPr>
        <w:pStyle w:val="Normal"/>
        <w:framePr w:w="1364" w:hAnchor="page" w:vAnchor="page" w:x="4529" w:y="70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3036" w:hAnchor="page" w:vAnchor="page" w:x="3769" w:y="62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2291" w:hAnchor="page" w:vAnchor="page" w:x="4108" w:y="5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2401" w:hAnchor="page" w:vAnchor="page" w:x="4058" w:y="45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2242" w:hAnchor="page" w:vAnchor="page" w:x="4130" w:y="37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(Amendment No. </w:t>
      </w: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6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)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6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27.7pt;z-index:-16777204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45.7pt;z-index:-16777200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90pt;z-index:-16777196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5.25pt;margin-top:308pt;z-index:-16777192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5.25pt;margin-top:352.3pt;z-index:-1677718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5.25pt;margin-top:370.3pt;z-index:-16777184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5.25pt;margin-top:414.6pt;z-index:-16777180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432.6pt;z-index:-16777176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.4pt;margin-top:671.7pt;z-index:-16777172;width:241.4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.4pt;margin-top:718.25pt;z-index:-16777168;width:585.25pt;height:28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5.25pt;margin-top:816.95pt;z-index:-16777164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3.8pt;margin-top:816.95pt;z-index:-16777160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25pt;margin-top:759.9pt;z-index:-167771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71.55pt;margin-top:720.1pt;z-index:-167771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25pt;margin-top:720.1pt;z-index:-167771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73.8pt;margin-top:759.9pt;z-index:-1677714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594pt;margin-top:720.1pt;z-index:-167771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73.8pt;margin-top:720.1pt;z-index:-167771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75.3pt;margin-top:746.4pt;z-index:-1677713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25pt;margin-top:814.7pt;z-index:-1677712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71.55pt;margin-top:762.15pt;z-index:-167771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5.25pt;margin-top:762.15pt;z-index:-1677712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73.8pt;margin-top:814.7pt;z-index:-1677711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94pt;margin-top:762.15pt;z-index:-167771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73.8pt;margin-top:762.15pt;z-index:-1677710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5.3pt;margin-top:788.4pt;z-index:-16777104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5.25pt;margin-top:831.2pt;z-index:-1677710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71.55pt;margin-top:816.95pt;z-index:-167770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816.95pt;z-index:-1677709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73.8pt;margin-top:831.2pt;z-index:-1677708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pt;margin-top:816.95pt;z-index:-1677708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73.8pt;margin-top:816.95pt;z-index:-1677708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5.25pt;margin-top:873.25pt;z-index:-1677707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1.55pt;margin-top:833.45pt;z-index:-167770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25pt;margin-top:833.45pt;z-index:-167770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73.8pt;margin-top:873.25pt;z-index:-1677706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4pt;margin-top:833.45pt;z-index:-167770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3.8pt;margin-top:833.45pt;z-index:-167770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75.3pt;margin-top:859.7pt;z-index:-1677705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71.55pt;margin-top:875.5pt;z-index:-16777048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25pt;margin-top:875.5pt;z-index:-16777044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594pt;margin-top:875.5pt;z-index:-16777040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3.8pt;margin-top:875.5pt;z-index:-16777036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6.8pt;margin-top:919.75pt;z-index:-1677703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88.05pt;margin-top:877.75pt;z-index:-1677702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90.3pt;margin-top:919.75pt;z-index:-1677702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90.3pt;margin-top:877.75pt;z-index:-1677702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91.8pt;margin-top:905.5pt;z-index:-1677701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76.8pt;margin-top:964.05pt;z-index:-1677701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88.05pt;margin-top:922pt;z-index:-1677700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90.3pt;margin-top:964.05pt;z-index:-1677700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90.3pt;margin-top:922pt;z-index:-1677700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91.8pt;margin-top:949.8pt;z-index:-1677699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8.05pt;margin-top:966.3pt;z-index:-16776992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0.3pt;margin-top:966.3pt;z-index:-16776988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6.25pt;margin-top:497.4pt;z-index:-167769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6.25pt;margin-top:513.95pt;z-index:-167769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6.25pt;margin-top:530.45pt;z-index:-167769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76.3pt;margin-top:789.4pt;z-index:-167769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76.3pt;margin-top:802.15pt;z-index:-167769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pt;margin-top:22pt;z-index:-16776964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46.05pt;z-index:-1677696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5.25pt;margin-top:247.2pt;z-index:-16776956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5.25pt;margin-top:309.5pt;z-index:-16776952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5.25pt;margin-top:371.8pt;z-index:-16776948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5.25pt;margin-top:434.1pt;z-index:-16776944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pt;margin-top:558.7pt;z-index:-1677694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575.25pt;z-index:-16776936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</w:p>
    <w:p>
      <w:pPr>
        <w:pStyle w:val="Normal"/>
        <w:framePr w:w="1193" w:hAnchor="page" w:vAnchor="page" w:x="1286" w:y="195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49055951</w:t>
      </w:r>
    </w:p>
    <w:p>
      <w:pPr>
        <w:pStyle w:val="Normal"/>
        <w:framePr w:w="519" w:hAnchor="page" w:vAnchor="page" w:x="650" w:y="193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190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187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framePr w:w="532" w:hAnchor="page" w:vAnchor="page" w:x="643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(k)</w:t>
      </w:r>
    </w:p>
    <w:p>
      <w:pPr>
        <w:pStyle w:val="Normal"/>
        <w:framePr w:w="8245" w:hAnchor="page" w:vAnchor="page" w:x="1526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Group, in accordance with Rule 240.13d-1(b)(1)(ii)(K).</w:t>
      </w:r>
    </w:p>
    <w:p>
      <w:pPr>
        <w:pStyle w:val="Normal"/>
        <w:framePr w:w="4348" w:hAnchor="page" w:vAnchor="page" w:x="1286" w:y="1778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   please specify the type of institution:</w:t>
      </w:r>
    </w:p>
    <w:p>
      <w:pPr>
        <w:pStyle w:val="Normal"/>
        <w:framePr w:w="479" w:hAnchor="page" w:vAnchor="page" w:x="668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(j)</w:t>
      </w:r>
    </w:p>
    <w:p>
      <w:pPr>
        <w:pStyle w:val="Normal"/>
        <w:framePr w:w="5734" w:hAnchor="page" w:vAnchor="page" w:x="1286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institution in accordance with § 240.13d-1(b)(1)(ii)(J), </w:t>
      </w:r>
    </w:p>
    <w:p>
      <w:pPr>
        <w:pStyle w:val="Normal"/>
        <w:framePr w:w="11511" w:hAnchor="page" w:vAnchor="page" w:x="1526" w:y="172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non-U.S. institution in accordance with § 240.13d-1(b)(1)(ii)(J). If filing as a non-U.S.</w:t>
      </w:r>
    </w:p>
    <w:p>
      <w:pPr>
        <w:pStyle w:val="Normal"/>
        <w:framePr w:w="7727" w:hAnchor="page" w:vAnchor="page" w:x="1286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section 3(c)(14) of the Investment Company Act of 1940 (15 U.S.C. 80a-3);</w:t>
      </w:r>
    </w:p>
    <w:p>
      <w:pPr>
        <w:pStyle w:val="Normal"/>
        <w:framePr w:w="466" w:hAnchor="page" w:vAnchor="page" w:x="673" w:y="168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(i)</w:t>
      </w:r>
    </w:p>
    <w:p>
      <w:pPr>
        <w:pStyle w:val="Normal"/>
        <w:framePr w:w="11139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church plan that is excluded from the definition of an investment company under</w:t>
      </w:r>
    </w:p>
    <w:p>
      <w:pPr>
        <w:pStyle w:val="Normal"/>
        <w:framePr w:w="1965" w:hAnchor="page" w:vAnchor="page" w:x="1286" w:y="163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(12 U.S.C. 1813);</w:t>
      </w:r>
    </w:p>
    <w:p>
      <w:pPr>
        <w:pStyle w:val="Normal"/>
        <w:framePr w:w="532" w:hAnchor="page" w:vAnchor="page" w:x="643" w:y="162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(h)</w:t>
      </w:r>
    </w:p>
    <w:p>
      <w:pPr>
        <w:pStyle w:val="Normal"/>
        <w:framePr w:w="11319" w:hAnchor="page" w:vAnchor="page" w:x="1526" w:y="161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savings associations as defined in Section 3(b) of the Federal Deposit Insurance Act</w:t>
      </w:r>
    </w:p>
    <w:p>
      <w:pPr>
        <w:pStyle w:val="Normal"/>
        <w:framePr w:w="664" w:hAnchor="page" w:vAnchor="page" w:x="1286" w:y="158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(G);</w:t>
      </w:r>
    </w:p>
    <w:p>
      <w:pPr>
        <w:pStyle w:val="Normal"/>
        <w:framePr w:w="519" w:hAnchor="page" w:vAnchor="page" w:x="650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</w:t>
      </w:r>
    </w:p>
    <w:p>
      <w:pPr>
        <w:pStyle w:val="Normal"/>
        <w:framePr w:w="11264" w:hAnchor="page" w:vAnchor="page" w:x="1526" w:y="155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parent holding company or control person in accordance with § 240.13d-1(b)(1)(ii)</w:t>
      </w:r>
    </w:p>
    <w:p>
      <w:pPr>
        <w:pStyle w:val="Normal"/>
        <w:framePr w:w="625" w:hAnchor="page" w:vAnchor="page" w:x="1286" w:y="152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(F);</w:t>
      </w:r>
    </w:p>
    <w:p>
      <w:pPr>
        <w:pStyle w:val="Normal"/>
        <w:framePr w:w="479" w:hAnchor="page" w:vAnchor="page" w:x="668" w:y="151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</w:t>
      </w:r>
    </w:p>
    <w:p>
      <w:pPr>
        <w:pStyle w:val="Normal"/>
        <w:framePr w:w="11378" w:hAnchor="page" w:vAnchor="page" w:x="1526" w:y="149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employee benefit plan or endowment fund in accordance with § 240.13d-1(b)(1)(ii)</w:t>
      </w:r>
    </w:p>
    <w:p>
      <w:pPr>
        <w:pStyle w:val="Normal"/>
        <w:framePr w:w="506" w:hAnchor="page" w:vAnchor="page" w:x="656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9021" w:hAnchor="page" w:vAnchor="page" w:x="1526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checked   An investment adviser in accordance with § 240.13d-1(b)(1)(ii)(E);</w:t>
      </w:r>
    </w:p>
    <w:p>
      <w:pPr>
        <w:pStyle w:val="Normal"/>
        <w:framePr w:w="2044" w:hAnchor="page" w:vAnchor="page" w:x="1286" w:y="143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(15 U.S.C. 80a-8);</w:t>
      </w:r>
    </w:p>
    <w:p>
      <w:pPr>
        <w:pStyle w:val="Normal"/>
        <w:framePr w:w="532" w:hAnchor="page" w:vAnchor="page" w:x="643" w:y="142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11580" w:hAnchor="page" w:vAnchor="page" w:x="1526" w:y="141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Investment company registered under section 8 of the Investment Company Act of 1940</w:t>
      </w:r>
    </w:p>
    <w:p>
      <w:pPr>
        <w:pStyle w:val="Normal"/>
        <w:framePr w:w="506" w:hAnchor="page" w:vAnchor="page" w:x="65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355" w:hAnchor="page" w:vAnchor="page" w:x="152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Insurance company as defined in section 3(a)(19) of the Act (15 U.S.C. 78c);</w:t>
      </w:r>
    </w:p>
    <w:p>
      <w:pPr>
        <w:pStyle w:val="Normal"/>
        <w:framePr w:w="532" w:hAnchor="page" w:vAnchor="page" w:x="643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8777" w:hAnchor="page" w:vAnchor="page" w:x="1526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Bank as defined in section 3(a)(6) of the Act (15 U.S.C. 78c);</w:t>
      </w:r>
    </w:p>
    <w:p>
      <w:pPr>
        <w:pStyle w:val="Normal"/>
        <w:framePr w:w="519" w:hAnchor="page" w:vAnchor="page" w:x="650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9905" w:hAnchor="page" w:vAnchor="page" w:x="1526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Broker or dealer registered under section 15 of the Act (15 U.S.C. 78o);</w:t>
      </w:r>
    </w:p>
    <w:p>
      <w:pPr>
        <w:pStyle w:val="Normal"/>
        <w:framePr w:w="12408" w:hAnchor="page" w:vAnchor="page" w:x="452" w:y="128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3.   If this statement is filed pursuant to §§ 240.13d-1(b) or 240.13d-2(b) or (c), check whether the person filing is a:</w:t>
      </w:r>
    </w:p>
    <w:p>
      <w:pPr>
        <w:pStyle w:val="Normal"/>
        <w:framePr w:w="1355" w:hAnchor="page" w:vAnchor="page" w:x="1286" w:y="125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506" w:hAnchor="page" w:vAnchor="page" w:x="656" w:y="122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1503" w:hAnchor="page" w:vAnchor="page" w:x="1286" w:y="12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No.: </w:t>
      </w:r>
    </w:p>
    <w:p>
      <w:pPr>
        <w:pStyle w:val="Normal"/>
        <w:framePr w:w="2172" w:hAnchor="page" w:vAnchor="page" w:x="1286" w:y="11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1145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111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1523" w:hAnchor="page" w:vAnchor="page" w:x="1286" w:y="108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506" w:hAnchor="page" w:vAnchor="page" w:x="656" w:y="10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103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4209" w:hAnchor="page" w:vAnchor="page" w:x="1286" w:y="100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100 E. Pratt Street, Baltimore, MD 21202</w:t>
      </w:r>
    </w:p>
    <w:p>
      <w:pPr>
        <w:pStyle w:val="Normal"/>
        <w:framePr w:w="532" w:hAnchor="page" w:vAnchor="page" w:x="643" w:y="98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954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3148" w:hAnchor="page" w:vAnchor="page" w:x="1286" w:y="92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Associates, Inc.</w:t>
      </w:r>
    </w:p>
    <w:p>
      <w:pPr>
        <w:pStyle w:val="Normal"/>
        <w:framePr w:w="519" w:hAnchor="page" w:vAnchor="page" w:x="650" w:y="89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2565" w:hAnchor="page" w:vAnchor="page" w:x="1286" w:y="87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84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8968" w:hAnchor="page" w:vAnchor="page" w:x="1286" w:y="80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 WINCOMBLEE ROAD, NEWCASTLE UPON TYNE, X0, NE63PL</w:t>
      </w:r>
    </w:p>
    <w:p>
      <w:pPr>
        <w:pStyle w:val="Normal"/>
        <w:framePr w:w="532" w:hAnchor="page" w:vAnchor="page" w:x="643" w:y="78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75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2243" w:hAnchor="page" w:vAnchor="page" w:x="1286" w:y="72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519" w:hAnchor="page" w:vAnchor="page" w:x="650" w:y="70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67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64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5773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93" w:hAnchor="page" w:vAnchor="page" w:x="1526" w:y="46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IA</w:t>
      </w:r>
    </w:p>
    <w:p>
      <w:pPr>
        <w:pStyle w:val="Normal"/>
        <w:framePr w:w="480" w:hAnchor="page" w:vAnchor="page" w:x="787" w:y="43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907" w:hAnchor="page" w:vAnchor="page" w:x="1526" w:y="37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11.5 %</w:t>
      </w:r>
    </w:p>
    <w:p>
      <w:pPr>
        <w:pStyle w:val="Normal"/>
        <w:framePr w:w="467" w:hAnchor="page" w:vAnchor="page" w:x="794" w:y="35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32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29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26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2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20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49,055,951.00</w:t>
      </w:r>
    </w:p>
    <w:p>
      <w:pPr>
        <w:pStyle w:val="Normal"/>
        <w:framePr w:w="361" w:hAnchor="page" w:vAnchor="page" w:x="842" w:y="18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5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1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7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6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366" w:hAnchor="page" w:vAnchor="page" w:x="1856" w:y="3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1783" w:hAnchor="page" w:vAnchor="page" w:x="1856" w:y="3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49,045,742.00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7pt;margin-top:1pt;z-index:-167769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.4pt;margin-top:1pt;z-index:-16776928;width:585.25pt;height:247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5.25pt;margin-top:75.3pt;z-index:-1677692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71.55pt;margin-top:1pt;z-index:-16776920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5.25pt;margin-top:1pt;z-index:-16776916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73.8pt;margin-top:75.3pt;z-index:-1677691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594pt;margin-top:1pt;z-index:-16776908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73.8pt;margin-top:1pt;z-index:-16776904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76.8pt;margin-top:15.25pt;z-index:-1677690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88.05pt;margin-top:1pt;z-index:-167768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90.3pt;margin-top:15.25pt;z-index:-1677689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90.3pt;margin-top:1pt;z-index:-1677688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91.8pt;margin-top:1pt;z-index:-1677688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88.05pt;margin-top:17.5pt;z-index:-16776880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90.3pt;margin-top:17.5pt;z-index:-16776876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91.8pt;margin-top:58.8pt;z-index:-16776872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5.25pt;margin-top:117.35pt;z-index:-167768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71.55pt;margin-top:77.55pt;z-index:-167768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5.25pt;margin-top:77.55pt;z-index:-167768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73.8pt;margin-top:117.35pt;z-index:-1677685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594pt;margin-top:77.55pt;z-index:-167768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73.8pt;margin-top:77.55pt;z-index:-167768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75.3pt;margin-top:103.85pt;z-index:-1677684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5.25pt;margin-top:159.4pt;z-index:-1677684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71.55pt;margin-top:119.6pt;z-index:-167768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5.25pt;margin-top:119.6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73.8pt;margin-top:159.4pt;z-index:-1677682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94pt;margin-top:119.6pt;z-index:-167768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73.8pt;margin-top:119.6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5.25pt;margin-top:201.4pt;z-index:-167768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1.55pt;margin-top:161.65pt;z-index:-167768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5.25pt;margin-top:161.65pt;z-index:-167768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3.8pt;margin-top:201.4pt;z-index:-1677680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94pt;margin-top:161.65pt;z-index:-167768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3.8pt;margin-top:161.65pt;z-index:-167767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75.3pt;margin-top:187.9pt;z-index:-1677679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243.45pt;z-index:-167767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1.55pt;margin-top:203.65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5.25pt;margin-top:203.6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73.8pt;margin-top:243.45pt;z-index:-1677677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594pt;margin-top:203.65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73.8pt;margin-top:203.65pt;z-index:-167767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5.3pt;margin-top:229.95pt;z-index:-1677676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63.3pt;margin-top:362.05pt;z-index:-167767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63.3pt;margin-top:403.35pt;z-index:-167767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63.3pt;margin-top:460.4pt;z-index:-167767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63.3pt;margin-top:501.65pt;z-index:-167767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63.3pt;margin-top:542.95pt;z-index:-167767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63.3pt;margin-top:584.25pt;z-index:-167767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63.3pt;margin-top:625.5pt;z-index:-1677673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63.3pt;margin-top:976.8pt;z-index:-1677673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76.3pt;margin-top:146.85pt;z-index:-1677672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4.3pt;margin-top:658.05pt;z-index:-1677672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64.3pt;margin-top:673.8pt;z-index:-1677672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64.3pt;margin-top:689.6pt;z-index:-1677671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64.3pt;margin-top:705.35pt;z-index:-1677671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64.3pt;margin-top:733.85pt;z-index:-1677670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64.3pt;margin-top:749.65pt;z-index:-167767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64.3pt;margin-top:778.15pt;z-index:-167767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64.3pt;margin-top:806.7pt;z-index:-167766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64.3pt;margin-top:835.2pt;z-index:-167766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64.3pt;margin-top:863.7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64.3pt;margin-top:90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p>
      <w:pPr>
        <w:pStyle w:val="Normal"/>
        <w:framePr w:w="796" w:hAnchor="page" w:vAnchor="page" w:x="3553" w:y="145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4934" w:y="145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02/14/2025</w:t>
      </w:r>
    </w:p>
    <w:p>
      <w:pPr>
        <w:pStyle w:val="Normal"/>
        <w:framePr w:w="1452" w:hAnchor="page" w:vAnchor="page" w:x="3553" w:y="141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1701" w:hAnchor="page" w:vAnchor="page" w:x="4934" w:y="141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Vice President</w:t>
      </w:r>
    </w:p>
    <w:p>
      <w:pPr>
        <w:pStyle w:val="Normal"/>
        <w:framePr w:w="1307" w:hAnchor="page" w:vAnchor="page" w:x="3553" w:y="137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1331" w:hAnchor="page" w:vAnchor="page" w:x="4934" w:y="137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Ellen York</w:t>
      </w:r>
    </w:p>
    <w:p>
      <w:pPr>
        <w:pStyle w:val="Normal"/>
        <w:framePr w:w="4895" w:hAnchor="page" w:vAnchor="page" w:x="4634" w:y="13147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T. Rowe Price Associates, Inc.</w:t>
      </w:r>
    </w:p>
    <w:p>
      <w:pPr>
        <w:pStyle w:val="Normal"/>
        <w:framePr w:w="4030" w:hAnchor="page" w:vAnchor="page" w:x="1871" w:y="125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2945" w:hAnchor="page" w:vAnchor="page" w:x="1871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</w:t>
      </w:r>
    </w:p>
    <w:p>
      <w:pPr>
        <w:pStyle w:val="Normal"/>
        <w:framePr w:w="2727" w:hAnchor="page" w:vAnchor="page" w:x="4004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and to the best of my</w:t>
      </w:r>
    </w:p>
    <w:p>
      <w:pPr>
        <w:pStyle w:val="Normal"/>
        <w:framePr w:w="3639" w:hAnchor="page" w:vAnchor="page" w:x="5939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knowledge and belief, I certify</w:t>
      </w:r>
    </w:p>
    <w:p>
      <w:pPr>
        <w:pStyle w:val="Normal"/>
        <w:framePr w:w="3762" w:hAnchor="page" w:vAnchor="page" w:x="8703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that the information set forth in this</w:t>
      </w:r>
    </w:p>
    <w:p>
      <w:pPr>
        <w:pStyle w:val="Normal"/>
        <w:framePr w:w="1875" w:hAnchor="page" w:vAnchor="page" w:x="326" w:y="119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3760" w:hAnchor="page" w:vAnchor="page" w:x="1286" w:y="113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beneficial ownership is expressly</w:t>
      </w:r>
    </w:p>
    <w:p>
      <w:pPr>
        <w:pStyle w:val="Normal"/>
        <w:framePr w:w="994" w:hAnchor="page" w:vAnchor="page" w:x="4160" w:y="113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denied.</w:t>
      </w:r>
    </w:p>
    <w:p>
      <w:pPr>
        <w:pStyle w:val="Normal"/>
        <w:framePr w:w="11989" w:hAnchor="page" w:vAnchor="page" w:x="1286" w:y="110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13G shall not be construed as an admission that Price Associates is the beneficial owner of the securities referred to, which </w:t>
      </w:r>
    </w:p>
    <w:p>
      <w:pPr>
        <w:pStyle w:val="Normal"/>
        <w:framePr w:w="7602" w:hAnchor="page" w:vAnchor="page" w:x="1286" w:y="108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nomination under ?? 240.14a-11. T. Rowe Price Associates, Inc. hereby</w:t>
      </w:r>
    </w:p>
    <w:p>
      <w:pPr>
        <w:pStyle w:val="Normal"/>
        <w:framePr w:w="4982" w:hAnchor="page" w:vAnchor="page" w:x="7652" w:y="108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declares and affirms that the filing of Schedule </w:t>
      </w:r>
    </w:p>
    <w:p>
      <w:pPr>
        <w:pStyle w:val="Normal"/>
        <w:framePr w:w="3532" w:hAnchor="page" w:vAnchor="page" w:x="1286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with or as a participant in any</w:t>
      </w:r>
    </w:p>
    <w:p>
      <w:pPr>
        <w:pStyle w:val="Normal"/>
        <w:framePr w:w="7289" w:hAnchor="page" w:vAnchor="page" w:x="3953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transaction having that purpose or effect, other than activities solely</w:t>
      </w:r>
    </w:p>
    <w:p>
      <w:pPr>
        <w:pStyle w:val="Normal"/>
        <w:framePr w:w="2367" w:hAnchor="page" w:vAnchor="page" w:x="10035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in connection with a </w:t>
      </w:r>
    </w:p>
    <w:p>
      <w:pPr>
        <w:pStyle w:val="Normal"/>
        <w:framePr w:w="11979" w:hAnchor="page" w:vAnchor="page" w:x="1286" w:y="102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2852" w:hAnchor="page" w:vAnchor="page" w:x="1286" w:y="100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are held in the ordinary</w:t>
      </w:r>
    </w:p>
    <w:p>
      <w:pPr>
        <w:pStyle w:val="Normal"/>
        <w:framePr w:w="9728" w:hAnchor="page" w:vAnchor="page" w:x="3334" w:y="100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course of business and were not acquired and are not held for the purpose of or with the effect of </w:t>
      </w:r>
    </w:p>
    <w:p>
      <w:pPr>
        <w:pStyle w:val="Normal"/>
        <w:framePr w:w="3469" w:hAnchor="page" w:vAnchor="page" w:x="1286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By signing below I certify</w:t>
      </w:r>
    </w:p>
    <w:p>
      <w:pPr>
        <w:pStyle w:val="Normal"/>
        <w:framePr w:w="2759" w:hAnchor="page" w:vAnchor="page" w:x="3571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that, to the best of my</w:t>
      </w:r>
    </w:p>
    <w:p>
      <w:pPr>
        <w:pStyle w:val="Normal"/>
        <w:framePr w:w="7308" w:hAnchor="page" w:vAnchor="page" w:x="5535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knowledge and belief, the securities referred to above were acquired and </w:t>
      </w:r>
    </w:p>
    <w:p>
      <w:pPr>
        <w:pStyle w:val="Normal"/>
        <w:framePr w:w="2684" w:hAnchor="page" w:vAnchor="page" w:x="398" w:y="94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88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85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82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79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1701" w:hAnchor="page" w:vAnchor="page" w:x="1286" w:y="75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060" w:hAnchor="page" w:vAnchor="page" w:x="1286" w:y="72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71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7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1701" w:hAnchor="page" w:vAnchor="page" w:x="1286" w:y="67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666" w:hAnchor="page" w:vAnchor="page" w:x="452" w:y="639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5439" w:hAnchor="page" w:vAnchor="page" w:x="452" w:y="57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361" w:hAnchor="page" w:vAnchor="page" w:x="1286" w:y="51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6234" w:hAnchor="page" w:vAnchor="page" w:x="1286" w:y="46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framePr w:w="1193" w:hAnchor="page" w:vAnchor="page" w:x="128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49045742</w:t>
      </w:r>
    </w:p>
    <w:p>
      <w:pPr>
        <w:pStyle w:val="Normal"/>
        <w:framePr w:w="5947" w:hAnchor="page" w:vAnchor="page" w:x="1286" w:y="36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361" w:hAnchor="page" w:vAnchor="page" w:x="1286" w:y="30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4932" w:hAnchor="page" w:vAnchor="page" w:x="1286" w:y="25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1193" w:hAnchor="page" w:vAnchor="page" w:x="1286" w:y="19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47991894</w:t>
      </w:r>
    </w:p>
    <w:p>
      <w:pPr>
        <w:pStyle w:val="Normal"/>
        <w:framePr w:w="4567" w:hAnchor="page" w:vAnchor="page" w:x="1286" w:y="14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1025" w:hAnchor="page" w:vAnchor="page" w:x="1286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11.5  % </w:t>
      </w:r>
    </w:p>
    <w:p>
      <w:pPr>
        <w:pStyle w:val="Normal"/>
        <w:framePr w:w="532" w:hAnchor="page" w:vAnchor="page" w:x="643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7pt;margin-top:1pt;z-index:-16776680;width:598pt;height:75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63.3pt;margin-top:26.5pt;z-index:-16776676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63.3pt;margin-top:96.35pt;z-index:-1677667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63.3pt;margin-top:150.4pt;z-index:-1677666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63.3pt;margin-top:204.4pt;z-index:-1677666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63.3pt;margin-top:258.45pt;z-index:-167766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3.3pt;margin-top:334.3pt;z-index:-167766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3.3pt;margin-top:378.55pt;z-index:-167766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3.3pt;margin-top:410.1pt;z-index:-167766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3.3pt;margin-top:441.6pt;z-index:-167766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63.3pt;margin-top:488.15pt;z-index:-16776640;width:533.45pt;height:91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92.55pt;margin-top:611.25pt;z-index:-16776636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230.7pt;margin-top:656.3pt;z-index:-16776632;width:207.6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styles.xml" Type="http://schemas.openxmlformats.org/officeDocument/2006/relationships/styles"/><Relationship Id="rId148" Target="fontTable.xml" Type="http://schemas.openxmlformats.org/officeDocument/2006/relationships/fontTable"/><Relationship Id="rId149" Target="settings.xml" Type="http://schemas.openxmlformats.org/officeDocument/2006/relationships/settings"/><Relationship Id="rId15" Target="media/image15.png" Type="http://schemas.openxmlformats.org/officeDocument/2006/relationships/image"/><Relationship Id="rId150" Target="webSettings.xml" Type="http://schemas.openxmlformats.org/officeDocument/2006/relationships/webSettings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815</Words>
  <Characters>4246</Characters>
  <Application>e-iceblue</Application>
  <DocSecurity>0</DocSecurity>
  <Lines>173</Lines>
  <Paragraphs>173</Paragraphs>
  <ScaleCrop>false</ScaleCrop>
  <Company>e-iceblue</Company>
  <LinksUpToDate>false</LinksUpToDate>
  <CharactersWithSpaces>4990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2025-02-14T16:43:48Z</dcterms:created>
  <dc:creator>root</dc:creator>
  <cp:lastModifiedBy>root</cp:lastModifiedBy>
  <dcterms:modified xsi:type="dcterms:W3CDTF">2025-02-14T16:43:48Z</dcterms:modified>
  <cp:revision>1</cp:revision>
</cp:coreProperties>
</file>