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757555</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723265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8-K/A</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Amendment No. 1</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TechnipFMC plc</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4" w:lineRule="exact"/>
        <w:rPr>
          <w:sz w:val="24"/>
          <w:szCs w:val="24"/>
          <w:color w:val="auto"/>
        </w:rPr>
      </w:pPr>
    </w:p>
    <w:tbl>
      <w:tblPr>
        <w:tblLayout w:type="fixed"/>
        <w:tblInd w:w="440" w:type="dxa"/>
        <w:tblCellMar>
          <w:top w:w="0" w:type="dxa"/>
          <w:left w:w="0" w:type="dxa"/>
          <w:bottom w:w="0" w:type="dxa"/>
          <w:right w:w="0" w:type="dxa"/>
        </w:tblCellMar>
      </w:tblPr>
      <w:tr>
        <w:trPr>
          <w:trHeight w:val="253"/>
        </w:trPr>
        <w:tc>
          <w:tcPr>
            <w:tcW w:w="2880" w:type="dxa"/>
            <w:vAlign w:val="bottom"/>
          </w:tcPr>
          <w:p>
            <w:pPr>
              <w:jc w:val="center"/>
              <w:ind w:right="76"/>
              <w:spacing w:after="0"/>
              <w:rPr>
                <w:sz w:val="20"/>
                <w:szCs w:val="20"/>
                <w:color w:val="auto"/>
              </w:rPr>
            </w:pPr>
            <w:r>
              <w:rPr>
                <w:rFonts w:ascii="Arial" w:cs="Arial" w:eastAsia="Arial" w:hAnsi="Arial"/>
                <w:sz w:val="18"/>
                <w:szCs w:val="18"/>
                <w:b w:val="1"/>
                <w:bCs w:val="1"/>
                <w:color w:val="auto"/>
              </w:rPr>
              <w:t>United Kingdom</w:t>
            </w:r>
          </w:p>
        </w:tc>
        <w:tc>
          <w:tcPr>
            <w:tcW w:w="4740" w:type="dxa"/>
            <w:vAlign w:val="bottom"/>
          </w:tcPr>
          <w:p>
            <w:pPr>
              <w:jc w:val="right"/>
              <w:ind w:right="1943"/>
              <w:spacing w:after="0"/>
              <w:rPr>
                <w:sz w:val="20"/>
                <w:szCs w:val="20"/>
                <w:color w:val="auto"/>
              </w:rPr>
            </w:pPr>
            <w:r>
              <w:rPr>
                <w:rFonts w:ascii="Arial" w:cs="Arial" w:eastAsia="Arial" w:hAnsi="Arial"/>
                <w:sz w:val="18"/>
                <w:szCs w:val="18"/>
                <w:b w:val="1"/>
                <w:bCs w:val="1"/>
                <w:color w:val="auto"/>
              </w:rPr>
              <w:t>001-37983</w:t>
            </w:r>
          </w:p>
        </w:tc>
        <w:tc>
          <w:tcPr>
            <w:tcW w:w="2480" w:type="dxa"/>
            <w:vAlign w:val="bottom"/>
          </w:tcPr>
          <w:p>
            <w:pPr>
              <w:jc w:val="center"/>
              <w:ind w:left="199"/>
              <w:spacing w:after="0"/>
              <w:rPr>
                <w:sz w:val="20"/>
                <w:szCs w:val="20"/>
                <w:color w:val="auto"/>
              </w:rPr>
            </w:pPr>
            <w:r>
              <w:rPr>
                <w:rFonts w:ascii="Arial" w:cs="Arial" w:eastAsia="Arial" w:hAnsi="Arial"/>
                <w:sz w:val="18"/>
                <w:szCs w:val="18"/>
                <w:b w:val="1"/>
                <w:bCs w:val="1"/>
                <w:color w:val="auto"/>
                <w:w w:val="99"/>
              </w:rPr>
              <w:t>98-1283037</w:t>
            </w:r>
          </w:p>
        </w:tc>
      </w:tr>
      <w:tr>
        <w:trPr>
          <w:trHeight w:val="209"/>
        </w:trPr>
        <w:tc>
          <w:tcPr>
            <w:tcW w:w="2880" w:type="dxa"/>
            <w:vAlign w:val="bottom"/>
          </w:tcPr>
          <w:p>
            <w:pPr>
              <w:jc w:val="center"/>
              <w:ind w:right="76"/>
              <w:spacing w:after="0"/>
              <w:rPr>
                <w:sz w:val="20"/>
                <w:szCs w:val="20"/>
                <w:color w:val="auto"/>
              </w:rPr>
            </w:pPr>
            <w:r>
              <w:rPr>
                <w:rFonts w:ascii="Arial" w:cs="Arial" w:eastAsia="Arial" w:hAnsi="Arial"/>
                <w:sz w:val="14"/>
                <w:szCs w:val="14"/>
                <w:color w:val="auto"/>
              </w:rPr>
              <w:t>(State or other jurisdiction of incorporation)</w:t>
            </w:r>
          </w:p>
        </w:tc>
        <w:tc>
          <w:tcPr>
            <w:tcW w:w="4740" w:type="dxa"/>
            <w:vAlign w:val="bottom"/>
          </w:tcPr>
          <w:p>
            <w:pPr>
              <w:jc w:val="center"/>
              <w:ind w:right="63"/>
              <w:spacing w:after="0"/>
              <w:rPr>
                <w:sz w:val="20"/>
                <w:szCs w:val="20"/>
                <w:color w:val="auto"/>
              </w:rPr>
            </w:pPr>
            <w:r>
              <w:rPr>
                <w:rFonts w:ascii="Arial" w:cs="Arial" w:eastAsia="Arial" w:hAnsi="Arial"/>
                <w:sz w:val="14"/>
                <w:szCs w:val="14"/>
                <w:color w:val="auto"/>
              </w:rPr>
              <w:t>(Commission File Number)</w:t>
            </w:r>
          </w:p>
        </w:tc>
        <w:tc>
          <w:tcPr>
            <w:tcW w:w="2480" w:type="dxa"/>
            <w:vAlign w:val="bottom"/>
          </w:tcPr>
          <w:p>
            <w:pPr>
              <w:jc w:val="center"/>
              <w:ind w:left="199"/>
              <w:spacing w:after="0"/>
              <w:rPr>
                <w:sz w:val="20"/>
                <w:szCs w:val="20"/>
                <w:color w:val="auto"/>
              </w:rPr>
            </w:pPr>
            <w:r>
              <w:rPr>
                <w:rFonts w:ascii="Arial" w:cs="Arial" w:eastAsia="Arial" w:hAnsi="Arial"/>
                <w:sz w:val="14"/>
                <w:szCs w:val="14"/>
                <w:color w:val="auto"/>
              </w:rPr>
              <w:t>(I.R.S. Employer Identification No.)</w:t>
            </w:r>
          </w:p>
        </w:tc>
      </w:tr>
      <w:tr>
        <w:trPr>
          <w:trHeight w:val="385"/>
        </w:trPr>
        <w:tc>
          <w:tcPr>
            <w:tcW w:w="2880" w:type="dxa"/>
            <w:vAlign w:val="bottom"/>
          </w:tcPr>
          <w:p>
            <w:pPr>
              <w:jc w:val="center"/>
              <w:ind w:right="56"/>
              <w:spacing w:after="0"/>
              <w:rPr>
                <w:sz w:val="20"/>
                <w:szCs w:val="20"/>
                <w:color w:val="auto"/>
              </w:rPr>
            </w:pPr>
            <w:r>
              <w:rPr>
                <w:rFonts w:ascii="Arial" w:cs="Arial" w:eastAsia="Arial" w:hAnsi="Arial"/>
                <w:sz w:val="18"/>
                <w:szCs w:val="18"/>
                <w:b w:val="1"/>
                <w:bCs w:val="1"/>
                <w:color w:val="auto"/>
                <w:w w:val="99"/>
              </w:rPr>
              <w:t>One St. Paul’s Churchyard</w:t>
            </w:r>
          </w:p>
        </w:tc>
        <w:tc>
          <w:tcPr>
            <w:tcW w:w="47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56"/>
        </w:trPr>
        <w:tc>
          <w:tcPr>
            <w:tcW w:w="2880" w:type="dxa"/>
            <w:vAlign w:val="bottom"/>
          </w:tcPr>
          <w:p>
            <w:pPr>
              <w:jc w:val="center"/>
              <w:ind w:right="56"/>
              <w:spacing w:after="0"/>
              <w:rPr>
                <w:sz w:val="20"/>
                <w:szCs w:val="20"/>
                <w:color w:val="auto"/>
              </w:rPr>
            </w:pPr>
            <w:r>
              <w:rPr>
                <w:rFonts w:ascii="Arial" w:cs="Arial" w:eastAsia="Arial" w:hAnsi="Arial"/>
                <w:sz w:val="18"/>
                <w:szCs w:val="18"/>
                <w:b w:val="1"/>
                <w:bCs w:val="1"/>
                <w:color w:val="auto"/>
                <w:w w:val="99"/>
              </w:rPr>
              <w:t>London</w:t>
            </w:r>
          </w:p>
        </w:tc>
        <w:tc>
          <w:tcPr>
            <w:tcW w:w="4740" w:type="dxa"/>
            <w:vAlign w:val="bottom"/>
          </w:tcPr>
          <w:p>
            <w:pPr>
              <w:spacing w:after="0"/>
              <w:rPr>
                <w:sz w:val="22"/>
                <w:szCs w:val="22"/>
                <w:color w:val="auto"/>
              </w:rPr>
            </w:pPr>
          </w:p>
        </w:tc>
        <w:tc>
          <w:tcPr>
            <w:tcW w:w="2480" w:type="dxa"/>
            <w:vAlign w:val="bottom"/>
          </w:tcPr>
          <w:p>
            <w:pPr>
              <w:spacing w:after="0"/>
              <w:rPr>
                <w:sz w:val="22"/>
                <w:szCs w:val="22"/>
                <w:color w:val="auto"/>
              </w:rPr>
            </w:pPr>
          </w:p>
        </w:tc>
      </w:tr>
      <w:tr>
        <w:trPr>
          <w:trHeight w:val="256"/>
        </w:trPr>
        <w:tc>
          <w:tcPr>
            <w:tcW w:w="2880" w:type="dxa"/>
            <w:vAlign w:val="bottom"/>
          </w:tcPr>
          <w:p>
            <w:pPr>
              <w:jc w:val="center"/>
              <w:ind w:right="56"/>
              <w:spacing w:after="0"/>
              <w:rPr>
                <w:sz w:val="20"/>
                <w:szCs w:val="20"/>
                <w:color w:val="auto"/>
              </w:rPr>
            </w:pPr>
            <w:r>
              <w:rPr>
                <w:rFonts w:ascii="Arial" w:cs="Arial" w:eastAsia="Arial" w:hAnsi="Arial"/>
                <w:sz w:val="18"/>
                <w:szCs w:val="18"/>
                <w:b w:val="1"/>
                <w:bCs w:val="1"/>
                <w:color w:val="auto"/>
                <w:w w:val="99"/>
              </w:rPr>
              <w:t>United Kingdom</w:t>
            </w:r>
          </w:p>
        </w:tc>
        <w:tc>
          <w:tcPr>
            <w:tcW w:w="4740" w:type="dxa"/>
            <w:vAlign w:val="bottom"/>
          </w:tcPr>
          <w:p>
            <w:pPr>
              <w:spacing w:after="0"/>
              <w:rPr>
                <w:sz w:val="22"/>
                <w:szCs w:val="22"/>
                <w:color w:val="auto"/>
              </w:rPr>
            </w:pPr>
          </w:p>
        </w:tc>
        <w:tc>
          <w:tcPr>
            <w:tcW w:w="2480" w:type="dxa"/>
            <w:vAlign w:val="bottom"/>
          </w:tcPr>
          <w:p>
            <w:pPr>
              <w:jc w:val="center"/>
              <w:ind w:left="179"/>
              <w:spacing w:after="0"/>
              <w:rPr>
                <w:sz w:val="20"/>
                <w:szCs w:val="20"/>
                <w:color w:val="auto"/>
              </w:rPr>
            </w:pPr>
            <w:r>
              <w:rPr>
                <w:rFonts w:ascii="Arial" w:cs="Arial" w:eastAsia="Arial" w:hAnsi="Arial"/>
                <w:sz w:val="18"/>
                <w:szCs w:val="18"/>
                <w:b w:val="1"/>
                <w:bCs w:val="1"/>
                <w:color w:val="auto"/>
                <w:w w:val="99"/>
              </w:rPr>
              <w:t>EC4M 8AP</w:t>
            </w:r>
          </w:p>
        </w:tc>
      </w:tr>
      <w:tr>
        <w:trPr>
          <w:trHeight w:val="210"/>
        </w:trPr>
        <w:tc>
          <w:tcPr>
            <w:tcW w:w="2880" w:type="dxa"/>
            <w:vAlign w:val="bottom"/>
          </w:tcPr>
          <w:p>
            <w:pPr>
              <w:jc w:val="center"/>
              <w:ind w:right="56"/>
              <w:spacing w:after="0"/>
              <w:rPr>
                <w:sz w:val="20"/>
                <w:szCs w:val="20"/>
                <w:color w:val="auto"/>
              </w:rPr>
            </w:pPr>
            <w:r>
              <w:rPr>
                <w:rFonts w:ascii="Arial" w:cs="Arial" w:eastAsia="Arial" w:hAnsi="Arial"/>
                <w:sz w:val="14"/>
                <w:szCs w:val="14"/>
                <w:color w:val="auto"/>
              </w:rPr>
              <w:t>(Address of principal executive offices)</w:t>
            </w:r>
          </w:p>
        </w:tc>
        <w:tc>
          <w:tcPr>
            <w:tcW w:w="4740" w:type="dxa"/>
            <w:vAlign w:val="bottom"/>
          </w:tcPr>
          <w:p>
            <w:pPr>
              <w:spacing w:after="0"/>
              <w:rPr>
                <w:sz w:val="18"/>
                <w:szCs w:val="18"/>
                <w:color w:val="auto"/>
              </w:rPr>
            </w:pPr>
          </w:p>
        </w:tc>
        <w:tc>
          <w:tcPr>
            <w:tcW w:w="2480" w:type="dxa"/>
            <w:vAlign w:val="bottom"/>
          </w:tcPr>
          <w:p>
            <w:pPr>
              <w:jc w:val="center"/>
              <w:ind w:left="159"/>
              <w:spacing w:after="0"/>
              <w:rPr>
                <w:sz w:val="20"/>
                <w:szCs w:val="20"/>
                <w:color w:val="auto"/>
              </w:rPr>
            </w:pPr>
            <w:r>
              <w:rPr>
                <w:rFonts w:ascii="Arial" w:cs="Arial" w:eastAsia="Arial" w:hAnsi="Arial"/>
                <w:sz w:val="14"/>
                <w:szCs w:val="14"/>
                <w:color w:val="auto"/>
              </w:rPr>
              <w:t>(Zip Code)</w:t>
            </w:r>
          </w:p>
        </w:tc>
      </w:tr>
      <w:tr>
        <w:trPr>
          <w:trHeight w:val="317"/>
        </w:trPr>
        <w:tc>
          <w:tcPr>
            <w:tcW w:w="2880" w:type="dxa"/>
            <w:vAlign w:val="bottom"/>
          </w:tcPr>
          <w:p>
            <w:pPr>
              <w:spacing w:after="0"/>
              <w:rPr>
                <w:sz w:val="24"/>
                <w:szCs w:val="24"/>
                <w:color w:val="auto"/>
              </w:rPr>
            </w:pPr>
          </w:p>
        </w:tc>
        <w:tc>
          <w:tcPr>
            <w:tcW w:w="4740" w:type="dxa"/>
            <w:vAlign w:val="bottom"/>
          </w:tcPr>
          <w:p>
            <w:pPr>
              <w:jc w:val="right"/>
              <w:ind w:right="1763"/>
              <w:spacing w:after="0"/>
              <w:rPr>
                <w:sz w:val="20"/>
                <w:szCs w:val="20"/>
                <w:color w:val="auto"/>
              </w:rPr>
            </w:pPr>
            <w:r>
              <w:rPr>
                <w:rFonts w:ascii="Arial" w:cs="Arial" w:eastAsia="Arial" w:hAnsi="Arial"/>
                <w:sz w:val="14"/>
                <w:szCs w:val="14"/>
                <w:b w:val="1"/>
                <w:bCs w:val="1"/>
                <w:color w:val="auto"/>
              </w:rPr>
              <w:t>+44 203-429-3950</w:t>
            </w:r>
          </w:p>
        </w:tc>
        <w:tc>
          <w:tcPr>
            <w:tcW w:w="2480" w:type="dxa"/>
            <w:vAlign w:val="bottom"/>
          </w:tcPr>
          <w:p>
            <w:pPr>
              <w:spacing w:after="0"/>
              <w:rPr>
                <w:sz w:val="24"/>
                <w:szCs w:val="24"/>
                <w:color w:val="auto"/>
              </w:rPr>
            </w:pPr>
          </w:p>
        </w:tc>
      </w:tr>
      <w:tr>
        <w:trPr>
          <w:trHeight w:val="196"/>
        </w:trPr>
        <w:tc>
          <w:tcPr>
            <w:tcW w:w="2880" w:type="dxa"/>
            <w:vAlign w:val="bottom"/>
          </w:tcPr>
          <w:p>
            <w:pPr>
              <w:spacing w:after="0"/>
              <w:rPr>
                <w:sz w:val="17"/>
                <w:szCs w:val="17"/>
                <w:color w:val="auto"/>
              </w:rPr>
            </w:pPr>
          </w:p>
        </w:tc>
        <w:tc>
          <w:tcPr>
            <w:tcW w:w="4740" w:type="dxa"/>
            <w:vAlign w:val="bottom"/>
          </w:tcPr>
          <w:p>
            <w:pPr>
              <w:jc w:val="center"/>
              <w:ind w:right="63"/>
              <w:spacing w:after="0"/>
              <w:rPr>
                <w:sz w:val="20"/>
                <w:szCs w:val="20"/>
                <w:color w:val="auto"/>
              </w:rPr>
            </w:pPr>
            <w:r>
              <w:rPr>
                <w:rFonts w:ascii="Arial" w:cs="Arial" w:eastAsia="Arial" w:hAnsi="Arial"/>
                <w:sz w:val="14"/>
                <w:szCs w:val="14"/>
                <w:color w:val="auto"/>
              </w:rPr>
              <w:t>(Registrant's telephone number, including area code)</w:t>
            </w:r>
          </w:p>
        </w:tc>
        <w:tc>
          <w:tcPr>
            <w:tcW w:w="2480" w:type="dxa"/>
            <w:vAlign w:val="bottom"/>
          </w:tcPr>
          <w:p>
            <w:pPr>
              <w:spacing w:after="0"/>
              <w:rPr>
                <w:sz w:val="17"/>
                <w:szCs w:val="17"/>
                <w:color w:val="auto"/>
              </w:rPr>
            </w:pPr>
          </w:p>
        </w:tc>
      </w:tr>
      <w:tr>
        <w:trPr>
          <w:trHeight w:val="427"/>
        </w:trPr>
        <w:tc>
          <w:tcPr>
            <w:tcW w:w="2880" w:type="dxa"/>
            <w:vAlign w:val="bottom"/>
          </w:tcPr>
          <w:p>
            <w:pPr>
              <w:spacing w:after="0"/>
              <w:rPr>
                <w:sz w:val="24"/>
                <w:szCs w:val="24"/>
                <w:color w:val="auto"/>
              </w:rPr>
            </w:pPr>
          </w:p>
        </w:tc>
        <w:tc>
          <w:tcPr>
            <w:tcW w:w="4740" w:type="dxa"/>
            <w:vAlign w:val="bottom"/>
          </w:tcPr>
          <w:p>
            <w:pPr>
              <w:jc w:val="center"/>
              <w:ind w:right="43"/>
              <w:spacing w:after="0"/>
              <w:rPr>
                <w:sz w:val="20"/>
                <w:szCs w:val="20"/>
                <w:color w:val="auto"/>
              </w:rPr>
            </w:pPr>
            <w:r>
              <w:rPr>
                <w:rFonts w:ascii="Arial" w:cs="Arial" w:eastAsia="Arial" w:hAnsi="Arial"/>
                <w:sz w:val="18"/>
                <w:szCs w:val="18"/>
                <w:b w:val="1"/>
                <w:bCs w:val="1"/>
                <w:color w:val="auto"/>
                <w:w w:val="99"/>
              </w:rPr>
              <w:t>Not Applicable</w:t>
            </w:r>
          </w:p>
        </w:tc>
        <w:tc>
          <w:tcPr>
            <w:tcW w:w="2480" w:type="dxa"/>
            <w:vAlign w:val="bottom"/>
          </w:tcPr>
          <w:p>
            <w:pPr>
              <w:spacing w:after="0"/>
              <w:rPr>
                <w:sz w:val="24"/>
                <w:szCs w:val="24"/>
                <w:color w:val="auto"/>
              </w:rPr>
            </w:pPr>
          </w:p>
        </w:tc>
      </w:tr>
      <w:tr>
        <w:trPr>
          <w:trHeight w:val="148"/>
        </w:trPr>
        <w:tc>
          <w:tcPr>
            <w:tcW w:w="2880" w:type="dxa"/>
            <w:vAlign w:val="bottom"/>
          </w:tcPr>
          <w:p>
            <w:pPr>
              <w:spacing w:after="0"/>
              <w:rPr>
                <w:sz w:val="12"/>
                <w:szCs w:val="12"/>
                <w:color w:val="auto"/>
              </w:rPr>
            </w:pPr>
          </w:p>
        </w:tc>
        <w:tc>
          <w:tcPr>
            <w:tcW w:w="4740" w:type="dxa"/>
            <w:vAlign w:val="bottom"/>
          </w:tcPr>
          <w:p>
            <w:pPr>
              <w:jc w:val="center"/>
              <w:ind w:right="43"/>
              <w:spacing w:after="0" w:line="149" w:lineRule="exact"/>
              <w:rPr>
                <w:sz w:val="20"/>
                <w:szCs w:val="20"/>
                <w:color w:val="auto"/>
              </w:rPr>
            </w:pPr>
            <w:r>
              <w:rPr>
                <w:rFonts w:ascii="Arial" w:cs="Arial" w:eastAsia="Arial" w:hAnsi="Arial"/>
                <w:sz w:val="14"/>
                <w:szCs w:val="14"/>
                <w:color w:val="auto"/>
              </w:rPr>
              <w:t>(Former name or former address, if changed since last report)</w:t>
            </w:r>
          </w:p>
        </w:tc>
        <w:tc>
          <w:tcPr>
            <w:tcW w:w="2480" w:type="dxa"/>
            <w:vAlign w:val="bottom"/>
          </w:tcPr>
          <w:p>
            <w:pPr>
              <w:spacing w:after="0"/>
              <w:rPr>
                <w:sz w:val="12"/>
                <w:szCs w:val="12"/>
                <w:color w:val="auto"/>
              </w:rPr>
            </w:pPr>
          </w:p>
        </w:tc>
      </w:tr>
      <w:tr>
        <w:trPr>
          <w:trHeight w:val="194"/>
        </w:trPr>
        <w:tc>
          <w:tcPr>
            <w:tcW w:w="2880" w:type="dxa"/>
            <w:vAlign w:val="bottom"/>
          </w:tcPr>
          <w:p>
            <w:pPr>
              <w:spacing w:after="0"/>
              <w:rPr>
                <w:sz w:val="16"/>
                <w:szCs w:val="16"/>
                <w:color w:val="auto"/>
              </w:rPr>
            </w:pPr>
          </w:p>
        </w:tc>
        <w:tc>
          <w:tcPr>
            <w:tcW w:w="4740" w:type="dxa"/>
            <w:vAlign w:val="bottom"/>
          </w:tcPr>
          <w:p>
            <w:pPr>
              <w:jc w:val="right"/>
              <w:ind w:right="203"/>
              <w:spacing w:after="0"/>
              <w:rPr>
                <w:sz w:val="20"/>
                <w:szCs w:val="20"/>
                <w:color w:val="auto"/>
              </w:rPr>
            </w:pPr>
            <w:r>
              <w:rPr>
                <w:rFonts w:ascii="Arial" w:cs="Arial" w:eastAsia="Arial" w:hAnsi="Arial"/>
                <w:sz w:val="14"/>
                <w:szCs w:val="14"/>
                <w:color w:val="auto"/>
              </w:rPr>
              <w:t>______________________________________________________</w:t>
            </w:r>
          </w:p>
        </w:tc>
        <w:tc>
          <w:tcPr>
            <w:tcW w:w="2480" w:type="dxa"/>
            <w:vAlign w:val="bottom"/>
          </w:tcPr>
          <w:p>
            <w:pPr>
              <w:spacing w:after="0"/>
              <w:rPr>
                <w:sz w:val="16"/>
                <w:szCs w:val="16"/>
                <w:color w:val="auto"/>
              </w:rPr>
            </w:pPr>
          </w:p>
        </w:tc>
      </w:tr>
    </w:tbl>
    <w:p>
      <w:pPr>
        <w:spacing w:after="0" w:line="170"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31"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230" w:lineRule="exact"/>
        <w:rPr>
          <w:rFonts w:ascii="MS PGothic" w:cs="MS PGothic" w:eastAsia="MS PGothic" w:hAnsi="MS PGothic"/>
          <w:sz w:val="14"/>
          <w:szCs w:val="14"/>
          <w:color w:val="auto"/>
        </w:rPr>
      </w:pPr>
    </w:p>
    <w:p>
      <w:pPr>
        <w:ind w:left="300" w:hanging="292"/>
        <w:spacing w:after="0"/>
        <w:tabs>
          <w:tab w:leader="none" w:pos="3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230" w:lineRule="exact"/>
        <w:rPr>
          <w:rFonts w:ascii="MS PGothic" w:cs="MS PGothic" w:eastAsia="MS PGothic" w:hAnsi="MS PGothic"/>
          <w:sz w:val="14"/>
          <w:szCs w:val="14"/>
          <w:color w:val="auto"/>
        </w:rPr>
      </w:pPr>
    </w:p>
    <w:p>
      <w:pPr>
        <w:ind w:left="300" w:hanging="292"/>
        <w:spacing w:after="0"/>
        <w:tabs>
          <w:tab w:leader="none" w:pos="3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230" w:lineRule="exact"/>
        <w:rPr>
          <w:rFonts w:ascii="MS PGothic" w:cs="MS PGothic" w:eastAsia="MS PGothic" w:hAnsi="MS PGothic"/>
          <w:sz w:val="14"/>
          <w:szCs w:val="14"/>
          <w:color w:val="auto"/>
        </w:rPr>
      </w:pPr>
    </w:p>
    <w:p>
      <w:pPr>
        <w:ind w:left="300" w:hanging="292"/>
        <w:spacing w:after="0"/>
        <w:tabs>
          <w:tab w:leader="none" w:pos="3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40"/>
          </w:cols>
          <w:pgMar w:left="320" w:top="1243" w:right="339" w:bottom="1440" w:gutter="0" w:footer="0" w:header="0"/>
        </w:sectPr>
      </w:pPr>
    </w:p>
    <w:p>
      <w:pPr>
        <w:spacing w:after="0" w:line="55" w:lineRule="exact"/>
        <w:rPr>
          <w:sz w:val="24"/>
          <w:szCs w:val="24"/>
          <w:color w:val="auto"/>
        </w:rPr>
      </w:pPr>
    </w:p>
    <w:p>
      <w:pPr>
        <w:ind w:left="164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57" w:lineRule="exact"/>
        <w:rPr>
          <w:sz w:val="24"/>
          <w:szCs w:val="24"/>
          <w:color w:val="auto"/>
        </w:rPr>
      </w:pPr>
    </w:p>
    <w:p>
      <w:pPr>
        <w:sectPr>
          <w:pgSz w:w="11900" w:h="16838" w:orient="portrait"/>
          <w:cols w:equalWidth="0" w:num="3">
            <w:col w:w="4360" w:space="720"/>
            <w:col w:w="1580" w:space="720"/>
            <w:col w:w="3860"/>
          </w:cols>
          <w:pgMar w:left="320" w:top="1243" w:right="339" w:bottom="1440" w:gutter="0" w:footer="0" w:header="0"/>
          <w:type w:val="continuous"/>
        </w:sectPr>
      </w:pPr>
    </w:p>
    <w:p>
      <w:pPr>
        <w:ind w:left="920"/>
        <w:spacing w:after="0"/>
        <w:rPr>
          <w:sz w:val="20"/>
          <w:szCs w:val="20"/>
          <w:color w:val="auto"/>
        </w:rPr>
      </w:pPr>
      <w:r>
        <w:rPr>
          <w:rFonts w:ascii="Arial" w:cs="Arial" w:eastAsia="Arial" w:hAnsi="Arial"/>
          <w:sz w:val="14"/>
          <w:szCs w:val="14"/>
          <w:color w:val="auto"/>
        </w:rPr>
        <w:t>Ordinary shares, $1.00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FTI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New York Stock Exchange</w:t>
      </w:r>
    </w:p>
    <w:p>
      <w:pPr>
        <w:spacing w:after="0" w:line="40" w:lineRule="exact"/>
        <w:rPr>
          <w:sz w:val="24"/>
          <w:szCs w:val="24"/>
          <w:color w:val="auto"/>
        </w:rPr>
      </w:pPr>
    </w:p>
    <w:p>
      <w:pPr>
        <w:sectPr>
          <w:pgSz w:w="11900" w:h="16838" w:orient="portrait"/>
          <w:cols w:equalWidth="0" w:num="3">
            <w:col w:w="4780" w:space="720"/>
            <w:col w:w="1900" w:space="720"/>
            <w:col w:w="3120"/>
          </w:cols>
          <w:pgMar w:left="320" w:top="1243" w:right="33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p>
      <w:pPr>
        <w:spacing w:after="0" w:line="273" w:lineRule="exact"/>
        <w:rPr>
          <w:sz w:val="24"/>
          <w:szCs w:val="24"/>
          <w:color w:val="auto"/>
        </w:rPr>
      </w:pPr>
    </w:p>
    <w:p>
      <w:pPr>
        <w:ind w:right="20"/>
        <w:spacing w:after="0" w:line="287"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28" w:lineRule="exact"/>
        <w:rPr>
          <w:sz w:val="24"/>
          <w:szCs w:val="24"/>
          <w:color w:val="auto"/>
        </w:rPr>
      </w:pPr>
    </w:p>
    <w:p>
      <w:pPr>
        <w:spacing w:after="0" w:line="184" w:lineRule="exact"/>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718185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100965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66675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243" w:right="339" w:bottom="1440" w:gutter="0" w:footer="0" w:header="0"/>
          <w:type w:val="continuous"/>
        </w:sectPr>
      </w:pPr>
    </w:p>
    <w:bookmarkStart w:id="1" w:name="page2"/>
    <w:bookmarkEnd w:id="1"/>
    <w:p>
      <w:pPr>
        <w:ind w:right="800"/>
        <w:spacing w:after="0" w:line="303"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00" w:lineRule="exact"/>
        <w:rPr>
          <w:sz w:val="20"/>
          <w:szCs w:val="20"/>
          <w:color w:val="auto"/>
        </w:rPr>
      </w:pPr>
    </w:p>
    <w:p>
      <w:pPr>
        <w:jc w:val="both"/>
        <w:ind w:firstLine="8"/>
        <w:spacing w:after="0" w:line="263" w:lineRule="auto"/>
        <w:tabs>
          <w:tab w:leader="none" w:pos="293"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October 1, 2020, TechnipFMC plc (the “Company”) filed a Current Report on Form 8-K (the “Original Report”) under Item 5.02(d) disclosing that on September 30, 2020, Ms. Margareth Øvrum was appointed to the Company’s Board of Directors (the “Board”), effective October 1, 2020. At the time of that filing, Ms. Øvrum’s Board committee appointments had not yet been determined by the Board.</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filing this amendment to the Original Report to disclose that on October 20, 2020, the Board, based on the recommendation of the Company’s Environmental, Social, and Governance (“ESG”) Committee, appointed Ms. Øvrum to serve as a member of the Board’s ESG Committee, effective October 20,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949960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4"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8"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TechnipFMC plc</w:t>
      </w:r>
    </w:p>
    <w:p>
      <w:pPr>
        <w:spacing w:after="0" w:line="200" w:lineRule="exact"/>
        <w:rPr>
          <w:sz w:val="20"/>
          <w:szCs w:val="20"/>
          <w:color w:val="auto"/>
        </w:rPr>
      </w:pPr>
    </w:p>
    <w:p>
      <w:pPr>
        <w:spacing w:after="0" w:line="39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28575</wp:posOffset>
            </wp:positionV>
            <wp:extent cx="33172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720" w:val="left"/>
          <w:tab w:leader="none" w:pos="3320" w:val="left"/>
        </w:tabs>
        <w:rPr>
          <w:sz w:val="20"/>
          <w:szCs w:val="20"/>
          <w:color w:val="auto"/>
        </w:rPr>
      </w:pPr>
      <w:r>
        <w:rPr>
          <w:rFonts w:ascii="Arial" w:cs="Arial" w:eastAsia="Arial" w:hAnsi="Arial"/>
          <w:sz w:val="18"/>
          <w:szCs w:val="18"/>
          <w:color w:val="auto"/>
        </w:rPr>
        <w:t>Dated:</w:t>
        <w:tab/>
        <w:t>October 20, 2020</w:t>
      </w:r>
      <w:r>
        <w:rPr>
          <w:sz w:val="20"/>
          <w:szCs w:val="20"/>
          <w:color w:val="auto"/>
        </w:rPr>
        <w:tab/>
      </w:r>
      <w:r>
        <w:rPr>
          <w:rFonts w:ascii="Arial" w:cs="Arial" w:eastAsia="Arial" w:hAnsi="Arial"/>
          <w:sz w:val="17"/>
          <w:szCs w:val="17"/>
          <w:color w:val="auto"/>
        </w:rPr>
        <w:t>Name: Maryann T. Mannen</w:t>
      </w:r>
    </w:p>
    <w:p>
      <w:pPr>
        <w:spacing w:after="0" w:line="50"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Executive Vice President and</w:t>
      </w:r>
    </w:p>
    <w:p>
      <w:pPr>
        <w:spacing w:after="0" w:line="5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20"/>
      </w:cols>
      <w:pgMar w:left="320" w:top="88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2020-10-20T15:05:11Z</dcterms:created>
  <dcterms:modified xsi:type="dcterms:W3CDTF">2020-10-20T15:05:11Z</dcterms:modified>
</cp:coreProperties>
</file>