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066" w:hAnchor="page" w:vAnchor="page" w:x="276" w:y="136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new or revised financial accounting standards provided pursuant to Section 13(a) of the Exchange Act.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4016" w:hAnchor="page" w:vAnchor="page" w:x="276" w:y="134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If an emerging growth company, indicate by check mark if the registrant has elected not to use the extended transition period for complying with any</w:t>
      </w:r>
    </w:p>
    <w:p>
      <w:pPr>
        <w:pStyle w:val="Normal"/>
        <w:framePr w:w="3079" w:hAnchor="page" w:vAnchor="page" w:x="276" w:y="1305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Emerging growth company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735" w:hAnchor="page" w:vAnchor="page" w:x="276" w:y="1268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chapter) or Rule 12b-2 of the Securities Exchange Act of 1934 (§240.12b-2 of this chapter).</w:t>
      </w:r>
    </w:p>
    <w:p>
      <w:pPr>
        <w:pStyle w:val="Normal"/>
        <w:framePr w:w="14012" w:hAnchor="page" w:vAnchor="page" w:x="276" w:y="124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Indicate by check mark whether the registrant is an emerging growth company as defined in Rule 405 of the Securities Act of 1933 (§230.405 of this</w:t>
      </w:r>
    </w:p>
    <w:p>
      <w:pPr>
        <w:pStyle w:val="Normal"/>
        <w:framePr w:w="6504" w:hAnchor="page" w:vAnchor="page" w:x="3563" w:y="120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Securities registered pursuant to Section 12(g) of the Act: None.</w:t>
      </w:r>
    </w:p>
    <w:p>
      <w:pPr>
        <w:pStyle w:val="Normal"/>
        <w:framePr w:w="4461" w:hAnchor="page" w:vAnchor="page" w:x="516" w:y="117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Ordinary shares, $1.00 par value per share</w:t>
      </w:r>
    </w:p>
    <w:p>
      <w:pPr>
        <w:pStyle w:val="Normal"/>
        <w:framePr w:w="614" w:hAnchor="page" w:vAnchor="page" w:x="6140" w:y="117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FTI</w:t>
      </w:r>
    </w:p>
    <w:p>
      <w:pPr>
        <w:pStyle w:val="Normal"/>
        <w:framePr w:w="2844" w:hAnchor="page" w:vAnchor="page" w:x="9102" w:y="117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New York Stock Exchange</w:t>
      </w:r>
    </w:p>
    <w:p>
      <w:pPr>
        <w:pStyle w:val="Normal"/>
        <w:framePr w:w="1662" w:hAnchor="page" w:vAnchor="page" w:x="1662" w:y="1153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Title of Each Class</w:t>
      </w:r>
    </w:p>
    <w:p>
      <w:pPr>
        <w:pStyle w:val="Normal"/>
        <w:framePr w:w="776" w:hAnchor="page" w:vAnchor="page" w:x="6052" w:y="1153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Symbol</w:t>
      </w:r>
    </w:p>
    <w:p>
      <w:pPr>
        <w:pStyle w:val="Normal"/>
        <w:framePr w:w="1831" w:hAnchor="page" w:vAnchor="page" w:x="9504" w:y="1153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on Which Registered</w:t>
      </w:r>
    </w:p>
    <w:p>
      <w:pPr>
        <w:pStyle w:val="Normal"/>
        <w:framePr w:w="814" w:hAnchor="page" w:vAnchor="page" w:x="6037" w:y="113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Trading</w:t>
      </w:r>
    </w:p>
    <w:p>
      <w:pPr>
        <w:pStyle w:val="Normal"/>
        <w:framePr w:w="2107" w:hAnchor="page" w:vAnchor="page" w:x="9389" w:y="113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Name of Each Exchange</w:t>
      </w:r>
    </w:p>
    <w:p>
      <w:pPr>
        <w:pStyle w:val="Normal"/>
        <w:framePr w:w="5887" w:hAnchor="page" w:vAnchor="page" w:x="3820" w:y="110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Securities registered pursuant to Section 12(b) of the Act:</w:t>
      </w:r>
    </w:p>
    <w:p>
      <w:pPr>
        <w:pStyle w:val="Normal"/>
        <w:framePr w:w="435" w:hAnchor="page" w:vAnchor="page" w:x="276" w:y="1062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0566" w:hAnchor="page" w:vAnchor="page" w:x="739" w:y="106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Pre-commencement communications pursuant to Rule 13e-4(c) under the Exchange Act (17 CFR 240.13e-4(c))</w:t>
      </w:r>
    </w:p>
    <w:p>
      <w:pPr>
        <w:pStyle w:val="Normal"/>
        <w:framePr w:w="435" w:hAnchor="page" w:vAnchor="page" w:x="276" w:y="102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0618" w:hAnchor="page" w:vAnchor="page" w:x="739" w:y="102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Pre-commencement communications pursuant to Rule 14d-2(b) under the Exchange Act (17 CFR 240.14d-2(b))</w:t>
      </w:r>
    </w:p>
    <w:p>
      <w:pPr>
        <w:pStyle w:val="Normal"/>
        <w:framePr w:w="435" w:hAnchor="page" w:vAnchor="page" w:x="276" w:y="99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562" w:hAnchor="page" w:vAnchor="page" w:x="739" w:y="99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Soliciting material pursuant to Rule 14a-12 under the Exchange Act (17 CFR 240.14a-12)</w:t>
      </w:r>
    </w:p>
    <w:p>
      <w:pPr>
        <w:pStyle w:val="Normal"/>
        <w:framePr w:w="435" w:hAnchor="page" w:vAnchor="page" w:x="276" w:y="95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540" w:hAnchor="page" w:vAnchor="page" w:x="739" w:y="95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Written communications pursuant to Rule 425 under the Securities Act (17 CFR 230.425)</w:t>
      </w:r>
    </w:p>
    <w:p>
      <w:pPr>
        <w:pStyle w:val="Normal"/>
        <w:framePr w:w="2214" w:hAnchor="page" w:vAnchor="page" w:x="276" w:y="91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following provisions:</w:t>
      </w:r>
    </w:p>
    <w:p>
      <w:pPr>
        <w:pStyle w:val="Normal"/>
        <w:framePr w:w="13786" w:hAnchor="page" w:vAnchor="page" w:x="276" w:y="89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 below if the Form 8-K filing is intended to simultaneously satisfy the filing obligation of the registrant under any of the</w:t>
      </w:r>
    </w:p>
    <w:p>
      <w:pPr>
        <w:pStyle w:val="Normal"/>
        <w:framePr w:w="5074" w:hAnchor="page" w:vAnchor="page" w:x="4139" w:y="838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(Former name or former address, if changed since last report)</w:t>
      </w:r>
    </w:p>
    <w:p>
      <w:pPr>
        <w:pStyle w:val="Normal"/>
        <w:framePr w:w="1713" w:hAnchor="page" w:vAnchor="page" w:x="5559" w:y="81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4356" w:hAnchor="page" w:vAnchor="page" w:x="4438" w:y="784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(Registrant’s telephone number, including area code)</w:t>
      </w:r>
    </w:p>
    <w:p>
      <w:pPr>
        <w:pStyle w:val="Normal"/>
        <w:framePr w:w="1960" w:hAnchor="page" w:vAnchor="page" w:x="5456" w:y="76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+44 191-295-0303</w:t>
      </w:r>
    </w:p>
    <w:p>
      <w:pPr>
        <w:pStyle w:val="Normal"/>
        <w:framePr w:w="3239" w:hAnchor="page" w:vAnchor="page" w:x="1981" w:y="732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(Address of principal executive offices)</w:t>
      </w:r>
    </w:p>
    <w:p>
      <w:pPr>
        <w:pStyle w:val="Normal"/>
        <w:framePr w:w="1038" w:hAnchor="page" w:vAnchor="page" w:x="8858" w:y="732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(Zip Code)</w:t>
      </w:r>
    </w:p>
    <w:p>
      <w:pPr>
        <w:pStyle w:val="Normal"/>
        <w:framePr w:w="1880" w:hAnchor="page" w:vAnchor="page" w:x="2567" w:y="70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Kingdom</w:t>
      </w:r>
    </w:p>
    <w:p>
      <w:pPr>
        <w:pStyle w:val="Normal"/>
        <w:framePr w:w="1134" w:hAnchor="page" w:vAnchor="page" w:x="8838" w:y="71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NE6 3PL</w:t>
      </w:r>
    </w:p>
    <w:p>
      <w:pPr>
        <w:pStyle w:val="Normal"/>
        <w:framePr w:w="2357" w:hAnchor="page" w:vAnchor="page" w:x="2369" w:y="68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Newcastle Upon Tyne</w:t>
      </w:r>
    </w:p>
    <w:p>
      <w:pPr>
        <w:pStyle w:val="Normal"/>
        <w:framePr w:w="2043" w:hAnchor="page" w:vAnchor="page" w:x="2500" w:y="66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Wincomblee Road</w:t>
      </w:r>
    </w:p>
    <w:p>
      <w:pPr>
        <w:pStyle w:val="Normal"/>
        <w:framePr w:w="1796" w:hAnchor="page" w:vAnchor="page" w:x="2602" w:y="63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Hadrian House,</w:t>
      </w:r>
    </w:p>
    <w:p>
      <w:pPr>
        <w:pStyle w:val="Normal"/>
        <w:framePr w:w="1531" w:hAnchor="page" w:vAnchor="page" w:x="1716" w:y="606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of incorporation)</w:t>
      </w:r>
    </w:p>
    <w:p>
      <w:pPr>
        <w:pStyle w:val="Normal"/>
        <w:framePr w:w="1243" w:hAnchor="page" w:vAnchor="page" w:x="5858" w:y="606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File Number)</w:t>
      </w:r>
    </w:p>
    <w:p>
      <w:pPr>
        <w:pStyle w:val="Normal"/>
        <w:framePr w:w="1629" w:hAnchor="page" w:vAnchor="page" w:x="9588" w:y="606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Identification No.)</w:t>
      </w:r>
    </w:p>
    <w:p>
      <w:pPr>
        <w:pStyle w:val="Normal"/>
        <w:framePr w:w="2292" w:hAnchor="page" w:vAnchor="page" w:x="1400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(State or other jurisdiction</w:t>
      </w:r>
    </w:p>
    <w:p>
      <w:pPr>
        <w:pStyle w:val="Normal"/>
        <w:framePr w:w="1218" w:hAnchor="page" w:vAnchor="page" w:x="5868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(Commission</w:t>
      </w:r>
    </w:p>
    <w:p>
      <w:pPr>
        <w:pStyle w:val="Normal"/>
        <w:framePr w:w="1516" w:hAnchor="page" w:vAnchor="page" w:x="9635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(I.R.S. Employer</w:t>
      </w:r>
    </w:p>
    <w:p>
      <w:pPr>
        <w:pStyle w:val="Normal"/>
        <w:framePr w:w="1880" w:hAnchor="page" w:vAnchor="page" w:x="1591" w:y="56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Kingdom</w:t>
      </w:r>
    </w:p>
    <w:p>
      <w:pPr>
        <w:pStyle w:val="Normal"/>
        <w:framePr w:w="1231" w:hAnchor="page" w:vAnchor="page" w:x="5883" w:y="56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001-37983</w:t>
      </w:r>
    </w:p>
    <w:p>
      <w:pPr>
        <w:pStyle w:val="Normal"/>
        <w:framePr w:w="1346" w:hAnchor="page" w:vAnchor="page" w:x="9726" w:y="56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98-1283037</w:t>
      </w:r>
    </w:p>
    <w:p>
      <w:pPr>
        <w:pStyle w:val="Normal"/>
        <w:framePr w:w="5338" w:hAnchor="page" w:vAnchor="page" w:x="4049" w:y="49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(Exact name of registrant as specified in its charter)</w:t>
      </w:r>
    </w:p>
    <w:p>
      <w:pPr>
        <w:pStyle w:val="Normal"/>
        <w:framePr w:w="4179" w:hAnchor="page" w:vAnchor="page" w:x="4508" w:y="4459"/>
        <w:widowControl w:val="off"/>
        <w:autoSpaceDE w:val="off"/>
        <w:autoSpaceDN w:val="off"/>
        <w:spacing w:before="0" w:after="0" w:line="51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  <w:t>TechnipFMC plc</w:t>
      </w:r>
    </w:p>
    <w:p>
      <w:pPr>
        <w:pStyle w:val="Normal"/>
        <w:framePr w:w="5388" w:hAnchor="page" w:vAnchor="page" w:x="3844" w:y="3769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Date of Report (Date of earliest event reported)</w:t>
      </w:r>
    </w:p>
    <w:p>
      <w:pPr>
        <w:pStyle w:val="Normal"/>
        <w:framePr w:w="1575" w:hAnchor="page" w:vAnchor="page" w:x="5577" w:y="3508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May 4, 2022</w:t>
      </w:r>
    </w:p>
    <w:p>
      <w:pPr>
        <w:pStyle w:val="Normal"/>
        <w:framePr w:w="4496" w:hAnchor="page" w:vAnchor="page" w:x="4249" w:y="3118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of The Securities Exchange Act of 1934</w:t>
      </w:r>
    </w:p>
    <w:p>
      <w:pPr>
        <w:pStyle w:val="Normal"/>
        <w:framePr w:w="3782" w:hAnchor="page" w:vAnchor="page" w:x="4574" w:y="2857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Pursuant to Section 13 OR 15(d)</w:t>
      </w:r>
    </w:p>
    <w:p>
      <w:pPr>
        <w:pStyle w:val="Normal"/>
        <w:framePr w:w="2628" w:hAnchor="page" w:vAnchor="page" w:x="5099" w:y="2597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CURRENT REPORT</w:t>
      </w:r>
    </w:p>
    <w:p>
      <w:pPr>
        <w:pStyle w:val="Normal"/>
        <w:framePr w:w="2262" w:hAnchor="page" w:vAnchor="page" w:x="5325" w:y="1785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FORM 8-K</w:t>
      </w:r>
    </w:p>
    <w:p>
      <w:pPr>
        <w:pStyle w:val="Normal"/>
        <w:framePr w:w="2877" w:hAnchor="page" w:vAnchor="page" w:x="4985" w:y="1121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Washington, D.C. 20549</w:t>
      </w:r>
    </w:p>
    <w:p>
      <w:pPr>
        <w:pStyle w:val="Normal"/>
        <w:framePr w:w="8608" w:hAnchor="page" w:vAnchor="page" w:x="2440" w:y="729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SECURITIES AND EXCHANGE COMMISSION</w:t>
      </w:r>
    </w:p>
    <w:p>
      <w:pPr>
        <w:pStyle w:val="Normal"/>
        <w:framePr w:w="3374" w:hAnchor="page" w:vAnchor="page" w:x="4819" w:y="338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2.8pt;margin-top:7.5pt;z-index:-1677720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11.15pt;z-index:-1677720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5.7pt;margin-top:81.3pt;z-index:-16777200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5.7pt;margin-top:121.8pt;z-index:-16777196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45.7pt;margin-top:214.35pt;z-index:-16777192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5.7pt;margin-top:272.95pt;z-index:-16777188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45.7pt;margin-top:439.3pt;z-index:-16777184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14.2pt;margin-top:584.7pt;z-index:-16777180;width:19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19.65pt;margin-top:584.7pt;z-index:-16777176;width:19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.8pt;margin-top:584.7pt;z-index:-16777172;width:20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700.45pt;z-index:-1677716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2.8pt;margin-top:704.05pt;z-index:-1677716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</w:p>
    <w:p>
      <w:pPr>
        <w:pStyle w:val="Normal"/>
        <w:framePr w:w="575" w:hAnchor="page" w:vAnchor="page" w:x="276" w:y="53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104</w:t>
      </w:r>
    </w:p>
    <w:p>
      <w:pPr>
        <w:pStyle w:val="Normal"/>
        <w:framePr w:w="344" w:hAnchor="page" w:vAnchor="page" w:x="782" w:y="53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655" w:hAnchor="page" w:vAnchor="page" w:x="1346" w:y="53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Cover Page Interactive Data File (embedded within the Inline XBRL document)</w:t>
      </w:r>
    </w:p>
    <w:p>
      <w:pPr>
        <w:pStyle w:val="Normal"/>
        <w:framePr w:w="344" w:hAnchor="page" w:vAnchor="page" w:x="782" w:y="501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465" w:hAnchor="page" w:vAnchor="page" w:x="1346" w:y="501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  <w:t>in interest to U.S. Bank National Association), as trustee</w:t>
      </w:r>
    </w:p>
    <w:p>
      <w:pPr>
        <w:pStyle w:val="Normal"/>
        <w:framePr w:w="575" w:hAnchor="page" w:vAnchor="page" w:x="276" w:y="47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4.1</w:t>
      </w:r>
    </w:p>
    <w:p>
      <w:pPr>
        <w:pStyle w:val="Normal"/>
        <w:framePr w:w="12992" w:hAnchor="page" w:vAnchor="page" w:x="1346" w:y="47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  <w:t>Supplemental Indenture, dated May 4, 2022, by and among the Company and U.S. Bank Trust Company, National Association (successor</w:t>
      </w:r>
    </w:p>
    <w:p>
      <w:pPr>
        <w:pStyle w:val="Normal"/>
        <w:framePr w:w="879" w:hAnchor="page" w:vAnchor="page" w:x="276" w:y="45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Number  </w:t>
      </w:r>
    </w:p>
    <w:p>
      <w:pPr>
        <w:pStyle w:val="Normal"/>
        <w:framePr w:w="1634" w:hAnchor="page" w:vAnchor="page" w:x="6107" w:y="45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Exhibit Description</w:t>
      </w:r>
    </w:p>
    <w:p>
      <w:pPr>
        <w:pStyle w:val="Normal"/>
        <w:framePr w:w="725" w:hAnchor="page" w:vAnchor="page" w:x="302" w:y="434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Exhibit</w:t>
      </w:r>
    </w:p>
    <w:p>
      <w:pPr>
        <w:pStyle w:val="Normal"/>
        <w:framePr w:w="1327" w:hAnchor="page" w:vAnchor="page" w:x="276" w:y="38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(d) Exhibits</w:t>
      </w:r>
    </w:p>
    <w:p>
      <w:pPr>
        <w:pStyle w:val="Normal"/>
        <w:framePr w:w="1115" w:hAnchor="page" w:vAnchor="page" w:x="276" w:y="35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9.01</w:t>
      </w:r>
    </w:p>
    <w:p>
      <w:pPr>
        <w:pStyle w:val="Normal"/>
        <w:framePr w:w="3383" w:hAnchor="page" w:vAnchor="page" w:x="1563" w:y="35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Financial Statements and Exhibits</w:t>
      </w:r>
    </w:p>
    <w:p>
      <w:pPr>
        <w:pStyle w:val="Normal"/>
        <w:framePr w:w="13438" w:hAnchor="page" w:vAnchor="page" w:x="276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indenture, which is attached to this current report on Form 8-K as Exhibit 4.1, and is incorporated by reference as though fully set forth herein.</w:t>
      </w:r>
    </w:p>
    <w:p>
      <w:pPr>
        <w:pStyle w:val="Normal"/>
        <w:framePr w:w="13727" w:hAnchor="page" w:vAnchor="page" w:x="276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foregoing description of the Second Supplemental Indenture is qualified in its entirety by reference to the complete text of such supplemental</w:t>
      </w:r>
    </w:p>
    <w:p>
      <w:pPr>
        <w:pStyle w:val="Normal"/>
        <w:framePr w:w="2515" w:hAnchor="page" w:vAnchor="page" w:x="276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certain events of default.</w:t>
      </w:r>
    </w:p>
    <w:p>
      <w:pPr>
        <w:pStyle w:val="Normal"/>
        <w:framePr w:w="14357" w:hAnchor="page" w:vAnchor="page" w:x="276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Second Supplemental Indenture, among other things, removes substantially all of the restrictive covenants contained in the Indenture and eliminates</w:t>
      </w:r>
    </w:p>
    <w:p>
      <w:pPr>
        <w:pStyle w:val="Normal"/>
        <w:framePr w:w="3698" w:hAnchor="page" w:vAnchor="page" w:x="276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principal amount remain outstanding.</w:t>
      </w:r>
    </w:p>
    <w:p>
      <w:pPr>
        <w:pStyle w:val="Normal"/>
        <w:framePr w:w="13664" w:hAnchor="page" w:vAnchor="page" w:x="276" w:y="12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National Association), as trustee governing the Company’s 6.500% Senior Notes due 2026 (the “2026 Notes”), of which $202,892,000 aggregate</w:t>
      </w:r>
    </w:p>
    <w:p>
      <w:pPr>
        <w:pStyle w:val="Normal"/>
        <w:framePr w:w="14036" w:hAnchor="page" w:vAnchor="page" w:x="276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2021) (collectively, the “Indenture”), between the Company and U.S. Bank Trust Company, National Association (successor in interest to U.S. Bank,</w:t>
      </w:r>
    </w:p>
    <w:p>
      <w:pPr>
        <w:pStyle w:val="Normal"/>
        <w:framePr w:w="14388" w:hAnchor="page" w:vAnchor="page" w:x="276" w:y="8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Supplemental Indenture”) to the certain indenture, dated as of January 29, 2021 (as amended by the first supplemental indenture dated as of February 16,</w:t>
      </w:r>
    </w:p>
    <w:p>
      <w:pPr>
        <w:pStyle w:val="Normal"/>
        <w:framePr w:w="14013" w:hAnchor="page" w:vAnchor="page" w:x="276" w:y="5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May 4, 2022, TechnipFMC plc (the “Company”), following a solicitation of consents, entered into a second supplemental indenture (the “Second</w:t>
      </w:r>
    </w:p>
    <w:p>
      <w:pPr>
        <w:pStyle w:val="Normal"/>
        <w:framePr w:w="1115" w:hAnchor="page" w:vAnchor="page" w:x="276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1.01</w:t>
      </w:r>
    </w:p>
    <w:p>
      <w:pPr>
        <w:pStyle w:val="Normal"/>
        <w:framePr w:w="4256" w:hAnchor="page" w:vAnchor="page" w:x="1563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Entry Into a Material Definitive Agreement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pt;margin-top:1pt;z-index:-1677716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2.8pt;margin-top:1pt;z-index:-1677715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2.8pt;margin-top:3.9pt;z-index:-167771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597.95pt;margin-top:1pt;z-index:-16777148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2.8pt;margin-top:1pt;z-index:-16777144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66.3pt;margin-top:247.65pt;z-index:-16777140;width:533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66.3pt;margin-top:259.2pt;z-index:-16777136;width:220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</w:p>
    <w:p>
      <w:pPr>
        <w:pStyle w:val="Normal"/>
        <w:framePr w:w="3371" w:hAnchor="page" w:vAnchor="page" w:x="6887" w:y="26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Chief Legal Officer and Secretary</w:t>
      </w:r>
    </w:p>
    <w:p>
      <w:pPr>
        <w:pStyle w:val="Normal"/>
        <w:framePr w:w="721" w:hAnchor="page" w:vAnchor="page" w:x="6192" w:y="23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Title:</w:t>
      </w:r>
    </w:p>
    <w:p>
      <w:pPr>
        <w:pStyle w:val="Normal"/>
        <w:framePr w:w="2553" w:hAnchor="page" w:vAnchor="page" w:x="6887" w:y="23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Executive Vice President</w:t>
      </w:r>
    </w:p>
    <w:p>
      <w:pPr>
        <w:pStyle w:val="Normal"/>
        <w:framePr w:w="2079" w:hAnchor="page" w:vAnchor="page" w:x="276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Dated: May 4, 2022</w:t>
      </w:r>
    </w:p>
    <w:p>
      <w:pPr>
        <w:pStyle w:val="Normal"/>
        <w:framePr w:w="2390" w:hAnchor="page" w:vAnchor="page" w:x="6192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Name:    Victoria Lazar</w:t>
      </w:r>
    </w:p>
    <w:p>
      <w:pPr>
        <w:pStyle w:val="Normal"/>
        <w:framePr w:w="562" w:hAnchor="page" w:vAnchor="page" w:x="6192" w:y="19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</w:t>
      </w:r>
    </w:p>
    <w:p>
      <w:pPr>
        <w:pStyle w:val="Normal"/>
        <w:framePr w:w="1833" w:hAnchor="page" w:vAnchor="page" w:x="6887" w:y="18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Victoria Lazar</w:t>
      </w:r>
    </w:p>
    <w:p>
      <w:pPr>
        <w:pStyle w:val="Normal"/>
        <w:framePr w:w="1897" w:hAnchor="page" w:vAnchor="page" w:x="6192" w:y="14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3787" w:hAnchor="page" w:vAnchor="page" w:x="276" w:y="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undersigned hereunto duly authorized.</w:t>
      </w:r>
    </w:p>
    <w:p>
      <w:pPr>
        <w:pStyle w:val="Normal"/>
        <w:framePr w:w="13438" w:hAnchor="page" w:vAnchor="page" w:x="276" w:y="6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Pursuant to the requirements of the Securities Exchange Act of 1934, the registrant has duly caused this report to be signed on its behalf by the</w:t>
      </w:r>
    </w:p>
    <w:p>
      <w:pPr>
        <w:pStyle w:val="Normal"/>
        <w:framePr w:w="1715" w:hAnchor="page" w:vAnchor="page" w:x="5558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pt;margin-top:1pt;z-index:-1677713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8pt;margin-top:1pt;z-index:-1677712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8pt;margin-top:3.9pt;z-index:-1677712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7.95pt;margin-top:1pt;z-index:-16777120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8pt;margin-top:1pt;z-index:-16777116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343.35pt;margin-top:104.45pt;z-index:-16777112;width:2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</w:p>
    <w:p>
      <w:pPr>
        <w:pStyle w:val="Normal"/>
        <w:framePr w:w="344" w:hAnchor="page" w:vAnchor="page" w:x="6130" w:y="1038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</w:t>
      </w:r>
    </w:p>
    <w:p>
      <w:pPr>
        <w:pStyle w:val="Normal"/>
        <w:framePr w:w="2875" w:hAnchor="page" w:vAnchor="page" w:x="276" w:y="99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defined in the Statement):</w:t>
      </w:r>
    </w:p>
    <w:p>
      <w:pPr>
        <w:pStyle w:val="Normal"/>
        <w:framePr w:w="14235" w:hAnchor="page" w:vAnchor="page" w:x="276" w:y="97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Date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 of an amount of money sufficient to pay for all Notes validly tendered and accepted pursuant to the Tender Offer and Consent Solicitation (each</w:t>
      </w:r>
    </w:p>
    <w:p>
      <w:pPr>
        <w:pStyle w:val="Normal"/>
        <w:framePr w:w="13449" w:hAnchor="page" w:vAnchor="page" w:x="748" w:y="95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2.01    Amendments to the Indenture. Effective at the time of payment or deposit with The Depository Trust Company (the “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Payment</w:t>
      </w:r>
    </w:p>
    <w:p>
      <w:pPr>
        <w:pStyle w:val="Normal"/>
        <w:framePr w:w="3506" w:hAnchor="page" w:vAnchor="page" w:x="4812" w:y="90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AMENDMENTS AND WAIVERS</w:t>
      </w:r>
    </w:p>
    <w:p>
      <w:pPr>
        <w:pStyle w:val="Normal"/>
        <w:framePr w:w="1461" w:hAnchor="page" w:vAnchor="page" w:x="5664" w:y="88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ARTICLE II.</w:t>
      </w:r>
    </w:p>
    <w:p>
      <w:pPr>
        <w:pStyle w:val="Normal"/>
        <w:framePr w:w="1172" w:hAnchor="page" w:vAnchor="page" w:x="276" w:y="83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Indenture.</w:t>
      </w:r>
    </w:p>
    <w:p>
      <w:pPr>
        <w:pStyle w:val="Normal"/>
        <w:framePr w:w="13155" w:hAnchor="page" w:vAnchor="page" w:x="748" w:y="81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1.01    Amendments to the Indenture. Capitalized terms used herein but not defined shall have the meanings assigned to them in the</w:t>
      </w:r>
    </w:p>
    <w:p>
      <w:pPr>
        <w:pStyle w:val="Normal"/>
        <w:framePr w:w="2542" w:hAnchor="page" w:vAnchor="page" w:x="5214" w:y="76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CAPITALIZED TERMS</w:t>
      </w:r>
    </w:p>
    <w:p>
      <w:pPr>
        <w:pStyle w:val="Normal"/>
        <w:framePr w:w="1384" w:hAnchor="page" w:vAnchor="page" w:x="5696" w:y="74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ARTICLE I.</w:t>
      </w:r>
    </w:p>
    <w:p>
      <w:pPr>
        <w:pStyle w:val="Normal"/>
        <w:framePr w:w="12914" w:hAnchor="page" w:vAnchor="page" w:x="276" w:y="698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hereby acknowledged, the Issuer and the Trustee mutually covenant and agree for the equal and ratable benefit of the Holders as follows:</w:t>
      </w:r>
    </w:p>
    <w:p>
      <w:pPr>
        <w:pStyle w:val="Normal"/>
        <w:framePr w:w="13316" w:hAnchor="page" w:vAnchor="page" w:x="748" w:y="67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NOW, THEREFORE, in consideration of the foregoing and for other good and valuable consideration, the receipt and sufficiency of which is</w:t>
      </w:r>
    </w:p>
    <w:p>
      <w:pPr>
        <w:pStyle w:val="Normal"/>
        <w:framePr w:w="13797" w:hAnchor="page" w:vAnchor="page" w:x="748" w:y="62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WHEREAS, the Board of Directors of the Issuer have authorized and approved the execution and delivery of this Second Supplemental Indenture.</w:t>
      </w:r>
    </w:p>
    <w:p>
      <w:pPr>
        <w:pStyle w:val="Normal"/>
        <w:framePr w:w="6158" w:hAnchor="page" w:vAnchor="page" w:x="276" w:y="58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Amendments (as defined in the Statement) to the Indenture; and</w:t>
      </w:r>
    </w:p>
    <w:p>
      <w:pPr>
        <w:pStyle w:val="Normal"/>
        <w:framePr w:w="14016" w:hAnchor="page" w:vAnchor="page" w:x="276" w:y="55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receipt of consents from Holders representing more than a majority in aggregate principal amount of the Notes outstanding to adopt the Proposed</w:t>
      </w:r>
    </w:p>
    <w:p>
      <w:pPr>
        <w:pStyle w:val="Normal"/>
        <w:framePr w:w="14138" w:hAnchor="page" w:vAnchor="page" w:x="276" w:y="53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Indenture in connection with the Offer to Purchase and Consent Solicitation Statement of the Issuer, dated as of April 20, 2022, (the “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Statement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”), and</w:t>
      </w:r>
    </w:p>
    <w:p>
      <w:pPr>
        <w:pStyle w:val="Normal"/>
        <w:framePr w:w="13354" w:hAnchor="page" w:vAnchor="page" w:x="748" w:y="51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WHEREAS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 xml:space="preserve">,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Issuer is undertaking to execute and deliver this Second Supplemental Indenture to amend certain terms and covenants in the</w:t>
      </w:r>
    </w:p>
    <w:p>
      <w:pPr>
        <w:pStyle w:val="Normal"/>
        <w:framePr w:w="12892" w:hAnchor="page" w:vAnchor="page" w:x="276" w:y="46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Indenture or the Notes with the consent of the Holders of at least a majority in aggregate principal amount of the Notes then outstanding;</w:t>
      </w:r>
    </w:p>
    <w:p>
      <w:pPr>
        <w:pStyle w:val="Normal"/>
        <w:framePr w:w="13446" w:hAnchor="page" w:vAnchor="page" w:x="748" w:y="44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WHEREAS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 xml:space="preserve">,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9.2 of the Indenture provides that, subject to certain conditions, the Issuer, the Guarantors and the Trustee may amend the</w:t>
      </w:r>
    </w:p>
    <w:p>
      <w:pPr>
        <w:pStyle w:val="Normal"/>
        <w:framePr w:w="5001" w:hAnchor="page" w:vAnchor="page" w:x="276" w:y="39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new guarantees of the Guarantors listed therein;</w:t>
      </w:r>
    </w:p>
    <w:p>
      <w:pPr>
        <w:pStyle w:val="Normal"/>
        <w:framePr w:w="14297" w:hAnchor="page" w:vAnchor="page" w:x="276" w:y="37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Indenture, dated as of February 16, 2021 (as amended, supplemented, waived or otherwise modified, the “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First Supplemental Indenture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”), providing for</w:t>
      </w:r>
    </w:p>
    <w:p>
      <w:pPr>
        <w:pStyle w:val="Normal"/>
        <w:framePr w:w="13271" w:hAnchor="page" w:vAnchor="page" w:x="748" w:y="35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WHEREAS, the Issuer, the New Guarantors (as defined therein) and the Trustee have heretofore executed and delivered a first Supplemental</w:t>
      </w:r>
    </w:p>
    <w:p>
      <w:pPr>
        <w:pStyle w:val="Normal"/>
        <w:framePr w:w="7296" w:hAnchor="page" w:vAnchor="page" w:x="276" w:y="30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principal amount 6.500% Senior Notes due 2026 of the Issuer (the “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Notes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”);</w:t>
      </w:r>
    </w:p>
    <w:p>
      <w:pPr>
        <w:pStyle w:val="Normal"/>
        <w:framePr w:w="13904" w:hAnchor="page" w:vAnchor="page" w:x="276" w:y="28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January 29, 2021 (as amended, supplemented, waived or otherwise modified, the “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Indenture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”), providing for the issuance of an unlimited aggregate</w:t>
      </w:r>
    </w:p>
    <w:p>
      <w:pPr>
        <w:pStyle w:val="Normal"/>
        <w:framePr w:w="13791" w:hAnchor="page" w:vAnchor="page" w:x="748" w:y="25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WHEREAS, the Issuer, the initial Guarantors (as defined therein) and the Trustee have heretofore executed and delivered an Indenture, dated as of</w:t>
      </w:r>
    </w:p>
    <w:p>
      <w:pPr>
        <w:pStyle w:val="Normal"/>
        <w:framePr w:w="2369" w:hAnchor="page" w:vAnchor="page" w:x="5286" w:y="22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 I T N E S S E T H:</w:t>
      </w:r>
    </w:p>
    <w:p>
      <w:pPr>
        <w:pStyle w:val="Normal"/>
        <w:framePr w:w="11921" w:hAnchor="page" w:vAnchor="page" w:x="276" w:y="15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U.S. Bank National Association), as trustee (the “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Trustee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”), paying agent and registrar under the Indenture (as defined below).</w:t>
      </w:r>
    </w:p>
    <w:p>
      <w:pPr>
        <w:pStyle w:val="Normal"/>
        <w:framePr w:w="13932" w:hAnchor="page" w:vAnchor="page" w:x="276" w:y="13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incorporated under the laws of England and Wales (the “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Issuer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”), U.S. Bank Trust Company National Association (successor in interest to</w:t>
      </w:r>
    </w:p>
    <w:p>
      <w:pPr>
        <w:pStyle w:val="Normal"/>
        <w:framePr w:w="13647" w:hAnchor="page" w:vAnchor="page" w:x="748" w:y="10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second Supplemental Indenture (this “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Second Supplemental Indenture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”), dated as of May 4, 2022, among TechnipFMC plc, a public limited</w:t>
      </w:r>
    </w:p>
    <w:p>
      <w:pPr>
        <w:pStyle w:val="Normal"/>
        <w:framePr w:w="3560" w:hAnchor="page" w:vAnchor="page" w:x="4790" w:y="7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SUPPLEMENTAL INDENTURE</w:t>
      </w:r>
    </w:p>
    <w:p>
      <w:pPr>
        <w:pStyle w:val="Normal"/>
        <w:framePr w:w="1308" w:hAnchor="page" w:vAnchor="page" w:x="11180" w:y="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Exhibit 4.1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pt;margin-top:1pt;z-index:-1677710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94.2pt;margin-top:415.45pt;z-index:-16777104;width:116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94.2pt;margin-top:484.9pt;z-index:-16777100;width:116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43pt;margin-top:484.9pt;z-index:-16777096;width:6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547.3pt;margin-top:484.9pt;z-index:-16777092;width:3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2.8pt;margin-top:496.45pt;z-index:-16777088;width:20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31.5pt;margin-top:496.45pt;z-index:-16777084;width:9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</w:p>
    <w:p>
      <w:pPr>
        <w:pStyle w:val="Normal"/>
        <w:framePr w:w="344" w:hAnchor="page" w:vAnchor="page" w:x="6130" w:y="8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</w:t>
      </w:r>
    </w:p>
    <w:p>
      <w:pPr>
        <w:pStyle w:val="Normal"/>
        <w:framePr w:w="7854" w:hAnchor="page" w:vAnchor="page" w:x="276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such provisions from the Notes shall be deemed deleted or amended as applicable.</w:t>
      </w:r>
    </w:p>
    <w:p>
      <w:pPr>
        <w:pStyle w:val="Normal"/>
        <w:framePr w:w="13517" w:hAnchor="page" w:vAnchor="page" w:x="748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(b)    The Notes include certain of the foregoing provisions from the Indenture. Upon the operative date of this Second Supplemental Indenture,</w:t>
      </w:r>
    </w:p>
    <w:p>
      <w:pPr>
        <w:pStyle w:val="Normal"/>
        <w:framePr w:w="1423" w:hAnchor="page" w:vAnchor="page" w:x="27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shall prevail.</w:t>
      </w:r>
    </w:p>
    <w:p>
      <w:pPr>
        <w:pStyle w:val="Normal"/>
        <w:framePr w:w="13985" w:hAnchor="page" w:vAnchor="page" w:x="276" w:y="71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Indenture and the terms and conditions of this Second Supplemental Indenture, then the terms and conditions of this Second Supplemental Indenture</w:t>
      </w:r>
    </w:p>
    <w:p>
      <w:pPr>
        <w:pStyle w:val="Normal"/>
        <w:framePr w:w="14057" w:hAnchor="page" w:vAnchor="page" w:x="276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Notes heretofore or hereafter authenticated and delivered shall be bound hereby. In the event of a conflict between the terms and conditions of the</w:t>
      </w:r>
    </w:p>
    <w:p>
      <w:pPr>
        <w:pStyle w:val="Normal"/>
        <w:framePr w:w="14326" w:hAnchor="page" w:vAnchor="page" w:x="27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thereof shall remain in full force and effect. This Second Supplemental Indenture shall form a part of the Indenture for all purposes, and every Holder of</w:t>
      </w:r>
    </w:p>
    <w:p>
      <w:pPr>
        <w:pStyle w:val="Normal"/>
        <w:framePr w:w="13654" w:hAnchor="page" w:vAnchor="page" w:x="74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(a)    Except as expressly supplemented hereby, the Indenture is in all respects ratified and confirmed and all the terms, conditions and provisions</w:t>
      </w:r>
    </w:p>
    <w:p>
      <w:pPr>
        <w:pStyle w:val="Normal"/>
        <w:framePr w:w="3961" w:hAnchor="page" w:vAnchor="page" w:x="748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3.01    Ratification of Indenture.</w:t>
      </w:r>
    </w:p>
    <w:p>
      <w:pPr>
        <w:pStyle w:val="Normal"/>
        <w:framePr w:w="2156" w:hAnchor="page" w:vAnchor="page" w:x="5375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MISCELLANEOUS</w:t>
      </w:r>
    </w:p>
    <w:p>
      <w:pPr>
        <w:pStyle w:val="Normal"/>
        <w:framePr w:w="1538" w:hAnchor="page" w:vAnchor="page" w:x="5632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ARTICLE III.</w:t>
      </w:r>
    </w:p>
    <w:p>
      <w:pPr>
        <w:pStyle w:val="Normal"/>
        <w:framePr w:w="13560" w:hAnchor="page" w:vAnchor="page" w:x="748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(f)    All references to Sections 6.1 and 8.4 of the Indenture shall mean Sections 6.1 and 8.4 as amended by this Second Supplemental Indenture.</w:t>
      </w:r>
    </w:p>
    <w:p>
      <w:pPr>
        <w:pStyle w:val="Normal"/>
        <w:framePr w:w="6138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Supplemental Indenture are hereby deleted in their entirety; and</w:t>
      </w:r>
    </w:p>
    <w:p>
      <w:pPr>
        <w:pStyle w:val="Normal"/>
        <w:framePr w:w="12558" w:hAnchor="page" w:vAnchor="page" w:x="748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(e)    All definitions set forth in Section 1.1 of the Indenture that relate to defined terms used solely in sections deleted by this Second</w:t>
      </w:r>
    </w:p>
    <w:p>
      <w:pPr>
        <w:pStyle w:val="Normal"/>
        <w:framePr w:w="8618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references thereto contained in Section 8.4 and elsewhere in the Indenture in their entirety;</w:t>
      </w:r>
    </w:p>
    <w:p>
      <w:pPr>
        <w:pStyle w:val="Normal"/>
        <w:framePr w:w="13684" w:hAnchor="page" w:vAnchor="page" w:x="74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(d)    The Indenture is hereby amended to delete paragraph (4) of Section 8.4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Conditions to Legal or Covenant Defeasance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 in its entirety and all</w:t>
      </w:r>
    </w:p>
    <w:p>
      <w:pPr>
        <w:pStyle w:val="Normal"/>
        <w:framePr w:w="7867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(4), (5), (6), (7) and (8) of Section 6.1 shall no longer constitute Events of Default;</w:t>
      </w:r>
    </w:p>
    <w:p>
      <w:pPr>
        <w:pStyle w:val="Normal"/>
        <w:framePr w:w="14282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references thereto contained in Section 6.1 and elsewhere in the Indenture in their entirety, and the occurrence of the events described in paragraphs (3),</w:t>
      </w:r>
    </w:p>
    <w:p>
      <w:pPr>
        <w:pStyle w:val="Normal"/>
        <w:framePr w:w="13651" w:hAnchor="page" w:vAnchor="page" w:x="748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(c)    The Indenture is hereby amended to delete paragraphs (3), (4), (5), (6), (7) and (8) of Section 6.1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Events of Default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 in their entirety and all</w:t>
      </w:r>
    </w:p>
    <w:p>
      <w:pPr>
        <w:pStyle w:val="Normal"/>
        <w:framePr w:w="10584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an Event of Default under the Indenture and shall no longer have any other consequence under the Indenture;</w:t>
      </w:r>
    </w:p>
    <w:p>
      <w:pPr>
        <w:pStyle w:val="Normal"/>
        <w:framePr w:w="13613" w:hAnchor="page" w:vAnchor="page" w:x="748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(b)    The failure to comply with the terms of any of the Sections of the Indenture set forth in clause (i) above shall no longer constitute a Default</w:t>
      </w:r>
    </w:p>
    <w:p>
      <w:pPr>
        <w:pStyle w:val="Normal"/>
        <w:framePr w:w="10812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4.19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Maintenance of Listing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 and Section 5.1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Consolidation, Merger, Conveyance, Transfer or Lease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);</w:t>
      </w:r>
    </w:p>
    <w:p>
      <w:pPr>
        <w:pStyle w:val="Normal"/>
        <w:framePr w:w="14318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4.15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Additional Guarantees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Section 4.16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Limitation on Designation of Unrestricted Subsidiaries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Section 4.17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Effectiveness of Covenants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</w:t>
      </w:r>
    </w:p>
    <w:p>
      <w:pPr>
        <w:pStyle w:val="Normal"/>
        <w:framePr w:w="13931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4.12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Limitation on Liens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Section 4.13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Offer to Purchase upon Change of Control Triggering Event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Section 4.14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Corporate Existence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</w:t>
      </w:r>
    </w:p>
    <w:p>
      <w:pPr>
        <w:pStyle w:val="Normal"/>
        <w:framePr w:w="14255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4.9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Limitation on Additional Indebtedness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Section 4.10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Limitation on Asset Sales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Section 4.11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Limitation on Transactions with Affiliates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</w:t>
      </w:r>
    </w:p>
    <w:p>
      <w:pPr>
        <w:pStyle w:val="Normal"/>
        <w:framePr w:w="13737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4.7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Limitation on Restricted Payments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Section 4.8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Limitation on Dividend and Other Restrictions Affecting Restricted Subsidiaries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</w:t>
      </w:r>
    </w:p>
    <w:p>
      <w:pPr>
        <w:pStyle w:val="Normal"/>
        <w:framePr w:w="12809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(a)    The Indenture is hereby amended to delete Section 4.3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Provision of Financial Information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 Section 4.4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Compliance Certificate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pt;margin-top:1pt;z-index:-1677708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2.8pt;margin-top:1pt;z-index:-1677707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2.8pt;margin-top:2.45pt;z-index:-167770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597.95pt;margin-top:1pt;z-index:-1677706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2.8pt;margin-top:1pt;z-index:-167770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94.2pt;margin-top:307.7pt;z-index:-16777060;width:97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</w:p>
    <w:p>
      <w:pPr>
        <w:pStyle w:val="Normal"/>
        <w:framePr w:w="344" w:hAnchor="page" w:vAnchor="page" w:x="6130" w:y="73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</w:t>
      </w:r>
    </w:p>
    <w:p>
      <w:pPr>
        <w:pStyle w:val="Normal"/>
        <w:framePr w:w="4365" w:hAnchor="page" w:vAnchor="page" w:x="4454" w:y="69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[Remainder of page intentionally left blank.]</w:t>
      </w:r>
    </w:p>
    <w:p>
      <w:pPr>
        <w:pStyle w:val="Normal"/>
        <w:framePr w:w="12548" w:hAnchor="page" w:vAnchor="page" w:x="748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3.05    Effect of Headings. The section headings herein are for convenience only and shall not affect the construction thereof.</w:t>
      </w:r>
    </w:p>
    <w:p>
      <w:pPr>
        <w:pStyle w:val="Normal"/>
        <w:framePr w:w="6093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original, but all of them together represent the same agreement.</w:t>
      </w:r>
    </w:p>
    <w:p>
      <w:pPr>
        <w:pStyle w:val="Normal"/>
        <w:framePr w:w="13368" w:hAnchor="page" w:vAnchor="page" w:x="748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3.04    Counterparts. The parties may sign any number of copies of this Second Supplemental Indenture. Each signed copy shall be an</w:t>
      </w:r>
    </w:p>
    <w:p>
      <w:pPr>
        <w:pStyle w:val="Normal"/>
        <w:framePr w:w="3241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Second Supplemental Indenture.</w:t>
      </w:r>
    </w:p>
    <w:p>
      <w:pPr>
        <w:pStyle w:val="Normal"/>
        <w:framePr w:w="13668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 deemed incorporated herein by this reference and shall be deemed applicable to all actions taken, suffered or omitted by the Trustee under this</w:t>
      </w:r>
    </w:p>
    <w:p>
      <w:pPr>
        <w:pStyle w:val="Normal"/>
        <w:framePr w:w="14363" w:hAnchor="page" w:vAnchor="page" w:x="276" w:y="48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connection herewith or therewith. All rights, protections, privileges, indemnities and benefits granted or afforded to the Trustee under the Indenture shall</w:t>
      </w:r>
    </w:p>
    <w:p>
      <w:pPr>
        <w:pStyle w:val="Normal"/>
        <w:framePr w:w="13816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recital in any offers to purchase or solicitations made by Issuer, or in any Officers’ Certificate delivered to the Trustee, or any other document in</w:t>
      </w:r>
    </w:p>
    <w:p>
      <w:pPr>
        <w:pStyle w:val="Normal"/>
        <w:framePr w:w="14185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sufficiency of this Second Supplemental Indenture and it shall not be responsible for the correctness of any statement or recital herein or any statement</w:t>
      </w:r>
    </w:p>
    <w:p>
      <w:pPr>
        <w:pStyle w:val="Normal"/>
        <w:framePr w:w="13624" w:hAnchor="page" w:vAnchor="page" w:x="276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effectiveness of the Second Supplemental Indenture have been met or waived. The Trustee does not make any representation as to the validity or</w:t>
      </w:r>
    </w:p>
    <w:p>
      <w:pPr>
        <w:pStyle w:val="Normal"/>
        <w:framePr w:w="13673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liability for, determining if this Second Supplemental Indenture is authorized or permitted by this Indenture or that all conditions precedent to the</w:t>
      </w:r>
    </w:p>
    <w:p>
      <w:pPr>
        <w:pStyle w:val="Normal"/>
        <w:framePr w:w="13691" w:hAnchor="page" w:vAnchor="page" w:x="276" w:y="36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assumes no responsibility for the correctness of the same. The Trustee shall not be responsible for, makes no representation as to, and assumes no</w:t>
      </w:r>
    </w:p>
    <w:p>
      <w:pPr>
        <w:pStyle w:val="Normal"/>
        <w:framePr w:w="13008" w:hAnchor="page" w:vAnchor="page" w:x="748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3.03    Trustee Makes No Representation. The recitals contained herein are those of the Issuer and not the Trustee, and the Trustee</w:t>
      </w:r>
    </w:p>
    <w:p>
      <w:pPr>
        <w:pStyle w:val="Normal"/>
        <w:framePr w:w="9782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do so, any objection which it may now or hereafter have to the laying of venue of any such proceeding.</w:t>
      </w:r>
    </w:p>
    <w:p>
      <w:pPr>
        <w:pStyle w:val="Normal"/>
        <w:framePr w:w="14162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any U.S. federal or state court located in the State and City of New York, Borough of Manhattan and (ii) waives, to the fullest extent it may effectively</w:t>
      </w:r>
    </w:p>
    <w:p>
      <w:pPr>
        <w:pStyle w:val="Normal"/>
        <w:framePr w:w="14239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Supplemental Indenture or the transactions contemplated thereby, and any action arising under U.S. federal or state securities laws, may be instituted in</w:t>
      </w:r>
    </w:p>
    <w:p>
      <w:pPr>
        <w:pStyle w:val="Normal"/>
        <w:framePr w:w="13328" w:hAnchor="page" w:vAnchor="page" w:x="748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Each of the parties hereto irrevocably (i) agrees that any suit, action or proceeding arising out of, related to, or in connection with this Second</w:t>
      </w:r>
    </w:p>
    <w:p>
      <w:pPr>
        <w:pStyle w:val="Normal"/>
        <w:framePr w:w="1880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NEW YORK.</w:t>
      </w:r>
    </w:p>
    <w:p>
      <w:pPr>
        <w:pStyle w:val="Normal"/>
        <w:framePr w:w="13635" w:hAnchor="page" w:vAnchor="page" w:x="748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SECOND SUPPLEMENTAL INDENTURE SHALL BE GOVERNED BY AND CONSTRUED IN ACCORDANCE WITH THE LAWS</w:t>
      </w:r>
    </w:p>
    <w:p>
      <w:pPr>
        <w:pStyle w:val="Normal"/>
        <w:framePr w:w="4661" w:hAnchor="page" w:vAnchor="page" w:x="748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3.02    Governing Law and Jurisdiction.</w:t>
      </w:r>
    </w:p>
    <w:p>
      <w:pPr>
        <w:pStyle w:val="Normal"/>
        <w:framePr w:w="10560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all Holders who have validly delivered and not validly revoked consents pursuant to the terms of the Statement.</w:t>
      </w:r>
    </w:p>
    <w:p>
      <w:pPr>
        <w:pStyle w:val="Normal"/>
        <w:framePr w:w="14390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date upon which the Issuer pays the Early Tender Premium or Tender Offer Consideration, as applicable (as such term is defined in the Statement) to</w:t>
      </w:r>
    </w:p>
    <w:p>
      <w:pPr>
        <w:pStyle w:val="Normal"/>
        <w:framePr w:w="13496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(c)    Notwithstanding an earlier execution date, the provisions of this Second Supplemental Indenture shall not become operative until the time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pt;margin-top:1pt;z-index:-1677705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.8pt;margin-top:1pt;z-index:-167770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2.8pt;margin-top:2.45pt;z-index:-1677704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597.95pt;margin-top:1pt;z-index:-167770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2.8pt;margin-top:1pt;z-index:-1677704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94.2pt;margin-top:64.65pt;z-index:-16777036;width:126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94.2pt;margin-top:180.4pt;z-index:-16777032;width:13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94.2pt;margin-top:296.1pt;z-index:-16777028;width:51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4.2pt;margin-top:330.85pt;z-index:-16777024;width:7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</w:p>
    <w:p>
      <w:pPr>
        <w:pStyle w:val="Normal"/>
        <w:framePr w:w="5036" w:hAnchor="page" w:vAnchor="page" w:x="4175" w:y="44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Signature Page to Second Supplemental Indenture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)</w:t>
      </w:r>
    </w:p>
    <w:p>
      <w:pPr>
        <w:pStyle w:val="Normal"/>
        <w:framePr w:w="2316" w:hAnchor="page" w:vAnchor="page" w:x="7364" w:y="40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Title:    Vice President</w:t>
      </w:r>
    </w:p>
    <w:p>
      <w:pPr>
        <w:pStyle w:val="Normal"/>
        <w:framePr w:w="3007" w:hAnchor="page" w:vAnchor="page" w:x="7364" w:y="37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Name:  Michael K. Herberger</w:t>
      </w:r>
    </w:p>
    <w:p>
      <w:pPr>
        <w:pStyle w:val="Normal"/>
        <w:framePr w:w="562" w:hAnchor="page" w:vAnchor="page" w:x="7364" w:y="35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</w:t>
      </w:r>
    </w:p>
    <w:p>
      <w:pPr>
        <w:pStyle w:val="Normal"/>
        <w:framePr w:w="2645" w:hAnchor="page" w:vAnchor="page" w:x="7928" w:y="35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/S/ Michael K. Herberger</w:t>
      </w:r>
    </w:p>
    <w:p>
      <w:pPr>
        <w:pStyle w:val="Normal"/>
        <w:framePr w:w="1164" w:hAnchor="page" w:vAnchor="page" w:x="7364" w:y="30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Trustee</w:t>
      </w:r>
    </w:p>
    <w:p>
      <w:pPr>
        <w:pStyle w:val="Normal"/>
        <w:framePr w:w="1889" w:hAnchor="page" w:vAnchor="page" w:x="7364" w:y="28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ASSOCIATION,</w:t>
      </w:r>
    </w:p>
    <w:p>
      <w:pPr>
        <w:pStyle w:val="Normal"/>
        <w:framePr w:w="4768" w:hAnchor="page" w:vAnchor="page" w:x="7364" w:y="25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U.S. BANK TRUST COMPANY, NATIONAL</w:t>
      </w:r>
    </w:p>
    <w:p>
      <w:pPr>
        <w:pStyle w:val="Normal"/>
        <w:framePr w:w="3644" w:hAnchor="page" w:vAnchor="page" w:x="7364" w:y="21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Title:    Vice President and Treasurer</w:t>
      </w:r>
    </w:p>
    <w:p>
      <w:pPr>
        <w:pStyle w:val="Normal"/>
        <w:framePr w:w="2497" w:hAnchor="page" w:vAnchor="page" w:x="7364" w:y="18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Name:  Fred Schacknies</w:t>
      </w:r>
    </w:p>
    <w:p>
      <w:pPr>
        <w:pStyle w:val="Normal"/>
        <w:framePr w:w="562" w:hAnchor="page" w:vAnchor="page" w:x="7364" w:y="16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</w:t>
      </w:r>
    </w:p>
    <w:p>
      <w:pPr>
        <w:pStyle w:val="Normal"/>
        <w:framePr w:w="2135" w:hAnchor="page" w:vAnchor="page" w:x="7928" w:y="16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/S/ Fred Schacknies</w:t>
      </w:r>
    </w:p>
    <w:p>
      <w:pPr>
        <w:pStyle w:val="Normal"/>
        <w:framePr w:w="1031" w:hAnchor="page" w:vAnchor="page" w:x="7364" w:y="11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Issuer</w:t>
      </w:r>
    </w:p>
    <w:p>
      <w:pPr>
        <w:pStyle w:val="Normal"/>
        <w:framePr w:w="2387" w:hAnchor="page" w:vAnchor="page" w:x="7364" w:y="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PLC,</w:t>
      </w:r>
    </w:p>
    <w:p>
      <w:pPr>
        <w:pStyle w:val="Normal"/>
        <w:framePr w:w="838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above.</w:t>
      </w:r>
    </w:p>
    <w:p>
      <w:pPr>
        <w:pStyle w:val="Normal"/>
        <w:framePr w:w="13278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WITNESS WHEREOF, the parties hereto have caused this Second Supplemental Indenture to be duly executed as of the date first written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7pt;margin-top:1pt;z-index:-16777020;width:598pt;height:243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2.8pt;margin-top:1pt;z-index:-1677701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2.8pt;margin-top:2.45pt;z-index:-1677701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97.95pt;margin-top:1pt;z-index:-1677700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2.8pt;margin-top:1pt;z-index:-1677700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398.3pt;margin-top:92.15pt;z-index:-16777000;width:206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398.3pt;margin-top:186.9pt;z-index:-16776996;width:206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</w:p>
    <w:sectPr>
      <w:pgSz w:w="12240" w:h="20160"/>
      <w:pgMar w:top="400" w:right="400" w:bottom="400" w:left="400" w:header="720" w:footer="720"/>
      <w:pgNumType w:start="7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520054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styles.xml" Type="http://schemas.openxmlformats.org/officeDocument/2006/relationships/styles"/><Relationship Id="rId57" Target="fontTable.xml" Type="http://schemas.openxmlformats.org/officeDocument/2006/relationships/fontTable"/><Relationship Id="rId58" Target="settings.xml" Type="http://schemas.openxmlformats.org/officeDocument/2006/relationships/settings"/><Relationship Id="rId59" Target="webSettings.xml" Type="http://schemas.openxmlformats.org/officeDocument/2006/relationships/webSettings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7</Pages>
  <Words>2039</Words>
  <Characters>10965</Characters>
  <Application>e-iceblue</Application>
  <DocSecurity>0</DocSecurity>
  <Lines>189</Lines>
  <Paragraphs>189</Paragraphs>
  <ScaleCrop>false</ScaleCrop>
  <Company>e-iceblue</Company>
  <LinksUpToDate>false</LinksUpToDate>
  <CharactersWithSpaces>12833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2022-05-10T21:15:11Z</dcterms:created>
  <dc:creator>root</dc:creator>
  <cp:lastModifiedBy>root</cp:lastModifiedBy>
  <dcterms:modified xsi:type="dcterms:W3CDTF">2022-05-10T21:15:11Z</dcterms:modified>
  <cp:revision>1</cp:revision>
</cp:coreProperties>
</file>