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311150</wp:posOffset>
            </wp:positionH>
            <wp:positionV relativeFrom="page">
              <wp:posOffset>766445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732155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April 27, 2021</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Report (Date of earliest event reported)</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TechnipFMC plc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338" w:lineRule="exact"/>
        <w:rPr>
          <w:sz w:val="24"/>
          <w:szCs w:val="24"/>
          <w:color w:val="auto"/>
        </w:rPr>
      </w:pPr>
    </w:p>
    <w:tbl>
      <w:tblPr>
        <w:tblLayout w:type="fixed"/>
        <w:tblInd w:w="440" w:type="dxa"/>
        <w:tblCellMar>
          <w:top w:w="0" w:type="dxa"/>
          <w:left w:w="0" w:type="dxa"/>
          <w:bottom w:w="0" w:type="dxa"/>
          <w:right w:w="0" w:type="dxa"/>
        </w:tblCellMar>
      </w:tblPr>
      <w:tr>
        <w:trPr>
          <w:trHeight w:val="239"/>
        </w:trPr>
        <w:tc>
          <w:tcPr>
            <w:tcW w:w="3220" w:type="dxa"/>
            <w:vAlign w:val="bottom"/>
          </w:tcPr>
          <w:p>
            <w:pPr>
              <w:jc w:val="center"/>
              <w:ind w:right="421"/>
              <w:spacing w:after="0"/>
              <w:rPr>
                <w:sz w:val="20"/>
                <w:szCs w:val="20"/>
                <w:color w:val="auto"/>
              </w:rPr>
            </w:pPr>
            <w:r>
              <w:rPr>
                <w:rFonts w:ascii="Arial" w:cs="Arial" w:eastAsia="Arial" w:hAnsi="Arial"/>
                <w:sz w:val="18"/>
                <w:szCs w:val="18"/>
                <w:b w:val="1"/>
                <w:bCs w:val="1"/>
                <w:color w:val="auto"/>
              </w:rPr>
              <w:t>United Kingdom</w:t>
            </w:r>
          </w:p>
        </w:tc>
        <w:tc>
          <w:tcPr>
            <w:tcW w:w="3680" w:type="dxa"/>
            <w:vAlign w:val="bottom"/>
          </w:tcPr>
          <w:p>
            <w:pPr>
              <w:jc w:val="right"/>
              <w:ind w:right="1221"/>
              <w:spacing w:after="0"/>
              <w:rPr>
                <w:sz w:val="20"/>
                <w:szCs w:val="20"/>
                <w:color w:val="auto"/>
              </w:rPr>
            </w:pPr>
            <w:r>
              <w:rPr>
                <w:rFonts w:ascii="Arial" w:cs="Arial" w:eastAsia="Arial" w:hAnsi="Arial"/>
                <w:sz w:val="18"/>
                <w:szCs w:val="18"/>
                <w:b w:val="1"/>
                <w:bCs w:val="1"/>
                <w:color w:val="auto"/>
              </w:rPr>
              <w:t>001-37983</w:t>
            </w:r>
          </w:p>
        </w:tc>
        <w:tc>
          <w:tcPr>
            <w:tcW w:w="3200" w:type="dxa"/>
            <w:vAlign w:val="bottom"/>
          </w:tcPr>
          <w:p>
            <w:pPr>
              <w:jc w:val="center"/>
              <w:ind w:left="922"/>
              <w:spacing w:after="0"/>
              <w:rPr>
                <w:sz w:val="20"/>
                <w:szCs w:val="20"/>
                <w:color w:val="auto"/>
              </w:rPr>
            </w:pPr>
            <w:r>
              <w:rPr>
                <w:rFonts w:ascii="Arial" w:cs="Arial" w:eastAsia="Arial" w:hAnsi="Arial"/>
                <w:sz w:val="18"/>
                <w:szCs w:val="18"/>
                <w:b w:val="1"/>
                <w:bCs w:val="1"/>
                <w:color w:val="auto"/>
                <w:w w:val="99"/>
              </w:rPr>
              <w:t>98-1283037</w:t>
            </w:r>
          </w:p>
        </w:tc>
      </w:tr>
      <w:tr>
        <w:trPr>
          <w:trHeight w:val="190"/>
        </w:trPr>
        <w:tc>
          <w:tcPr>
            <w:tcW w:w="3220" w:type="dxa"/>
            <w:vAlign w:val="bottom"/>
          </w:tcPr>
          <w:p>
            <w:pPr>
              <w:jc w:val="center"/>
              <w:ind w:right="421"/>
              <w:spacing w:after="0"/>
              <w:rPr>
                <w:sz w:val="20"/>
                <w:szCs w:val="20"/>
                <w:color w:val="auto"/>
              </w:rPr>
            </w:pPr>
            <w:r>
              <w:rPr>
                <w:rFonts w:ascii="Arial" w:cs="Arial" w:eastAsia="Arial" w:hAnsi="Arial"/>
                <w:sz w:val="14"/>
                <w:szCs w:val="14"/>
                <w:color w:val="auto"/>
              </w:rPr>
              <w:t>(State or other jurisdiction of incorporation)</w:t>
            </w:r>
          </w:p>
        </w:tc>
        <w:tc>
          <w:tcPr>
            <w:tcW w:w="3680" w:type="dxa"/>
            <w:vAlign w:val="bottom"/>
          </w:tcPr>
          <w:p>
            <w:pPr>
              <w:jc w:val="center"/>
              <w:ind w:left="161"/>
              <w:spacing w:after="0"/>
              <w:rPr>
                <w:sz w:val="20"/>
                <w:szCs w:val="20"/>
                <w:color w:val="auto"/>
              </w:rPr>
            </w:pPr>
            <w:r>
              <w:rPr>
                <w:rFonts w:ascii="Arial" w:cs="Arial" w:eastAsia="Arial" w:hAnsi="Arial"/>
                <w:sz w:val="14"/>
                <w:szCs w:val="14"/>
                <w:color w:val="auto"/>
              </w:rPr>
              <w:t>(Commission File Number)</w:t>
            </w:r>
          </w:p>
        </w:tc>
        <w:tc>
          <w:tcPr>
            <w:tcW w:w="3200" w:type="dxa"/>
            <w:vAlign w:val="bottom"/>
          </w:tcPr>
          <w:p>
            <w:pPr>
              <w:jc w:val="center"/>
              <w:ind w:left="922"/>
              <w:spacing w:after="0"/>
              <w:rPr>
                <w:sz w:val="20"/>
                <w:szCs w:val="20"/>
                <w:color w:val="auto"/>
              </w:rPr>
            </w:pPr>
            <w:r>
              <w:rPr>
                <w:rFonts w:ascii="Arial" w:cs="Arial" w:eastAsia="Arial" w:hAnsi="Arial"/>
                <w:sz w:val="14"/>
                <w:szCs w:val="14"/>
                <w:color w:val="auto"/>
              </w:rPr>
              <w:t>(I.R.S. Employer Identification No.)</w:t>
            </w:r>
          </w:p>
        </w:tc>
      </w:tr>
      <w:tr>
        <w:trPr>
          <w:trHeight w:val="705"/>
        </w:trPr>
        <w:tc>
          <w:tcPr>
            <w:tcW w:w="3220" w:type="dxa"/>
            <w:vAlign w:val="bottom"/>
          </w:tcPr>
          <w:p>
            <w:pPr>
              <w:jc w:val="center"/>
              <w:ind w:right="401"/>
              <w:spacing w:after="0"/>
              <w:rPr>
                <w:sz w:val="20"/>
                <w:szCs w:val="20"/>
                <w:color w:val="auto"/>
              </w:rPr>
            </w:pPr>
            <w:r>
              <w:rPr>
                <w:rFonts w:ascii="Arial" w:cs="Arial" w:eastAsia="Arial" w:hAnsi="Arial"/>
                <w:sz w:val="18"/>
                <w:szCs w:val="18"/>
                <w:b w:val="1"/>
                <w:bCs w:val="1"/>
                <w:color w:val="auto"/>
                <w:w w:val="99"/>
              </w:rPr>
              <w:t>One St. Paul’s Churchyard</w:t>
            </w:r>
          </w:p>
        </w:tc>
        <w:tc>
          <w:tcPr>
            <w:tcW w:w="36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29"/>
        </w:trPr>
        <w:tc>
          <w:tcPr>
            <w:tcW w:w="3220" w:type="dxa"/>
            <w:vAlign w:val="bottom"/>
          </w:tcPr>
          <w:p>
            <w:pPr>
              <w:jc w:val="center"/>
              <w:ind w:right="401"/>
              <w:spacing w:after="0"/>
              <w:rPr>
                <w:sz w:val="20"/>
                <w:szCs w:val="20"/>
                <w:color w:val="auto"/>
              </w:rPr>
            </w:pPr>
            <w:r>
              <w:rPr>
                <w:rFonts w:ascii="Arial" w:cs="Arial" w:eastAsia="Arial" w:hAnsi="Arial"/>
                <w:sz w:val="18"/>
                <w:szCs w:val="18"/>
                <w:b w:val="1"/>
                <w:bCs w:val="1"/>
                <w:color w:val="auto"/>
                <w:w w:val="99"/>
              </w:rPr>
              <w:t>London</w:t>
            </w:r>
          </w:p>
        </w:tc>
        <w:tc>
          <w:tcPr>
            <w:tcW w:w="368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39"/>
        </w:trPr>
        <w:tc>
          <w:tcPr>
            <w:tcW w:w="3220" w:type="dxa"/>
            <w:vAlign w:val="bottom"/>
          </w:tcPr>
          <w:p>
            <w:pPr>
              <w:jc w:val="center"/>
              <w:ind w:right="401"/>
              <w:spacing w:after="0"/>
              <w:rPr>
                <w:sz w:val="20"/>
                <w:szCs w:val="20"/>
                <w:color w:val="auto"/>
              </w:rPr>
            </w:pPr>
            <w:r>
              <w:rPr>
                <w:rFonts w:ascii="Arial" w:cs="Arial" w:eastAsia="Arial" w:hAnsi="Arial"/>
                <w:sz w:val="18"/>
                <w:szCs w:val="18"/>
                <w:b w:val="1"/>
                <w:bCs w:val="1"/>
                <w:color w:val="auto"/>
                <w:w w:val="99"/>
              </w:rPr>
              <w:t>United Kingdom</w:t>
            </w:r>
          </w:p>
        </w:tc>
        <w:tc>
          <w:tcPr>
            <w:tcW w:w="3680" w:type="dxa"/>
            <w:vAlign w:val="bottom"/>
          </w:tcPr>
          <w:p>
            <w:pPr>
              <w:spacing w:after="0"/>
              <w:rPr>
                <w:sz w:val="20"/>
                <w:szCs w:val="20"/>
                <w:color w:val="auto"/>
              </w:rPr>
            </w:pPr>
          </w:p>
        </w:tc>
        <w:tc>
          <w:tcPr>
            <w:tcW w:w="3200" w:type="dxa"/>
            <w:vAlign w:val="bottom"/>
          </w:tcPr>
          <w:p>
            <w:pPr>
              <w:jc w:val="center"/>
              <w:ind w:left="902"/>
              <w:spacing w:after="0"/>
              <w:rPr>
                <w:sz w:val="20"/>
                <w:szCs w:val="20"/>
                <w:color w:val="auto"/>
              </w:rPr>
            </w:pPr>
            <w:r>
              <w:rPr>
                <w:rFonts w:ascii="Arial" w:cs="Arial" w:eastAsia="Arial" w:hAnsi="Arial"/>
                <w:sz w:val="18"/>
                <w:szCs w:val="18"/>
                <w:b w:val="1"/>
                <w:bCs w:val="1"/>
                <w:color w:val="auto"/>
                <w:w w:val="99"/>
              </w:rPr>
              <w:t>EC4M 8AP</w:t>
            </w:r>
          </w:p>
        </w:tc>
      </w:tr>
      <w:tr>
        <w:trPr>
          <w:trHeight w:val="190"/>
        </w:trPr>
        <w:tc>
          <w:tcPr>
            <w:tcW w:w="3220" w:type="dxa"/>
            <w:vAlign w:val="bottom"/>
          </w:tcPr>
          <w:p>
            <w:pPr>
              <w:jc w:val="center"/>
              <w:ind w:right="401"/>
              <w:spacing w:after="0"/>
              <w:rPr>
                <w:sz w:val="20"/>
                <w:szCs w:val="20"/>
                <w:color w:val="auto"/>
              </w:rPr>
            </w:pPr>
            <w:r>
              <w:rPr>
                <w:rFonts w:ascii="Arial" w:cs="Arial" w:eastAsia="Arial" w:hAnsi="Arial"/>
                <w:sz w:val="14"/>
                <w:szCs w:val="14"/>
                <w:color w:val="auto"/>
              </w:rPr>
              <w:t>(Address of principal executive offices)</w:t>
            </w:r>
          </w:p>
        </w:tc>
        <w:tc>
          <w:tcPr>
            <w:tcW w:w="3680" w:type="dxa"/>
            <w:vAlign w:val="bottom"/>
          </w:tcPr>
          <w:p>
            <w:pPr>
              <w:spacing w:after="0"/>
              <w:rPr>
                <w:sz w:val="16"/>
                <w:szCs w:val="16"/>
                <w:color w:val="auto"/>
              </w:rPr>
            </w:pPr>
          </w:p>
        </w:tc>
        <w:tc>
          <w:tcPr>
            <w:tcW w:w="3200" w:type="dxa"/>
            <w:vAlign w:val="bottom"/>
          </w:tcPr>
          <w:p>
            <w:pPr>
              <w:jc w:val="center"/>
              <w:ind w:left="882"/>
              <w:spacing w:after="0"/>
              <w:rPr>
                <w:sz w:val="20"/>
                <w:szCs w:val="20"/>
                <w:color w:val="auto"/>
              </w:rPr>
            </w:pPr>
            <w:r>
              <w:rPr>
                <w:rFonts w:ascii="Arial" w:cs="Arial" w:eastAsia="Arial" w:hAnsi="Arial"/>
                <w:sz w:val="14"/>
                <w:szCs w:val="14"/>
                <w:color w:val="auto"/>
              </w:rPr>
              <w:t>(Zip Code)</w:t>
            </w:r>
          </w:p>
        </w:tc>
      </w:tr>
      <w:tr>
        <w:trPr>
          <w:trHeight w:val="377"/>
        </w:trPr>
        <w:tc>
          <w:tcPr>
            <w:tcW w:w="3220" w:type="dxa"/>
            <w:vAlign w:val="bottom"/>
          </w:tcPr>
          <w:p>
            <w:pPr>
              <w:spacing w:after="0"/>
              <w:rPr>
                <w:sz w:val="24"/>
                <w:szCs w:val="24"/>
                <w:color w:val="auto"/>
              </w:rPr>
            </w:pPr>
          </w:p>
        </w:tc>
        <w:tc>
          <w:tcPr>
            <w:tcW w:w="3680" w:type="dxa"/>
            <w:vAlign w:val="bottom"/>
          </w:tcPr>
          <w:p>
            <w:pPr>
              <w:jc w:val="right"/>
              <w:ind w:right="901"/>
              <w:spacing w:after="0"/>
              <w:rPr>
                <w:sz w:val="20"/>
                <w:szCs w:val="20"/>
                <w:color w:val="auto"/>
              </w:rPr>
            </w:pPr>
            <w:r>
              <w:rPr>
                <w:rFonts w:ascii="Arial" w:cs="Arial" w:eastAsia="Arial" w:hAnsi="Arial"/>
                <w:sz w:val="18"/>
                <w:szCs w:val="18"/>
                <w:b w:val="1"/>
                <w:bCs w:val="1"/>
                <w:color w:val="auto"/>
              </w:rPr>
              <w:t>+44 203-429-3950</w:t>
            </w:r>
          </w:p>
        </w:tc>
        <w:tc>
          <w:tcPr>
            <w:tcW w:w="3200" w:type="dxa"/>
            <w:vAlign w:val="bottom"/>
          </w:tcPr>
          <w:p>
            <w:pPr>
              <w:spacing w:after="0"/>
              <w:rPr>
                <w:sz w:val="24"/>
                <w:szCs w:val="24"/>
                <w:color w:val="auto"/>
              </w:rPr>
            </w:pPr>
          </w:p>
        </w:tc>
      </w:tr>
      <w:tr>
        <w:trPr>
          <w:trHeight w:val="218"/>
        </w:trPr>
        <w:tc>
          <w:tcPr>
            <w:tcW w:w="3220" w:type="dxa"/>
            <w:vAlign w:val="bottom"/>
          </w:tcPr>
          <w:p>
            <w:pPr>
              <w:spacing w:after="0"/>
              <w:rPr>
                <w:sz w:val="18"/>
                <w:szCs w:val="18"/>
                <w:color w:val="auto"/>
              </w:rPr>
            </w:pPr>
          </w:p>
        </w:tc>
        <w:tc>
          <w:tcPr>
            <w:tcW w:w="3680" w:type="dxa"/>
            <w:vAlign w:val="bottom"/>
          </w:tcPr>
          <w:p>
            <w:pPr>
              <w:jc w:val="center"/>
              <w:ind w:left="161"/>
              <w:spacing w:after="0"/>
              <w:rPr>
                <w:sz w:val="20"/>
                <w:szCs w:val="20"/>
                <w:color w:val="auto"/>
              </w:rPr>
            </w:pPr>
            <w:r>
              <w:rPr>
                <w:rFonts w:ascii="Arial" w:cs="Arial" w:eastAsia="Arial" w:hAnsi="Arial"/>
                <w:sz w:val="14"/>
                <w:szCs w:val="14"/>
                <w:color w:val="auto"/>
              </w:rPr>
              <w:t>(Registrant's telephone number, including area code)</w:t>
            </w:r>
          </w:p>
        </w:tc>
        <w:tc>
          <w:tcPr>
            <w:tcW w:w="3200" w:type="dxa"/>
            <w:vAlign w:val="bottom"/>
          </w:tcPr>
          <w:p>
            <w:pPr>
              <w:spacing w:after="0"/>
              <w:rPr>
                <w:sz w:val="18"/>
                <w:szCs w:val="18"/>
                <w:color w:val="auto"/>
              </w:rPr>
            </w:pPr>
          </w:p>
        </w:tc>
      </w:tr>
      <w:tr>
        <w:trPr>
          <w:trHeight w:val="444"/>
        </w:trPr>
        <w:tc>
          <w:tcPr>
            <w:tcW w:w="3220" w:type="dxa"/>
            <w:vAlign w:val="bottom"/>
          </w:tcPr>
          <w:p>
            <w:pPr>
              <w:spacing w:after="0"/>
              <w:rPr>
                <w:sz w:val="24"/>
                <w:szCs w:val="24"/>
                <w:color w:val="auto"/>
              </w:rPr>
            </w:pPr>
          </w:p>
        </w:tc>
        <w:tc>
          <w:tcPr>
            <w:tcW w:w="3680" w:type="dxa"/>
            <w:vAlign w:val="bottom"/>
          </w:tcPr>
          <w:p>
            <w:pPr>
              <w:jc w:val="center"/>
              <w:ind w:left="181"/>
              <w:spacing w:after="0"/>
              <w:rPr>
                <w:sz w:val="20"/>
                <w:szCs w:val="20"/>
                <w:color w:val="auto"/>
              </w:rPr>
            </w:pPr>
            <w:r>
              <w:rPr>
                <w:rFonts w:ascii="Arial" w:cs="Arial" w:eastAsia="Arial" w:hAnsi="Arial"/>
                <w:sz w:val="18"/>
                <w:szCs w:val="18"/>
                <w:b w:val="1"/>
                <w:bCs w:val="1"/>
                <w:color w:val="auto"/>
                <w:w w:val="99"/>
              </w:rPr>
              <w:t>Not Applicable</w:t>
            </w:r>
          </w:p>
        </w:tc>
        <w:tc>
          <w:tcPr>
            <w:tcW w:w="3200" w:type="dxa"/>
            <w:vAlign w:val="bottom"/>
          </w:tcPr>
          <w:p>
            <w:pPr>
              <w:spacing w:after="0"/>
              <w:rPr>
                <w:sz w:val="24"/>
                <w:szCs w:val="24"/>
                <w:color w:val="auto"/>
              </w:rPr>
            </w:pPr>
          </w:p>
        </w:tc>
      </w:tr>
      <w:tr>
        <w:trPr>
          <w:trHeight w:val="153"/>
        </w:trPr>
        <w:tc>
          <w:tcPr>
            <w:tcW w:w="3220" w:type="dxa"/>
            <w:vAlign w:val="bottom"/>
          </w:tcPr>
          <w:p>
            <w:pPr>
              <w:spacing w:after="0"/>
              <w:rPr>
                <w:sz w:val="13"/>
                <w:szCs w:val="13"/>
                <w:color w:val="auto"/>
              </w:rPr>
            </w:pPr>
          </w:p>
        </w:tc>
        <w:tc>
          <w:tcPr>
            <w:tcW w:w="6880" w:type="dxa"/>
            <w:vAlign w:val="bottom"/>
            <w:gridSpan w:val="2"/>
          </w:tcPr>
          <w:p>
            <w:pPr>
              <w:jc w:val="center"/>
              <w:ind w:right="2862"/>
              <w:spacing w:after="0" w:line="153" w:lineRule="exact"/>
              <w:rPr>
                <w:sz w:val="20"/>
                <w:szCs w:val="20"/>
                <w:color w:val="auto"/>
              </w:rPr>
            </w:pPr>
            <w:r>
              <w:rPr>
                <w:rFonts w:ascii="Arial" w:cs="Arial" w:eastAsia="Arial" w:hAnsi="Arial"/>
                <w:sz w:val="14"/>
                <w:szCs w:val="14"/>
                <w:color w:val="auto"/>
              </w:rPr>
              <w:t>(Former name or former address, if changed since last report)</w:t>
            </w:r>
          </w:p>
        </w:tc>
      </w:tr>
      <w:tr>
        <w:trPr>
          <w:trHeight w:val="172"/>
        </w:trPr>
        <w:tc>
          <w:tcPr>
            <w:tcW w:w="10100" w:type="dxa"/>
            <w:vAlign w:val="bottom"/>
            <w:gridSpan w:val="3"/>
          </w:tcPr>
          <w:p>
            <w:pPr>
              <w:jc w:val="right"/>
              <w:ind w:right="2682"/>
              <w:spacing w:after="0"/>
              <w:rPr>
                <w:sz w:val="20"/>
                <w:szCs w:val="20"/>
                <w:color w:val="auto"/>
              </w:rPr>
            </w:pPr>
            <w:r>
              <w:rPr>
                <w:rFonts w:ascii="Arial" w:cs="Arial" w:eastAsia="Arial" w:hAnsi="Arial"/>
                <w:sz w:val="14"/>
                <w:szCs w:val="14"/>
                <w:color w:val="auto"/>
              </w:rPr>
              <w:t>______________________________________________________</w:t>
            </w:r>
          </w:p>
        </w:tc>
      </w:tr>
      <w:tr>
        <w:trPr>
          <w:trHeight w:val="296"/>
        </w:trPr>
        <w:tc>
          <w:tcPr>
            <w:tcW w:w="10100" w:type="dxa"/>
            <w:vAlign w:val="bottom"/>
            <w:gridSpan w:val="3"/>
          </w:tcPr>
          <w:p>
            <w:pPr>
              <w:jc w:val="center"/>
              <w:ind w:left="181"/>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190"/>
        </w:trPr>
        <w:tc>
          <w:tcPr>
            <w:tcW w:w="3220" w:type="dxa"/>
            <w:vAlign w:val="bottom"/>
          </w:tcPr>
          <w:p>
            <w:pPr>
              <w:jc w:val="center"/>
              <w:ind w:left="381"/>
              <w:spacing w:after="0"/>
              <w:rPr>
                <w:sz w:val="20"/>
                <w:szCs w:val="20"/>
                <w:color w:val="auto"/>
              </w:rPr>
            </w:pPr>
            <w:r>
              <w:rPr>
                <w:rFonts w:ascii="Arial" w:cs="Arial" w:eastAsia="Arial" w:hAnsi="Arial"/>
                <w:sz w:val="14"/>
                <w:szCs w:val="14"/>
                <w:b w:val="1"/>
                <w:bCs w:val="1"/>
                <w:color w:val="auto"/>
              </w:rPr>
              <w:t>Title of Each Class</w:t>
            </w:r>
          </w:p>
        </w:tc>
        <w:tc>
          <w:tcPr>
            <w:tcW w:w="3680" w:type="dxa"/>
            <w:vAlign w:val="bottom"/>
          </w:tcPr>
          <w:p>
            <w:pPr>
              <w:jc w:val="center"/>
              <w:ind w:left="161"/>
              <w:spacing w:after="0"/>
              <w:rPr>
                <w:sz w:val="20"/>
                <w:szCs w:val="20"/>
                <w:color w:val="auto"/>
              </w:rPr>
            </w:pPr>
            <w:r>
              <w:rPr>
                <w:rFonts w:ascii="Arial" w:cs="Arial" w:eastAsia="Arial" w:hAnsi="Arial"/>
                <w:sz w:val="14"/>
                <w:szCs w:val="14"/>
                <w:b w:val="1"/>
                <w:bCs w:val="1"/>
                <w:color w:val="auto"/>
              </w:rPr>
              <w:t>Trading Symbol</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3220" w:type="dxa"/>
            <w:vAlign w:val="bottom"/>
          </w:tcPr>
          <w:p>
            <w:pPr>
              <w:jc w:val="center"/>
              <w:ind w:left="401"/>
              <w:spacing w:after="0"/>
              <w:rPr>
                <w:sz w:val="20"/>
                <w:szCs w:val="20"/>
                <w:color w:val="auto"/>
              </w:rPr>
            </w:pPr>
            <w:r>
              <w:rPr>
                <w:rFonts w:ascii="Arial" w:cs="Arial" w:eastAsia="Arial" w:hAnsi="Arial"/>
                <w:sz w:val="14"/>
                <w:szCs w:val="14"/>
                <w:color w:val="auto"/>
              </w:rPr>
              <w:t>Ordinary shares, $1.00 par value per share</w:t>
            </w:r>
          </w:p>
        </w:tc>
        <w:tc>
          <w:tcPr>
            <w:tcW w:w="3680" w:type="dxa"/>
            <w:vAlign w:val="bottom"/>
          </w:tcPr>
          <w:p>
            <w:pPr>
              <w:jc w:val="center"/>
              <w:ind w:left="141"/>
              <w:spacing w:after="0"/>
              <w:rPr>
                <w:sz w:val="20"/>
                <w:szCs w:val="20"/>
                <w:color w:val="auto"/>
              </w:rPr>
            </w:pPr>
            <w:r>
              <w:rPr>
                <w:rFonts w:ascii="Arial" w:cs="Arial" w:eastAsia="Arial" w:hAnsi="Arial"/>
                <w:sz w:val="14"/>
                <w:szCs w:val="14"/>
                <w:color w:val="auto"/>
              </w:rPr>
              <w:t>FTI</w:t>
            </w:r>
          </w:p>
        </w:tc>
        <w:tc>
          <w:tcPr>
            <w:tcW w:w="320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379"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2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1"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104775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70485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April 27, 2021, TechnipFMC plc (the "Company") issued a news release announcing its financial results for the fiscal quarter ended March 31, 2021. A copy of the news release is furnished as Exhibit 99.1 to this report and is incorporated herein by reference.</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News Release issued by the Company dated April 27, 2021</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tab/>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60" w:type="dxa"/>
            <w:vAlign w:val="bottom"/>
            <w:gridSpan w:val="3"/>
          </w:tcPr>
          <w:p>
            <w:pPr>
              <w:ind w:left="3080"/>
              <w:spacing w:after="0"/>
              <w:rPr>
                <w:sz w:val="20"/>
                <w:szCs w:val="20"/>
                <w:color w:val="auto"/>
              </w:rPr>
            </w:pPr>
            <w:r>
              <w:rPr>
                <w:rFonts w:ascii="Arial" w:cs="Arial" w:eastAsia="Arial" w:hAnsi="Arial"/>
                <w:sz w:val="18"/>
                <w:szCs w:val="18"/>
                <w:b w:val="1"/>
                <w:bCs w:val="1"/>
                <w:color w:val="auto"/>
              </w:rPr>
              <w:t>EXHIBIT INDEX</w:t>
            </w:r>
          </w:p>
        </w:tc>
      </w:tr>
      <w:tr>
        <w:trPr>
          <w:trHeight w:val="499"/>
        </w:trPr>
        <w:tc>
          <w:tcPr>
            <w:tcW w:w="20" w:type="dxa"/>
            <w:vAlign w:val="bottom"/>
          </w:tcPr>
          <w:p>
            <w:pPr>
              <w:spacing w:after="0"/>
              <w:rPr>
                <w:sz w:val="24"/>
                <w:szCs w:val="24"/>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9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183"/>
        </w:trPr>
        <w:tc>
          <w:tcPr>
            <w:tcW w:w="1760" w:type="dxa"/>
            <w:vAlign w:val="bottom"/>
            <w:gridSpan w:val="2"/>
          </w:tcPr>
          <w:p>
            <w:pPr>
              <w:ind w:left="40"/>
              <w:spacing w:after="0" w:line="182"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476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 xml:space="preserve">News Release issued by the Company dated April </w:t>
              </w:r>
            </w:hyperlink>
            <w:r>
              <w:rPr>
                <w:rFonts w:ascii="Arial" w:cs="Arial" w:eastAsia="Arial" w:hAnsi="Arial"/>
                <w:sz w:val="18"/>
                <w:szCs w:val="18"/>
                <w:color w:val="0000FF"/>
                <w:w w:val="99"/>
              </w:rPr>
              <w:t xml:space="preserve">27, </w:t>
            </w:r>
            <w:hyperlink w:anchor="page5">
              <w:r>
                <w:rPr>
                  <w:rFonts w:ascii="Arial" w:cs="Arial" w:eastAsia="Arial" w:hAnsi="Arial"/>
                  <w:sz w:val="18"/>
                  <w:szCs w:val="18"/>
                  <w:color w:val="0000FF"/>
                  <w:w w:val="99"/>
                </w:rPr>
                <w:t>2021</w:t>
              </w:r>
            </w:hyperlink>
          </w:p>
        </w:tc>
        <w:tc>
          <w:tcPr>
            <w:tcW w:w="4600" w:type="dxa"/>
            <w:vAlign w:val="bottom"/>
            <w:gridSpan w:val="2"/>
          </w:tcPr>
          <w:p>
            <w:pPr>
              <w:spacing w:after="0"/>
              <w:rPr>
                <w:sz w:val="15"/>
                <w:szCs w:val="15"/>
                <w:color w:val="auto"/>
              </w:rPr>
            </w:pPr>
          </w:p>
        </w:tc>
      </w:tr>
      <w:tr>
        <w:trPr>
          <w:trHeight w:val="250"/>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9360" w:type="dxa"/>
            <w:vAlign w:val="bottom"/>
            <w:gridSpan w:val="3"/>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993"/>
        </w:trPr>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38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/s/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6350</wp:posOffset>
            </wp:positionV>
            <wp:extent cx="4071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800" w:val="left"/>
          <w:tab w:leader="none" w:pos="3980" w:val="left"/>
        </w:tabs>
        <w:rPr>
          <w:sz w:val="20"/>
          <w:szCs w:val="20"/>
          <w:color w:val="auto"/>
        </w:rPr>
      </w:pPr>
      <w:r>
        <w:rPr>
          <w:rFonts w:ascii="Arial" w:cs="Arial" w:eastAsia="Arial" w:hAnsi="Arial"/>
          <w:sz w:val="18"/>
          <w:szCs w:val="18"/>
          <w:color w:val="auto"/>
        </w:rPr>
        <w:t>Dated:</w:t>
        <w:tab/>
        <w:t>April 27, 2021</w:t>
      </w:r>
      <w:r>
        <w:rPr>
          <w:sz w:val="20"/>
          <w:szCs w:val="20"/>
          <w:color w:val="auto"/>
        </w:rPr>
        <w:tab/>
      </w:r>
      <w:r>
        <w:rPr>
          <w:rFonts w:ascii="Arial" w:cs="Arial" w:eastAsia="Arial" w:hAnsi="Arial"/>
          <w:sz w:val="17"/>
          <w:szCs w:val="17"/>
          <w:color w:val="auto"/>
        </w:rPr>
        <w:t>Name: Alf Melin</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220"/>
          </w:cols>
          <w:pgMar w:left="320" w:top="886" w:right="359" w:bottom="1440" w:gutter="0" w:footer="0" w:header="0"/>
        </w:sectPr>
      </w:pPr>
    </w:p>
    <w:bookmarkStart w:id="4" w:name="page5"/>
    <w:bookmarkEnd w:id="4"/>
    <w:p>
      <w:pPr>
        <w:ind w:left="100"/>
        <w:spacing w:after="0"/>
        <w:rPr>
          <w:sz w:val="20"/>
          <w:szCs w:val="20"/>
          <w:color w:val="auto"/>
        </w:rPr>
      </w:pPr>
      <w:r>
        <w:rPr>
          <w:rFonts w:ascii="Arial" w:cs="Arial" w:eastAsia="Arial" w:hAnsi="Arial"/>
          <w:sz w:val="29"/>
          <w:szCs w:val="29"/>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Press Release</w:t>
      </w:r>
    </w:p>
    <w:p>
      <w:pPr>
        <w:spacing w:after="0" w:line="274" w:lineRule="exact"/>
        <w:rPr>
          <w:sz w:val="20"/>
          <w:szCs w:val="20"/>
          <w:color w:val="auto"/>
        </w:rPr>
      </w:pPr>
    </w:p>
    <w:p>
      <w:pPr>
        <w:ind w:left="100"/>
        <w:spacing w:after="0"/>
        <w:rPr>
          <w:sz w:val="20"/>
          <w:szCs w:val="20"/>
          <w:color w:val="auto"/>
        </w:rPr>
      </w:pPr>
      <w:r>
        <w:rPr>
          <w:rFonts w:ascii="Arial" w:cs="Arial" w:eastAsia="Arial" w:hAnsi="Arial"/>
          <w:sz w:val="29"/>
          <w:szCs w:val="29"/>
          <w:color w:val="auto"/>
        </w:rPr>
        <w:t>TechnipFMC Announces First Quarter 2021 Results</w:t>
      </w:r>
    </w:p>
    <w:p>
      <w:pPr>
        <w:spacing w:after="0" w:line="332" w:lineRule="exact"/>
        <w:rPr>
          <w:sz w:val="20"/>
          <w:szCs w:val="20"/>
          <w:color w:val="auto"/>
        </w:rPr>
      </w:pPr>
    </w:p>
    <w:p>
      <w:pPr>
        <w:ind w:left="220" w:hanging="220"/>
        <w:spacing w:after="0"/>
        <w:tabs>
          <w:tab w:leader="none" w:pos="2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Strong financial performance in both Subsea and Surface Technologies</w:t>
      </w:r>
    </w:p>
    <w:p>
      <w:pPr>
        <w:spacing w:after="0" w:line="23" w:lineRule="exact"/>
        <w:rPr>
          <w:rFonts w:ascii="Arial" w:cs="Arial" w:eastAsia="Arial" w:hAnsi="Arial"/>
          <w:sz w:val="20"/>
          <w:szCs w:val="20"/>
          <w:b w:val="1"/>
          <w:bCs w:val="1"/>
          <w:color w:val="auto"/>
        </w:rPr>
      </w:pPr>
    </w:p>
    <w:p>
      <w:pPr>
        <w:ind w:left="220" w:hanging="220"/>
        <w:spacing w:after="0"/>
        <w:tabs>
          <w:tab w:leader="none" w:pos="2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Cash flow from continuing operations $182 million, free cash flow $137 million</w:t>
      </w:r>
    </w:p>
    <w:p>
      <w:pPr>
        <w:ind w:left="220" w:hanging="220"/>
        <w:spacing w:after="0"/>
        <w:tabs>
          <w:tab w:leader="none" w:pos="2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Subsea inbound orders more than doubled sequentially to $1.5 billion</w:t>
      </w:r>
    </w:p>
    <w:p>
      <w:pPr>
        <w:ind w:left="220" w:hanging="220"/>
        <w:spacing w:after="0"/>
        <w:tabs>
          <w:tab w:leader="none" w:pos="2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New partnerships leverage subsea expertise for integrated wind, wave energy</w:t>
      </w:r>
    </w:p>
    <w:p>
      <w:pPr>
        <w:spacing w:after="0" w:line="200" w:lineRule="exact"/>
        <w:rPr>
          <w:sz w:val="20"/>
          <w:szCs w:val="20"/>
          <w:color w:val="auto"/>
        </w:rPr>
      </w:pPr>
    </w:p>
    <w:p>
      <w:pPr>
        <w:spacing w:after="0" w:line="262" w:lineRule="exact"/>
        <w:rPr>
          <w:sz w:val="20"/>
          <w:szCs w:val="20"/>
          <w:color w:val="auto"/>
        </w:rPr>
      </w:pPr>
    </w:p>
    <w:p>
      <w:pPr>
        <w:ind w:left="100" w:right="540"/>
        <w:spacing w:after="0" w:line="271" w:lineRule="auto"/>
        <w:rPr>
          <w:sz w:val="20"/>
          <w:szCs w:val="20"/>
          <w:color w:val="auto"/>
        </w:rPr>
      </w:pPr>
      <w:r>
        <w:rPr>
          <w:rFonts w:ascii="Arial" w:cs="Arial" w:eastAsia="Arial" w:hAnsi="Arial"/>
          <w:sz w:val="20"/>
          <w:szCs w:val="20"/>
          <w:b w:val="1"/>
          <w:bCs w:val="1"/>
          <w:color w:val="auto"/>
        </w:rPr>
        <w:t xml:space="preserve">LONDON, PARIS, HOUSTON, April 27, 2021 - </w:t>
      </w:r>
      <w:r>
        <w:rPr>
          <w:rFonts w:ascii="Arial" w:cs="Arial" w:eastAsia="Arial" w:hAnsi="Arial"/>
          <w:sz w:val="20"/>
          <w:szCs w:val="20"/>
          <w:color w:val="auto"/>
        </w:rPr>
        <w:t>TechnipFMC plc (NYSE: FTI) (Paris: FTI) today reported first quarter 2021</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Summary Financial Results from Continuing Operations</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Reconciliation of U.S. GAAP to non-GAAP financial measures are provided in financial schedules.</w:t>
      </w:r>
    </w:p>
    <w:p>
      <w:pPr>
        <w:spacing w:after="0" w:line="118" w:lineRule="exact"/>
        <w:rPr>
          <w:sz w:val="20"/>
          <w:szCs w:val="20"/>
          <w:color w:val="auto"/>
        </w:rPr>
      </w:pPr>
    </w:p>
    <w:tbl>
      <w:tblPr>
        <w:tblLayout w:type="fixed"/>
        <w:tblInd w:w="150" w:type="dxa"/>
        <w:tblCellMar>
          <w:top w:w="0" w:type="dxa"/>
          <w:left w:w="0" w:type="dxa"/>
          <w:bottom w:w="0" w:type="dxa"/>
          <w:right w:w="0" w:type="dxa"/>
        </w:tblCellMar>
      </w:tblPr>
      <w:tr>
        <w:trPr>
          <w:trHeight w:val="216"/>
        </w:trPr>
        <w:tc>
          <w:tcPr>
            <w:tcW w:w="6080" w:type="dxa"/>
            <w:vAlign w:val="bottom"/>
            <w:tcBorders>
              <w:top w:val="single" w:sz="8" w:color="B8CCE4"/>
              <w:left w:val="single" w:sz="8" w:color="B8CCE4"/>
              <w:right w:val="single" w:sz="8" w:color="B8CCE4"/>
            </w:tcBorders>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tcBorders>
              <w:top w:val="single" w:sz="8" w:color="B8CCE4"/>
              <w:right w:val="single" w:sz="8" w:color="B8CCE4"/>
            </w:tcBorders>
          </w:tcPr>
          <w:p>
            <w:pPr>
              <w:jc w:val="right"/>
              <w:ind w:right="466"/>
              <w:spacing w:after="0"/>
              <w:rPr>
                <w:sz w:val="20"/>
                <w:szCs w:val="20"/>
                <w:color w:val="auto"/>
              </w:rPr>
            </w:pPr>
            <w:r>
              <w:rPr>
                <w:rFonts w:ascii="Arial" w:cs="Arial" w:eastAsia="Arial" w:hAnsi="Arial"/>
                <w:sz w:val="14"/>
                <w:szCs w:val="14"/>
                <w:b w:val="1"/>
                <w:bCs w:val="1"/>
                <w:color w:val="auto"/>
              </w:rPr>
              <w:t>March 31,</w:t>
            </w:r>
          </w:p>
        </w:tc>
        <w:tc>
          <w:tcPr>
            <w:tcW w:w="1780" w:type="dxa"/>
            <w:vAlign w:val="bottom"/>
            <w:tcBorders>
              <w:top w:val="single" w:sz="8" w:color="B8CCE4"/>
              <w:right w:val="single" w:sz="8" w:color="B8CCE4"/>
            </w:tcBorders>
          </w:tcPr>
          <w:p>
            <w:pPr>
              <w:jc w:val="right"/>
              <w:ind w:right="486"/>
              <w:spacing w:after="0"/>
              <w:rPr>
                <w:sz w:val="20"/>
                <w:szCs w:val="20"/>
                <w:color w:val="auto"/>
              </w:rPr>
            </w:pPr>
            <w:r>
              <w:rPr>
                <w:rFonts w:ascii="Arial" w:cs="Arial" w:eastAsia="Arial" w:hAnsi="Arial"/>
                <w:sz w:val="14"/>
                <w:szCs w:val="14"/>
                <w:b w:val="1"/>
                <w:bCs w:val="1"/>
                <w:color w:val="auto"/>
              </w:rPr>
              <w:t>March 31,</w:t>
            </w:r>
          </w:p>
        </w:tc>
        <w:tc>
          <w:tcPr>
            <w:tcW w:w="1580" w:type="dxa"/>
            <w:vAlign w:val="bottom"/>
            <w:tcBorders>
              <w:top w:val="single" w:sz="8" w:color="B8CCE4"/>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60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760" w:type="dxa"/>
            <w:vAlign w:val="bottom"/>
            <w:tcBorders>
              <w:bottom w:val="single" w:sz="8" w:color="B8CCE4"/>
              <w:right w:val="single" w:sz="8" w:color="B8CCE4"/>
            </w:tcBorders>
          </w:tcPr>
          <w:p>
            <w:pPr>
              <w:jc w:val="right"/>
              <w:ind w:right="646"/>
              <w:spacing w:after="0"/>
              <w:rPr>
                <w:sz w:val="20"/>
                <w:szCs w:val="20"/>
                <w:color w:val="auto"/>
              </w:rPr>
            </w:pPr>
            <w:r>
              <w:rPr>
                <w:rFonts w:ascii="Arial" w:cs="Arial" w:eastAsia="Arial" w:hAnsi="Arial"/>
                <w:sz w:val="14"/>
                <w:szCs w:val="14"/>
                <w:b w:val="1"/>
                <w:bCs w:val="1"/>
                <w:color w:val="auto"/>
              </w:rPr>
              <w:t>2021</w:t>
            </w:r>
          </w:p>
        </w:tc>
        <w:tc>
          <w:tcPr>
            <w:tcW w:w="1780" w:type="dxa"/>
            <w:vAlign w:val="bottom"/>
            <w:tcBorders>
              <w:bottom w:val="single" w:sz="8" w:color="B8CCE4"/>
              <w:right w:val="single" w:sz="8" w:color="B8CCE4"/>
            </w:tcBorders>
          </w:tcPr>
          <w:p>
            <w:pPr>
              <w:jc w:val="right"/>
              <w:ind w:right="666"/>
              <w:spacing w:after="0"/>
              <w:rPr>
                <w:sz w:val="20"/>
                <w:szCs w:val="20"/>
                <w:color w:val="auto"/>
              </w:rPr>
            </w:pPr>
            <w:r>
              <w:rPr>
                <w:rFonts w:ascii="Arial" w:cs="Arial" w:eastAsia="Arial" w:hAnsi="Arial"/>
                <w:sz w:val="14"/>
                <w:szCs w:val="14"/>
                <w:b w:val="1"/>
                <w:bCs w:val="1"/>
                <w:color w:val="auto"/>
              </w:rPr>
              <w:t>2020</w:t>
            </w:r>
          </w:p>
        </w:tc>
        <w:tc>
          <w:tcPr>
            <w:tcW w:w="1580" w:type="dxa"/>
            <w:vAlign w:val="bottom"/>
            <w:tcBorders>
              <w:bottom w:val="single" w:sz="8" w:color="B8CCE4"/>
              <w:right w:val="single" w:sz="8" w:color="B8CCE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20"/>
                <w:szCs w:val="20"/>
                <w:b w:val="1"/>
                <w:bCs w:val="1"/>
                <w:color w:val="auto"/>
              </w:rPr>
              <w:t>Revenue</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$1,632.0</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$1,582.6</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37"/>
        </w:trPr>
        <w:tc>
          <w:tcPr>
            <w:tcW w:w="60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20"/>
                <w:szCs w:val="20"/>
                <w:b w:val="1"/>
                <w:bCs w:val="1"/>
                <w:color w:val="auto"/>
              </w:rPr>
              <w:t>Income (loss)</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$430.3</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$(3,234.8)</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37"/>
        </w:trPr>
        <w:tc>
          <w:tcPr>
            <w:tcW w:w="60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20"/>
                <w:szCs w:val="20"/>
                <w:b w:val="1"/>
                <w:bCs w:val="1"/>
                <w:color w:val="auto"/>
              </w:rPr>
              <w:t>Diluted earnings (loss) per share</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$0.95</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$(7.23)</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50"/>
        </w:trPr>
        <w:tc>
          <w:tcPr>
            <w:tcW w:w="6080" w:type="dxa"/>
            <w:vAlign w:val="bottom"/>
            <w:tcBorders>
              <w:left w:val="single" w:sz="8" w:color="B8CCE4"/>
              <w:bottom w:val="single" w:sz="8" w:color="B8CCE4"/>
            </w:tcBorders>
          </w:tcPr>
          <w:p>
            <w:pPr>
              <w:spacing w:after="0"/>
              <w:rPr>
                <w:sz w:val="21"/>
                <w:szCs w:val="21"/>
                <w:color w:val="auto"/>
              </w:rPr>
            </w:pPr>
          </w:p>
        </w:tc>
        <w:tc>
          <w:tcPr>
            <w:tcW w:w="1760" w:type="dxa"/>
            <w:vAlign w:val="bottom"/>
            <w:tcBorders>
              <w:bottom w:val="single" w:sz="8" w:color="B8CCE4"/>
            </w:tcBorders>
          </w:tcPr>
          <w:p>
            <w:pPr>
              <w:spacing w:after="0"/>
              <w:rPr>
                <w:sz w:val="21"/>
                <w:szCs w:val="21"/>
                <w:color w:val="auto"/>
              </w:rPr>
            </w:pPr>
          </w:p>
        </w:tc>
        <w:tc>
          <w:tcPr>
            <w:tcW w:w="1780" w:type="dxa"/>
            <w:vAlign w:val="bottom"/>
            <w:tcBorders>
              <w:bottom w:val="single" w:sz="8" w:color="B8CCE4"/>
            </w:tcBorders>
          </w:tcPr>
          <w:p>
            <w:pPr>
              <w:spacing w:after="0"/>
              <w:rPr>
                <w:sz w:val="21"/>
                <w:szCs w:val="21"/>
                <w:color w:val="auto"/>
              </w:rPr>
            </w:pPr>
          </w:p>
        </w:tc>
        <w:tc>
          <w:tcPr>
            <w:tcW w:w="158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20"/>
                <w:szCs w:val="20"/>
                <w:b w:val="1"/>
                <w:bCs w:val="1"/>
                <w:color w:val="auto"/>
              </w:rPr>
              <w:t>Adjusted EBITDA</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$165.2</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$79.7</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107.3%</w:t>
            </w:r>
          </w:p>
        </w:tc>
        <w:tc>
          <w:tcPr>
            <w:tcW w:w="0" w:type="dxa"/>
            <w:vAlign w:val="bottom"/>
          </w:tcPr>
          <w:p>
            <w:pPr>
              <w:spacing w:after="0"/>
              <w:rPr>
                <w:sz w:val="1"/>
                <w:szCs w:val="1"/>
                <w:color w:val="auto"/>
              </w:rPr>
            </w:pPr>
          </w:p>
        </w:tc>
      </w:tr>
      <w:tr>
        <w:trPr>
          <w:trHeight w:val="236"/>
        </w:trPr>
        <w:tc>
          <w:tcPr>
            <w:tcW w:w="60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20"/>
                <w:szCs w:val="20"/>
                <w:b w:val="1"/>
                <w:bCs w:val="1"/>
                <w:color w:val="auto"/>
              </w:rPr>
              <w:t>Adjusted EBITDA margin</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10.1 %</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5.0 %</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510 bps</w:t>
            </w:r>
          </w:p>
        </w:tc>
        <w:tc>
          <w:tcPr>
            <w:tcW w:w="0" w:type="dxa"/>
            <w:vAlign w:val="bottom"/>
          </w:tcPr>
          <w:p>
            <w:pPr>
              <w:spacing w:after="0"/>
              <w:rPr>
                <w:sz w:val="1"/>
                <w:szCs w:val="1"/>
                <w:color w:val="auto"/>
              </w:rPr>
            </w:pPr>
          </w:p>
        </w:tc>
      </w:tr>
      <w:tr>
        <w:trPr>
          <w:trHeight w:val="237"/>
        </w:trPr>
        <w:tc>
          <w:tcPr>
            <w:tcW w:w="60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20"/>
                <w:szCs w:val="20"/>
                <w:b w:val="1"/>
                <w:bCs w:val="1"/>
                <w:color w:val="auto"/>
              </w:rPr>
              <w:t>Adjusted income (loss)</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$(14.5)</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$(60.0)</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36"/>
        </w:trPr>
        <w:tc>
          <w:tcPr>
            <w:tcW w:w="60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20"/>
                <w:szCs w:val="20"/>
                <w:b w:val="1"/>
                <w:bCs w:val="1"/>
                <w:color w:val="auto"/>
              </w:rPr>
              <w:t>Adjusted diluted earnings (loss) per share</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$(0.03)</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$(0.13)</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50"/>
        </w:trPr>
        <w:tc>
          <w:tcPr>
            <w:tcW w:w="6080" w:type="dxa"/>
            <w:vAlign w:val="bottom"/>
            <w:tcBorders>
              <w:left w:val="single" w:sz="8" w:color="B8CCE4"/>
              <w:bottom w:val="single" w:sz="8" w:color="B8CCE4"/>
            </w:tcBorders>
          </w:tcPr>
          <w:p>
            <w:pPr>
              <w:spacing w:after="0"/>
              <w:rPr>
                <w:sz w:val="21"/>
                <w:szCs w:val="21"/>
                <w:color w:val="auto"/>
              </w:rPr>
            </w:pPr>
          </w:p>
        </w:tc>
        <w:tc>
          <w:tcPr>
            <w:tcW w:w="1760" w:type="dxa"/>
            <w:vAlign w:val="bottom"/>
            <w:tcBorders>
              <w:bottom w:val="single" w:sz="8" w:color="B8CCE4"/>
            </w:tcBorders>
          </w:tcPr>
          <w:p>
            <w:pPr>
              <w:spacing w:after="0"/>
              <w:rPr>
                <w:sz w:val="21"/>
                <w:szCs w:val="21"/>
                <w:color w:val="auto"/>
              </w:rPr>
            </w:pPr>
          </w:p>
        </w:tc>
        <w:tc>
          <w:tcPr>
            <w:tcW w:w="1780" w:type="dxa"/>
            <w:vAlign w:val="bottom"/>
            <w:tcBorders>
              <w:bottom w:val="single" w:sz="8" w:color="B8CCE4"/>
            </w:tcBorders>
          </w:tcPr>
          <w:p>
            <w:pPr>
              <w:spacing w:after="0"/>
              <w:rPr>
                <w:sz w:val="21"/>
                <w:szCs w:val="21"/>
                <w:color w:val="auto"/>
              </w:rPr>
            </w:pPr>
          </w:p>
        </w:tc>
        <w:tc>
          <w:tcPr>
            <w:tcW w:w="158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20"/>
                <w:szCs w:val="20"/>
                <w:b w:val="1"/>
                <w:bCs w:val="1"/>
                <w:color w:val="auto"/>
              </w:rPr>
              <w:t>Inbound orders</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$1,722.1</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$1,538.4</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11.9%</w:t>
            </w:r>
          </w:p>
        </w:tc>
        <w:tc>
          <w:tcPr>
            <w:tcW w:w="0" w:type="dxa"/>
            <w:vAlign w:val="bottom"/>
          </w:tcPr>
          <w:p>
            <w:pPr>
              <w:spacing w:after="0"/>
              <w:rPr>
                <w:sz w:val="1"/>
                <w:szCs w:val="1"/>
                <w:color w:val="auto"/>
              </w:rPr>
            </w:pPr>
          </w:p>
        </w:tc>
      </w:tr>
      <w:tr>
        <w:trPr>
          <w:trHeight w:val="236"/>
        </w:trPr>
        <w:tc>
          <w:tcPr>
            <w:tcW w:w="608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20"/>
                <w:szCs w:val="20"/>
                <w:b w:val="1"/>
                <w:bCs w:val="1"/>
                <w:color w:val="auto"/>
              </w:rPr>
              <w:t>Backlog</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$7,221.4</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$8,195.5</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both"/>
        <w:ind w:left="100"/>
        <w:spacing w:after="0" w:line="241" w:lineRule="auto"/>
        <w:rPr>
          <w:sz w:val="20"/>
          <w:szCs w:val="20"/>
          <w:color w:val="auto"/>
        </w:rPr>
      </w:pPr>
      <w:r>
        <w:rPr>
          <w:rFonts w:ascii="Arial" w:cs="Arial" w:eastAsia="Arial" w:hAnsi="Arial"/>
          <w:sz w:val="20"/>
          <w:szCs w:val="20"/>
          <w:color w:val="auto"/>
        </w:rPr>
        <w:t>Total Company revenue in the first quarter was $1,632 million. Income from continuing operations attributable to TechnipFMC plc was $430.3 million, or $0.95 per diluted share. These results included income from the Company’s equity investment in Technip Energies of $470.1 million primarily related to a favorable change in fair market value. After-tax charges and credits totaled $444.8 million of credit, or $0.99 per diluted share. Adjusted loss from continuing operations was $14.5 million, or $0.03 per diluted share (Exhibit 6).</w:t>
      </w:r>
    </w:p>
    <w:p>
      <w:pPr>
        <w:spacing w:after="0" w:line="141" w:lineRule="exact"/>
        <w:rPr>
          <w:sz w:val="20"/>
          <w:szCs w:val="20"/>
          <w:color w:val="auto"/>
        </w:rPr>
      </w:pPr>
    </w:p>
    <w:p>
      <w:pPr>
        <w:jc w:val="both"/>
        <w:ind w:left="100" w:right="20"/>
        <w:spacing w:after="0" w:line="246" w:lineRule="auto"/>
        <w:rPr>
          <w:sz w:val="20"/>
          <w:szCs w:val="20"/>
          <w:color w:val="auto"/>
        </w:rPr>
      </w:pPr>
      <w:r>
        <w:rPr>
          <w:rFonts w:ascii="Arial" w:cs="Arial" w:eastAsia="Arial" w:hAnsi="Arial"/>
          <w:sz w:val="20"/>
          <w:szCs w:val="20"/>
          <w:color w:val="auto"/>
        </w:rPr>
        <w:t>Adjusted EBITDA, which excludes pre-tax charges and credits, was $165.2 million; adjusted EBITDA margin was 10.1 percent (Exhibit 7). Included in adjusted EBITDA was a foreign exchange gain of $28.1 million.</w:t>
      </w:r>
    </w:p>
    <w:p>
      <w:pPr>
        <w:spacing w:after="0" w:line="163" w:lineRule="exact"/>
        <w:rPr>
          <w:sz w:val="20"/>
          <w:szCs w:val="20"/>
          <w:color w:val="auto"/>
        </w:rPr>
      </w:pPr>
    </w:p>
    <w:p>
      <w:pPr>
        <w:jc w:val="both"/>
        <w:ind w:left="100" w:right="20"/>
        <w:spacing w:after="0" w:line="246" w:lineRule="auto"/>
        <w:rPr>
          <w:sz w:val="20"/>
          <w:szCs w:val="20"/>
          <w:color w:val="auto"/>
        </w:rPr>
      </w:pPr>
      <w:r>
        <w:rPr>
          <w:rFonts w:ascii="Arial" w:cs="Arial" w:eastAsia="Arial" w:hAnsi="Arial"/>
          <w:sz w:val="20"/>
          <w:szCs w:val="20"/>
          <w:color w:val="auto"/>
        </w:rPr>
        <w:t>As previously announced, on February 16, 2021, the Company completed the partial spin-off of Technip Energies to its shareholders. Financial results for Technip Energies are reported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140"/>
        <w:spacing w:after="0"/>
        <w:tabs>
          <w:tab w:leader="none" w:pos="104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 of 22</w:t>
      </w:r>
    </w:p>
    <w:p>
      <w:pPr>
        <w:sectPr>
          <w:pgSz w:w="11900" w:h="16838" w:orient="portrait"/>
          <w:cols w:equalWidth="0" w:num="1">
            <w:col w:w="11340"/>
          </w:cols>
          <w:pgMar w:left="220" w:top="1431" w:right="339" w:bottom="1440" w:gutter="0" w:footer="0" w:header="0"/>
        </w:sectPr>
      </w:pPr>
    </w:p>
    <w:bookmarkStart w:id="5" w:name="page6"/>
    <w:bookmarkEnd w:id="5"/>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r>
    </w:p>
    <w:p>
      <w:pPr>
        <w:jc w:val="both"/>
        <w:spacing w:after="0" w:line="241" w:lineRule="auto"/>
        <w:rPr>
          <w:sz w:val="20"/>
          <w:szCs w:val="20"/>
          <w:color w:val="auto"/>
        </w:rPr>
      </w:pPr>
      <w:r>
        <w:rPr>
          <w:rFonts w:ascii="Arial" w:cs="Arial" w:eastAsia="Arial" w:hAnsi="Arial"/>
          <w:sz w:val="20"/>
          <w:szCs w:val="20"/>
          <w:color w:val="auto"/>
        </w:rPr>
        <w:t>Doug Pferdehirt, Chairman and CEO of TechnipFMC, stated, “Our first quarter as a leading pure play, technology and services provider to both traditional and new energy industries was an exceptional start. Total Company adjusted EBITDA from continuing operations was $165 million, with free cash flow of $137 million. We delivered solid financial results in both Subsea and Surface Technologies, largely driven by strong operational execution. We also announced new strategic partnerships that will further progress the development of material opportunities for TechnipFMC in the energy transition.”</w:t>
      </w:r>
    </w:p>
    <w:p>
      <w:pPr>
        <w:spacing w:after="0" w:line="101" w:lineRule="exact"/>
        <w:rPr>
          <w:sz w:val="20"/>
          <w:szCs w:val="20"/>
          <w:color w:val="auto"/>
        </w:rPr>
      </w:pPr>
    </w:p>
    <w:p>
      <w:pPr>
        <w:jc w:val="both"/>
        <w:spacing w:after="0"/>
        <w:rPr>
          <w:sz w:val="20"/>
          <w:szCs w:val="20"/>
          <w:color w:val="auto"/>
        </w:rPr>
      </w:pPr>
      <w:r>
        <w:rPr>
          <w:rFonts w:ascii="Arial" w:cs="Arial" w:eastAsia="Arial" w:hAnsi="Arial"/>
          <w:sz w:val="20"/>
          <w:szCs w:val="20"/>
          <w:color w:val="auto"/>
        </w:rPr>
        <w:t>Pferdehirt added, “In Subsea, inbound orders more than doubled sequentially to $1.5 billion, with increased adoption of Subsea 2.0™ technologies. Integrated projects comprised nearly 40 percent of segment orders and included an award for Petronas’ first deepwater project, Limbayong, which will benefit from the seamless integration of both iEPCI™ and Subsea 2.0™. We also received a contract for manifolds for the Petrobras Marlim and Voador fields, which will utilize our all-electric robotic technology. Using digital automation and control, we can replace traditional subsea hydraulics, allowing for a more autonomous system that enables a significantly reduced carbon footprint.”</w:t>
      </w:r>
    </w:p>
    <w:p>
      <w:pPr>
        <w:spacing w:after="0" w:line="10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Surface Technologies, our international revenue mix continued to expand and represented nearly 70 percent of the segment in the quarter, driven by strength in the Middle East, North Sea and Asia Pacific. These markets demand higher specification equipment, global services and local capabilities, which are areas where we continue to further differentiate our offering. We believe our unique capabilities will allow us to extend our leadership positions in these more resilient markets.”</w:t>
      </w:r>
    </w:p>
    <w:p>
      <w:pPr>
        <w:spacing w:after="0" w:line="1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Pferdehirt continued, “Client conversations remain constructive, suggesting a further increase in activity. We see potential for a global recovery that is more sustainable than previous cycles, giving us confidence in our 2021 Subsea outlook of more than $4 billion in inbound orders and for continued growth in 2022. We believe that integrated project awards have the potential to more than double versus the prior year, and the combination of direct project and service-related orders could represent 50 percent of total inbound for the current year.”</w:t>
      </w:r>
    </w:p>
    <w:p>
      <w:pPr>
        <w:spacing w:after="0" w:line="101" w:lineRule="exact"/>
        <w:rPr>
          <w:sz w:val="20"/>
          <w:szCs w:val="20"/>
          <w:color w:val="auto"/>
        </w:rPr>
      </w:pPr>
    </w:p>
    <w:p>
      <w:pPr>
        <w:jc w:val="both"/>
        <w:spacing w:after="0"/>
        <w:rPr>
          <w:sz w:val="20"/>
          <w:szCs w:val="20"/>
          <w:color w:val="auto"/>
        </w:rPr>
      </w:pPr>
      <w:r>
        <w:rPr>
          <w:rFonts w:ascii="Arial" w:cs="Arial" w:eastAsia="Arial" w:hAnsi="Arial"/>
          <w:sz w:val="20"/>
          <w:szCs w:val="20"/>
          <w:color w:val="auto"/>
        </w:rPr>
        <w:t>Pferdehirt added, “We announced two strategic partnerships focused on the generation of renewable energy. There is strong market momentum towards offshore wind, with governments increasingly focused on opening new areas for development. Our new partnership with Magnora is pursuing offshore wind development opportunities, and we are working separately with Bombora to convert both wind and wave energy into renewable power. It is estimated that nearly 80 percent of the world’s offshore wind resources will come from deepwater where we will benefit from our significant installed base, domain expertise and history of subsea innovation.”</w:t>
      </w:r>
    </w:p>
    <w:p>
      <w:pPr>
        <w:spacing w:after="0" w:line="10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Pferdehirt concluded, “Our first quarter results provide us with a very strong start to the year in support of our 2021 commitments. Looking ahead, we expect robust and sustained activity across our businesses, supported by improving market fundamentals and our competitive differentiation. Importantly, we continue to leverage our unique capabilities and technologies to strategically position TechnipFMC for the development of new energy sources, using the very same playbook that led to the successful transformation of our Subsea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 of 22</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Operational and Financial Highlights</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Reconciliation of U.S. GAAP to non-GAAP financial measures are provided in financial schedules.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140" w:type="dxa"/>
            <w:vAlign w:val="bottom"/>
            <w:tcBorders>
              <w:top w:val="single" w:sz="8" w:color="B8CCE4"/>
              <w:left w:val="single" w:sz="8" w:color="B8CCE4"/>
              <w:right w:val="single" w:sz="8" w:color="B8CCE4"/>
            </w:tcBorders>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tcBorders>
              <w:top w:val="single" w:sz="8" w:color="B8CCE4"/>
              <w:right w:val="single" w:sz="8" w:color="B8CCE4"/>
            </w:tcBorders>
          </w:tcPr>
          <w:p>
            <w:pPr>
              <w:jc w:val="right"/>
              <w:ind w:right="468"/>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top w:val="single" w:sz="8" w:color="B8CCE4"/>
            </w:tcBorders>
          </w:tcPr>
          <w:p>
            <w:pPr>
              <w:spacing w:after="0"/>
              <w:rPr>
                <w:sz w:val="16"/>
                <w:szCs w:val="16"/>
                <w:color w:val="auto"/>
              </w:rPr>
            </w:pPr>
          </w:p>
        </w:tc>
        <w:tc>
          <w:tcPr>
            <w:tcW w:w="1760" w:type="dxa"/>
            <w:vAlign w:val="bottom"/>
            <w:tcBorders>
              <w:top w:val="single" w:sz="8" w:color="B8CCE4"/>
              <w:right w:val="single" w:sz="8" w:color="B8CCE4"/>
            </w:tcBorders>
          </w:tcPr>
          <w:p>
            <w:pPr>
              <w:jc w:val="right"/>
              <w:ind w:right="548"/>
              <w:spacing w:after="0"/>
              <w:rPr>
                <w:sz w:val="20"/>
                <w:szCs w:val="20"/>
                <w:color w:val="auto"/>
              </w:rPr>
            </w:pPr>
            <w:r>
              <w:rPr>
                <w:rFonts w:ascii="Arial" w:cs="Arial" w:eastAsia="Arial" w:hAnsi="Arial"/>
                <w:sz w:val="14"/>
                <w:szCs w:val="14"/>
                <w:b w:val="1"/>
                <w:bCs w:val="1"/>
                <w:color w:val="auto"/>
              </w:rPr>
              <w:t>March 31,</w:t>
            </w:r>
          </w:p>
        </w:tc>
        <w:tc>
          <w:tcPr>
            <w:tcW w:w="280" w:type="dxa"/>
            <w:vAlign w:val="bottom"/>
            <w:tcBorders>
              <w:top w:val="single" w:sz="8" w:color="B8CCE4"/>
            </w:tcBorders>
          </w:tcPr>
          <w:p>
            <w:pPr>
              <w:spacing w:after="0"/>
              <w:rPr>
                <w:sz w:val="16"/>
                <w:szCs w:val="16"/>
                <w:color w:val="auto"/>
              </w:rPr>
            </w:pPr>
          </w:p>
        </w:tc>
        <w:tc>
          <w:tcPr>
            <w:tcW w:w="1240" w:type="dxa"/>
            <w:vAlign w:val="bottom"/>
            <w:tcBorders>
              <w:top w:val="single" w:sz="8" w:color="B8CCE4"/>
              <w:right w:val="single" w:sz="8" w:color="B8CCE4"/>
            </w:tcBorders>
          </w:tcPr>
          <w:p>
            <w:pPr>
              <w:spacing w:after="0"/>
              <w:rPr>
                <w:sz w:val="16"/>
                <w:szCs w:val="16"/>
                <w:color w:val="auto"/>
              </w:rPr>
            </w:pPr>
          </w:p>
        </w:tc>
      </w:tr>
      <w:tr>
        <w:trPr>
          <w:trHeight w:val="202"/>
        </w:trPr>
        <w:tc>
          <w:tcPr>
            <w:tcW w:w="6140" w:type="dxa"/>
            <w:vAlign w:val="bottom"/>
            <w:tcBorders>
              <w:left w:val="single" w:sz="8" w:color="B8CCE4"/>
              <w:bottom w:val="single" w:sz="8" w:color="B8CCE4"/>
              <w:right w:val="single" w:sz="8" w:color="B8CCE4"/>
            </w:tcBorders>
          </w:tcPr>
          <w:p>
            <w:pPr>
              <w:ind w:left="60"/>
              <w:spacing w:after="0"/>
              <w:rPr>
                <w:sz w:val="20"/>
                <w:szCs w:val="20"/>
                <w:color w:val="auto"/>
              </w:rPr>
            </w:pPr>
            <w:r>
              <w:rPr>
                <w:rFonts w:ascii="Arial" w:cs="Arial" w:eastAsia="Arial" w:hAnsi="Arial"/>
                <w:sz w:val="14"/>
                <w:szCs w:val="14"/>
                <w:b w:val="1"/>
                <w:bCs w:val="1"/>
                <w:color w:val="auto"/>
              </w:rPr>
              <w:t>(In millions)</w:t>
            </w:r>
          </w:p>
        </w:tc>
        <w:tc>
          <w:tcPr>
            <w:tcW w:w="1740" w:type="dxa"/>
            <w:vAlign w:val="bottom"/>
            <w:tcBorders>
              <w:bottom w:val="single" w:sz="8" w:color="B8CCE4"/>
              <w:right w:val="single" w:sz="8" w:color="B8CCE4"/>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860" w:type="dxa"/>
            <w:vAlign w:val="bottom"/>
            <w:tcBorders>
              <w:bottom w:val="single" w:sz="8" w:color="B8CCE4"/>
              <w:right w:val="single" w:sz="8" w:color="B8CCE4"/>
            </w:tcBorders>
            <w:gridSpan w:val="2"/>
          </w:tcPr>
          <w:p>
            <w:pPr>
              <w:jc w:val="right"/>
              <w:ind w:right="72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B8CCE4"/>
            </w:tcBorders>
          </w:tcPr>
          <w:p>
            <w:pPr>
              <w:spacing w:after="0"/>
              <w:rPr>
                <w:sz w:val="17"/>
                <w:szCs w:val="17"/>
                <w:color w:val="auto"/>
              </w:rPr>
            </w:pPr>
          </w:p>
        </w:tc>
        <w:tc>
          <w:tcPr>
            <w:tcW w:w="1240" w:type="dxa"/>
            <w:vAlign w:val="bottom"/>
            <w:tcBorders>
              <w:bottom w:val="single" w:sz="8" w:color="B8CCE4"/>
              <w:right w:val="single" w:sz="8" w:color="B8CCE4"/>
            </w:tcBorders>
          </w:tcPr>
          <w:p>
            <w:pPr>
              <w:jc w:val="center"/>
              <w:ind w:right="223"/>
              <w:spacing w:after="0"/>
              <w:rPr>
                <w:sz w:val="20"/>
                <w:szCs w:val="20"/>
                <w:color w:val="auto"/>
              </w:rPr>
            </w:pPr>
            <w:r>
              <w:rPr>
                <w:rFonts w:ascii="Arial" w:cs="Arial" w:eastAsia="Arial" w:hAnsi="Arial"/>
                <w:sz w:val="14"/>
                <w:szCs w:val="14"/>
                <w:b w:val="1"/>
                <w:bCs w:val="1"/>
                <w:color w:val="auto"/>
              </w:rPr>
              <w:t>Change</w:t>
            </w:r>
          </w:p>
        </w:tc>
      </w:tr>
      <w:tr>
        <w:trPr>
          <w:trHeight w:val="237"/>
        </w:trPr>
        <w:tc>
          <w:tcPr>
            <w:tcW w:w="6140" w:type="dxa"/>
            <w:vAlign w:val="bottom"/>
            <w:tcBorders>
              <w:left w:val="single" w:sz="8" w:color="B8CCE4"/>
              <w:bottom w:val="single" w:sz="8" w:color="B8CCE4"/>
              <w:right w:val="single" w:sz="8" w:color="B8CCE4"/>
            </w:tcBorders>
          </w:tcPr>
          <w:p>
            <w:pPr>
              <w:ind w:left="60"/>
              <w:spacing w:after="0"/>
              <w:rPr>
                <w:sz w:val="20"/>
                <w:szCs w:val="20"/>
                <w:color w:val="auto"/>
              </w:rPr>
            </w:pPr>
            <w:r>
              <w:rPr>
                <w:rFonts w:ascii="Arial" w:cs="Arial" w:eastAsia="Arial" w:hAnsi="Arial"/>
                <w:sz w:val="20"/>
                <w:szCs w:val="20"/>
                <w:b w:val="1"/>
                <w:bCs w:val="1"/>
                <w:color w:val="auto"/>
              </w:rPr>
              <w:t>Revenue</w:t>
            </w:r>
          </w:p>
        </w:tc>
        <w:tc>
          <w:tcPr>
            <w:tcW w:w="17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$1,386.5</w:t>
            </w:r>
          </w:p>
        </w:tc>
        <w:tc>
          <w:tcPr>
            <w:tcW w:w="1860" w:type="dxa"/>
            <w:vAlign w:val="bottom"/>
            <w:tcBorders>
              <w:bottom w:val="single" w:sz="8" w:color="B8CCE4"/>
              <w:right w:val="single" w:sz="8" w:color="B8CCE4"/>
            </w:tcBorders>
            <w:gridSpan w:val="2"/>
          </w:tcPr>
          <w:p>
            <w:pPr>
              <w:jc w:val="right"/>
              <w:spacing w:after="0"/>
              <w:rPr>
                <w:sz w:val="20"/>
                <w:szCs w:val="20"/>
                <w:color w:val="auto"/>
              </w:rPr>
            </w:pPr>
            <w:r>
              <w:rPr>
                <w:rFonts w:ascii="Arial" w:cs="Arial" w:eastAsia="Arial" w:hAnsi="Arial"/>
                <w:sz w:val="20"/>
                <w:szCs w:val="20"/>
                <w:color w:val="auto"/>
              </w:rPr>
              <w:t>$1,253.1</w:t>
            </w:r>
          </w:p>
        </w:tc>
        <w:tc>
          <w:tcPr>
            <w:tcW w:w="280" w:type="dxa"/>
            <w:vAlign w:val="bottom"/>
            <w:tcBorders>
              <w:bottom w:val="single" w:sz="8" w:color="B8CCE4"/>
            </w:tcBorders>
          </w:tcPr>
          <w:p>
            <w:pPr>
              <w:spacing w:after="0"/>
              <w:rPr>
                <w:sz w:val="20"/>
                <w:szCs w:val="20"/>
                <w:color w:val="auto"/>
              </w:rPr>
            </w:pPr>
          </w:p>
        </w:tc>
        <w:tc>
          <w:tcPr>
            <w:tcW w:w="1240" w:type="dxa"/>
            <w:vAlign w:val="bottom"/>
            <w:tcBorders>
              <w:bottom w:val="single" w:sz="8" w:color="B8CCE4"/>
              <w:right w:val="single" w:sz="8" w:color="B8CCE4"/>
            </w:tcBorders>
          </w:tcPr>
          <w:p>
            <w:pPr>
              <w:jc w:val="right"/>
              <w:ind w:right="403"/>
              <w:spacing w:after="0"/>
              <w:rPr>
                <w:sz w:val="20"/>
                <w:szCs w:val="20"/>
                <w:color w:val="auto"/>
              </w:rPr>
            </w:pPr>
            <w:r>
              <w:rPr>
                <w:rFonts w:ascii="Arial" w:cs="Arial" w:eastAsia="Arial" w:hAnsi="Arial"/>
                <w:sz w:val="20"/>
                <w:szCs w:val="20"/>
                <w:color w:val="auto"/>
              </w:rPr>
              <w:t>10.6%</w:t>
            </w:r>
          </w:p>
        </w:tc>
      </w:tr>
      <w:tr>
        <w:trPr>
          <w:trHeight w:val="237"/>
        </w:trPr>
        <w:tc>
          <w:tcPr>
            <w:tcW w:w="6140" w:type="dxa"/>
            <w:vAlign w:val="bottom"/>
            <w:tcBorders>
              <w:left w:val="single" w:sz="8" w:color="B8CCE4"/>
              <w:bottom w:val="single" w:sz="8" w:color="B8CCE4"/>
              <w:right w:val="single" w:sz="8" w:color="B8CCE4"/>
            </w:tcBorders>
          </w:tcPr>
          <w:p>
            <w:pPr>
              <w:ind w:left="60"/>
              <w:spacing w:after="0"/>
              <w:rPr>
                <w:sz w:val="20"/>
                <w:szCs w:val="20"/>
                <w:color w:val="auto"/>
              </w:rPr>
            </w:pPr>
            <w:r>
              <w:rPr>
                <w:rFonts w:ascii="Arial" w:cs="Arial" w:eastAsia="Arial" w:hAnsi="Arial"/>
                <w:sz w:val="20"/>
                <w:szCs w:val="20"/>
                <w:b w:val="1"/>
                <w:bCs w:val="1"/>
                <w:color w:val="auto"/>
              </w:rPr>
              <w:t>Operating profit (loss)</w:t>
            </w:r>
          </w:p>
        </w:tc>
        <w:tc>
          <w:tcPr>
            <w:tcW w:w="17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$37.0</w:t>
            </w:r>
          </w:p>
        </w:tc>
        <w:tc>
          <w:tcPr>
            <w:tcW w:w="1860" w:type="dxa"/>
            <w:vAlign w:val="bottom"/>
            <w:tcBorders>
              <w:bottom w:val="single" w:sz="8" w:color="B8CCE4"/>
              <w:right w:val="single" w:sz="8" w:color="B8CCE4"/>
            </w:tcBorders>
            <w:gridSpan w:val="2"/>
          </w:tcPr>
          <w:p>
            <w:pPr>
              <w:jc w:val="right"/>
              <w:spacing w:after="0"/>
              <w:rPr>
                <w:sz w:val="20"/>
                <w:szCs w:val="20"/>
                <w:color w:val="auto"/>
              </w:rPr>
            </w:pPr>
            <w:r>
              <w:rPr>
                <w:rFonts w:ascii="Arial" w:cs="Arial" w:eastAsia="Arial" w:hAnsi="Arial"/>
                <w:sz w:val="20"/>
                <w:szCs w:val="20"/>
                <w:color w:val="auto"/>
              </w:rPr>
              <w:t>$(2,750.7)</w:t>
            </w:r>
          </w:p>
        </w:tc>
        <w:tc>
          <w:tcPr>
            <w:tcW w:w="280" w:type="dxa"/>
            <w:vAlign w:val="bottom"/>
            <w:tcBorders>
              <w:bottom w:val="single" w:sz="8" w:color="B8CCE4"/>
            </w:tcBorders>
          </w:tcPr>
          <w:p>
            <w:pPr>
              <w:spacing w:after="0"/>
              <w:rPr>
                <w:sz w:val="20"/>
                <w:szCs w:val="20"/>
                <w:color w:val="auto"/>
              </w:rPr>
            </w:pPr>
          </w:p>
        </w:tc>
        <w:tc>
          <w:tcPr>
            <w:tcW w:w="1240" w:type="dxa"/>
            <w:vAlign w:val="bottom"/>
            <w:tcBorders>
              <w:bottom w:val="single" w:sz="8" w:color="B8CCE4"/>
              <w:right w:val="single" w:sz="8" w:color="B8CCE4"/>
            </w:tcBorders>
          </w:tcPr>
          <w:p>
            <w:pPr>
              <w:jc w:val="center"/>
              <w:ind w:right="223"/>
              <w:spacing w:after="0"/>
              <w:rPr>
                <w:sz w:val="20"/>
                <w:szCs w:val="20"/>
                <w:color w:val="auto"/>
              </w:rPr>
            </w:pPr>
            <w:r>
              <w:rPr>
                <w:rFonts w:ascii="Arial" w:cs="Arial" w:eastAsia="Arial" w:hAnsi="Arial"/>
                <w:sz w:val="20"/>
                <w:szCs w:val="20"/>
                <w:color w:val="auto"/>
                <w:w w:val="95"/>
              </w:rPr>
              <w:t>n/m</w:t>
            </w:r>
          </w:p>
        </w:tc>
      </w:tr>
      <w:tr>
        <w:trPr>
          <w:trHeight w:val="236"/>
        </w:trPr>
        <w:tc>
          <w:tcPr>
            <w:tcW w:w="6140" w:type="dxa"/>
            <w:vAlign w:val="bottom"/>
            <w:tcBorders>
              <w:left w:val="single" w:sz="8" w:color="B8CCE4"/>
              <w:bottom w:val="single" w:sz="8" w:color="B8CCE4"/>
              <w:right w:val="single" w:sz="8" w:color="B8CCE4"/>
            </w:tcBorders>
          </w:tcPr>
          <w:p>
            <w:pPr>
              <w:ind w:left="60"/>
              <w:spacing w:after="0"/>
              <w:rPr>
                <w:sz w:val="20"/>
                <w:szCs w:val="20"/>
                <w:color w:val="auto"/>
              </w:rPr>
            </w:pPr>
            <w:r>
              <w:rPr>
                <w:rFonts w:ascii="Arial" w:cs="Arial" w:eastAsia="Arial" w:hAnsi="Arial"/>
                <w:sz w:val="20"/>
                <w:szCs w:val="20"/>
                <w:b w:val="1"/>
                <w:bCs w:val="1"/>
                <w:color w:val="auto"/>
              </w:rPr>
              <w:t>Adjusted EBITDA</w:t>
            </w:r>
          </w:p>
        </w:tc>
        <w:tc>
          <w:tcPr>
            <w:tcW w:w="17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$135.1</w:t>
            </w:r>
          </w:p>
        </w:tc>
        <w:tc>
          <w:tcPr>
            <w:tcW w:w="1860" w:type="dxa"/>
            <w:vAlign w:val="bottom"/>
            <w:tcBorders>
              <w:bottom w:val="single" w:sz="8" w:color="B8CCE4"/>
              <w:right w:val="single" w:sz="8" w:color="B8CCE4"/>
            </w:tcBorders>
            <w:gridSpan w:val="2"/>
          </w:tcPr>
          <w:p>
            <w:pPr>
              <w:jc w:val="right"/>
              <w:spacing w:after="0"/>
              <w:rPr>
                <w:sz w:val="20"/>
                <w:szCs w:val="20"/>
                <w:color w:val="auto"/>
              </w:rPr>
            </w:pPr>
            <w:r>
              <w:rPr>
                <w:rFonts w:ascii="Arial" w:cs="Arial" w:eastAsia="Arial" w:hAnsi="Arial"/>
                <w:sz w:val="20"/>
                <w:szCs w:val="20"/>
                <w:color w:val="auto"/>
              </w:rPr>
              <w:t>$104.8</w:t>
            </w:r>
          </w:p>
        </w:tc>
        <w:tc>
          <w:tcPr>
            <w:tcW w:w="280" w:type="dxa"/>
            <w:vAlign w:val="bottom"/>
            <w:tcBorders>
              <w:bottom w:val="single" w:sz="8" w:color="B8CCE4"/>
            </w:tcBorders>
          </w:tcPr>
          <w:p>
            <w:pPr>
              <w:spacing w:after="0"/>
              <w:rPr>
                <w:sz w:val="20"/>
                <w:szCs w:val="20"/>
                <w:color w:val="auto"/>
              </w:rPr>
            </w:pPr>
          </w:p>
        </w:tc>
        <w:tc>
          <w:tcPr>
            <w:tcW w:w="1240" w:type="dxa"/>
            <w:vAlign w:val="bottom"/>
            <w:tcBorders>
              <w:bottom w:val="single" w:sz="8" w:color="B8CCE4"/>
              <w:right w:val="single" w:sz="8" w:color="B8CCE4"/>
            </w:tcBorders>
          </w:tcPr>
          <w:p>
            <w:pPr>
              <w:jc w:val="right"/>
              <w:ind w:right="403"/>
              <w:spacing w:after="0"/>
              <w:rPr>
                <w:sz w:val="20"/>
                <w:szCs w:val="20"/>
                <w:color w:val="auto"/>
              </w:rPr>
            </w:pPr>
            <w:r>
              <w:rPr>
                <w:rFonts w:ascii="Arial" w:cs="Arial" w:eastAsia="Arial" w:hAnsi="Arial"/>
                <w:sz w:val="20"/>
                <w:szCs w:val="20"/>
                <w:color w:val="auto"/>
              </w:rPr>
              <w:t>28.9%</w:t>
            </w:r>
          </w:p>
        </w:tc>
      </w:tr>
      <w:tr>
        <w:trPr>
          <w:trHeight w:val="237"/>
        </w:trPr>
        <w:tc>
          <w:tcPr>
            <w:tcW w:w="6140" w:type="dxa"/>
            <w:vAlign w:val="bottom"/>
            <w:tcBorders>
              <w:left w:val="single" w:sz="8" w:color="B8CCE4"/>
              <w:bottom w:val="single" w:sz="8" w:color="B8CCE4"/>
              <w:right w:val="single" w:sz="8" w:color="B8CCE4"/>
            </w:tcBorders>
          </w:tcPr>
          <w:p>
            <w:pPr>
              <w:ind w:left="60"/>
              <w:spacing w:after="0"/>
              <w:rPr>
                <w:sz w:val="20"/>
                <w:szCs w:val="20"/>
                <w:color w:val="auto"/>
              </w:rPr>
            </w:pPr>
            <w:r>
              <w:rPr>
                <w:rFonts w:ascii="Arial" w:cs="Arial" w:eastAsia="Arial" w:hAnsi="Arial"/>
                <w:sz w:val="20"/>
                <w:szCs w:val="20"/>
                <w:b w:val="1"/>
                <w:bCs w:val="1"/>
                <w:color w:val="auto"/>
              </w:rPr>
              <w:t>Adjusted EBITDA margin</w:t>
            </w:r>
          </w:p>
        </w:tc>
        <w:tc>
          <w:tcPr>
            <w:tcW w:w="17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9.7 %</w:t>
            </w:r>
          </w:p>
        </w:tc>
        <w:tc>
          <w:tcPr>
            <w:tcW w:w="1860" w:type="dxa"/>
            <w:vAlign w:val="bottom"/>
            <w:tcBorders>
              <w:bottom w:val="single" w:sz="8" w:color="B8CCE4"/>
              <w:right w:val="single" w:sz="8" w:color="B8CCE4"/>
            </w:tcBorders>
            <w:gridSpan w:val="2"/>
          </w:tcPr>
          <w:p>
            <w:pPr>
              <w:jc w:val="right"/>
              <w:spacing w:after="0"/>
              <w:rPr>
                <w:sz w:val="20"/>
                <w:szCs w:val="20"/>
                <w:color w:val="auto"/>
              </w:rPr>
            </w:pPr>
            <w:r>
              <w:rPr>
                <w:rFonts w:ascii="Arial" w:cs="Arial" w:eastAsia="Arial" w:hAnsi="Arial"/>
                <w:sz w:val="20"/>
                <w:szCs w:val="20"/>
                <w:color w:val="auto"/>
              </w:rPr>
              <w:t>8.4 %</w:t>
            </w:r>
          </w:p>
        </w:tc>
        <w:tc>
          <w:tcPr>
            <w:tcW w:w="280" w:type="dxa"/>
            <w:vAlign w:val="bottom"/>
            <w:tcBorders>
              <w:bottom w:val="single" w:sz="8" w:color="B8CCE4"/>
            </w:tcBorders>
          </w:tcPr>
          <w:p>
            <w:pPr>
              <w:spacing w:after="0"/>
              <w:rPr>
                <w:sz w:val="20"/>
                <w:szCs w:val="20"/>
                <w:color w:val="auto"/>
              </w:rPr>
            </w:pPr>
          </w:p>
        </w:tc>
        <w:tc>
          <w:tcPr>
            <w:tcW w:w="1240" w:type="dxa"/>
            <w:vAlign w:val="bottom"/>
            <w:tcBorders>
              <w:bottom w:val="single" w:sz="8" w:color="B8CCE4"/>
              <w:right w:val="single" w:sz="8" w:color="B8CCE4"/>
            </w:tcBorders>
          </w:tcPr>
          <w:p>
            <w:pPr>
              <w:jc w:val="center"/>
              <w:ind w:right="243"/>
              <w:spacing w:after="0"/>
              <w:rPr>
                <w:sz w:val="20"/>
                <w:szCs w:val="20"/>
                <w:color w:val="auto"/>
              </w:rPr>
            </w:pPr>
            <w:r>
              <w:rPr>
                <w:rFonts w:ascii="Arial" w:cs="Arial" w:eastAsia="Arial" w:hAnsi="Arial"/>
                <w:sz w:val="20"/>
                <w:szCs w:val="20"/>
                <w:color w:val="auto"/>
                <w:w w:val="98"/>
              </w:rPr>
              <w:t>130 bps</w:t>
            </w:r>
          </w:p>
        </w:tc>
      </w:tr>
      <w:tr>
        <w:trPr>
          <w:trHeight w:val="250"/>
        </w:trPr>
        <w:tc>
          <w:tcPr>
            <w:tcW w:w="6140" w:type="dxa"/>
            <w:vAlign w:val="bottom"/>
            <w:tcBorders>
              <w:left w:val="single" w:sz="8" w:color="B8CCE4"/>
              <w:bottom w:val="single" w:sz="8" w:color="B8CCE4"/>
            </w:tcBorders>
          </w:tcPr>
          <w:p>
            <w:pPr>
              <w:spacing w:after="0"/>
              <w:rPr>
                <w:sz w:val="21"/>
                <w:szCs w:val="21"/>
                <w:color w:val="auto"/>
              </w:rPr>
            </w:pPr>
          </w:p>
        </w:tc>
        <w:tc>
          <w:tcPr>
            <w:tcW w:w="1740" w:type="dxa"/>
            <w:vAlign w:val="bottom"/>
            <w:tcBorders>
              <w:bottom w:val="single" w:sz="8" w:color="B8CCE4"/>
            </w:tcBorders>
          </w:tcPr>
          <w:p>
            <w:pPr>
              <w:spacing w:after="0"/>
              <w:rPr>
                <w:sz w:val="21"/>
                <w:szCs w:val="21"/>
                <w:color w:val="auto"/>
              </w:rPr>
            </w:pPr>
          </w:p>
        </w:tc>
        <w:tc>
          <w:tcPr>
            <w:tcW w:w="100" w:type="dxa"/>
            <w:vAlign w:val="bottom"/>
            <w:tcBorders>
              <w:bottom w:val="single" w:sz="8" w:color="B8CCE4"/>
            </w:tcBorders>
          </w:tcPr>
          <w:p>
            <w:pPr>
              <w:spacing w:after="0"/>
              <w:rPr>
                <w:sz w:val="21"/>
                <w:szCs w:val="21"/>
                <w:color w:val="auto"/>
              </w:rPr>
            </w:pPr>
          </w:p>
        </w:tc>
        <w:tc>
          <w:tcPr>
            <w:tcW w:w="1760" w:type="dxa"/>
            <w:vAlign w:val="bottom"/>
            <w:tcBorders>
              <w:bottom w:val="single" w:sz="8" w:color="B8CCE4"/>
            </w:tcBorders>
          </w:tcPr>
          <w:p>
            <w:pPr>
              <w:spacing w:after="0"/>
              <w:rPr>
                <w:sz w:val="21"/>
                <w:szCs w:val="21"/>
                <w:color w:val="auto"/>
              </w:rPr>
            </w:pPr>
          </w:p>
        </w:tc>
        <w:tc>
          <w:tcPr>
            <w:tcW w:w="28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right w:val="single" w:sz="8" w:color="B8CCE4"/>
            </w:tcBorders>
          </w:tcPr>
          <w:p>
            <w:pPr>
              <w:spacing w:after="0"/>
              <w:rPr>
                <w:sz w:val="21"/>
                <w:szCs w:val="21"/>
                <w:color w:val="auto"/>
              </w:rPr>
            </w:pPr>
          </w:p>
        </w:tc>
      </w:tr>
      <w:tr>
        <w:trPr>
          <w:trHeight w:val="237"/>
        </w:trPr>
        <w:tc>
          <w:tcPr>
            <w:tcW w:w="6140" w:type="dxa"/>
            <w:vAlign w:val="bottom"/>
            <w:tcBorders>
              <w:left w:val="single" w:sz="8" w:color="B8CCE4"/>
              <w:bottom w:val="single" w:sz="8" w:color="B8CCE4"/>
              <w:right w:val="single" w:sz="8" w:color="B8CCE4"/>
            </w:tcBorders>
          </w:tcPr>
          <w:p>
            <w:pPr>
              <w:ind w:left="60"/>
              <w:spacing w:after="0"/>
              <w:rPr>
                <w:sz w:val="20"/>
                <w:szCs w:val="20"/>
                <w:color w:val="auto"/>
              </w:rPr>
            </w:pPr>
            <w:r>
              <w:rPr>
                <w:rFonts w:ascii="Arial" w:cs="Arial" w:eastAsia="Arial" w:hAnsi="Arial"/>
                <w:sz w:val="20"/>
                <w:szCs w:val="20"/>
                <w:b w:val="1"/>
                <w:bCs w:val="1"/>
                <w:color w:val="auto"/>
              </w:rPr>
              <w:t>Inbound orders</w:t>
            </w:r>
          </w:p>
        </w:tc>
        <w:tc>
          <w:tcPr>
            <w:tcW w:w="17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$1,518.8</w:t>
            </w:r>
          </w:p>
        </w:tc>
        <w:tc>
          <w:tcPr>
            <w:tcW w:w="1860" w:type="dxa"/>
            <w:vAlign w:val="bottom"/>
            <w:tcBorders>
              <w:bottom w:val="single" w:sz="8" w:color="B8CCE4"/>
              <w:right w:val="single" w:sz="8" w:color="B8CCE4"/>
            </w:tcBorders>
            <w:gridSpan w:val="2"/>
          </w:tcPr>
          <w:p>
            <w:pPr>
              <w:jc w:val="right"/>
              <w:spacing w:after="0"/>
              <w:rPr>
                <w:sz w:val="20"/>
                <w:szCs w:val="20"/>
                <w:color w:val="auto"/>
              </w:rPr>
            </w:pPr>
            <w:r>
              <w:rPr>
                <w:rFonts w:ascii="Arial" w:cs="Arial" w:eastAsia="Arial" w:hAnsi="Arial"/>
                <w:sz w:val="20"/>
                <w:szCs w:val="20"/>
                <w:color w:val="auto"/>
              </w:rPr>
              <w:t>$1,172.1</w:t>
            </w:r>
          </w:p>
        </w:tc>
        <w:tc>
          <w:tcPr>
            <w:tcW w:w="280" w:type="dxa"/>
            <w:vAlign w:val="bottom"/>
            <w:tcBorders>
              <w:bottom w:val="single" w:sz="8" w:color="B8CCE4"/>
            </w:tcBorders>
          </w:tcPr>
          <w:p>
            <w:pPr>
              <w:spacing w:after="0"/>
              <w:rPr>
                <w:sz w:val="20"/>
                <w:szCs w:val="20"/>
                <w:color w:val="auto"/>
              </w:rPr>
            </w:pPr>
          </w:p>
        </w:tc>
        <w:tc>
          <w:tcPr>
            <w:tcW w:w="1240" w:type="dxa"/>
            <w:vAlign w:val="bottom"/>
            <w:tcBorders>
              <w:bottom w:val="single" w:sz="8" w:color="B8CCE4"/>
              <w:right w:val="single" w:sz="8" w:color="B8CCE4"/>
            </w:tcBorders>
          </w:tcPr>
          <w:p>
            <w:pPr>
              <w:jc w:val="right"/>
              <w:ind w:right="403"/>
              <w:spacing w:after="0"/>
              <w:rPr>
                <w:sz w:val="20"/>
                <w:szCs w:val="20"/>
                <w:color w:val="auto"/>
              </w:rPr>
            </w:pPr>
            <w:r>
              <w:rPr>
                <w:rFonts w:ascii="Arial" w:cs="Arial" w:eastAsia="Arial" w:hAnsi="Arial"/>
                <w:sz w:val="20"/>
                <w:szCs w:val="20"/>
                <w:color w:val="auto"/>
              </w:rPr>
              <w:t>29.6%</w:t>
            </w:r>
          </w:p>
        </w:tc>
      </w:tr>
      <w:tr>
        <w:trPr>
          <w:trHeight w:val="237"/>
        </w:trPr>
        <w:tc>
          <w:tcPr>
            <w:tcW w:w="6140" w:type="dxa"/>
            <w:vAlign w:val="bottom"/>
            <w:tcBorders>
              <w:left w:val="single" w:sz="8" w:color="B8CCE4"/>
              <w:bottom w:val="single" w:sz="8" w:color="B8CCE4"/>
              <w:right w:val="single" w:sz="8" w:color="B8CCE4"/>
            </w:tcBorders>
          </w:tcPr>
          <w:p>
            <w:pPr>
              <w:ind w:left="60"/>
              <w:spacing w:after="0" w:line="236" w:lineRule="exact"/>
              <w:rPr>
                <w:sz w:val="20"/>
                <w:szCs w:val="20"/>
                <w:color w:val="auto"/>
              </w:rPr>
            </w:pPr>
            <w:r>
              <w:rPr>
                <w:rFonts w:ascii="Arial" w:cs="Arial" w:eastAsia="Arial" w:hAnsi="Arial"/>
                <w:sz w:val="20"/>
                <w:szCs w:val="20"/>
                <w:b w:val="1"/>
                <w:bCs w:val="1"/>
                <w:color w:val="auto"/>
              </w:rPr>
              <w:t>Backlog</w:t>
            </w:r>
            <w:r>
              <w:rPr>
                <w:rFonts w:ascii="Arial" w:cs="Arial" w:eastAsia="Arial" w:hAnsi="Arial"/>
                <w:sz w:val="25"/>
                <w:szCs w:val="25"/>
                <w:b w:val="1"/>
                <w:bCs w:val="1"/>
                <w:color w:val="auto"/>
                <w:vertAlign w:val="superscript"/>
              </w:rPr>
              <w:t>1,2,3</w:t>
            </w:r>
          </w:p>
        </w:tc>
        <w:tc>
          <w:tcPr>
            <w:tcW w:w="17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$6,857.1</w:t>
            </w:r>
          </w:p>
        </w:tc>
        <w:tc>
          <w:tcPr>
            <w:tcW w:w="1860" w:type="dxa"/>
            <w:vAlign w:val="bottom"/>
            <w:tcBorders>
              <w:bottom w:val="single" w:sz="8" w:color="B8CCE4"/>
              <w:right w:val="single" w:sz="8" w:color="B8CCE4"/>
            </w:tcBorders>
            <w:gridSpan w:val="2"/>
          </w:tcPr>
          <w:p>
            <w:pPr>
              <w:jc w:val="right"/>
              <w:spacing w:after="0"/>
              <w:rPr>
                <w:sz w:val="20"/>
                <w:szCs w:val="20"/>
                <w:color w:val="auto"/>
              </w:rPr>
            </w:pPr>
            <w:r>
              <w:rPr>
                <w:rFonts w:ascii="Arial" w:cs="Arial" w:eastAsia="Arial" w:hAnsi="Arial"/>
                <w:sz w:val="20"/>
                <w:szCs w:val="20"/>
                <w:color w:val="auto"/>
              </w:rPr>
              <w:t>$7,773.5</w:t>
            </w:r>
          </w:p>
        </w:tc>
        <w:tc>
          <w:tcPr>
            <w:tcW w:w="280" w:type="dxa"/>
            <w:vAlign w:val="bottom"/>
            <w:tcBorders>
              <w:bottom w:val="single" w:sz="8" w:color="B8CCE4"/>
            </w:tcBorders>
          </w:tcPr>
          <w:p>
            <w:pPr>
              <w:spacing w:after="0"/>
              <w:rPr>
                <w:sz w:val="20"/>
                <w:szCs w:val="20"/>
                <w:color w:val="auto"/>
              </w:rPr>
            </w:pPr>
          </w:p>
        </w:tc>
        <w:tc>
          <w:tcPr>
            <w:tcW w:w="1240" w:type="dxa"/>
            <w:vAlign w:val="bottom"/>
            <w:tcBorders>
              <w:bottom w:val="single" w:sz="8" w:color="B8CCE4"/>
              <w:right w:val="single" w:sz="8" w:color="B8CCE4"/>
            </w:tcBorders>
          </w:tcPr>
          <w:p>
            <w:pPr>
              <w:jc w:val="right"/>
              <w:ind w:right="343"/>
              <w:spacing w:after="0"/>
              <w:rPr>
                <w:sz w:val="20"/>
                <w:szCs w:val="20"/>
                <w:color w:val="auto"/>
              </w:rPr>
            </w:pPr>
            <w:r>
              <w:rPr>
                <w:rFonts w:ascii="Arial" w:cs="Arial" w:eastAsia="Arial" w:hAnsi="Arial"/>
                <w:sz w:val="20"/>
                <w:szCs w:val="20"/>
                <w:color w:val="auto"/>
              </w:rPr>
              <w:t>(11.8%)</w:t>
            </w:r>
          </w:p>
        </w:tc>
      </w:tr>
      <w:tr>
        <w:trPr>
          <w:trHeight w:val="372"/>
        </w:trPr>
        <w:tc>
          <w:tcPr>
            <w:tcW w:w="6140" w:type="dxa"/>
            <w:vAlign w:val="bottom"/>
            <w:tcBorders>
              <w:bottom w:val="single" w:sz="8" w:color="B8CCE4"/>
            </w:tcBorders>
          </w:tcPr>
          <w:p>
            <w:pPr>
              <w:spacing w:after="0"/>
              <w:rPr>
                <w:sz w:val="24"/>
                <w:szCs w:val="24"/>
                <w:color w:val="auto"/>
              </w:rPr>
            </w:pPr>
          </w:p>
        </w:tc>
        <w:tc>
          <w:tcPr>
            <w:tcW w:w="1740" w:type="dxa"/>
            <w:vAlign w:val="bottom"/>
            <w:tcBorders>
              <w:bottom w:val="single" w:sz="8" w:color="B8CCE4"/>
            </w:tcBorders>
          </w:tcPr>
          <w:p>
            <w:pPr>
              <w:spacing w:after="0"/>
              <w:rPr>
                <w:sz w:val="24"/>
                <w:szCs w:val="24"/>
                <w:color w:val="auto"/>
              </w:rPr>
            </w:pPr>
          </w:p>
        </w:tc>
        <w:tc>
          <w:tcPr>
            <w:tcW w:w="100" w:type="dxa"/>
            <w:vAlign w:val="bottom"/>
            <w:tcBorders>
              <w:bottom w:val="single" w:sz="8" w:color="B8CCE4"/>
            </w:tcBorders>
          </w:tcPr>
          <w:p>
            <w:pPr>
              <w:spacing w:after="0"/>
              <w:rPr>
                <w:sz w:val="24"/>
                <w:szCs w:val="24"/>
                <w:color w:val="auto"/>
              </w:rPr>
            </w:pPr>
          </w:p>
        </w:tc>
        <w:tc>
          <w:tcPr>
            <w:tcW w:w="2040" w:type="dxa"/>
            <w:vAlign w:val="bottom"/>
            <w:tcBorders>
              <w:bottom w:val="single" w:sz="8" w:color="B8CCE4"/>
            </w:tcBorders>
            <w:gridSpan w:val="2"/>
          </w:tcPr>
          <w:p>
            <w:pPr>
              <w:spacing w:after="0"/>
              <w:rPr>
                <w:sz w:val="24"/>
                <w:szCs w:val="24"/>
                <w:color w:val="auto"/>
              </w:rPr>
            </w:pPr>
          </w:p>
        </w:tc>
        <w:tc>
          <w:tcPr>
            <w:tcW w:w="1240" w:type="dxa"/>
            <w:vAlign w:val="bottom"/>
            <w:tcBorders>
              <w:bottom w:val="single" w:sz="8" w:color="B8CCE4"/>
            </w:tcBorders>
          </w:tcPr>
          <w:p>
            <w:pPr>
              <w:spacing w:after="0"/>
              <w:rPr>
                <w:sz w:val="24"/>
                <w:szCs w:val="24"/>
                <w:color w:val="auto"/>
              </w:rPr>
            </w:pPr>
          </w:p>
        </w:tc>
      </w:tr>
      <w:tr>
        <w:trPr>
          <w:trHeight w:val="169"/>
        </w:trPr>
        <w:tc>
          <w:tcPr>
            <w:tcW w:w="6140" w:type="dxa"/>
            <w:vAlign w:val="bottom"/>
          </w:tcPr>
          <w:p>
            <w:pPr>
              <w:ind w:left="40"/>
              <w:spacing w:after="0"/>
              <w:rPr>
                <w:sz w:val="20"/>
                <w:szCs w:val="20"/>
                <w:color w:val="auto"/>
              </w:rPr>
            </w:pPr>
            <w:r>
              <w:rPr>
                <w:rFonts w:ascii="Arial" w:cs="Arial" w:eastAsia="Arial" w:hAnsi="Arial"/>
                <w:sz w:val="14"/>
                <w:szCs w:val="14"/>
                <w:b w:val="1"/>
                <w:bCs w:val="1"/>
                <w:color w:val="auto"/>
              </w:rPr>
              <w:t>Estimated Consolidated Backlog Scheduling</w:t>
            </w:r>
          </w:p>
        </w:tc>
        <w:tc>
          <w:tcPr>
            <w:tcW w:w="1740" w:type="dxa"/>
            <w:vAlign w:val="bottom"/>
          </w:tcPr>
          <w:p>
            <w:pPr>
              <w:spacing w:after="0"/>
              <w:rPr>
                <w:sz w:val="14"/>
                <w:szCs w:val="14"/>
                <w:color w:val="auto"/>
              </w:rPr>
            </w:pPr>
          </w:p>
        </w:tc>
        <w:tc>
          <w:tcPr>
            <w:tcW w:w="100" w:type="dxa"/>
            <w:vAlign w:val="bottom"/>
            <w:tcBorders>
              <w:right w:val="single" w:sz="8" w:color="B8CCE4"/>
            </w:tcBorders>
          </w:tcPr>
          <w:p>
            <w:pPr>
              <w:spacing w:after="0"/>
              <w:rPr>
                <w:sz w:val="14"/>
                <w:szCs w:val="14"/>
                <w:color w:val="auto"/>
              </w:rPr>
            </w:pPr>
          </w:p>
        </w:tc>
        <w:tc>
          <w:tcPr>
            <w:tcW w:w="2040" w:type="dxa"/>
            <w:vAlign w:val="bottom"/>
            <w:gridSpan w:val="2"/>
          </w:tcPr>
          <w:p>
            <w:pPr>
              <w:jc w:val="center"/>
              <w:ind w:left="1068"/>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right w:val="single" w:sz="8" w:color="B8CCE4"/>
            </w:tcBorders>
          </w:tcPr>
          <w:p>
            <w:pPr>
              <w:spacing w:after="0"/>
              <w:rPr>
                <w:sz w:val="14"/>
                <w:szCs w:val="14"/>
                <w:color w:val="auto"/>
              </w:rPr>
            </w:pPr>
          </w:p>
        </w:tc>
      </w:tr>
      <w:tr>
        <w:trPr>
          <w:trHeight w:val="176"/>
        </w:trPr>
        <w:tc>
          <w:tcPr>
            <w:tcW w:w="6140" w:type="dxa"/>
            <w:vAlign w:val="bottom"/>
            <w:tcBorders>
              <w:bottom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40" w:type="dxa"/>
            <w:vAlign w:val="bottom"/>
            <w:tcBorders>
              <w:bottom w:val="single" w:sz="8" w:color="B8CCE4"/>
            </w:tcBorders>
          </w:tcPr>
          <w:p>
            <w:pPr>
              <w:spacing w:after="0"/>
              <w:rPr>
                <w:sz w:val="15"/>
                <w:szCs w:val="15"/>
                <w:color w:val="auto"/>
              </w:rPr>
            </w:pPr>
          </w:p>
        </w:tc>
        <w:tc>
          <w:tcPr>
            <w:tcW w:w="100" w:type="dxa"/>
            <w:vAlign w:val="bottom"/>
            <w:tcBorders>
              <w:bottom w:val="single" w:sz="8" w:color="B8CCE4"/>
              <w:right w:val="single" w:sz="8" w:color="B8CCE4"/>
            </w:tcBorders>
          </w:tcPr>
          <w:p>
            <w:pPr>
              <w:spacing w:after="0"/>
              <w:rPr>
                <w:sz w:val="15"/>
                <w:szCs w:val="15"/>
                <w:color w:val="auto"/>
              </w:rPr>
            </w:pPr>
          </w:p>
        </w:tc>
        <w:tc>
          <w:tcPr>
            <w:tcW w:w="2040" w:type="dxa"/>
            <w:vAlign w:val="bottom"/>
            <w:tcBorders>
              <w:bottom w:val="single" w:sz="8" w:color="B8CCE4"/>
            </w:tcBorders>
            <w:gridSpan w:val="2"/>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bottom w:val="single" w:sz="8" w:color="B8CCE4"/>
              <w:right w:val="single" w:sz="8" w:color="B8CCE4"/>
            </w:tcBorders>
          </w:tcPr>
          <w:p>
            <w:pPr>
              <w:spacing w:after="0"/>
              <w:rPr>
                <w:sz w:val="15"/>
                <w:szCs w:val="15"/>
                <w:color w:val="auto"/>
              </w:rPr>
            </w:pPr>
          </w:p>
        </w:tc>
      </w:tr>
      <w:tr>
        <w:trPr>
          <w:trHeight w:val="236"/>
        </w:trPr>
        <w:tc>
          <w:tcPr>
            <w:tcW w:w="6140" w:type="dxa"/>
            <w:vAlign w:val="bottom"/>
            <w:tcBorders>
              <w:bottom w:val="single" w:sz="8" w:color="B8CCE4"/>
            </w:tcBorders>
          </w:tcPr>
          <w:p>
            <w:pPr>
              <w:ind w:left="40"/>
              <w:spacing w:after="0"/>
              <w:rPr>
                <w:sz w:val="20"/>
                <w:szCs w:val="20"/>
                <w:color w:val="auto"/>
              </w:rPr>
            </w:pPr>
            <w:r>
              <w:rPr>
                <w:rFonts w:ascii="Arial" w:cs="Arial" w:eastAsia="Arial" w:hAnsi="Arial"/>
                <w:sz w:val="20"/>
                <w:szCs w:val="20"/>
                <w:b w:val="1"/>
                <w:bCs w:val="1"/>
                <w:color w:val="auto"/>
              </w:rPr>
              <w:t>2021</w:t>
            </w:r>
          </w:p>
        </w:tc>
        <w:tc>
          <w:tcPr>
            <w:tcW w:w="1740" w:type="dxa"/>
            <w:vAlign w:val="bottom"/>
            <w:tcBorders>
              <w:bottom w:val="single" w:sz="8" w:color="B8CCE4"/>
            </w:tcBorders>
          </w:tcPr>
          <w:p>
            <w:pPr>
              <w:spacing w:after="0"/>
              <w:rPr>
                <w:sz w:val="20"/>
                <w:szCs w:val="20"/>
                <w:color w:val="auto"/>
              </w:rPr>
            </w:pPr>
          </w:p>
        </w:tc>
        <w:tc>
          <w:tcPr>
            <w:tcW w:w="100" w:type="dxa"/>
            <w:vAlign w:val="bottom"/>
            <w:tcBorders>
              <w:bottom w:val="single" w:sz="8" w:color="B8CCE4"/>
              <w:right w:val="single" w:sz="8" w:color="B8CCE4"/>
            </w:tcBorders>
          </w:tcPr>
          <w:p>
            <w:pPr>
              <w:spacing w:after="0"/>
              <w:rPr>
                <w:sz w:val="20"/>
                <w:szCs w:val="20"/>
                <w:color w:val="auto"/>
              </w:rPr>
            </w:pPr>
          </w:p>
        </w:tc>
        <w:tc>
          <w:tcPr>
            <w:tcW w:w="1760" w:type="dxa"/>
            <w:vAlign w:val="bottom"/>
            <w:tcBorders>
              <w:bottom w:val="single" w:sz="8" w:color="B8CCE4"/>
            </w:tcBorders>
          </w:tcPr>
          <w:p>
            <w:pPr>
              <w:spacing w:after="0"/>
              <w:rPr>
                <w:sz w:val="20"/>
                <w:szCs w:val="20"/>
                <w:color w:val="auto"/>
              </w:rPr>
            </w:pPr>
          </w:p>
        </w:tc>
        <w:tc>
          <w:tcPr>
            <w:tcW w:w="280" w:type="dxa"/>
            <w:vAlign w:val="bottom"/>
            <w:tcBorders>
              <w:bottom w:val="single" w:sz="8" w:color="B8CCE4"/>
            </w:tcBorders>
          </w:tcPr>
          <w:p>
            <w:pPr>
              <w:spacing w:after="0"/>
              <w:rPr>
                <w:sz w:val="20"/>
                <w:szCs w:val="20"/>
                <w:color w:val="auto"/>
              </w:rPr>
            </w:pPr>
          </w:p>
        </w:tc>
        <w:tc>
          <w:tcPr>
            <w:tcW w:w="12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$2,954</w:t>
            </w:r>
          </w:p>
        </w:tc>
      </w:tr>
      <w:tr>
        <w:trPr>
          <w:trHeight w:val="237"/>
        </w:trPr>
        <w:tc>
          <w:tcPr>
            <w:tcW w:w="6140" w:type="dxa"/>
            <w:vAlign w:val="bottom"/>
            <w:tcBorders>
              <w:bottom w:val="single" w:sz="8" w:color="B8CCE4"/>
            </w:tcBorders>
          </w:tcPr>
          <w:p>
            <w:pPr>
              <w:ind w:left="40"/>
              <w:spacing w:after="0"/>
              <w:rPr>
                <w:sz w:val="20"/>
                <w:szCs w:val="20"/>
                <w:color w:val="auto"/>
              </w:rPr>
            </w:pPr>
            <w:r>
              <w:rPr>
                <w:rFonts w:ascii="Arial" w:cs="Arial" w:eastAsia="Arial" w:hAnsi="Arial"/>
                <w:sz w:val="20"/>
                <w:szCs w:val="20"/>
                <w:b w:val="1"/>
                <w:bCs w:val="1"/>
                <w:color w:val="auto"/>
              </w:rPr>
              <w:t>2022</w:t>
            </w:r>
          </w:p>
        </w:tc>
        <w:tc>
          <w:tcPr>
            <w:tcW w:w="1740" w:type="dxa"/>
            <w:vAlign w:val="bottom"/>
            <w:tcBorders>
              <w:bottom w:val="single" w:sz="8" w:color="B8CCE4"/>
            </w:tcBorders>
          </w:tcPr>
          <w:p>
            <w:pPr>
              <w:spacing w:after="0"/>
              <w:rPr>
                <w:sz w:val="20"/>
                <w:szCs w:val="20"/>
                <w:color w:val="auto"/>
              </w:rPr>
            </w:pPr>
          </w:p>
        </w:tc>
        <w:tc>
          <w:tcPr>
            <w:tcW w:w="100" w:type="dxa"/>
            <w:vAlign w:val="bottom"/>
            <w:tcBorders>
              <w:bottom w:val="single" w:sz="8" w:color="B8CCE4"/>
              <w:right w:val="single" w:sz="8" w:color="B8CCE4"/>
            </w:tcBorders>
          </w:tcPr>
          <w:p>
            <w:pPr>
              <w:spacing w:after="0"/>
              <w:rPr>
                <w:sz w:val="20"/>
                <w:szCs w:val="20"/>
                <w:color w:val="auto"/>
              </w:rPr>
            </w:pPr>
          </w:p>
        </w:tc>
        <w:tc>
          <w:tcPr>
            <w:tcW w:w="1760" w:type="dxa"/>
            <w:vAlign w:val="bottom"/>
            <w:tcBorders>
              <w:bottom w:val="single" w:sz="8" w:color="B8CCE4"/>
            </w:tcBorders>
          </w:tcPr>
          <w:p>
            <w:pPr>
              <w:spacing w:after="0"/>
              <w:rPr>
                <w:sz w:val="20"/>
                <w:szCs w:val="20"/>
                <w:color w:val="auto"/>
              </w:rPr>
            </w:pPr>
          </w:p>
        </w:tc>
        <w:tc>
          <w:tcPr>
            <w:tcW w:w="280" w:type="dxa"/>
            <w:vAlign w:val="bottom"/>
            <w:tcBorders>
              <w:bottom w:val="single" w:sz="8" w:color="B8CCE4"/>
            </w:tcBorders>
          </w:tcPr>
          <w:p>
            <w:pPr>
              <w:spacing w:after="0"/>
              <w:rPr>
                <w:sz w:val="20"/>
                <w:szCs w:val="20"/>
                <w:color w:val="auto"/>
              </w:rPr>
            </w:pPr>
          </w:p>
        </w:tc>
        <w:tc>
          <w:tcPr>
            <w:tcW w:w="12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$2,534</w:t>
            </w:r>
          </w:p>
        </w:tc>
      </w:tr>
      <w:tr>
        <w:trPr>
          <w:trHeight w:val="236"/>
        </w:trPr>
        <w:tc>
          <w:tcPr>
            <w:tcW w:w="6140" w:type="dxa"/>
            <w:vAlign w:val="bottom"/>
            <w:tcBorders>
              <w:bottom w:val="single" w:sz="8" w:color="B8CCE4"/>
            </w:tcBorders>
          </w:tcPr>
          <w:p>
            <w:pPr>
              <w:ind w:left="40"/>
              <w:spacing w:after="0"/>
              <w:rPr>
                <w:sz w:val="20"/>
                <w:szCs w:val="20"/>
                <w:color w:val="auto"/>
              </w:rPr>
            </w:pPr>
            <w:r>
              <w:rPr>
                <w:rFonts w:ascii="Arial" w:cs="Arial" w:eastAsia="Arial" w:hAnsi="Arial"/>
                <w:sz w:val="20"/>
                <w:szCs w:val="20"/>
                <w:b w:val="1"/>
                <w:bCs w:val="1"/>
                <w:color w:val="auto"/>
              </w:rPr>
              <w:t>2023 and beyond</w:t>
            </w:r>
          </w:p>
        </w:tc>
        <w:tc>
          <w:tcPr>
            <w:tcW w:w="1740" w:type="dxa"/>
            <w:vAlign w:val="bottom"/>
            <w:tcBorders>
              <w:bottom w:val="single" w:sz="8" w:color="B8CCE4"/>
            </w:tcBorders>
          </w:tcPr>
          <w:p>
            <w:pPr>
              <w:spacing w:after="0"/>
              <w:rPr>
                <w:sz w:val="20"/>
                <w:szCs w:val="20"/>
                <w:color w:val="auto"/>
              </w:rPr>
            </w:pPr>
          </w:p>
        </w:tc>
        <w:tc>
          <w:tcPr>
            <w:tcW w:w="100" w:type="dxa"/>
            <w:vAlign w:val="bottom"/>
            <w:tcBorders>
              <w:bottom w:val="single" w:sz="8" w:color="B8CCE4"/>
              <w:right w:val="single" w:sz="8" w:color="B8CCE4"/>
            </w:tcBorders>
          </w:tcPr>
          <w:p>
            <w:pPr>
              <w:spacing w:after="0"/>
              <w:rPr>
                <w:sz w:val="20"/>
                <w:szCs w:val="20"/>
                <w:color w:val="auto"/>
              </w:rPr>
            </w:pPr>
          </w:p>
        </w:tc>
        <w:tc>
          <w:tcPr>
            <w:tcW w:w="1760" w:type="dxa"/>
            <w:vAlign w:val="bottom"/>
            <w:tcBorders>
              <w:bottom w:val="single" w:sz="8" w:color="B8CCE4"/>
            </w:tcBorders>
          </w:tcPr>
          <w:p>
            <w:pPr>
              <w:spacing w:after="0"/>
              <w:rPr>
                <w:sz w:val="20"/>
                <w:szCs w:val="20"/>
                <w:color w:val="auto"/>
              </w:rPr>
            </w:pPr>
          </w:p>
        </w:tc>
        <w:tc>
          <w:tcPr>
            <w:tcW w:w="280" w:type="dxa"/>
            <w:vAlign w:val="bottom"/>
            <w:tcBorders>
              <w:bottom w:val="single" w:sz="8" w:color="B8CCE4"/>
            </w:tcBorders>
          </w:tcPr>
          <w:p>
            <w:pPr>
              <w:spacing w:after="0"/>
              <w:rPr>
                <w:sz w:val="20"/>
                <w:szCs w:val="20"/>
                <w:color w:val="auto"/>
              </w:rPr>
            </w:pPr>
          </w:p>
        </w:tc>
        <w:tc>
          <w:tcPr>
            <w:tcW w:w="12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$1,369</w:t>
            </w:r>
          </w:p>
        </w:tc>
      </w:tr>
      <w:tr>
        <w:trPr>
          <w:trHeight w:val="237"/>
        </w:trPr>
        <w:tc>
          <w:tcPr>
            <w:tcW w:w="6140" w:type="dxa"/>
            <w:vAlign w:val="bottom"/>
            <w:tcBorders>
              <w:bottom w:val="single" w:sz="8" w:color="B8CCE4"/>
            </w:tcBorders>
          </w:tcPr>
          <w:p>
            <w:pPr>
              <w:ind w:left="40"/>
              <w:spacing w:after="0"/>
              <w:rPr>
                <w:sz w:val="20"/>
                <w:szCs w:val="20"/>
                <w:color w:val="auto"/>
              </w:rPr>
            </w:pPr>
            <w:r>
              <w:rPr>
                <w:rFonts w:ascii="Arial" w:cs="Arial" w:eastAsia="Arial" w:hAnsi="Arial"/>
                <w:sz w:val="20"/>
                <w:szCs w:val="20"/>
                <w:b w:val="1"/>
                <w:bCs w:val="1"/>
                <w:color w:val="auto"/>
              </w:rPr>
              <w:t>Total</w:t>
            </w:r>
          </w:p>
        </w:tc>
        <w:tc>
          <w:tcPr>
            <w:tcW w:w="1740" w:type="dxa"/>
            <w:vAlign w:val="bottom"/>
            <w:tcBorders>
              <w:bottom w:val="single" w:sz="8" w:color="B8CCE4"/>
            </w:tcBorders>
          </w:tcPr>
          <w:p>
            <w:pPr>
              <w:spacing w:after="0"/>
              <w:rPr>
                <w:sz w:val="20"/>
                <w:szCs w:val="20"/>
                <w:color w:val="auto"/>
              </w:rPr>
            </w:pPr>
          </w:p>
        </w:tc>
        <w:tc>
          <w:tcPr>
            <w:tcW w:w="100" w:type="dxa"/>
            <w:vAlign w:val="bottom"/>
            <w:tcBorders>
              <w:bottom w:val="single" w:sz="8" w:color="B8CCE4"/>
              <w:right w:val="single" w:sz="8" w:color="B8CCE4"/>
            </w:tcBorders>
          </w:tcPr>
          <w:p>
            <w:pPr>
              <w:spacing w:after="0"/>
              <w:rPr>
                <w:sz w:val="20"/>
                <w:szCs w:val="20"/>
                <w:color w:val="auto"/>
              </w:rPr>
            </w:pPr>
          </w:p>
        </w:tc>
        <w:tc>
          <w:tcPr>
            <w:tcW w:w="1760" w:type="dxa"/>
            <w:vAlign w:val="bottom"/>
            <w:tcBorders>
              <w:bottom w:val="single" w:sz="8" w:color="B8CCE4"/>
            </w:tcBorders>
          </w:tcPr>
          <w:p>
            <w:pPr>
              <w:spacing w:after="0"/>
              <w:rPr>
                <w:sz w:val="20"/>
                <w:szCs w:val="20"/>
                <w:color w:val="auto"/>
              </w:rPr>
            </w:pPr>
          </w:p>
        </w:tc>
        <w:tc>
          <w:tcPr>
            <w:tcW w:w="280" w:type="dxa"/>
            <w:vAlign w:val="bottom"/>
            <w:tcBorders>
              <w:bottom w:val="single" w:sz="8" w:color="B8CCE4"/>
            </w:tcBorders>
          </w:tcPr>
          <w:p>
            <w:pPr>
              <w:spacing w:after="0"/>
              <w:rPr>
                <w:sz w:val="20"/>
                <w:szCs w:val="20"/>
                <w:color w:val="auto"/>
              </w:rPr>
            </w:pPr>
          </w:p>
        </w:tc>
        <w:tc>
          <w:tcPr>
            <w:tcW w:w="12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b w:val="1"/>
                <w:bCs w:val="1"/>
                <w:color w:val="auto"/>
              </w:rPr>
              <w:t>$6,857</w:t>
            </w:r>
          </w:p>
        </w:tc>
      </w:tr>
    </w:tbl>
    <w:p>
      <w:pPr>
        <w:ind w:left="120" w:hanging="94"/>
        <w:spacing w:after="0" w:line="208" w:lineRule="auto"/>
        <w:tabs>
          <w:tab w:leader="none" w:pos="120"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Backlog in the period was decreased by a foreign exchange impact of $131.3 million.</w:t>
      </w:r>
    </w:p>
    <w:p>
      <w:pPr>
        <w:spacing w:after="0" w:line="22" w:lineRule="exact"/>
        <w:rPr>
          <w:rFonts w:ascii="Arial" w:cs="Arial" w:eastAsia="Arial" w:hAnsi="Arial"/>
          <w:sz w:val="21"/>
          <w:szCs w:val="21"/>
          <w:i w:val="1"/>
          <w:iCs w:val="1"/>
          <w:color w:val="auto"/>
          <w:vertAlign w:val="superscript"/>
        </w:rPr>
      </w:pPr>
    </w:p>
    <w:p>
      <w:pPr>
        <w:ind w:left="20"/>
        <w:spacing w:after="0" w:line="214" w:lineRule="auto"/>
        <w:rPr>
          <w:rFonts w:ascii="Arial" w:cs="Arial" w:eastAsia="Arial" w:hAnsi="Arial"/>
          <w:sz w:val="21"/>
          <w:szCs w:val="21"/>
          <w:i w:val="1"/>
          <w:iCs w:val="1"/>
          <w:color w:val="auto"/>
          <w:vertAlign w:val="superscript"/>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 xml:space="preserve"> Backlog does not capture all revenue potential for Subsea Services.</w:t>
      </w:r>
    </w:p>
    <w:p>
      <w:pPr>
        <w:ind w:left="20"/>
        <w:spacing w:after="0"/>
        <w:rPr>
          <w:rFonts w:ascii="Arial" w:cs="Arial" w:eastAsia="Arial" w:hAnsi="Arial"/>
          <w:sz w:val="21"/>
          <w:szCs w:val="21"/>
          <w:i w:val="1"/>
          <w:iCs w:val="1"/>
          <w:color w:val="auto"/>
          <w:vertAlign w:val="superscript"/>
        </w:rPr>
      </w:pPr>
      <w:r>
        <w:rPr>
          <w:rFonts w:ascii="Arial" w:cs="Arial" w:eastAsia="Arial" w:hAnsi="Arial"/>
          <w:sz w:val="21"/>
          <w:szCs w:val="21"/>
          <w:i w:val="1"/>
          <w:iCs w:val="1"/>
          <w:color w:val="auto"/>
          <w:vertAlign w:val="superscript"/>
        </w:rPr>
        <w:t>3</w:t>
      </w:r>
      <w:r>
        <w:rPr>
          <w:rFonts w:ascii="Arial" w:cs="Arial" w:eastAsia="Arial" w:hAnsi="Arial"/>
          <w:sz w:val="16"/>
          <w:szCs w:val="16"/>
          <w:i w:val="1"/>
          <w:iCs w:val="1"/>
          <w:color w:val="auto"/>
        </w:rPr>
        <w:t xml:space="preserve"> Backlog does not include total Company non-consolidated backlog of $612 million.</w:t>
      </w:r>
    </w:p>
    <w:p>
      <w:pPr>
        <w:spacing w:after="0" w:line="37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Subsea reported first quarter revenue of $1,386.5 million, an increase of 10.6 percent from the prior year largely driven by higher project and services activity.</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Subsea reported an operating profit of $37 million that included impairment, restructuring and other charges totaling $19.7 million. Operating results improved versus the prior-year quarter primarily due to the significant reduction in non-cash impairment charges as well as cost reduction initiatives and increased installation activity.</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Adjusted EBITDA increased year-over-year due to cost reduction initiatives and increased installation activity; adjusted EBITDA margin improved 130 basis points to 9.7 percent.</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Sequentially, Subsea revenue increased 3.6 percent, benefiting from strong project execution from backlog. The geographic mix of projects also mitigated the seasonal decline in services activity.</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Operating results improved sequentially driven by increased manufacturing productivity which more than offset the impact of the services activity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3 of 22</w:t>
      </w:r>
    </w:p>
    <w:p>
      <w:pPr>
        <w:sectPr>
          <w:pgSz w:w="11900" w:h="16838" w:orient="portrait"/>
          <w:cols w:equalWidth="0" w:num="1">
            <w:col w:w="11240"/>
          </w:cols>
          <w:pgMar w:left="320" w:top="1408" w:right="339" w:bottom="1440" w:gutter="0" w:footer="0" w:header="0"/>
        </w:sectPr>
      </w:pPr>
    </w:p>
    <w:bookmarkStart w:id="7" w:name="page8"/>
    <w:bookmarkEnd w:id="7"/>
    <w:p>
      <w:pPr>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Subsea inbound orders were $1,518.8 million for the quarter, resulting in a book-to-bill of 1.1. The following awards were included in the period:</w:t>
      </w:r>
    </w:p>
    <w:p>
      <w:pPr>
        <w:spacing w:after="0" w:line="199"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North El Amriya and North Idku iEPCI™ Project </w:t>
      </w:r>
      <w:r>
        <w:rPr>
          <w:rFonts w:ascii="Arial" w:cs="Arial" w:eastAsia="Arial" w:hAnsi="Arial"/>
          <w:sz w:val="17"/>
          <w:szCs w:val="17"/>
          <w:b w:val="1"/>
          <w:bCs w:val="1"/>
          <w:color w:val="auto"/>
        </w:rPr>
        <w:t>(Egypt)</w:t>
      </w:r>
    </w:p>
    <w:p>
      <w:pPr>
        <w:spacing w:after="0" w:line="10" w:lineRule="exact"/>
        <w:rPr>
          <w:rFonts w:ascii="Arial" w:cs="Arial" w:eastAsia="Arial" w:hAnsi="Arial"/>
          <w:sz w:val="20"/>
          <w:szCs w:val="20"/>
          <w:b w:val="1"/>
          <w:bCs w:val="1"/>
          <w:i w:val="1"/>
          <w:iCs w:val="1"/>
          <w:color w:val="auto"/>
        </w:rPr>
      </w:pPr>
    </w:p>
    <w:p>
      <w:pPr>
        <w:jc w:val="both"/>
        <w:ind w:left="660"/>
        <w:spacing w:after="0" w:line="239" w:lineRule="auto"/>
        <w:rPr>
          <w:rFonts w:ascii="Arial" w:cs="Arial" w:eastAsia="Arial" w:hAnsi="Arial"/>
          <w:sz w:val="20"/>
          <w:szCs w:val="20"/>
          <w:b w:val="1"/>
          <w:bCs w:val="1"/>
          <w:i w:val="1"/>
          <w:iCs w:val="1"/>
          <w:color w:val="auto"/>
        </w:rPr>
      </w:pPr>
      <w:r>
        <w:rPr>
          <w:rFonts w:ascii="Arial" w:cs="Arial" w:eastAsia="Arial" w:hAnsi="Arial"/>
          <w:sz w:val="20"/>
          <w:szCs w:val="20"/>
          <w:color w:val="auto"/>
        </w:rPr>
        <w:t>Significant* integrated engineering, procurement, construction and installation (iEPCI™) contract from NIpetco and PetroAmriya, two Joint Ventures between Energean and Egyptian Natural Gas Holding Company (EGAS) and Egyptian General Petroleum Corporation (EGPC) for a subsea tieback located offshore Egypt on the North El Amriya and North Idku concession. TechnipFMC will design, manufacture, deliver and install subsea equipment including the subsea production system, subsea trees, production manifolds, umbilicals, flexible pipelines, jumpers and associated subsea and topside controls.</w:t>
      </w:r>
    </w:p>
    <w:p>
      <w:pPr>
        <w:spacing w:after="0" w:line="2" w:lineRule="exact"/>
        <w:rPr>
          <w:rFonts w:ascii="Arial" w:cs="Arial" w:eastAsia="Arial" w:hAnsi="Arial"/>
          <w:sz w:val="20"/>
          <w:szCs w:val="20"/>
          <w:b w:val="1"/>
          <w:bCs w:val="1"/>
          <w:i w:val="1"/>
          <w:iCs w:val="1"/>
          <w:color w:val="auto"/>
        </w:rPr>
      </w:pP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“significant” award ranges between $75 million and $250 million.</w:t>
      </w:r>
    </w:p>
    <w:p>
      <w:pPr>
        <w:spacing w:after="0" w:line="178"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PETRONAS Carigali Limbayong Deepwater Development Project </w:t>
      </w:r>
      <w:r>
        <w:rPr>
          <w:rFonts w:ascii="Arial" w:cs="Arial" w:eastAsia="Arial" w:hAnsi="Arial"/>
          <w:sz w:val="17"/>
          <w:szCs w:val="17"/>
          <w:b w:val="1"/>
          <w:bCs w:val="1"/>
          <w:color w:val="auto"/>
        </w:rPr>
        <w:t>(Malaysia)</w:t>
      </w:r>
    </w:p>
    <w:p>
      <w:pPr>
        <w:spacing w:after="0" w:line="10" w:lineRule="exact"/>
        <w:rPr>
          <w:rFonts w:ascii="Arial" w:cs="Arial" w:eastAsia="Arial" w:hAnsi="Arial"/>
          <w:sz w:val="20"/>
          <w:szCs w:val="20"/>
          <w:b w:val="1"/>
          <w:bCs w:val="1"/>
          <w:i w:val="1"/>
          <w:iCs w:val="1"/>
          <w:color w:val="auto"/>
        </w:rPr>
      </w:pPr>
    </w:p>
    <w:p>
      <w:pPr>
        <w:jc w:val="both"/>
        <w:ind w:left="660"/>
        <w:spacing w:after="0" w:line="239" w:lineRule="auto"/>
        <w:rPr>
          <w:rFonts w:ascii="Arial" w:cs="Arial" w:eastAsia="Arial" w:hAnsi="Arial"/>
          <w:sz w:val="20"/>
          <w:szCs w:val="20"/>
          <w:b w:val="1"/>
          <w:bCs w:val="1"/>
          <w:i w:val="1"/>
          <w:iCs w:val="1"/>
          <w:color w:val="auto"/>
        </w:rPr>
      </w:pPr>
      <w:r>
        <w:rPr>
          <w:rFonts w:ascii="Arial" w:cs="Arial" w:eastAsia="Arial" w:hAnsi="Arial"/>
          <w:sz w:val="20"/>
          <w:szCs w:val="20"/>
          <w:color w:val="auto"/>
        </w:rPr>
        <w:t>Substantial* contract for front-end engineering design, and integrated engineering, procurement, construction, installation and commissioning of subsea production system, umbilicals, risers and flowlines (iEPCI™) by PETRONAS Carigali, a subsidiary of PETRONAS, for the Limbayong Deepwater Development Project. This contract covers the development of 10 deepwater wells and their tieback to the Limbayong Floating Production Storage and Offloading (FPSO) unit in Malaysia. TechnipFMC will design, manufacture, deliver and install subsea equipment including subsea trees, manifolds, umbilicals, flexible riser, flowlines, jumpers and other associated subsea hardware for the project. The iEPCI™ contract combines our integrated subsea solution with our Subsea 2.0™ products, demonstrating the added value of our unique and complete integrated offering.</w:t>
      </w:r>
    </w:p>
    <w:p>
      <w:pPr>
        <w:spacing w:after="0" w:line="3" w:lineRule="exact"/>
        <w:rPr>
          <w:rFonts w:ascii="Arial" w:cs="Arial" w:eastAsia="Arial" w:hAnsi="Arial"/>
          <w:sz w:val="20"/>
          <w:szCs w:val="20"/>
          <w:b w:val="1"/>
          <w:bCs w:val="1"/>
          <w:i w:val="1"/>
          <w:iCs w:val="1"/>
          <w:color w:val="auto"/>
        </w:rPr>
      </w:pP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“substantial” award ranges between $250 million and $500 million.</w:t>
      </w:r>
    </w:p>
    <w:p>
      <w:pPr>
        <w:spacing w:after="0" w:line="164"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Energean Karish North Development iEPCI™ Project </w:t>
      </w:r>
      <w:r>
        <w:rPr>
          <w:rFonts w:ascii="Arial" w:cs="Arial" w:eastAsia="Arial" w:hAnsi="Arial"/>
          <w:sz w:val="17"/>
          <w:szCs w:val="17"/>
          <w:b w:val="1"/>
          <w:bCs w:val="1"/>
          <w:color w:val="auto"/>
        </w:rPr>
        <w:t>(Israel)</w:t>
      </w:r>
    </w:p>
    <w:p>
      <w:pPr>
        <w:spacing w:after="0" w:line="10" w:lineRule="exact"/>
        <w:rPr>
          <w:rFonts w:ascii="Arial" w:cs="Arial" w:eastAsia="Arial" w:hAnsi="Arial"/>
          <w:sz w:val="20"/>
          <w:szCs w:val="20"/>
          <w:b w:val="1"/>
          <w:bCs w:val="1"/>
          <w:i w:val="1"/>
          <w:iCs w:val="1"/>
          <w:color w:val="auto"/>
        </w:rPr>
      </w:pPr>
    </w:p>
    <w:p>
      <w:pPr>
        <w:jc w:val="both"/>
        <w:ind w:left="660"/>
        <w:spacing w:after="0" w:line="262" w:lineRule="auto"/>
        <w:rPr>
          <w:rFonts w:ascii="Arial" w:cs="Arial" w:eastAsia="Arial" w:hAnsi="Arial"/>
          <w:sz w:val="20"/>
          <w:szCs w:val="20"/>
          <w:b w:val="1"/>
          <w:bCs w:val="1"/>
          <w:i w:val="1"/>
          <w:iCs w:val="1"/>
          <w:color w:val="auto"/>
        </w:rPr>
      </w:pPr>
      <w:r>
        <w:rPr>
          <w:rFonts w:ascii="Arial" w:cs="Arial" w:eastAsia="Arial" w:hAnsi="Arial"/>
          <w:sz w:val="19"/>
          <w:szCs w:val="19"/>
          <w:color w:val="auto"/>
        </w:rPr>
        <w:t>Letter of Award (LOA) from Energean Israel Limited for the development of the Karish North field, located offshore Israel. TechnipFMC will design, manufacture, deliver and install subsea equipment including the subsea production system, rigid flowlines and umbilicals as a tieback to the ‘Energean Power’ FPSO as well as the second gas export riser.</w:t>
      </w:r>
    </w:p>
    <w:p>
      <w:pPr>
        <w:spacing w:after="0" w:line="164"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Petrobras Marlim and Voador Project </w:t>
      </w:r>
      <w:r>
        <w:rPr>
          <w:rFonts w:ascii="Arial" w:cs="Arial" w:eastAsia="Arial" w:hAnsi="Arial"/>
          <w:sz w:val="17"/>
          <w:szCs w:val="17"/>
          <w:b w:val="1"/>
          <w:bCs w:val="1"/>
          <w:color w:val="auto"/>
        </w:rPr>
        <w:t>(Brazil)</w:t>
      </w:r>
    </w:p>
    <w:p>
      <w:pPr>
        <w:spacing w:after="0" w:line="10" w:lineRule="exact"/>
        <w:rPr>
          <w:rFonts w:ascii="Arial" w:cs="Arial" w:eastAsia="Arial" w:hAnsi="Arial"/>
          <w:sz w:val="20"/>
          <w:szCs w:val="20"/>
          <w:b w:val="1"/>
          <w:bCs w:val="1"/>
          <w:i w:val="1"/>
          <w:iCs w:val="1"/>
          <w:color w:val="auto"/>
        </w:rPr>
      </w:pPr>
    </w:p>
    <w:p>
      <w:pPr>
        <w:jc w:val="both"/>
        <w:ind w:left="660"/>
        <w:spacing w:after="0" w:line="239" w:lineRule="auto"/>
        <w:rPr>
          <w:rFonts w:ascii="Arial" w:cs="Arial" w:eastAsia="Arial" w:hAnsi="Arial"/>
          <w:sz w:val="20"/>
          <w:szCs w:val="20"/>
          <w:b w:val="1"/>
          <w:bCs w:val="1"/>
          <w:i w:val="1"/>
          <w:iCs w:val="1"/>
          <w:color w:val="auto"/>
        </w:rPr>
      </w:pPr>
      <w:r>
        <w:rPr>
          <w:rFonts w:ascii="Arial" w:cs="Arial" w:eastAsia="Arial" w:hAnsi="Arial"/>
          <w:sz w:val="20"/>
          <w:szCs w:val="20"/>
          <w:color w:val="auto"/>
        </w:rPr>
        <w:t>Significant* contract from Petrobras for the Marlim and Voador fields offshore Brazil. TechnipFMC will supply up to eight manifolds for production and injection, utilizing the all-electric Robotic Valve Controller (RVC). The contract also includes associated tools, spares and services. The RVC is a unique robotic technology that replaces traditional subsea hydraulics, as well as thousands of mechanical parts, while providing real-time data and analysis on system performance. This results in a manifold that is smaller, less complex and less costly with a significantly reduced carbon footprint.</w:t>
      </w:r>
    </w:p>
    <w:p>
      <w:pPr>
        <w:spacing w:after="0" w:line="2" w:lineRule="exact"/>
        <w:rPr>
          <w:rFonts w:ascii="Arial" w:cs="Arial" w:eastAsia="Arial" w:hAnsi="Arial"/>
          <w:sz w:val="20"/>
          <w:szCs w:val="20"/>
          <w:b w:val="1"/>
          <w:bCs w:val="1"/>
          <w:i w:val="1"/>
          <w:iCs w:val="1"/>
          <w:color w:val="auto"/>
        </w:rPr>
      </w:pP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“significant” award ranges between $75 million and $250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4 of 22</w:t>
      </w:r>
    </w:p>
    <w:p>
      <w:pPr>
        <w:sectPr>
          <w:pgSz w:w="11900" w:h="16838" w:orient="portrait"/>
          <w:cols w:equalWidth="0" w:num="1">
            <w:col w:w="11240"/>
          </w:cols>
          <w:pgMar w:left="320" w:top="1432" w:right="339" w:bottom="1440" w:gutter="0" w:footer="0" w:header="0"/>
        </w:sectPr>
      </w:pPr>
    </w:p>
    <w:bookmarkStart w:id="8" w:name="page9"/>
    <w:bookmarkEnd w:id="8"/>
    <w:p>
      <w:pPr>
        <w:ind w:left="640" w:hanging="308"/>
        <w:spacing w:after="0"/>
        <w:tabs>
          <w:tab w:leader="none" w:pos="640" w:val="left"/>
        </w:tabs>
        <w:numPr>
          <w:ilvl w:val="0"/>
          <w:numId w:val="5"/>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 xml:space="preserve">Santos Barossa Project </w:t>
      </w:r>
      <w:r>
        <w:rPr>
          <w:rFonts w:ascii="Arial" w:cs="Arial" w:eastAsia="Arial" w:hAnsi="Arial"/>
          <w:sz w:val="17"/>
          <w:szCs w:val="17"/>
          <w:b w:val="1"/>
          <w:bCs w:val="1"/>
          <w:color w:val="auto"/>
        </w:rPr>
        <w:t>(Australia)</w:t>
      </w:r>
    </w:p>
    <w:p>
      <w:pPr>
        <w:spacing w:after="0" w:line="10" w:lineRule="exact"/>
        <w:rPr>
          <w:rFonts w:ascii="Arial" w:cs="Arial" w:eastAsia="Arial" w:hAnsi="Arial"/>
          <w:sz w:val="20"/>
          <w:szCs w:val="20"/>
          <w:b w:val="1"/>
          <w:bCs w:val="1"/>
          <w:i w:val="1"/>
          <w:iCs w:val="1"/>
          <w:color w:val="auto"/>
        </w:rPr>
      </w:pPr>
    </w:p>
    <w:p>
      <w:pPr>
        <w:jc w:val="both"/>
        <w:ind w:left="660"/>
        <w:spacing w:after="0" w:line="239" w:lineRule="auto"/>
        <w:rPr>
          <w:rFonts w:ascii="Arial" w:cs="Arial" w:eastAsia="Arial" w:hAnsi="Arial"/>
          <w:sz w:val="20"/>
          <w:szCs w:val="20"/>
          <w:b w:val="1"/>
          <w:bCs w:val="1"/>
          <w:i w:val="1"/>
          <w:iCs w:val="1"/>
          <w:color w:val="auto"/>
        </w:rPr>
      </w:pPr>
      <w:r>
        <w:rPr>
          <w:rFonts w:ascii="Arial" w:cs="Arial" w:eastAsia="Arial" w:hAnsi="Arial"/>
          <w:sz w:val="20"/>
          <w:szCs w:val="20"/>
          <w:color w:val="auto"/>
        </w:rPr>
        <w:t>Significant* Notice to Proceed for a subsea production system contract from Santos Ltd. for the Barossa project, located 300 kilometers north of Darwin, Australia. The contract scope covers the supply of subsea trees and associated control systems, manifolds and wellheads, as well as installation and commissioning support, which will help to extend the life of the existing Darwin LNG facility.</w:t>
      </w:r>
    </w:p>
    <w:p>
      <w:pPr>
        <w:spacing w:after="0" w:line="1" w:lineRule="exact"/>
        <w:rPr>
          <w:rFonts w:ascii="Arial" w:cs="Arial" w:eastAsia="Arial" w:hAnsi="Arial"/>
          <w:sz w:val="20"/>
          <w:szCs w:val="20"/>
          <w:b w:val="1"/>
          <w:bCs w:val="1"/>
          <w:i w:val="1"/>
          <w:iCs w:val="1"/>
          <w:color w:val="auto"/>
        </w:rPr>
      </w:pP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“significant” award ranges between $75 million and $250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Partnership and Alliance Highlights</w:t>
      </w:r>
    </w:p>
    <w:p>
      <w:pPr>
        <w:spacing w:after="0" w:line="205"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TechnipFMC and Magnora to Develop Floating Offshore Wind Projects</w:t>
      </w:r>
    </w:p>
    <w:p>
      <w:pPr>
        <w:spacing w:after="0" w:line="10" w:lineRule="exact"/>
        <w:rPr>
          <w:rFonts w:ascii="Arial" w:cs="Arial" w:eastAsia="Arial" w:hAnsi="Arial"/>
          <w:sz w:val="20"/>
          <w:szCs w:val="20"/>
          <w:b w:val="1"/>
          <w:bCs w:val="1"/>
          <w:i w:val="1"/>
          <w:iCs w:val="1"/>
          <w:color w:val="auto"/>
        </w:rPr>
      </w:pPr>
    </w:p>
    <w:p>
      <w:pPr>
        <w:jc w:val="both"/>
        <w:ind w:left="660"/>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Formed a partnership with Magnora ASA (Magnora) to jointly pursue floating offshore wind project development opportunities under the name Magnora Offshore Wind. Magnora holds a strategic position within the renewable energy sector as an owner in offshore wind, onshore wind, and solar development projects. When combined with TechnipFMC’s unique technologies, experience delivering integrated EPCI (iEPCI™) projects and its novel Deep Purple™ initiative to integrate wind and wave energy with offshore green hydrogen, this partnership will enable Magnora Offshore Wind to realize significant opportunities in the growing offshore floating wind market.</w:t>
      </w:r>
    </w:p>
    <w:p>
      <w:pPr>
        <w:spacing w:after="0" w:line="189"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TechnipFMC and Bombora to Develop Floating Wave, Wind Power Project</w:t>
      </w:r>
    </w:p>
    <w:p>
      <w:pPr>
        <w:spacing w:after="0" w:line="10"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20"/>
          <w:szCs w:val="20"/>
          <w:color w:val="auto"/>
        </w:rPr>
        <w:t>Formed a strategic partnership with Bombora to develop a floating wave and wind power project in support of a more sustainable future. The relationship brings together TechnipFMC’s unique technologies and experience delivering complex integrated engineering, procurement, construction and installation (iEPCI™) projects offshore with Bombora’s patented multi-megawatt mWave™ technology that converts wave energy into electricity. The partnership will initially focus on TechnipFMC and Bombora’s InSPIRE project. With engineering work initiated in November 2020, the partnership is developing a hybrid system utilizing Bombora’s mWave™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5 of 22</w:t>
      </w:r>
    </w:p>
    <w:p>
      <w:pPr>
        <w:sectPr>
          <w:pgSz w:w="11900" w:h="16838" w:orient="portrait"/>
          <w:cols w:equalWidth="0" w:num="1">
            <w:col w:w="11240"/>
          </w:cols>
          <w:pgMar w:left="320" w:top="1408" w:right="339" w:bottom="1440" w:gutter="0" w:footer="0" w:header="0"/>
        </w:sectPr>
      </w:pPr>
    </w:p>
    <w:bookmarkStart w:id="9" w:name="page10"/>
    <w:bookmarkEnd w:id="9"/>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Reconciliation of U.S. GAAP to non-GAAP financial measures are provided in financial schedules.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22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tcBorders>
              <w:top w:val="single" w:sz="8" w:color="B8CCE4"/>
              <w:right w:val="single" w:sz="8" w:color="B8CCE4"/>
            </w:tcBorders>
          </w:tcPr>
          <w:p>
            <w:pPr>
              <w:jc w:val="right"/>
              <w:ind w:right="468"/>
              <w:spacing w:after="0"/>
              <w:rPr>
                <w:sz w:val="20"/>
                <w:szCs w:val="20"/>
                <w:color w:val="auto"/>
              </w:rPr>
            </w:pPr>
            <w:r>
              <w:rPr>
                <w:rFonts w:ascii="Arial" w:cs="Arial" w:eastAsia="Arial" w:hAnsi="Arial"/>
                <w:sz w:val="14"/>
                <w:szCs w:val="14"/>
                <w:b w:val="1"/>
                <w:bCs w:val="1"/>
                <w:color w:val="auto"/>
              </w:rPr>
              <w:t>March 31,</w:t>
            </w:r>
          </w:p>
        </w:tc>
        <w:tc>
          <w:tcPr>
            <w:tcW w:w="1720" w:type="dxa"/>
            <w:vAlign w:val="bottom"/>
            <w:tcBorders>
              <w:top w:val="single" w:sz="8" w:color="B8CCE4"/>
              <w:right w:val="single" w:sz="8" w:color="B8CCE4"/>
            </w:tcBorders>
            <w:vMerge w:val="restart"/>
          </w:tcPr>
          <w:p>
            <w:pPr>
              <w:jc w:val="right"/>
              <w:ind w:right="265"/>
              <w:spacing w:after="0"/>
              <w:rPr>
                <w:sz w:val="20"/>
                <w:szCs w:val="20"/>
                <w:color w:val="auto"/>
              </w:rPr>
            </w:pPr>
            <w:r>
              <w:rPr>
                <w:rFonts w:ascii="Arial" w:cs="Arial" w:eastAsia="Arial" w:hAnsi="Arial"/>
                <w:sz w:val="14"/>
                <w:szCs w:val="14"/>
                <w:b w:val="1"/>
                <w:bCs w:val="1"/>
                <w:color w:val="auto"/>
              </w:rPr>
              <w:t>March 31, 2020</w:t>
            </w:r>
          </w:p>
        </w:tc>
        <w:tc>
          <w:tcPr>
            <w:tcW w:w="1460" w:type="dxa"/>
            <w:vAlign w:val="bottom"/>
            <w:tcBorders>
              <w:top w:val="single" w:sz="8" w:color="B8CCE4"/>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62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80" w:type="dxa"/>
            <w:vAlign w:val="bottom"/>
            <w:tcBorders>
              <w:bottom w:val="single" w:sz="8" w:color="B8CCE4"/>
              <w:right w:val="single" w:sz="8" w:color="B8CCE4"/>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1720" w:type="dxa"/>
            <w:vAlign w:val="bottom"/>
            <w:tcBorders>
              <w:bottom w:val="single" w:sz="8" w:color="B8CCE4"/>
              <w:right w:val="single" w:sz="8" w:color="B8CCE4"/>
            </w:tcBorders>
            <w:vMerge w:val="continue"/>
          </w:tcPr>
          <w:p>
            <w:pPr>
              <w:spacing w:after="0"/>
              <w:rPr>
                <w:sz w:val="15"/>
                <w:szCs w:val="15"/>
                <w:color w:val="auto"/>
              </w:rPr>
            </w:pPr>
          </w:p>
        </w:tc>
        <w:tc>
          <w:tcPr>
            <w:tcW w:w="1460" w:type="dxa"/>
            <w:vAlign w:val="bottom"/>
            <w:tcBorders>
              <w:bottom w:val="single" w:sz="8" w:color="B8CCE4"/>
              <w:right w:val="single" w:sz="8" w:color="B8CCE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2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$245.5</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$329.5</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(25.5%)</w:t>
            </w:r>
          </w:p>
        </w:tc>
        <w:tc>
          <w:tcPr>
            <w:tcW w:w="0" w:type="dxa"/>
            <w:vAlign w:val="bottom"/>
          </w:tcPr>
          <w:p>
            <w:pPr>
              <w:spacing w:after="0"/>
              <w:rPr>
                <w:sz w:val="1"/>
                <w:szCs w:val="1"/>
                <w:color w:val="auto"/>
              </w:rPr>
            </w:pPr>
          </w:p>
        </w:tc>
      </w:tr>
      <w:tr>
        <w:trPr>
          <w:trHeight w:val="237"/>
        </w:trPr>
        <w:tc>
          <w:tcPr>
            <w:tcW w:w="62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$8.2</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$(424.0)</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c>
          <w:tcPr>
            <w:tcW w:w="0" w:type="dxa"/>
            <w:vAlign w:val="bottom"/>
          </w:tcPr>
          <w:p>
            <w:pPr>
              <w:spacing w:after="0"/>
              <w:rPr>
                <w:sz w:val="1"/>
                <w:szCs w:val="1"/>
                <w:color w:val="auto"/>
              </w:rPr>
            </w:pPr>
          </w:p>
        </w:tc>
      </w:tr>
      <w:tr>
        <w:trPr>
          <w:trHeight w:val="237"/>
        </w:trPr>
        <w:tc>
          <w:tcPr>
            <w:tcW w:w="62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$26.9</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$24.5</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9.8%</w:t>
            </w:r>
          </w:p>
        </w:tc>
        <w:tc>
          <w:tcPr>
            <w:tcW w:w="0" w:type="dxa"/>
            <w:vAlign w:val="bottom"/>
          </w:tcPr>
          <w:p>
            <w:pPr>
              <w:spacing w:after="0"/>
              <w:rPr>
                <w:sz w:val="1"/>
                <w:szCs w:val="1"/>
                <w:color w:val="auto"/>
              </w:rPr>
            </w:pPr>
          </w:p>
        </w:tc>
      </w:tr>
      <w:tr>
        <w:trPr>
          <w:trHeight w:val="236"/>
        </w:trPr>
        <w:tc>
          <w:tcPr>
            <w:tcW w:w="62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11.0 %</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7.4 %</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360 bps</w:t>
            </w:r>
          </w:p>
        </w:tc>
        <w:tc>
          <w:tcPr>
            <w:tcW w:w="0" w:type="dxa"/>
            <w:vAlign w:val="bottom"/>
          </w:tcPr>
          <w:p>
            <w:pPr>
              <w:spacing w:after="0"/>
              <w:rPr>
                <w:sz w:val="1"/>
                <w:szCs w:val="1"/>
                <w:color w:val="auto"/>
              </w:rPr>
            </w:pPr>
          </w:p>
        </w:tc>
      </w:tr>
      <w:tr>
        <w:trPr>
          <w:trHeight w:val="250"/>
        </w:trPr>
        <w:tc>
          <w:tcPr>
            <w:tcW w:w="6220" w:type="dxa"/>
            <w:vAlign w:val="bottom"/>
            <w:tcBorders>
              <w:left w:val="single" w:sz="8" w:color="B8CCE4"/>
              <w:bottom w:val="single" w:sz="8" w:color="B8CCE4"/>
            </w:tcBorders>
          </w:tcPr>
          <w:p>
            <w:pPr>
              <w:spacing w:after="0"/>
              <w:rPr>
                <w:sz w:val="21"/>
                <w:szCs w:val="21"/>
                <w:color w:val="auto"/>
              </w:rPr>
            </w:pPr>
          </w:p>
        </w:tc>
        <w:tc>
          <w:tcPr>
            <w:tcW w:w="1780" w:type="dxa"/>
            <w:vAlign w:val="bottom"/>
            <w:tcBorders>
              <w:bottom w:val="single" w:sz="8" w:color="B8CCE4"/>
            </w:tcBorders>
          </w:tcPr>
          <w:p>
            <w:pPr>
              <w:spacing w:after="0"/>
              <w:rPr>
                <w:sz w:val="21"/>
                <w:szCs w:val="21"/>
                <w:color w:val="auto"/>
              </w:rPr>
            </w:pPr>
          </w:p>
        </w:tc>
        <w:tc>
          <w:tcPr>
            <w:tcW w:w="1720" w:type="dxa"/>
            <w:vAlign w:val="bottom"/>
            <w:tcBorders>
              <w:bottom w:val="single" w:sz="8" w:color="B8CCE4"/>
            </w:tcBorders>
          </w:tcPr>
          <w:p>
            <w:pPr>
              <w:spacing w:after="0"/>
              <w:rPr>
                <w:sz w:val="21"/>
                <w:szCs w:val="21"/>
                <w:color w:val="auto"/>
              </w:rPr>
            </w:pPr>
          </w:p>
        </w:tc>
        <w:tc>
          <w:tcPr>
            <w:tcW w:w="146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$203.3</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$366.3</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(44.5%)</w:t>
            </w:r>
          </w:p>
        </w:tc>
        <w:tc>
          <w:tcPr>
            <w:tcW w:w="0" w:type="dxa"/>
            <w:vAlign w:val="bottom"/>
          </w:tcPr>
          <w:p>
            <w:pPr>
              <w:spacing w:after="0"/>
              <w:rPr>
                <w:sz w:val="1"/>
                <w:szCs w:val="1"/>
                <w:color w:val="auto"/>
              </w:rPr>
            </w:pPr>
          </w:p>
        </w:tc>
      </w:tr>
      <w:tr>
        <w:trPr>
          <w:trHeight w:val="237"/>
        </w:trPr>
        <w:tc>
          <w:tcPr>
            <w:tcW w:w="62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$364.3</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$422.0</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Surface Technologies reported first quarter revenue of $ 245.5 million, a decrease of 25.5 percent from the prior-year quarter. The decline was primarily driven by the sharp reduction in operator activity in North America while international revenue was resilient, declining low-single digits.</w:t>
      </w:r>
    </w:p>
    <w:p>
      <w:pPr>
        <w:spacing w:after="0" w:line="17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Surface Technologies reported operating profit of $8.2 million that included restructuring, impairment and other charges totaling $2.8 million. Operating results improved versus the prior-year quarter primarily due to the significant reduction in non-cash impairment charges as well as improved operational performance, benefits from prior-year cost reduction initiatives and ongoing cost control measures.</w:t>
      </w:r>
    </w:p>
    <w:p>
      <w:pPr>
        <w:spacing w:after="0" w:line="170"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Adjusted EBITDA increased year-over-year due to improved operational performance, benefits from prior-year cost reduction initiatives and ongoing cost control measures; adjusted EBITDA margin improved 360 basis points to 11 percent.</w:t>
      </w:r>
    </w:p>
    <w:p>
      <w:pPr>
        <w:spacing w:after="0" w:line="16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Sequentially, revenue decreased 6.4 percent largely due to seasonal declines in customer activity and timing of backlog conversion in international markets. International markets accounted for nearly 70 percent of total segment revenue in the quarter. Revenue in North America declined due in part to the Company’s exit from certain underperforming markets, partially offset by growth in the U.S. which benefited from further adoption of the iComplete™ ecosystem.</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Operating profit decreased sequentially primarily due to lower volumes, partially offset by continued improvement in operational performance and a lower cost structure.</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Inbound orders for the quarter were $203.3 million, a decrease of 44.5 percent versus the prior-year quarter primarily due to a shift in timing of international orders to future periods. Backlog ended the period at $364.3 million. Given the short-cycle nature of the business, orders are generally converted into revenue within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6 of 22</w:t>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Corporate and Other Items</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Corporate expense in the quarter was $28.8 million. Excluding charges and credits totaling $3 million of expense, corporate expense was $25.8 million.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Foreign exchange gain in the quarter was $28.1 million</w:t>
      </w:r>
      <w:r>
        <w:rPr>
          <w:rFonts w:ascii="Arial" w:cs="Arial" w:eastAsia="Arial" w:hAnsi="Arial"/>
          <w:sz w:val="20"/>
          <w:szCs w:val="20"/>
          <w:color w:val="EE2724"/>
        </w:rPr>
        <w:t>.</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Company recognized income of $470.1 million from its equity ownership in Technip Energies. The income was related to the change in fair market value of the investment, which reflected the difference between the book value at the time of separation and the market value at the end of the period, as well as the discount associated with shares sold during the quarter.</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Net interest expense was $34.5 million in the quarter. The Company also recorded a loss on the early extinguishment of debt of $23.5 million.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recorded a tax provision in the quarter of $24.5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Total depreciation and amortization for the quarter was $95.2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Cash flow from continuing operations in the quarter was $181.5 million.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Capital expenditures in the quarter were $44.2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from continuing operations was $137.3 million in the quarter (Exhibit 9).</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Company ended the period with cash and cash equivalents of $752.8 million; net debt was $1,778.3 million.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During the quarter, the Company completed the transaction contemplated by the Share Purchase Agreement with Bpifrance Participations SA (“Bpifrance”) where Bpifrance purchased $ 100 million in Technip Energies shares from the Company’s retained stake in Technip Energies. At the end of the period, the Company held 82.3 million ordinary shares of Technip Energies.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Bpifrance had previously provided funding of $200 million for the purchase of Technip Energies’ shares from TechnipFMC. As a result of the revised level of investment, the Company refunded $100 million to Bpifrance in the second quarter.</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Also in the second quarter, the Company announced the sale of 26.8 million shares from its retained stake in Technip Energies for proceeds of approximately $360 million. The sale further reduced the Company’s ownership stake to 55.5 million shares, or approximately 31 percent of Technip Energies’ outstanding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7 of 22</w:t>
      </w:r>
    </w:p>
    <w:p>
      <w:pPr>
        <w:sectPr>
          <w:pgSz w:w="11900" w:h="16838" w:orient="portrait"/>
          <w:cols w:equalWidth="0" w:num="1">
            <w:col w:w="11240"/>
          </w:cols>
          <w:pgMar w:left="320" w:top="1408"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Discontinued operations</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quarter, the Company completed the partial spin-off of Technip Energies. Financial results for Technip Energies are reported as discontinued operations.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the three months ended March 31, 2021, the results of discontinued operations on the Consolidated Statement of Income include the historical results of Technip Energies prior to its spin-off on February 16, 2021 as well as all separation-related costs incurred for the transaction. The Company has accounted for its investment in Technip Energies using the fair value method with changes in the fair value recorded in its Consolidated Statement of Income.</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 February 16, 2021, all assets and liabilities of Technip Energies were spun-off. There were no assets or liabilities classified as discontinued operations on the Condensed Consolidated Balance Sheet at the end of the period. The Company’s investment in Technip Energies is reflected in current assets at market value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8 of 22</w:t>
      </w:r>
    </w:p>
    <w:p>
      <w:pPr>
        <w:sectPr>
          <w:pgSz w:w="11900" w:h="16838" w:orient="portrait"/>
          <w:cols w:equalWidth="0" w:num="1">
            <w:col w:w="11240"/>
          </w:cols>
          <w:pgMar w:left="320" w:top="1408"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2021 Full-Year Financial Guidance</w:t>
      </w:r>
      <w:r>
        <w:rPr>
          <w:rFonts w:ascii="Arial" w:cs="Arial" w:eastAsia="Arial" w:hAnsi="Arial"/>
          <w:sz w:val="25"/>
          <w:szCs w:val="25"/>
          <w:b w:val="1"/>
          <w:bCs w:val="1"/>
          <w:color w:val="auto"/>
          <w:vertAlign w:val="superscript"/>
        </w:rPr>
        <w:t>1</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The Company’s full-year guidance for 2021 can be found in the table below.</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Guidance is based on continuing operations and thus excludes the impact of Technip Energies, which is reported as discontinued operations.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Updates to the Company’s full-year guidance for 2021 are as follows:</w:t>
      </w:r>
    </w:p>
    <w:p>
      <w:pPr>
        <w:spacing w:after="0" w:line="67"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Tax provision, as reported, of $70 - 80 million; decreased from the previous guidance of $110 - 120 million.</w:t>
      </w: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Free cash flow of $120 - 220 million; increased from the previous guidance of $50 - 150 million.</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guidance updates reflect a change to separation-related tax items and costs, previously estimated to be $40 million and $30 million, respectively. The actual separation-related expenses incurred were in-line with previous expectations and were reported as part of discontinued operations in the first quarter.</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All segment guidance assumes no further material degradation from COVID-19-related impacts.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2021 Guidance </w:t>
      </w:r>
      <w:r>
        <w:rPr>
          <w:rFonts w:ascii="Arial" w:cs="Arial" w:eastAsia="Arial" w:hAnsi="Arial"/>
          <w:sz w:val="16"/>
          <w:szCs w:val="16"/>
          <w:b w:val="1"/>
          <w:bCs w:val="1"/>
          <w:i w:val="1"/>
          <w:iCs w:val="1"/>
          <w:color w:val="auto"/>
        </w:rPr>
        <w:t>*Updated April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234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p>
      <w:pPr>
        <w:spacing w:after="0" w:line="297"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FFFFFF"/>
        </w:rPr>
        <w:t>Subsea</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 in a range of $5.0 - 5.4 billion</w:t>
      </w:r>
    </w:p>
    <w:p>
      <w:pPr>
        <w:spacing w:after="0" w:line="77"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EBITDA margin in a range of 10 - 11% (excluding charges and credits)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1840"/>
        <w:spacing w:after="0"/>
        <w:rPr>
          <w:sz w:val="20"/>
          <w:szCs w:val="20"/>
          <w:color w:val="auto"/>
        </w:rPr>
      </w:pPr>
      <w:r>
        <w:rPr>
          <w:rFonts w:ascii="Arial" w:cs="Arial" w:eastAsia="Arial" w:hAnsi="Arial"/>
          <w:sz w:val="20"/>
          <w:szCs w:val="20"/>
          <w:b w:val="1"/>
          <w:bCs w:val="1"/>
          <w:color w:val="FFFFFF"/>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-144780</wp:posOffset>
            </wp:positionV>
            <wp:extent cx="7123430" cy="617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61722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Revenue in a range of $1,050 - 1,250 million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EBITDA margin in a range of 8 - 11% (excluding charges and credits)</w:t>
      </w:r>
    </w:p>
    <w:p>
      <w:pPr>
        <w:spacing w:after="0" w:line="220" w:lineRule="exact"/>
        <w:rPr>
          <w:sz w:val="20"/>
          <w:szCs w:val="20"/>
          <w:color w:val="auto"/>
        </w:rPr>
      </w:pPr>
    </w:p>
    <w:p>
      <w:pPr>
        <w:sectPr>
          <w:pgSz w:w="11900" w:h="16838" w:orient="portrait"/>
          <w:cols w:equalWidth="0" w:num="2">
            <w:col w:w="5020" w:space="480"/>
            <w:col w:w="5740"/>
          </w:cols>
          <w:pgMar w:left="320" w:top="1408" w:right="339" w:bottom="1440" w:gutter="0" w:footer="0" w:header="0"/>
          <w:type w:val="continuous"/>
        </w:sectPr>
      </w:pP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23430" cy="1877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187706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Corporate expense, net </w:t>
      </w:r>
      <w:r>
        <w:rPr>
          <w:rFonts w:ascii="Arial" w:cs="Arial" w:eastAsia="Arial" w:hAnsi="Arial"/>
          <w:sz w:val="20"/>
          <w:szCs w:val="20"/>
          <w:color w:val="auto"/>
        </w:rPr>
        <w:t>$105 -115 million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(includes depreciation and amortization of ~$15 million)</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$130 - 135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Tax provision, as reported* </w:t>
      </w:r>
      <w:r>
        <w:rPr>
          <w:rFonts w:ascii="Arial" w:cs="Arial" w:eastAsia="Arial" w:hAnsi="Arial"/>
          <w:sz w:val="20"/>
          <w:szCs w:val="20"/>
          <w:color w:val="auto"/>
        </w:rPr>
        <w:t>$70 - 80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$250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Free cash flow* </w:t>
      </w:r>
      <w:r>
        <w:rPr>
          <w:rFonts w:ascii="Arial" w:cs="Arial" w:eastAsia="Arial" w:hAnsi="Arial"/>
          <w:sz w:val="20"/>
          <w:szCs w:val="20"/>
          <w:color w:val="auto"/>
        </w:rPr>
        <w:t>$120 - 220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1714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8"/>
        <w:spacing w:after="0" w:line="230" w:lineRule="auto"/>
        <w:tabs>
          <w:tab w:leader="none" w:pos="8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Our guidance measures adjusted EBITDA margin, corporate expense, net, net interest expense and free cash flow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9 of 22</w:t>
      </w:r>
    </w:p>
    <w:p>
      <w:pPr>
        <w:sectPr>
          <w:pgSz w:w="11900" w:h="16838" w:orient="portrait"/>
          <w:cols w:equalWidth="0" w:num="1">
            <w:col w:w="11240"/>
          </w:cols>
          <w:pgMar w:left="320" w:top="1408"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Teleconference</w:t>
      </w:r>
    </w:p>
    <w:p>
      <w:pPr>
        <w:spacing w:after="0" w:line="200" w:lineRule="exact"/>
        <w:rPr>
          <w:sz w:val="20"/>
          <w:szCs w:val="20"/>
          <w:color w:val="auto"/>
        </w:rPr>
      </w:pPr>
    </w:p>
    <w:p>
      <w:pPr>
        <w:spacing w:after="0" w:line="24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Wednesday, April 28, 2021 to discuss the first quarter 2021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auto"/>
        </w:rPr>
        <w:t>.</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10 of 22</w:t>
      </w:r>
    </w:p>
    <w:p>
      <w:pPr>
        <w:sectPr>
          <w:pgSz w:w="11900" w:h="16838" w:orient="portrait"/>
          <w:cols w:equalWidth="0" w:num="1">
            <w:col w:w="11240"/>
          </w:cols>
          <w:pgMar w:left="320" w:top="140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TechnipFMC is a leading technology provider to the traditional and new energy industries; delivering fully integrated projects, products, and services.</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i w:val="1"/>
          <w:iCs w:val="1"/>
          <w:color w:val="808080"/>
        </w:rPr>
        <w:t>With our proprietary technologies and comprehensive solutions, we are transforming our clients’ project economics, helping them unlock new possibilities to develop energy resources while reducing carbon intensity and supporting their energy transition ambitions.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Organized in two business segments — Subsea and Surface Technologies — we will continue to advance the industry with our pioneering integrated ecosystems (such as iEPCI™, iFEED™ and iComplete™), technology leadership and digital innovation.</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Each of our approximately 20,000 employees is driven by a commitment to our clients’ success, and a culture of strong execution, purposeful innovation, and challenging industry conventions.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TechnipFMC uses its website as a channel of distribution of material company information. To learn more about how we are driving change in the industry, go to www.TechnipFMC.com and follow us on Twitter @TechnipFMC.</w:t>
      </w:r>
    </w:p>
    <w:p>
      <w:pPr>
        <w:spacing w:after="0" w:line="200" w:lineRule="exact"/>
        <w:rPr>
          <w:sz w:val="20"/>
          <w:szCs w:val="20"/>
          <w:color w:val="auto"/>
        </w:rPr>
      </w:pP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“guidance,” “confident,” “believe,” “expect,” “anticipate,” “plan,” “intend,” “foresee,” “should,” “would,” “could,” “may,” “will,” “likely,” “predicated,” “estimate,” “outlook” and similar expressions are intended to identify forward -looking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808080"/>
        </w:rPr>
        <w:t>Risks related to Our Business and Industry</w:t>
      </w:r>
    </w:p>
    <w:p>
      <w:pPr>
        <w:spacing w:after="0" w:line="31" w:lineRule="exact"/>
        <w:rPr>
          <w:sz w:val="20"/>
          <w:szCs w:val="20"/>
          <w:color w:val="auto"/>
        </w:rPr>
      </w:pPr>
    </w:p>
    <w:p>
      <w:pPr>
        <w:ind w:left="660" w:right="20" w:hanging="328"/>
        <w:spacing w:after="0" w:line="250" w:lineRule="auto"/>
        <w:tabs>
          <w:tab w:leader="none" w:pos="655" w:val="left"/>
        </w:tabs>
        <w:numPr>
          <w:ilvl w:val="0"/>
          <w:numId w:val="9"/>
        </w:numPr>
        <w:rPr>
          <w:rFonts w:ascii="Arial" w:cs="Arial" w:eastAsia="Arial" w:hAnsi="Arial"/>
          <w:sz w:val="18"/>
          <w:szCs w:val="18"/>
          <w:i w:val="1"/>
          <w:iCs w:val="1"/>
          <w:color w:val="808080"/>
        </w:rPr>
      </w:pPr>
      <w:r>
        <w:rPr>
          <w:rFonts w:ascii="Arial" w:cs="Arial" w:eastAsia="Arial" w:hAnsi="Arial"/>
          <w:sz w:val="18"/>
          <w:szCs w:val="18"/>
          <w:i w:val="1"/>
          <w:iCs w:val="1"/>
          <w:color w:val="808080"/>
        </w:rPr>
        <w:t>demand for our products and services, which depends on oil and gas industry activity and expenditure levels that are directly affected by trends in demand for and price of crude oil and natural gas;</w:t>
      </w:r>
    </w:p>
    <w:p>
      <w:pPr>
        <w:ind w:left="660" w:hanging="328"/>
        <w:spacing w:after="0"/>
        <w:tabs>
          <w:tab w:leader="none" w:pos="660" w:val="left"/>
        </w:tabs>
        <w:numPr>
          <w:ilvl w:val="0"/>
          <w:numId w:val="9"/>
        </w:numPr>
        <w:rPr>
          <w:rFonts w:ascii="Arial" w:cs="Arial" w:eastAsia="Arial" w:hAnsi="Arial"/>
          <w:sz w:val="18"/>
          <w:szCs w:val="18"/>
          <w:i w:val="1"/>
          <w:iCs w:val="1"/>
          <w:color w:val="808080"/>
        </w:rPr>
      </w:pPr>
      <w:r>
        <w:rPr>
          <w:rFonts w:ascii="Arial" w:cs="Arial" w:eastAsia="Arial" w:hAnsi="Arial"/>
          <w:sz w:val="18"/>
          <w:szCs w:val="18"/>
          <w:i w:val="1"/>
          <w:iCs w:val="1"/>
          <w:color w:val="808080"/>
        </w:rPr>
        <w:t>unanticipated changes relating to competitive factors in our industry, including ongoing industry consolidation;</w:t>
      </w:r>
    </w:p>
    <w:p>
      <w:pPr>
        <w:spacing w:after="0" w:line="9" w:lineRule="exact"/>
        <w:rPr>
          <w:rFonts w:ascii="Arial" w:cs="Arial" w:eastAsia="Arial" w:hAnsi="Arial"/>
          <w:sz w:val="18"/>
          <w:szCs w:val="18"/>
          <w:i w:val="1"/>
          <w:iCs w:val="1"/>
          <w:color w:val="808080"/>
        </w:rPr>
      </w:pPr>
    </w:p>
    <w:p>
      <w:pPr>
        <w:ind w:left="660" w:hanging="328"/>
        <w:spacing w:after="0" w:line="250" w:lineRule="auto"/>
        <w:tabs>
          <w:tab w:leader="none" w:pos="655" w:val="left"/>
        </w:tabs>
        <w:numPr>
          <w:ilvl w:val="0"/>
          <w:numId w:val="9"/>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develop, implement, and protect new technologies and services, as well as our ability to protect and maintain critical intellectual property assets;</w:t>
      </w:r>
    </w:p>
    <w:p>
      <w:pPr>
        <w:ind w:left="660" w:hanging="328"/>
        <w:spacing w:after="0"/>
        <w:tabs>
          <w:tab w:leader="none" w:pos="660" w:val="left"/>
        </w:tabs>
        <w:numPr>
          <w:ilvl w:val="0"/>
          <w:numId w:val="9"/>
        </w:numPr>
        <w:rPr>
          <w:rFonts w:ascii="Arial" w:cs="Arial" w:eastAsia="Arial" w:hAnsi="Arial"/>
          <w:sz w:val="18"/>
          <w:szCs w:val="18"/>
          <w:i w:val="1"/>
          <w:iCs w:val="1"/>
          <w:color w:val="808080"/>
        </w:rPr>
      </w:pPr>
      <w:r>
        <w:rPr>
          <w:rFonts w:ascii="Arial" w:cs="Arial" w:eastAsia="Arial" w:hAnsi="Arial"/>
          <w:sz w:val="18"/>
          <w:szCs w:val="18"/>
          <w:i w:val="1"/>
          <w:iCs w:val="1"/>
          <w:color w:val="808080"/>
        </w:rPr>
        <w:t>the cumulative loss of major contracts, customers, or alliances;</w:t>
      </w:r>
    </w:p>
    <w:p>
      <w:pPr>
        <w:spacing w:after="0" w:line="9" w:lineRule="exact"/>
        <w:rPr>
          <w:rFonts w:ascii="Arial" w:cs="Arial" w:eastAsia="Arial" w:hAnsi="Arial"/>
          <w:sz w:val="18"/>
          <w:szCs w:val="18"/>
          <w:i w:val="1"/>
          <w:iCs w:val="1"/>
          <w:color w:val="808080"/>
        </w:rPr>
      </w:pPr>
    </w:p>
    <w:p>
      <w:pPr>
        <w:ind w:left="660" w:right="20" w:hanging="328"/>
        <w:spacing w:after="0" w:line="250" w:lineRule="auto"/>
        <w:tabs>
          <w:tab w:leader="none" w:pos="655" w:val="left"/>
        </w:tabs>
        <w:numPr>
          <w:ilvl w:val="0"/>
          <w:numId w:val="9"/>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the COVID-19 pandemic, the United Kingdom’s withdrawal from the European Union, disruptions in the political, regulatory, economic, and social conditions of the countries in which we conduct business;</w:t>
      </w:r>
    </w:p>
    <w:p>
      <w:pPr>
        <w:ind w:left="660" w:hanging="328"/>
        <w:spacing w:after="0" w:line="261" w:lineRule="auto"/>
        <w:tabs>
          <w:tab w:leader="none" w:pos="655" w:val="left"/>
        </w:tabs>
        <w:numPr>
          <w:ilvl w:val="0"/>
          <w:numId w:val="9"/>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The Depository Trust Company and Euroclear for clearance services for shares traded on the New York Stock Exchange (the “NYSE”) and the Euronext Paris Stock Exchange,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11 of 22</w:t>
      </w:r>
    </w:p>
    <w:p>
      <w:pPr>
        <w:sectPr>
          <w:pgSz w:w="11900" w:h="16838" w:orient="portrait"/>
          <w:cols w:equalWidth="0" w:num="1">
            <w:col w:w="11240"/>
          </w:cols>
          <w:pgMar w:left="320" w:top="1408" w:right="339" w:bottom="1440" w:gutter="0" w:footer="0" w:header="0"/>
        </w:sectPr>
      </w:pPr>
    </w:p>
    <w:bookmarkStart w:id="15" w:name="page16"/>
    <w:bookmarkEnd w:id="15"/>
    <w:p>
      <w:pPr>
        <w:ind w:left="660" w:hanging="328"/>
        <w:spacing w:after="0" w:line="260" w:lineRule="auto"/>
        <w:tabs>
          <w:tab w:leader="none" w:pos="655"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our existing and future debt, which may limit cash flow available to invest in the ongoing needs of our business and could prevent us from fulfilling our obligations under our outstanding debt;</w:t>
      </w:r>
    </w:p>
    <w:p>
      <w:pPr>
        <w:spacing w:after="0" w:line="1"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t>a downgrade in our debt rating, which could restrict our ability to access the capital markets;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0"/>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related to our acquisition and divestiture activities;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808080"/>
        </w:rPr>
        <w:t>Risks related to Our Operations</w:t>
      </w:r>
    </w:p>
    <w:p>
      <w:pPr>
        <w:spacing w:after="0" w:line="3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related to our fixed price contracts, such as cost overruns;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related to capital asset construction projects for vessels and manufacturing facilities, such as delays and cost overruns;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timely deliver our backlog and its effect on our future sales, profitability, and customer relationships;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our reliance on subcontractors, suppliers and joint venture partners in the performance of our contracts;</w:t>
      </w:r>
    </w:p>
    <w:p>
      <w:pPr>
        <w:spacing w:after="0" w:line="9" w:lineRule="exact"/>
        <w:rPr>
          <w:rFonts w:ascii="Arial" w:cs="Arial" w:eastAsia="Arial" w:hAnsi="Arial"/>
          <w:sz w:val="18"/>
          <w:szCs w:val="18"/>
          <w:i w:val="1"/>
          <w:iCs w:val="1"/>
          <w:color w:val="808080"/>
        </w:rPr>
      </w:pPr>
    </w:p>
    <w:p>
      <w:pPr>
        <w:ind w:left="660" w:hanging="328"/>
        <w:spacing w:after="0" w:line="250" w:lineRule="auto"/>
        <w:tabs>
          <w:tab w:leader="none" w:pos="655"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failure of our information technology infrastructure, including as a result of cyber-attacks, and actual or perceived failure to comply with data security and privacy obligations;</w:t>
      </w:r>
    </w:p>
    <w:p>
      <w:pPr>
        <w:ind w:left="660" w:hanging="328"/>
        <w:spacing w:after="0"/>
        <w:tabs>
          <w:tab w:leader="none" w:pos="660" w:val="left"/>
        </w:tabs>
        <w:numPr>
          <w:ilvl w:val="0"/>
          <w:numId w:val="11"/>
        </w:numPr>
        <w:rPr>
          <w:rFonts w:ascii="Arial" w:cs="Arial" w:eastAsia="Arial" w:hAnsi="Arial"/>
          <w:sz w:val="18"/>
          <w:szCs w:val="18"/>
          <w:i w:val="1"/>
          <w:iCs w:val="1"/>
          <w:color w:val="808080"/>
        </w:rPr>
      </w:pPr>
      <w:r>
        <w:rPr>
          <w:rFonts w:ascii="Arial" w:cs="Arial" w:eastAsia="Arial" w:hAnsi="Arial"/>
          <w:sz w:val="18"/>
          <w:szCs w:val="18"/>
          <w:i w:val="1"/>
          <w:iCs w:val="1"/>
          <w:color w:val="808080"/>
        </w:rPr>
        <w:t>piracy risks for our maritime employees and assets;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808080"/>
        </w:rPr>
        <w:t>Risks related to Legal Proceedings, Tax, and Regulatory Matters</w:t>
      </w:r>
    </w:p>
    <w:p>
      <w:pPr>
        <w:spacing w:after="0" w:line="31" w:lineRule="exact"/>
        <w:rPr>
          <w:sz w:val="20"/>
          <w:szCs w:val="20"/>
          <w:color w:val="auto"/>
        </w:rPr>
      </w:pPr>
    </w:p>
    <w:p>
      <w:pPr>
        <w:ind w:left="660" w:right="20" w:hanging="328"/>
        <w:spacing w:after="0" w:line="250" w:lineRule="auto"/>
        <w:tabs>
          <w:tab w:leader="none" w:pos="655" w:val="left"/>
        </w:tabs>
        <w:numPr>
          <w:ilvl w:val="0"/>
          <w:numId w:val="12"/>
        </w:numPr>
        <w:rPr>
          <w:rFonts w:ascii="Arial" w:cs="Arial" w:eastAsia="Arial" w:hAnsi="Arial"/>
          <w:sz w:val="18"/>
          <w:szCs w:val="18"/>
          <w:i w:val="1"/>
          <w:iCs w:val="1"/>
          <w:color w:val="808080"/>
        </w:rPr>
      </w:pPr>
      <w:r>
        <w:rPr>
          <w:rFonts w:ascii="Arial" w:cs="Arial" w:eastAsia="Arial" w:hAnsi="Arial"/>
          <w:sz w:val="18"/>
          <w:szCs w:val="18"/>
          <w:i w:val="1"/>
          <w:iCs w:val="1"/>
          <w:color w:val="808080"/>
        </w:rPr>
        <w:t>potential liabilities arising out of the installation or use of our products, which may not be covered by insurance or may be in excess of policy limits, of for which expected recoveries may not be realized;</w:t>
      </w:r>
    </w:p>
    <w:p>
      <w:pPr>
        <w:jc w:val="both"/>
        <w:ind w:left="660" w:hanging="328"/>
        <w:spacing w:after="0" w:line="250" w:lineRule="auto"/>
        <w:tabs>
          <w:tab w:leader="none" w:pos="655" w:val="left"/>
        </w:tabs>
        <w:numPr>
          <w:ilvl w:val="0"/>
          <w:numId w:val="12"/>
        </w:numPr>
        <w:rPr>
          <w:rFonts w:ascii="Arial" w:cs="Arial" w:eastAsia="Arial" w:hAnsi="Arial"/>
          <w:sz w:val="18"/>
          <w:szCs w:val="18"/>
          <w:i w:val="1"/>
          <w:iCs w:val="1"/>
          <w:color w:val="808080"/>
        </w:rPr>
      </w:pPr>
      <w:r>
        <w:rPr>
          <w:rFonts w:ascii="Arial" w:cs="Arial" w:eastAsia="Arial" w:hAnsi="Arial"/>
          <w:sz w:val="18"/>
          <w:szCs w:val="18"/>
          <w:i w:val="1"/>
          <w:iCs w:val="1"/>
          <w:color w:val="808080"/>
        </w:rPr>
        <w:t>U.S. and international laws and regulations, including those related to environmental protection and climate change, health and safety, privacy, data protection and data security, labor and employment, import/export controls, currency change, bribery and corruption, and taxation, that may increase our costs, limit the demand for our products and services or restrict our operations;</w:t>
      </w:r>
    </w:p>
    <w:p>
      <w:pPr>
        <w:spacing w:after="0" w:line="1" w:lineRule="exact"/>
        <w:rPr>
          <w:rFonts w:ascii="Arial" w:cs="Arial" w:eastAsia="Arial" w:hAnsi="Arial"/>
          <w:sz w:val="18"/>
          <w:szCs w:val="18"/>
          <w:i w:val="1"/>
          <w:iCs w:val="1"/>
          <w:color w:val="808080"/>
        </w:rPr>
      </w:pPr>
    </w:p>
    <w:p>
      <w:pPr>
        <w:jc w:val="both"/>
        <w:ind w:left="660" w:hanging="328"/>
        <w:spacing w:after="0" w:line="250" w:lineRule="auto"/>
        <w:tabs>
          <w:tab w:leader="none" w:pos="655" w:val="left"/>
        </w:tabs>
        <w:numPr>
          <w:ilvl w:val="0"/>
          <w:numId w:val="12"/>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being an English public limited company, including the need to meet certain additional financial requirements before we may declare dividends or repurchase shares and shareholder approval of certain capital structure decisions, which may limit our flexibility to manage our capital;</w:t>
      </w:r>
    </w:p>
    <w:p>
      <w:pPr>
        <w:spacing w:after="0" w:line="1"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2"/>
        </w:numPr>
        <w:rPr>
          <w:rFonts w:ascii="Arial" w:cs="Arial" w:eastAsia="Arial" w:hAnsi="Arial"/>
          <w:sz w:val="18"/>
          <w:szCs w:val="18"/>
          <w:i w:val="1"/>
          <w:iCs w:val="1"/>
          <w:color w:val="808080"/>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2"/>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tax liabilities, changes in U.S. federal or international tax laws or interpretations to which we are subject; and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808080"/>
        </w:rPr>
        <w:t>Risks related to the Spin-off and the Related Transactions</w:t>
      </w:r>
    </w:p>
    <w:p>
      <w:pPr>
        <w:spacing w:after="0" w:line="3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future liabilities related to the Spin-off (as defined herein) or our inability to achieve some or all of the anticipated benefits;</w:t>
      </w:r>
    </w:p>
    <w:p>
      <w:pPr>
        <w:spacing w:after="0" w:line="9" w:lineRule="exact"/>
        <w:rPr>
          <w:rFonts w:ascii="Arial" w:cs="Arial" w:eastAsia="Arial" w:hAnsi="Arial"/>
          <w:sz w:val="18"/>
          <w:szCs w:val="18"/>
          <w:i w:val="1"/>
          <w:iCs w:val="1"/>
          <w:color w:val="808080"/>
        </w:rPr>
      </w:pPr>
    </w:p>
    <w:p>
      <w:pPr>
        <w:ind w:left="660" w:hanging="328"/>
        <w:spacing w:after="0" w:line="250" w:lineRule="auto"/>
        <w:tabs>
          <w:tab w:leader="none" w:pos="655"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being a significant shareholder in Technip Energies N.V. (“Technip Energies”), including potential fluctuation in the value of our investment in Technip Energies;</w:t>
      </w:r>
    </w:p>
    <w:p>
      <w:pPr>
        <w:ind w:left="660" w:hanging="328"/>
        <w:spacing w:after="0"/>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General Risk Factors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hire and/or retain the services of key managers and employees;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the potential impacts of seasonal and weather conditions;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currency exchange rate fluctuations associated with our international operations;</w:t>
      </w:r>
    </w:p>
    <w:p>
      <w:pPr>
        <w:spacing w:after="0" w:line="9" w:lineRule="exact"/>
        <w:rPr>
          <w:rFonts w:ascii="Arial" w:cs="Arial" w:eastAsia="Arial" w:hAnsi="Arial"/>
          <w:sz w:val="18"/>
          <w:szCs w:val="18"/>
          <w:i w:val="1"/>
          <w:iCs w:val="1"/>
          <w:color w:val="808080"/>
        </w:rPr>
      </w:pPr>
    </w:p>
    <w:p>
      <w:pPr>
        <w:ind w:left="660" w:hanging="328"/>
        <w:spacing w:after="0" w:line="261" w:lineRule="auto"/>
        <w:tabs>
          <w:tab w:leader="none" w:pos="655"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such other risk factors as set forth in our filings with the U.S. Securities and Exchange Commission and in our filings with the Autorité des marchés financiers.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12 of 22</w:t>
      </w:r>
    </w:p>
    <w:p>
      <w:pPr>
        <w:sectPr>
          <w:pgSz w:w="11900" w:h="16838" w:orient="portrait"/>
          <w:cols w:equalWidth="0" w:num="1">
            <w:col w:w="11240"/>
          </w:cols>
          <w:pgMar w:left="320" w:top="1417"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14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3900" w:type="dxa"/>
            <w:vAlign w:val="bottom"/>
            <w:gridSpan w:val="4"/>
          </w:tcPr>
          <w:p>
            <w:pPr>
              <w:ind w:left="1100"/>
              <w:spacing w:after="0"/>
              <w:rPr>
                <w:sz w:val="20"/>
                <w:szCs w:val="20"/>
                <w:color w:val="auto"/>
              </w:rPr>
            </w:pPr>
            <w:r>
              <w:rPr>
                <w:rFonts w:ascii="Arial" w:cs="Arial" w:eastAsia="Arial" w:hAnsi="Arial"/>
                <w:sz w:val="20"/>
                <w:szCs w:val="20"/>
                <w:b w:val="1"/>
                <w:bCs w:val="1"/>
                <w:color w:val="auto"/>
              </w:rPr>
              <w:t>Media relations</w:t>
            </w:r>
          </w:p>
        </w:tc>
      </w:tr>
      <w:tr>
        <w:trPr>
          <w:trHeight w:val="384"/>
        </w:trPr>
        <w:tc>
          <w:tcPr>
            <w:tcW w:w="414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3900" w:type="dxa"/>
            <w:vAlign w:val="bottom"/>
            <w:gridSpan w:val="4"/>
          </w:tcPr>
          <w:p>
            <w:pPr>
              <w:ind w:left="1100"/>
              <w:spacing w:after="0"/>
              <w:rPr>
                <w:sz w:val="20"/>
                <w:szCs w:val="20"/>
                <w:color w:val="auto"/>
              </w:rPr>
            </w:pPr>
            <w:r>
              <w:rPr>
                <w:rFonts w:ascii="Arial" w:cs="Arial" w:eastAsia="Arial" w:hAnsi="Arial"/>
                <w:sz w:val="20"/>
                <w:szCs w:val="20"/>
                <w:color w:val="auto"/>
              </w:rPr>
              <w:t>Nicola Cameron</w:t>
            </w:r>
          </w:p>
        </w:tc>
      </w:tr>
      <w:tr>
        <w:trPr>
          <w:trHeight w:val="189"/>
        </w:trPr>
        <w:tc>
          <w:tcPr>
            <w:tcW w:w="4140" w:type="dxa"/>
            <w:vAlign w:val="bottom"/>
            <w:gridSpan w:val="4"/>
          </w:tcPr>
          <w:p>
            <w:pPr>
              <w:spacing w:after="0" w:line="189" w:lineRule="exact"/>
              <w:rPr>
                <w:sz w:val="20"/>
                <w:szCs w:val="20"/>
                <w:color w:val="auto"/>
              </w:rPr>
            </w:pPr>
            <w:r>
              <w:rPr>
                <w:rFonts w:ascii="Arial" w:cs="Arial" w:eastAsia="Arial" w:hAnsi="Arial"/>
                <w:sz w:val="20"/>
                <w:szCs w:val="20"/>
                <w:color w:val="auto"/>
              </w:rPr>
              <w:t>Vice President Investor Relations</w:t>
            </w:r>
          </w:p>
        </w:tc>
        <w:tc>
          <w:tcPr>
            <w:tcW w:w="3900" w:type="dxa"/>
            <w:vAlign w:val="bottom"/>
            <w:gridSpan w:val="4"/>
          </w:tcPr>
          <w:p>
            <w:pPr>
              <w:ind w:left="1100"/>
              <w:spacing w:after="0" w:line="189" w:lineRule="exact"/>
              <w:rPr>
                <w:sz w:val="20"/>
                <w:szCs w:val="20"/>
                <w:color w:val="auto"/>
              </w:rPr>
            </w:pPr>
            <w:r>
              <w:rPr>
                <w:rFonts w:ascii="Arial" w:cs="Arial" w:eastAsia="Arial" w:hAnsi="Arial"/>
                <w:sz w:val="20"/>
                <w:szCs w:val="20"/>
                <w:color w:val="auto"/>
                <w:w w:val="98"/>
              </w:rPr>
              <w:t>Vice President Communications</w:t>
            </w:r>
          </w:p>
        </w:tc>
      </w:tr>
      <w:tr>
        <w:trPr>
          <w:trHeight w:val="189"/>
        </w:trPr>
        <w:tc>
          <w:tcPr>
            <w:tcW w:w="4140" w:type="dxa"/>
            <w:vAlign w:val="bottom"/>
            <w:gridSpan w:val="4"/>
          </w:tcPr>
          <w:p>
            <w:pPr>
              <w:spacing w:after="0" w:line="189" w:lineRule="exact"/>
              <w:rPr>
                <w:sz w:val="20"/>
                <w:szCs w:val="20"/>
                <w:color w:val="auto"/>
              </w:rPr>
            </w:pPr>
            <w:r>
              <w:rPr>
                <w:rFonts w:ascii="Arial" w:cs="Arial" w:eastAsia="Arial" w:hAnsi="Arial"/>
                <w:sz w:val="20"/>
                <w:szCs w:val="20"/>
                <w:color w:val="auto"/>
              </w:rPr>
              <w:t>Tel: +1 281 260 3665</w:t>
            </w:r>
          </w:p>
        </w:tc>
        <w:tc>
          <w:tcPr>
            <w:tcW w:w="3900" w:type="dxa"/>
            <w:vAlign w:val="bottom"/>
            <w:gridSpan w:val="4"/>
          </w:tcPr>
          <w:p>
            <w:pPr>
              <w:ind w:left="1100"/>
              <w:spacing w:after="0" w:line="189" w:lineRule="exact"/>
              <w:rPr>
                <w:sz w:val="20"/>
                <w:szCs w:val="20"/>
                <w:color w:val="auto"/>
              </w:rPr>
            </w:pPr>
            <w:r>
              <w:rPr>
                <w:rFonts w:ascii="Arial" w:cs="Arial" w:eastAsia="Arial" w:hAnsi="Arial"/>
                <w:sz w:val="20"/>
                <w:szCs w:val="20"/>
                <w:color w:val="auto"/>
              </w:rPr>
              <w:t>Tel: +44 383 742 297</w:t>
            </w:r>
          </w:p>
        </w:tc>
      </w:tr>
      <w:tr>
        <w:trPr>
          <w:trHeight w:val="193"/>
        </w:trPr>
        <w:tc>
          <w:tcPr>
            <w:tcW w:w="414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Matt Seinsheimer</w:t>
            </w:r>
          </w:p>
        </w:tc>
        <w:tc>
          <w:tcPr>
            <w:tcW w:w="3900" w:type="dxa"/>
            <w:vAlign w:val="bottom"/>
            <w:gridSpan w:val="4"/>
          </w:tcPr>
          <w:p>
            <w:pPr>
              <w:ind w:left="110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Nicola Cameron</w:t>
            </w:r>
          </w:p>
        </w:tc>
      </w:tr>
      <w:tr>
        <w:trPr>
          <w:trHeight w:val="20"/>
        </w:trPr>
        <w:tc>
          <w:tcPr>
            <w:tcW w:w="620" w:type="dxa"/>
            <w:vAlign w:val="bottom"/>
          </w:tcPr>
          <w:p>
            <w:pPr>
              <w:spacing w:after="0" w:line="20" w:lineRule="exact"/>
              <w:rPr>
                <w:sz w:val="1"/>
                <w:szCs w:val="1"/>
                <w:color w:val="auto"/>
              </w:rPr>
            </w:pPr>
          </w:p>
        </w:tc>
        <w:tc>
          <w:tcPr>
            <w:tcW w:w="112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20" w:type="dxa"/>
            <w:vAlign w:val="bottom"/>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08"/>
        </w:trPr>
        <w:tc>
          <w:tcPr>
            <w:tcW w:w="4140" w:type="dxa"/>
            <w:vAlign w:val="bottom"/>
            <w:gridSpan w:val="4"/>
          </w:tcPr>
          <w:p>
            <w:pPr>
              <w:spacing w:after="0"/>
              <w:rPr>
                <w:sz w:val="20"/>
                <w:szCs w:val="20"/>
                <w:color w:val="auto"/>
              </w:rPr>
            </w:pPr>
            <w:r>
              <w:rPr>
                <w:rFonts w:ascii="Arial" w:cs="Arial" w:eastAsia="Arial" w:hAnsi="Arial"/>
                <w:sz w:val="20"/>
                <w:szCs w:val="20"/>
                <w:color w:val="auto"/>
              </w:rPr>
              <w:t>James Davis</w:t>
            </w:r>
          </w:p>
        </w:tc>
        <w:tc>
          <w:tcPr>
            <w:tcW w:w="3900" w:type="dxa"/>
            <w:vAlign w:val="bottom"/>
            <w:gridSpan w:val="4"/>
          </w:tcPr>
          <w:p>
            <w:pPr>
              <w:ind w:left="1100"/>
              <w:spacing w:after="0"/>
              <w:rPr>
                <w:sz w:val="20"/>
                <w:szCs w:val="20"/>
                <w:color w:val="auto"/>
              </w:rPr>
            </w:pPr>
            <w:r>
              <w:rPr>
                <w:rFonts w:ascii="Arial" w:cs="Arial" w:eastAsia="Arial" w:hAnsi="Arial"/>
                <w:sz w:val="20"/>
                <w:szCs w:val="20"/>
                <w:color w:val="auto"/>
              </w:rPr>
              <w:t>Brooke Robertson</w:t>
            </w:r>
          </w:p>
        </w:tc>
      </w:tr>
      <w:tr>
        <w:trPr>
          <w:trHeight w:val="189"/>
        </w:trPr>
        <w:tc>
          <w:tcPr>
            <w:tcW w:w="4140" w:type="dxa"/>
            <w:vAlign w:val="bottom"/>
            <w:gridSpan w:val="4"/>
          </w:tcPr>
          <w:p>
            <w:pPr>
              <w:spacing w:after="0" w:line="189" w:lineRule="exact"/>
              <w:rPr>
                <w:sz w:val="20"/>
                <w:szCs w:val="20"/>
                <w:color w:val="auto"/>
              </w:rPr>
            </w:pPr>
            <w:r>
              <w:rPr>
                <w:rFonts w:ascii="Arial" w:cs="Arial" w:eastAsia="Arial" w:hAnsi="Arial"/>
                <w:sz w:val="20"/>
                <w:szCs w:val="20"/>
                <w:color w:val="auto"/>
              </w:rPr>
              <w:t>Senior Manager Investor Relations</w:t>
            </w:r>
          </w:p>
        </w:tc>
        <w:tc>
          <w:tcPr>
            <w:tcW w:w="3900" w:type="dxa"/>
            <w:vAlign w:val="bottom"/>
            <w:gridSpan w:val="4"/>
          </w:tcPr>
          <w:p>
            <w:pPr>
              <w:ind w:left="1100"/>
              <w:spacing w:after="0" w:line="189" w:lineRule="exact"/>
              <w:rPr>
                <w:sz w:val="20"/>
                <w:szCs w:val="20"/>
                <w:color w:val="auto"/>
              </w:rPr>
            </w:pPr>
            <w:r>
              <w:rPr>
                <w:rFonts w:ascii="Arial" w:cs="Arial" w:eastAsia="Arial" w:hAnsi="Arial"/>
                <w:sz w:val="20"/>
                <w:szCs w:val="20"/>
                <w:color w:val="auto"/>
              </w:rPr>
              <w:t>Public Relations Director</w:t>
            </w:r>
          </w:p>
        </w:tc>
      </w:tr>
      <w:tr>
        <w:trPr>
          <w:trHeight w:val="189"/>
        </w:trPr>
        <w:tc>
          <w:tcPr>
            <w:tcW w:w="4140" w:type="dxa"/>
            <w:vAlign w:val="bottom"/>
            <w:gridSpan w:val="4"/>
          </w:tcPr>
          <w:p>
            <w:pPr>
              <w:spacing w:after="0" w:line="189" w:lineRule="exact"/>
              <w:rPr>
                <w:sz w:val="20"/>
                <w:szCs w:val="20"/>
                <w:color w:val="auto"/>
              </w:rPr>
            </w:pPr>
            <w:r>
              <w:rPr>
                <w:rFonts w:ascii="Arial" w:cs="Arial" w:eastAsia="Arial" w:hAnsi="Arial"/>
                <w:sz w:val="20"/>
                <w:szCs w:val="20"/>
                <w:color w:val="auto"/>
              </w:rPr>
              <w:t>Tel: +1 281 260 3665</w:t>
            </w:r>
          </w:p>
        </w:tc>
        <w:tc>
          <w:tcPr>
            <w:tcW w:w="3900" w:type="dxa"/>
            <w:vAlign w:val="bottom"/>
            <w:gridSpan w:val="4"/>
          </w:tcPr>
          <w:p>
            <w:pPr>
              <w:ind w:left="1100"/>
              <w:spacing w:after="0" w:line="189" w:lineRule="exact"/>
              <w:rPr>
                <w:sz w:val="20"/>
                <w:szCs w:val="20"/>
                <w:color w:val="auto"/>
              </w:rPr>
            </w:pPr>
            <w:r>
              <w:rPr>
                <w:rFonts w:ascii="Arial" w:cs="Arial" w:eastAsia="Arial" w:hAnsi="Arial"/>
                <w:sz w:val="20"/>
                <w:szCs w:val="20"/>
                <w:color w:val="auto"/>
              </w:rPr>
              <w:t>Tel: +1 281 591 4108</w:t>
            </w:r>
          </w:p>
        </w:tc>
      </w:tr>
      <w:tr>
        <w:trPr>
          <w:trHeight w:val="193"/>
        </w:trPr>
        <w:tc>
          <w:tcPr>
            <w:tcW w:w="414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James Davis</w:t>
            </w:r>
          </w:p>
        </w:tc>
        <w:tc>
          <w:tcPr>
            <w:tcW w:w="3900" w:type="dxa"/>
            <w:vAlign w:val="bottom"/>
            <w:gridSpan w:val="4"/>
          </w:tcPr>
          <w:p>
            <w:pPr>
              <w:ind w:left="110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Brooke Robertson</w:t>
            </w:r>
          </w:p>
        </w:tc>
      </w:tr>
      <w:tr>
        <w:trPr>
          <w:trHeight w:val="20"/>
        </w:trPr>
        <w:tc>
          <w:tcPr>
            <w:tcW w:w="620" w:type="dxa"/>
            <w:vAlign w:val="bottom"/>
          </w:tcPr>
          <w:p>
            <w:pPr>
              <w:spacing w:after="0" w:line="20" w:lineRule="exact"/>
              <w:rPr>
                <w:sz w:val="1"/>
                <w:szCs w:val="1"/>
                <w:color w:val="auto"/>
              </w:rPr>
            </w:pPr>
          </w:p>
        </w:tc>
        <w:tc>
          <w:tcPr>
            <w:tcW w:w="1120" w:type="dxa"/>
            <w:vAlign w:val="bottom"/>
            <w:shd w:val="clear" w:color="auto" w:fill="3051F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5020"/>
        <w:spacing w:after="0"/>
        <w:tabs>
          <w:tab w:leader="none" w:pos="102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13 of 22</w:t>
      </w:r>
    </w:p>
    <w:p>
      <w:pPr>
        <w:sectPr>
          <w:pgSz w:w="11900" w:h="16838" w:orient="portrait"/>
          <w:cols w:equalWidth="0" w:num="1">
            <w:col w:w="11180"/>
          </w:cols>
          <w:pgMar w:left="340" w:top="1440" w:right="379" w:bottom="1440" w:gutter="0" w:footer="0" w:header="0"/>
        </w:sectPr>
      </w:pPr>
    </w:p>
    <w:bookmarkStart w:id="17" w:name="page18"/>
    <w:bookmarkEnd w:id="17"/>
    <w:p>
      <w:pPr>
        <w:jc w:val="right"/>
        <w:spacing w:after="0"/>
        <w:rPr>
          <w:sz w:val="20"/>
          <w:szCs w:val="20"/>
          <w:color w:val="auto"/>
        </w:rPr>
      </w:pPr>
      <w:r>
        <w:rPr>
          <w:rFonts w:ascii="Arial" w:cs="Arial" w:eastAsia="Arial" w:hAnsi="Arial"/>
          <w:sz w:val="13"/>
          <w:szCs w:val="13"/>
          <w:b w:val="1"/>
          <w:bCs w:val="1"/>
          <w:color w:val="auto"/>
        </w:rPr>
        <w:t>Exhibit 1</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CONDENSED 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1"/>
              </w:rPr>
              <w:t>(Unaudited)</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231"/>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8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6"/>
              </w:rPr>
              <w:t>March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25"/>
        </w:trPr>
        <w:tc>
          <w:tcPr>
            <w:tcW w:w="826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1,632.0</w:t>
            </w:r>
          </w:p>
        </w:tc>
        <w:tc>
          <w:tcPr>
            <w:tcW w:w="8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1,582.6</w:t>
            </w: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1,630.8</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4,823.9</w:t>
            </w:r>
          </w:p>
        </w:tc>
        <w:tc>
          <w:tcPr>
            <w:tcW w:w="0" w:type="dxa"/>
            <w:vAlign w:val="bottom"/>
          </w:tcPr>
          <w:p>
            <w:pPr>
              <w:spacing w:after="0"/>
              <w:rPr>
                <w:sz w:val="1"/>
                <w:szCs w:val="1"/>
                <w:color w:val="auto"/>
              </w:rPr>
            </w:pPr>
          </w:p>
        </w:tc>
      </w:tr>
      <w:tr>
        <w:trPr>
          <w:trHeight w:val="224"/>
        </w:trPr>
        <w:tc>
          <w:tcPr>
            <w:tcW w:w="8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(3,241.3)</w:t>
            </w:r>
          </w:p>
        </w:tc>
        <w:tc>
          <w:tcPr>
            <w:tcW w:w="0" w:type="dxa"/>
            <w:vAlign w:val="bottom"/>
          </w:tcPr>
          <w:p>
            <w:pPr>
              <w:spacing w:after="0"/>
              <w:rPr>
                <w:sz w:val="1"/>
                <w:szCs w:val="1"/>
                <w:color w:val="auto"/>
              </w:rPr>
            </w:pPr>
          </w:p>
        </w:tc>
      </w:tr>
      <w:tr>
        <w:trPr>
          <w:trHeight w:val="390"/>
        </w:trPr>
        <w:tc>
          <w:tcPr>
            <w:tcW w:w="82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Income (loss) from investment in Technip Energies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8260" w:type="dxa"/>
            <w:vAlign w:val="bottom"/>
            <w:vMerge w:val="restart"/>
          </w:tcPr>
          <w:p>
            <w:pPr>
              <w:spacing w:after="0"/>
              <w:rPr>
                <w:sz w:val="20"/>
                <w:szCs w:val="20"/>
                <w:color w:val="auto"/>
              </w:rPr>
            </w:pPr>
            <w:r>
              <w:rPr>
                <w:rFonts w:ascii="Arial" w:cs="Arial" w:eastAsia="Arial" w:hAnsi="Arial"/>
                <w:sz w:val="18"/>
                <w:szCs w:val="18"/>
                <w:color w:val="auto"/>
              </w:rPr>
              <w:t>Income (loss) before net interest expense and income taxes</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2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(3,228.1)</w:t>
            </w:r>
          </w:p>
        </w:tc>
        <w:tc>
          <w:tcPr>
            <w:tcW w:w="0" w:type="dxa"/>
            <w:vAlign w:val="bottom"/>
          </w:tcPr>
          <w:p>
            <w:pPr>
              <w:spacing w:after="0"/>
              <w:rPr>
                <w:sz w:val="1"/>
                <w:szCs w:val="1"/>
                <w:color w:val="auto"/>
              </w:rPr>
            </w:pPr>
          </w:p>
        </w:tc>
      </w:tr>
      <w:tr>
        <w:trPr>
          <w:trHeight w:val="229"/>
        </w:trPr>
        <w:tc>
          <w:tcPr>
            <w:tcW w:w="8260" w:type="dxa"/>
            <w:vAlign w:val="bottom"/>
          </w:tcPr>
          <w:p>
            <w:pPr>
              <w:spacing w:after="0"/>
              <w:rPr>
                <w:sz w:val="20"/>
                <w:szCs w:val="20"/>
                <w:color w:val="auto"/>
              </w:rPr>
            </w:pPr>
            <w:r>
              <w:rPr>
                <w:rFonts w:ascii="Arial" w:cs="Arial" w:eastAsia="Arial" w:hAnsi="Arial"/>
                <w:sz w:val="18"/>
                <w:szCs w:val="18"/>
                <w:color w:val="auto"/>
              </w:rPr>
              <w:t>Net 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826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2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(3,251.1)</w:t>
            </w: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62"/>
        </w:trPr>
        <w:tc>
          <w:tcPr>
            <w:tcW w:w="826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2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(3,227.9)</w:t>
            </w: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Income from continuing operations attributable to non-controlling interests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4"/>
        </w:trPr>
        <w:tc>
          <w:tcPr>
            <w:tcW w:w="8260" w:type="dxa"/>
            <w:vAlign w:val="bottom"/>
          </w:tcPr>
          <w:p>
            <w:pPr>
              <w:spacing w:after="0"/>
              <w:rPr>
                <w:sz w:val="20"/>
                <w:szCs w:val="20"/>
                <w:color w:val="auto"/>
              </w:rPr>
            </w:pPr>
            <w:r>
              <w:rPr>
                <w:rFonts w:ascii="Arial" w:cs="Arial" w:eastAsia="Arial" w:hAnsi="Arial"/>
                <w:sz w:val="18"/>
                <w:szCs w:val="18"/>
                <w:color w:val="auto"/>
              </w:rPr>
              <w:t>Income (loss) from continuing operations attributable to TechnipFMC plc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(3,234.8)</w:t>
            </w:r>
          </w:p>
        </w:tc>
        <w:tc>
          <w:tcPr>
            <w:tcW w:w="0" w:type="dxa"/>
            <w:vAlign w:val="bottom"/>
          </w:tcPr>
          <w:p>
            <w:pPr>
              <w:spacing w:after="0"/>
              <w:rPr>
                <w:sz w:val="1"/>
                <w:szCs w:val="1"/>
                <w:color w:val="auto"/>
              </w:rPr>
            </w:pPr>
          </w:p>
        </w:tc>
      </w:tr>
      <w:tr>
        <w:trPr>
          <w:trHeight w:val="376"/>
        </w:trPr>
        <w:tc>
          <w:tcPr>
            <w:tcW w:w="82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Income from discontinued operations attributable to non-controlling interests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Net Income (loss) attributable to TechnipFMC plc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(3,256.1)</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Earnings (loss) per share from continuing operations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0"/>
        </w:trPr>
        <w:tc>
          <w:tcPr>
            <w:tcW w:w="826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Earnings (loss) per share from discontinued operations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0"/>
              <w:spacing w:after="0"/>
              <w:rPr>
                <w:sz w:val="20"/>
                <w:szCs w:val="20"/>
                <w:color w:val="auto"/>
              </w:rPr>
            </w:pPr>
            <w:r>
              <w:rPr>
                <w:rFonts w:ascii="Arial" w:cs="Arial" w:eastAsia="Arial" w:hAnsi="Arial"/>
                <w:sz w:val="18"/>
                <w:szCs w:val="18"/>
                <w:color w:val="auto"/>
              </w:rPr>
              <w:t>Basic and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499"/>
        </w:trPr>
        <w:tc>
          <w:tcPr>
            <w:tcW w:w="8260" w:type="dxa"/>
            <w:vAlign w:val="bottom"/>
          </w:tcPr>
          <w:p>
            <w:pPr>
              <w:spacing w:after="0"/>
              <w:rPr>
                <w:sz w:val="20"/>
                <w:szCs w:val="20"/>
                <w:color w:val="auto"/>
              </w:rPr>
            </w:pPr>
            <w:r>
              <w:rPr>
                <w:rFonts w:ascii="Arial" w:cs="Arial" w:eastAsia="Arial" w:hAnsi="Arial"/>
                <w:sz w:val="18"/>
                <w:szCs w:val="18"/>
                <w:color w:val="auto"/>
              </w:rPr>
              <w:t>Earnings (loss) per share attributable to TechnipFMC plc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30"/>
        </w:trPr>
        <w:tc>
          <w:tcPr>
            <w:tcW w:w="826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0.81</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445"/>
        </w:trPr>
        <w:tc>
          <w:tcPr>
            <w:tcW w:w="82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30"/>
        </w:trPr>
        <w:tc>
          <w:tcPr>
            <w:tcW w:w="826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445"/>
        </w:trPr>
        <w:tc>
          <w:tcPr>
            <w:tcW w:w="826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785"/>
        </w:trPr>
        <w:tc>
          <w:tcPr>
            <w:tcW w:w="8260" w:type="dxa"/>
            <w:vAlign w:val="bottom"/>
          </w:tcPr>
          <w:p>
            <w:pPr>
              <w:ind w:left="5020"/>
              <w:spacing w:after="0"/>
              <w:rPr>
                <w:sz w:val="20"/>
                <w:szCs w:val="20"/>
                <w:color w:val="auto"/>
              </w:rPr>
            </w:pPr>
            <w:r>
              <w:rPr>
                <w:rFonts w:ascii="Arial" w:cs="Arial" w:eastAsia="Arial" w:hAnsi="Arial"/>
                <w:sz w:val="14"/>
                <w:szCs w:val="14"/>
                <w:b w:val="1"/>
                <w:bCs w:val="1"/>
                <w:color w:val="auto"/>
              </w:rPr>
              <w:t>TechnipFMC.com</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Page 14 of 22</w:t>
            </w:r>
          </w:p>
        </w:tc>
        <w:tc>
          <w:tcPr>
            <w:tcW w:w="0" w:type="dxa"/>
            <w:vAlign w:val="bottom"/>
          </w:tcPr>
          <w:p>
            <w:pPr>
              <w:spacing w:after="0"/>
              <w:rPr>
                <w:sz w:val="1"/>
                <w:szCs w:val="1"/>
                <w:color w:val="auto"/>
              </w:rPr>
            </w:pPr>
          </w:p>
        </w:tc>
      </w:tr>
    </w:tbl>
    <w:p>
      <w:pPr>
        <w:sectPr>
          <w:pgSz w:w="11900" w:h="16838" w:orient="portrait"/>
          <w:cols w:equalWidth="0" w:num="1">
            <w:col w:w="11220"/>
          </w:cols>
          <w:pgMar w:left="340" w:top="1053"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3"/>
          <w:szCs w:val="13"/>
          <w:b w:val="1"/>
          <w:bCs w:val="1"/>
          <w:color w:val="auto"/>
        </w:rPr>
        <w:t>Exhibit 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1"/>
              </w:rPr>
              <w:t>(Unaudited)</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6"/>
              </w:rPr>
              <w:t>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69"/>
        </w:trPr>
        <w:tc>
          <w:tcPr>
            <w:tcW w:w="826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5"/>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Subsea</w:t>
            </w:r>
          </w:p>
        </w:tc>
        <w:tc>
          <w:tcPr>
            <w:tcW w:w="7600" w:type="dxa"/>
            <w:vAlign w:val="bottom"/>
            <w:gridSpan w:val="4"/>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1,386.5</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1,253.1</w:t>
            </w:r>
          </w:p>
        </w:tc>
        <w:tc>
          <w:tcPr>
            <w:tcW w:w="0" w:type="dxa"/>
            <w:vAlign w:val="bottom"/>
          </w:tcPr>
          <w:p>
            <w:pPr>
              <w:spacing w:after="0"/>
              <w:rPr>
                <w:sz w:val="1"/>
                <w:szCs w:val="1"/>
                <w:color w:val="auto"/>
              </w:rPr>
            </w:pPr>
          </w:p>
        </w:tc>
      </w:tr>
      <w:tr>
        <w:trPr>
          <w:trHeight w:val="230"/>
        </w:trPr>
        <w:tc>
          <w:tcPr>
            <w:tcW w:w="826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1,632.0</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1,582.6</w:t>
            </w:r>
          </w:p>
        </w:tc>
        <w:tc>
          <w:tcPr>
            <w:tcW w:w="0" w:type="dxa"/>
            <w:vAlign w:val="bottom"/>
          </w:tcPr>
          <w:p>
            <w:pPr>
              <w:spacing w:after="0"/>
              <w:rPr>
                <w:sz w:val="1"/>
                <w:szCs w:val="1"/>
                <w:color w:val="auto"/>
              </w:rPr>
            </w:pPr>
          </w:p>
        </w:tc>
      </w:tr>
      <w:tr>
        <w:trPr>
          <w:trHeight w:val="20"/>
        </w:trPr>
        <w:tc>
          <w:tcPr>
            <w:tcW w:w="82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26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5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Segment operating profit (loss)</w:t>
            </w:r>
          </w:p>
        </w:tc>
        <w:tc>
          <w:tcPr>
            <w:tcW w:w="5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Subsea</w:t>
            </w:r>
          </w:p>
        </w:tc>
        <w:tc>
          <w:tcPr>
            <w:tcW w:w="6020" w:type="dxa"/>
            <w:vAlign w:val="bottom"/>
            <w:gridSpan w:val="2"/>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(2,750.7)</w:t>
            </w:r>
          </w:p>
        </w:tc>
        <w:tc>
          <w:tcPr>
            <w:tcW w:w="0" w:type="dxa"/>
            <w:vAlign w:val="bottom"/>
          </w:tcPr>
          <w:p>
            <w:pPr>
              <w:spacing w:after="0"/>
              <w:rPr>
                <w:sz w:val="1"/>
                <w:szCs w:val="1"/>
                <w:color w:val="auto"/>
              </w:rPr>
            </w:pPr>
          </w:p>
        </w:tc>
      </w:tr>
      <w:tr>
        <w:trPr>
          <w:trHeight w:val="230"/>
        </w:trPr>
        <w:tc>
          <w:tcPr>
            <w:tcW w:w="826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24"/>
        </w:trPr>
        <w:tc>
          <w:tcPr>
            <w:tcW w:w="8260" w:type="dxa"/>
            <w:vAlign w:val="bottom"/>
            <w:gridSpan w:val="5"/>
          </w:tcPr>
          <w:p>
            <w:pPr>
              <w:ind w:left="340"/>
              <w:spacing w:after="0"/>
              <w:rPr>
                <w:sz w:val="20"/>
                <w:szCs w:val="20"/>
                <w:color w:val="auto"/>
              </w:rPr>
            </w:pPr>
            <w:r>
              <w:rPr>
                <w:rFonts w:ascii="Arial" w:cs="Arial" w:eastAsia="Arial" w:hAnsi="Arial"/>
                <w:sz w:val="18"/>
                <w:szCs w:val="18"/>
                <w:color w:val="auto"/>
              </w:rPr>
              <w:t>Total segment operating profit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(3,174.7)</w:t>
            </w:r>
          </w:p>
        </w:tc>
        <w:tc>
          <w:tcPr>
            <w:tcW w:w="0" w:type="dxa"/>
            <w:vAlign w:val="bottom"/>
          </w:tcPr>
          <w:p>
            <w:pPr>
              <w:spacing w:after="0"/>
              <w:rPr>
                <w:sz w:val="1"/>
                <w:szCs w:val="1"/>
                <w:color w:val="auto"/>
              </w:rPr>
            </w:pPr>
          </w:p>
        </w:tc>
      </w:tr>
      <w:tr>
        <w:trPr>
          <w:trHeight w:val="404"/>
        </w:trPr>
        <w:tc>
          <w:tcPr>
            <w:tcW w:w="8260" w:type="dxa"/>
            <w:vAlign w:val="bottom"/>
            <w:gridSpan w:val="5"/>
          </w:tcPr>
          <w:p>
            <w:pPr>
              <w:spacing w:after="0"/>
              <w:rPr>
                <w:sz w:val="20"/>
                <w:szCs w:val="20"/>
                <w:color w:val="auto"/>
              </w:rPr>
            </w:pPr>
            <w:r>
              <w:rPr>
                <w:rFonts w:ascii="Arial" w:cs="Arial" w:eastAsia="Arial" w:hAnsi="Arial"/>
                <w:sz w:val="18"/>
                <w:szCs w:val="18"/>
                <w:color w:val="auto"/>
              </w:rPr>
              <w:t>Corporate items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00"/>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60" w:type="dxa"/>
            <w:vAlign w:val="bottom"/>
            <w:gridSpan w:val="5"/>
          </w:tcPr>
          <w:p>
            <w:pPr>
              <w:spacing w:after="0" w:line="250" w:lineRule="exact"/>
              <w:rPr>
                <w:sz w:val="20"/>
                <w:szCs w:val="20"/>
                <w:color w:val="auto"/>
              </w:rPr>
            </w:pPr>
            <w:r>
              <w:rPr>
                <w:rFonts w:ascii="Arial" w:cs="Arial" w:eastAsia="Arial" w:hAnsi="Arial"/>
                <w:sz w:val="18"/>
                <w:szCs w:val="18"/>
                <w:color w:val="auto"/>
              </w:rPr>
              <w:t xml:space="preserve">Corporate expense </w:t>
            </w:r>
            <w:r>
              <w:rPr>
                <w:rFonts w:ascii="Arial" w:cs="Arial" w:eastAsia="Arial" w:hAnsi="Arial"/>
                <w:sz w:val="23"/>
                <w:szCs w:val="23"/>
                <w:color w:val="auto"/>
                <w:vertAlign w:val="superscript"/>
              </w:rPr>
              <w:t>(1)</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8260" w:type="dxa"/>
            <w:vAlign w:val="bottom"/>
            <w:gridSpan w:val="5"/>
          </w:tcPr>
          <w:p>
            <w:pPr>
              <w:spacing w:after="0"/>
              <w:rPr>
                <w:sz w:val="20"/>
                <w:szCs w:val="20"/>
                <w:color w:val="auto"/>
              </w:rPr>
            </w:pPr>
            <w:r>
              <w:rPr>
                <w:rFonts w:ascii="Arial" w:cs="Arial" w:eastAsia="Arial" w:hAnsi="Arial"/>
                <w:sz w:val="18"/>
                <w:szCs w:val="18"/>
                <w:color w:val="auto"/>
              </w:rPr>
              <w:t>Net 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8260" w:type="dxa"/>
            <w:vAlign w:val="bottom"/>
            <w:gridSpan w:val="5"/>
          </w:tcPr>
          <w:p>
            <w:pPr>
              <w:spacing w:after="0"/>
              <w:rPr>
                <w:sz w:val="20"/>
                <w:szCs w:val="20"/>
                <w:color w:val="auto"/>
              </w:rPr>
            </w:pPr>
            <w:r>
              <w:rPr>
                <w:rFonts w:ascii="Arial" w:cs="Arial" w:eastAsia="Arial" w:hAnsi="Arial"/>
                <w:sz w:val="18"/>
                <w:szCs w:val="18"/>
                <w:color w:val="auto"/>
              </w:rPr>
              <w:t>Income from investment in Technip Energies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gridSpan w:val="5"/>
          </w:tcPr>
          <w:p>
            <w:pPr>
              <w:spacing w:after="0"/>
              <w:rPr>
                <w:sz w:val="20"/>
                <w:szCs w:val="20"/>
                <w:color w:val="auto"/>
              </w:rPr>
            </w:pPr>
            <w:r>
              <w:rPr>
                <w:rFonts w:ascii="Arial" w:cs="Arial" w:eastAsia="Arial" w:hAnsi="Arial"/>
                <w:sz w:val="18"/>
                <w:szCs w:val="18"/>
                <w:color w:val="auto"/>
              </w:rPr>
              <w:t>Foreign exchange gains (losses)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4"/>
        </w:trPr>
        <w:tc>
          <w:tcPr>
            <w:tcW w:w="8260" w:type="dxa"/>
            <w:vAlign w:val="bottom"/>
            <w:gridSpan w:val="5"/>
          </w:tcPr>
          <w:p>
            <w:pPr>
              <w:spacing w:after="0"/>
              <w:rPr>
                <w:sz w:val="20"/>
                <w:szCs w:val="20"/>
                <w:color w:val="auto"/>
              </w:rPr>
            </w:pPr>
            <w:r>
              <w:rPr>
                <w:rFonts w:ascii="Arial" w:cs="Arial" w:eastAsia="Arial" w:hAnsi="Arial"/>
                <w:sz w:val="18"/>
                <w:szCs w:val="18"/>
                <w:color w:val="auto"/>
              </w:rPr>
              <w:t>Total corporate items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gridSpan w:val="5"/>
          </w:tcPr>
          <w:p>
            <w:pPr>
              <w:spacing w:after="0" w:line="223" w:lineRule="exact"/>
              <w:rPr>
                <w:sz w:val="20"/>
                <w:szCs w:val="20"/>
                <w:color w:val="auto"/>
              </w:rPr>
            </w:pPr>
            <w:r>
              <w:rPr>
                <w:rFonts w:ascii="Arial" w:cs="Arial" w:eastAsia="Arial" w:hAnsi="Arial"/>
                <w:sz w:val="18"/>
                <w:szCs w:val="18"/>
                <w:color w:val="auto"/>
              </w:rPr>
              <w:t xml:space="preserve">Income (loss) before income taxes </w:t>
            </w:r>
            <w:r>
              <w:rPr>
                <w:rFonts w:ascii="Arial" w:cs="Arial" w:eastAsia="Arial" w:hAnsi="Arial"/>
                <w:sz w:val="23"/>
                <w:szCs w:val="23"/>
                <w:color w:val="auto"/>
                <w:vertAlign w:val="superscript"/>
              </w:rPr>
              <w:t>(2)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expense primarily includes corporate staff expenses, share-based compensation expenses, and other employee benefits.</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15 of 22</w:t>
      </w:r>
    </w:p>
    <w:p>
      <w:pPr>
        <w:sectPr>
          <w:pgSz w:w="11900" w:h="16838" w:orient="portrait"/>
          <w:cols w:equalWidth="0" w:num="1">
            <w:col w:w="11240"/>
          </w:cols>
          <w:pgMar w:left="320" w:top="1053"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3"/>
          <w:szCs w:val="13"/>
          <w:b w:val="1"/>
          <w:bCs w:val="1"/>
          <w:color w:val="auto"/>
        </w:rPr>
        <w:t>Exhibit 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Inbound Orders </w:t>
            </w:r>
            <w:r>
              <w:rPr>
                <w:rFonts w:ascii="Arial" w:cs="Arial" w:eastAsia="Arial" w:hAnsi="Arial"/>
                <w:sz w:val="23"/>
                <w:szCs w:val="23"/>
                <w:b w:val="1"/>
                <w:bCs w:val="1"/>
                <w:color w:val="auto"/>
                <w:vertAlign w:val="superscript"/>
              </w:rPr>
              <w:t>(1)</w:t>
            </w:r>
          </w:p>
        </w:tc>
        <w:tc>
          <w:tcPr>
            <w:tcW w:w="320" w:type="dxa"/>
            <w:vAlign w:val="bottom"/>
          </w:tcPr>
          <w:p>
            <w:pPr>
              <w:spacing w:after="0"/>
              <w:rPr>
                <w:sz w:val="19"/>
                <w:szCs w:val="19"/>
                <w:color w:val="auto"/>
              </w:rPr>
            </w:pPr>
          </w:p>
        </w:tc>
        <w:tc>
          <w:tcPr>
            <w:tcW w:w="26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4"/>
        </w:trPr>
        <w:tc>
          <w:tcPr>
            <w:tcW w:w="8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300" w:type="dxa"/>
            <w:vAlign w:val="bottom"/>
            <w:tcBorders>
              <w:top w:val="single" w:sz="8" w:color="auto"/>
            </w:tcBorders>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25"/>
        </w:trPr>
        <w:tc>
          <w:tcPr>
            <w:tcW w:w="8260" w:type="dxa"/>
            <w:vAlign w:val="bottom"/>
            <w:gridSpan w:val="2"/>
          </w:tcPr>
          <w:p>
            <w:pPr>
              <w:spacing w:after="0"/>
              <w:rPr>
                <w:sz w:val="20"/>
                <w:szCs w:val="20"/>
                <w:color w:val="auto"/>
              </w:rPr>
            </w:pPr>
            <w:r>
              <w:rPr>
                <w:rFonts w:ascii="Arial" w:cs="Arial" w:eastAsia="Arial" w:hAnsi="Arial"/>
                <w:sz w:val="18"/>
                <w:szCs w:val="18"/>
                <w:color w:val="auto"/>
              </w:rPr>
              <w:t>Subsea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1,518.8</w:t>
            </w:r>
          </w:p>
        </w:tc>
        <w:tc>
          <w:tcPr>
            <w:tcW w:w="8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1,172.1</w:t>
            </w: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Total inbound orders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1,722.1</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1,538.4</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Order Backlog </w:t>
            </w:r>
            <w:r>
              <w:rPr>
                <w:rFonts w:ascii="Arial" w:cs="Arial" w:eastAsia="Arial" w:hAnsi="Arial"/>
                <w:sz w:val="23"/>
                <w:szCs w:val="23"/>
                <w:b w:val="1"/>
                <w:bCs w:val="1"/>
                <w:color w:val="auto"/>
                <w:vertAlign w:val="superscript"/>
              </w:rPr>
              <w:t>(2)</w:t>
            </w:r>
          </w:p>
        </w:tc>
        <w:tc>
          <w:tcPr>
            <w:tcW w:w="320" w:type="dxa"/>
            <w:vAlign w:val="bottom"/>
          </w:tcPr>
          <w:p>
            <w:pPr>
              <w:spacing w:after="0"/>
              <w:rPr>
                <w:sz w:val="22"/>
                <w:szCs w:val="22"/>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22"/>
                <w:szCs w:val="22"/>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425"/>
        </w:trPr>
        <w:tc>
          <w:tcPr>
            <w:tcW w:w="8260" w:type="dxa"/>
            <w:vAlign w:val="bottom"/>
            <w:gridSpan w:val="2"/>
          </w:tcPr>
          <w:p>
            <w:pPr>
              <w:spacing w:after="0"/>
              <w:rPr>
                <w:sz w:val="20"/>
                <w:szCs w:val="20"/>
                <w:color w:val="auto"/>
              </w:rPr>
            </w:pPr>
            <w:r>
              <w:rPr>
                <w:rFonts w:ascii="Arial" w:cs="Arial" w:eastAsia="Arial" w:hAnsi="Arial"/>
                <w:sz w:val="18"/>
                <w:szCs w:val="18"/>
                <w:color w:val="auto"/>
              </w:rPr>
              <w:t>Subsea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6,857.1</w:t>
            </w:r>
          </w:p>
        </w:tc>
        <w:tc>
          <w:tcPr>
            <w:tcW w:w="8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7,773.5</w:t>
            </w: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w:t>
            </w: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Total order backlog</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7,221.4</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8,195.5</w:t>
            </w:r>
          </w:p>
        </w:tc>
      </w:tr>
      <w:tr>
        <w:trPr>
          <w:trHeight w:val="21"/>
        </w:trPr>
        <w:tc>
          <w:tcPr>
            <w:tcW w:w="11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Inbound orders represent the estimated sales value of confirmed customer orders received during the reporting period.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Order backlog is calculated as the estimated sales value of unfilled, confirmed customer orders at the reporting date.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16 of 22</w:t>
      </w:r>
    </w:p>
    <w:p>
      <w:pPr>
        <w:sectPr>
          <w:pgSz w:w="11900" w:h="16838" w:orient="portrait"/>
          <w:cols w:equalWidth="0" w:num="1">
            <w:col w:w="11240"/>
          </w:cols>
          <w:pgMar w:left="320" w:top="105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4"/>
        </w:trPr>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760"/>
              <w:spacing w:after="0"/>
              <w:rPr>
                <w:sz w:val="20"/>
                <w:szCs w:val="20"/>
                <w:color w:val="auto"/>
              </w:rPr>
            </w:pPr>
            <w:r>
              <w:rPr>
                <w:rFonts w:ascii="Arial" w:cs="Arial" w:eastAsia="Arial" w:hAnsi="Arial"/>
                <w:sz w:val="13"/>
                <w:szCs w:val="13"/>
                <w:b w:val="1"/>
                <w:bCs w:val="1"/>
                <w:color w:val="auto"/>
                <w:w w:val="88"/>
              </w:rPr>
              <w:t>Exhibit 4</w:t>
            </w:r>
          </w:p>
        </w:tc>
      </w:tr>
      <w:tr>
        <w:trPr>
          <w:trHeight w:val="340"/>
        </w:trPr>
        <w:tc>
          <w:tcPr>
            <w:tcW w:w="3140" w:type="dxa"/>
            <w:vAlign w:val="bottom"/>
          </w:tcPr>
          <w:p>
            <w:pPr>
              <w:spacing w:after="0"/>
              <w:rPr>
                <w:sz w:val="24"/>
                <w:szCs w:val="24"/>
                <w:color w:val="auto"/>
              </w:rPr>
            </w:pPr>
          </w:p>
        </w:tc>
        <w:tc>
          <w:tcPr>
            <w:tcW w:w="50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rPr>
              <w:t>TECHNIPFMC PLC AND CONSOLIDATED SUBSIDIARIES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580" w:type="dxa"/>
            <w:vAlign w:val="bottom"/>
            <w:tcBorders>
              <w:top w:val="single" w:sz="8" w:color="auto"/>
            </w:tcBorders>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w w:val="98"/>
              </w:rPr>
              <w:t>CONDENSED CONSOLIDATED BALANCE SHEETS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3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50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3"/>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5"/>
          </w:tcPr>
          <w:p>
            <w:pPr>
              <w:ind w:left="820"/>
              <w:spacing w:after="0"/>
              <w:rPr>
                <w:sz w:val="20"/>
                <w:szCs w:val="20"/>
                <w:color w:val="auto"/>
              </w:rPr>
            </w:pPr>
            <w:r>
              <w:rPr>
                <w:rFonts w:ascii="Arial" w:cs="Arial" w:eastAsia="Arial" w:hAnsi="Arial"/>
                <w:sz w:val="16"/>
                <w:szCs w:val="16"/>
                <w:b w:val="1"/>
                <w:bCs w:val="1"/>
                <w:color w:val="auto"/>
              </w:rPr>
              <w:t>(Unaudited)</w:t>
            </w:r>
          </w:p>
        </w:tc>
      </w:tr>
      <w:tr>
        <w:trPr>
          <w:trHeight w:val="158"/>
        </w:trPr>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March 31,</w:t>
            </w: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53"/>
              <w:spacing w:after="0" w:line="158" w:lineRule="exact"/>
              <w:rPr>
                <w:sz w:val="20"/>
                <w:szCs w:val="20"/>
                <w:color w:val="auto"/>
              </w:rPr>
            </w:pPr>
            <w:r>
              <w:rPr>
                <w:rFonts w:ascii="Arial" w:cs="Arial" w:eastAsia="Arial" w:hAnsi="Arial"/>
                <w:sz w:val="16"/>
                <w:szCs w:val="16"/>
                <w:b w:val="1"/>
                <w:bCs w:val="1"/>
                <w:color w:val="auto"/>
                <w:w w:val="94"/>
              </w:rPr>
              <w:t>December 31,</w:t>
            </w:r>
          </w:p>
        </w:tc>
        <w:tc>
          <w:tcPr>
            <w:tcW w:w="20" w:type="dxa"/>
            <w:vAlign w:val="bottom"/>
          </w:tcPr>
          <w:p>
            <w:pPr>
              <w:spacing w:after="0"/>
              <w:rPr>
                <w:sz w:val="13"/>
                <w:szCs w:val="13"/>
                <w:color w:val="auto"/>
              </w:rPr>
            </w:pPr>
          </w:p>
        </w:tc>
      </w:tr>
      <w:tr>
        <w:trPr>
          <w:trHeight w:val="213"/>
        </w:trPr>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427"/>
        </w:trPr>
        <w:tc>
          <w:tcPr>
            <w:tcW w:w="822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752.8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1,269.2</w:t>
            </w:r>
          </w:p>
        </w:tc>
        <w:tc>
          <w:tcPr>
            <w:tcW w:w="20" w:type="dxa"/>
            <w:vAlign w:val="bottom"/>
          </w:tcPr>
          <w:p>
            <w:pPr>
              <w:spacing w:after="0"/>
              <w:rPr>
                <w:sz w:val="24"/>
                <w:szCs w:val="24"/>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Trade receivables,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987.1</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Contract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934.1</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1,252.8</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1,304.7</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Investment in Technip Energies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Current assets of discontinued operations</w:t>
            </w:r>
          </w:p>
        </w:tc>
        <w:tc>
          <w:tcPr>
            <w:tcW w:w="2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5,696.8</w:t>
            </w:r>
          </w:p>
        </w:tc>
        <w:tc>
          <w:tcPr>
            <w:tcW w:w="20" w:type="dxa"/>
            <w:vAlign w:val="bottom"/>
          </w:tcPr>
          <w:p>
            <w:pPr>
              <w:spacing w:after="0"/>
              <w:rPr>
                <w:sz w:val="20"/>
                <w:szCs w:val="20"/>
                <w:color w:val="auto"/>
              </w:rPr>
            </w:pPr>
          </w:p>
        </w:tc>
      </w:tr>
      <w:tr>
        <w:trPr>
          <w:trHeight w:val="224"/>
        </w:trPr>
        <w:tc>
          <w:tcPr>
            <w:tcW w:w="8220" w:type="dxa"/>
            <w:vAlign w:val="bottom"/>
            <w:gridSpan w:val="5"/>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6,263.2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11,444.7</w:t>
            </w:r>
          </w:p>
        </w:tc>
        <w:tc>
          <w:tcPr>
            <w:tcW w:w="20" w:type="dxa"/>
            <w:vAlign w:val="bottom"/>
          </w:tcPr>
          <w:p>
            <w:pPr>
              <w:spacing w:after="0"/>
              <w:rPr>
                <w:sz w:val="19"/>
                <w:szCs w:val="19"/>
                <w:color w:val="auto"/>
              </w:rPr>
            </w:pPr>
          </w:p>
        </w:tc>
      </w:tr>
      <w:tr>
        <w:trPr>
          <w:trHeight w:val="444"/>
        </w:trPr>
        <w:tc>
          <w:tcPr>
            <w:tcW w:w="8220" w:type="dxa"/>
            <w:vAlign w:val="bottom"/>
            <w:gridSpan w:val="5"/>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2,690.8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2,744.7</w:t>
            </w:r>
          </w:p>
        </w:tc>
        <w:tc>
          <w:tcPr>
            <w:tcW w:w="20" w:type="dxa"/>
            <w:vAlign w:val="bottom"/>
          </w:tcPr>
          <w:p>
            <w:pPr>
              <w:spacing w:after="0"/>
              <w:rPr>
                <w:sz w:val="24"/>
                <w:szCs w:val="24"/>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851.3</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1,358.3</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Non-current assets of discontinued operations</w:t>
            </w:r>
          </w:p>
        </w:tc>
        <w:tc>
          <w:tcPr>
            <w:tcW w:w="2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3,293.6</w:t>
            </w:r>
          </w:p>
        </w:tc>
        <w:tc>
          <w:tcPr>
            <w:tcW w:w="20" w:type="dxa"/>
            <w:vAlign w:val="bottom"/>
          </w:tcPr>
          <w:p>
            <w:pPr>
              <w:spacing w:after="0"/>
              <w:rPr>
                <w:sz w:val="20"/>
                <w:szCs w:val="20"/>
                <w:color w:val="auto"/>
              </w:rPr>
            </w:pPr>
          </w:p>
        </w:tc>
      </w:tr>
      <w:tr>
        <w:trPr>
          <w:trHeight w:val="223"/>
        </w:trPr>
        <w:tc>
          <w:tcPr>
            <w:tcW w:w="822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11,165.5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19,692.6</w:t>
            </w:r>
          </w:p>
        </w:tc>
        <w:tc>
          <w:tcPr>
            <w:tcW w:w="20" w:type="dxa"/>
            <w:vAlign w:val="bottom"/>
          </w:tcPr>
          <w:p>
            <w:pPr>
              <w:spacing w:after="0"/>
              <w:rPr>
                <w:sz w:val="19"/>
                <w:szCs w:val="19"/>
                <w:color w:val="auto"/>
              </w:rPr>
            </w:pPr>
          </w:p>
        </w:tc>
      </w:tr>
      <w:tr>
        <w:trPr>
          <w:trHeight w:val="21"/>
        </w:trPr>
        <w:tc>
          <w:tcPr>
            <w:tcW w:w="8220" w:type="dxa"/>
            <w:vAlign w:val="bottom"/>
            <w:gridSpan w:val="5"/>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8220" w:type="dxa"/>
            <w:vAlign w:val="bottom"/>
            <w:gridSpan w:val="5"/>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624.7</w:t>
            </w:r>
          </w:p>
        </w:tc>
        <w:tc>
          <w:tcPr>
            <w:tcW w:w="20" w:type="dxa"/>
            <w:vAlign w:val="bottom"/>
          </w:tcPr>
          <w:p>
            <w:pPr>
              <w:spacing w:after="0"/>
              <w:rPr>
                <w:sz w:val="24"/>
                <w:szCs w:val="24"/>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Accounts payable, trade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1,195.2</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1,045.7</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1,428.3</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Current liabilities of discontinued operations</w:t>
            </w:r>
          </w:p>
        </w:tc>
        <w:tc>
          <w:tcPr>
            <w:tcW w:w="2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6,121.3</w:t>
            </w:r>
          </w:p>
        </w:tc>
        <w:tc>
          <w:tcPr>
            <w:tcW w:w="20" w:type="dxa"/>
            <w:vAlign w:val="bottom"/>
          </w:tcPr>
          <w:p>
            <w:pPr>
              <w:spacing w:after="0"/>
              <w:rPr>
                <w:sz w:val="20"/>
                <w:szCs w:val="20"/>
                <w:color w:val="auto"/>
              </w:rPr>
            </w:pPr>
          </w:p>
        </w:tc>
      </w:tr>
      <w:tr>
        <w:trPr>
          <w:trHeight w:val="224"/>
        </w:trPr>
        <w:tc>
          <w:tcPr>
            <w:tcW w:w="8220" w:type="dxa"/>
            <w:vAlign w:val="bottom"/>
            <w:gridSpan w:val="5"/>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3,871.3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10,415.2</w:t>
            </w:r>
          </w:p>
        </w:tc>
        <w:tc>
          <w:tcPr>
            <w:tcW w:w="20" w:type="dxa"/>
            <w:vAlign w:val="bottom"/>
          </w:tcPr>
          <w:p>
            <w:pPr>
              <w:spacing w:after="0"/>
              <w:rPr>
                <w:sz w:val="19"/>
                <w:szCs w:val="19"/>
                <w:color w:val="auto"/>
              </w:rPr>
            </w:pPr>
          </w:p>
        </w:tc>
      </w:tr>
      <w:tr>
        <w:trPr>
          <w:trHeight w:val="444"/>
        </w:trPr>
        <w:tc>
          <w:tcPr>
            <w:tcW w:w="8220" w:type="dxa"/>
            <w:vAlign w:val="bottom"/>
            <w:gridSpan w:val="5"/>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2,434.3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2,835.5</w:t>
            </w:r>
          </w:p>
        </w:tc>
        <w:tc>
          <w:tcPr>
            <w:tcW w:w="20" w:type="dxa"/>
            <w:vAlign w:val="bottom"/>
          </w:tcPr>
          <w:p>
            <w:pPr>
              <w:spacing w:after="0"/>
              <w:rPr>
                <w:sz w:val="24"/>
                <w:szCs w:val="24"/>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1,102.6</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Non-current liabilities of discontinued operations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1,081.3</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TechnipFMC plc stockholders’ equity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3,654.1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4,154.2</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Non-controlling interests of discontinued operations</w:t>
            </w:r>
          </w:p>
        </w:tc>
        <w:tc>
          <w:tcPr>
            <w:tcW w:w="2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0"/>
                <w:szCs w:val="20"/>
                <w:color w:val="auto"/>
              </w:rPr>
            </w:pPr>
          </w:p>
        </w:tc>
      </w:tr>
      <w:tr>
        <w:trPr>
          <w:trHeight w:val="223"/>
        </w:trPr>
        <w:tc>
          <w:tcPr>
            <w:tcW w:w="8220" w:type="dxa"/>
            <w:vAlign w:val="bottom"/>
            <w:gridSpan w:val="5"/>
          </w:tcPr>
          <w:p>
            <w:pPr>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11,165.5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19,692.6</w:t>
            </w:r>
          </w:p>
        </w:tc>
        <w:tc>
          <w:tcPr>
            <w:tcW w:w="2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78"/>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TechnipFMC.com</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Page 17 of 22</w:t>
            </w:r>
          </w:p>
        </w:tc>
      </w:tr>
    </w:tbl>
    <w:p>
      <w:pPr>
        <w:sectPr>
          <w:pgSz w:w="11900" w:h="16838" w:orient="portrait"/>
          <w:cols w:equalWidth="0" w:num="1">
            <w:col w:w="11200"/>
          </w:cols>
          <w:pgMar w:left="360" w:top="1053" w:right="339" w:bottom="1440" w:gutter="0" w:footer="0" w:header="0"/>
        </w:sectPr>
      </w:pPr>
    </w:p>
    <w:bookmarkStart w:id="21" w:name="page22"/>
    <w:bookmarkEnd w:id="21"/>
    <w:p>
      <w:pPr>
        <w:spacing w:after="0" w:line="311" w:lineRule="exact"/>
        <w:rPr>
          <w:sz w:val="20"/>
          <w:szCs w:val="20"/>
          <w:color w:val="auto"/>
        </w:rPr>
      </w:pPr>
    </w:p>
    <w:p>
      <w:pPr>
        <w:jc w:val="center"/>
        <w:ind w:left="3480"/>
        <w:spacing w:after="0"/>
        <w:rPr>
          <w:sz w:val="20"/>
          <w:szCs w:val="20"/>
          <w:color w:val="auto"/>
        </w:rPr>
      </w:pPr>
      <w:r>
        <w:rPr>
          <w:rFonts w:ascii="Arial" w:cs="Arial" w:eastAsia="Arial" w:hAnsi="Arial"/>
          <w:sz w:val="12"/>
          <w:szCs w:val="12"/>
          <w:b w:val="1"/>
          <w:bCs w:val="1"/>
          <w:u w:val="single" w:color="auto"/>
          <w:color w:val="auto"/>
        </w:rPr>
        <w:t>TECHNIPFMC PLC AND CONSOLIDATED SUBSIDIARIES</w:t>
      </w:r>
    </w:p>
    <w:p>
      <w:pPr>
        <w:spacing w:after="0" w:line="24" w:lineRule="exact"/>
        <w:rPr>
          <w:sz w:val="20"/>
          <w:szCs w:val="20"/>
          <w:color w:val="auto"/>
        </w:rPr>
      </w:pPr>
    </w:p>
    <w:p>
      <w:pPr>
        <w:jc w:val="center"/>
        <w:ind w:left="3480"/>
        <w:spacing w:after="0"/>
        <w:rPr>
          <w:sz w:val="20"/>
          <w:szCs w:val="20"/>
          <w:color w:val="auto"/>
        </w:rPr>
      </w:pPr>
      <w:r>
        <w:rPr>
          <w:rFonts w:ascii="Arial" w:cs="Arial" w:eastAsia="Arial" w:hAnsi="Arial"/>
          <w:sz w:val="13"/>
          <w:szCs w:val="13"/>
          <w:b w:val="1"/>
          <w:bCs w:val="1"/>
          <w:u w:val="single" w:color="auto"/>
          <w:color w:val="auto"/>
        </w:rPr>
        <w:t>CONSOLIDATED STATEMENTS OF CASH FLOWS</w:t>
      </w:r>
    </w:p>
    <w:p>
      <w:pPr>
        <w:jc w:val="center"/>
        <w:ind w:left="3480"/>
        <w:spacing w:after="0"/>
        <w:rPr>
          <w:sz w:val="20"/>
          <w:szCs w:val="20"/>
          <w:color w:val="auto"/>
        </w:rPr>
      </w:pPr>
      <w:r>
        <w:rPr>
          <w:rFonts w:ascii="Arial" w:cs="Arial" w:eastAsia="Arial" w:hAnsi="Arial"/>
          <w:sz w:val="13"/>
          <w:szCs w:val="13"/>
          <w:b w:val="1"/>
          <w:bCs w:val="1"/>
          <w:color w:val="auto"/>
        </w:rPr>
        <w:t>(In millions, unaudited)</w:t>
      </w:r>
    </w:p>
    <w:p>
      <w:pPr>
        <w:spacing w:after="0" w:line="37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 millions)</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Cash provided (required) by operating activities</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Net income (loss) from continuing operations</w:t>
      </w:r>
    </w:p>
    <w:p>
      <w:pPr>
        <w:spacing w:after="0" w:line="26" w:lineRule="exact"/>
        <w:rPr>
          <w:sz w:val="20"/>
          <w:szCs w:val="20"/>
          <w:color w:val="auto"/>
        </w:rPr>
      </w:pPr>
    </w:p>
    <w:p>
      <w:pPr>
        <w:ind w:left="200" w:right="2200" w:hanging="201"/>
        <w:spacing w:after="0" w:line="316" w:lineRule="auto"/>
        <w:rPr>
          <w:sz w:val="20"/>
          <w:szCs w:val="20"/>
          <w:color w:val="auto"/>
        </w:rPr>
      </w:pPr>
      <w:r>
        <w:rPr>
          <w:rFonts w:ascii="Arial" w:cs="Arial" w:eastAsia="Arial" w:hAnsi="Arial"/>
          <w:sz w:val="11"/>
          <w:szCs w:val="11"/>
          <w:i w:val="1"/>
          <w:iCs w:val="1"/>
          <w:color w:val="auto"/>
        </w:rPr>
        <w:t xml:space="preserve">Adjustments to reconcile income (loss) from continuing operations to cash provided (required) by operating activities </w:t>
      </w:r>
      <w:r>
        <w:rPr>
          <w:rFonts w:ascii="Arial" w:cs="Arial" w:eastAsia="Arial" w:hAnsi="Arial"/>
          <w:sz w:val="11"/>
          <w:szCs w:val="11"/>
          <w:color w:val="auto"/>
        </w:rPr>
        <w:t>Depreciation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Amortization</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Impairments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Employee benefit plan and share-based compensation costs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Deferred income tax benefit, net</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Income from investment in Technip Energies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Unrealized loss on derivative instruments and foreign exchange</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Income from equity affiliates, net of dividends received</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Loss on early extinguishment of debt</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Other</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Changes in operating assets and liabilities, net of effects of acquisitions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Trade receivables, net and contract assets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Inventories, net</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Accounts payable, trade</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Contract liabilities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Income taxes payable (receivable), net</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Other current assets and liabilities, net</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Other noncurrent assets and liabilities, net</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Cash provided (required) by operating activities from continuing operations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Cash provided by operating activities from discontinued operations</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Cash provided by operating activities</w:t>
      </w:r>
    </w:p>
    <w:p>
      <w:pPr>
        <w:spacing w:after="0" w:line="200"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Cash provided (required) by investing activities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Capital expenditures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Proceeds from sale of debt securities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Cash received from divestiture</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Proceeds from sale of assets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Proceed from sale of investment in Technip Energies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Advances from BPI</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Proceeds from repayment of advances to joint venture</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Other</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Cash provided (required) by investing activities from continuing operations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Cash required by investing activities from discontinued operations</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Cash provided (required) by investing activities</w:t>
      </w:r>
    </w:p>
    <w:p>
      <w:pPr>
        <w:spacing w:after="0" w:line="200"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Cash provided (required) by financing activities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Net increase in short-term debt</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Net decrease in commercial paper</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Proceeds from revolving credit facility</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Proceeds from issuance of long-term debt</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Repayments of long-term debt</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Payments for debt issuance costs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Payments related to taxes withheld on share-based compensation</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Cash paid for finance leases</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Cash provided (required) by financing activities from continuing operations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Cash provided (required) by financing activities from discontinued operations</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Cash required by financing activities</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Effect of changes in foreign exchange rates on cash and cash equivalents</w:t>
      </w:r>
    </w:p>
    <w:p>
      <w:pPr>
        <w:spacing w:after="0" w:line="36" w:lineRule="exact"/>
        <w:rPr>
          <w:sz w:val="20"/>
          <w:szCs w:val="20"/>
          <w:color w:val="auto"/>
        </w:rPr>
      </w:pPr>
    </w:p>
    <w:p>
      <w:pPr>
        <w:jc w:val="center"/>
        <w:ind w:right="5460"/>
        <w:spacing w:after="0"/>
        <w:rPr>
          <w:sz w:val="20"/>
          <w:szCs w:val="20"/>
          <w:color w:val="auto"/>
        </w:rPr>
      </w:pPr>
      <w:r>
        <w:rPr>
          <w:rFonts w:ascii="Arial" w:cs="Arial" w:eastAsia="Arial" w:hAnsi="Arial"/>
          <w:sz w:val="11"/>
          <w:szCs w:val="11"/>
          <w:color w:val="auto"/>
        </w:rPr>
        <w:t>Decrease in cash and cash equivalents</w:t>
      </w:r>
    </w:p>
    <w:p>
      <w:pPr>
        <w:spacing w:after="0" w:line="36" w:lineRule="exact"/>
        <w:rPr>
          <w:sz w:val="20"/>
          <w:szCs w:val="20"/>
          <w:color w:val="auto"/>
        </w:rPr>
      </w:pPr>
    </w:p>
    <w:p>
      <w:pPr>
        <w:jc w:val="center"/>
        <w:ind w:right="5460"/>
        <w:spacing w:after="0"/>
        <w:rPr>
          <w:sz w:val="20"/>
          <w:szCs w:val="20"/>
          <w:color w:val="auto"/>
        </w:rPr>
      </w:pPr>
      <w:r>
        <w:rPr>
          <w:rFonts w:ascii="Arial" w:cs="Arial" w:eastAsia="Arial" w:hAnsi="Arial"/>
          <w:sz w:val="10"/>
          <w:szCs w:val="10"/>
          <w:color w:val="auto"/>
        </w:rPr>
        <w:t>Cash and cash equivalents, beginning of period</w:t>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auto"/>
        </w:rPr>
        <w:t>Cash and cash equivalents, end of period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TechnipFMC.com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Exhibit 5</w:t>
            </w:r>
          </w:p>
        </w:tc>
      </w:tr>
      <w:tr>
        <w:trPr>
          <w:trHeight w:val="925"/>
        </w:trPr>
        <w:tc>
          <w:tcPr>
            <w:tcW w:w="320" w:type="dxa"/>
            <w:vAlign w:val="bottom"/>
          </w:tcPr>
          <w:p>
            <w:pPr>
              <w:spacing w:after="0"/>
              <w:rPr>
                <w:sz w:val="24"/>
                <w:szCs w:val="24"/>
                <w:color w:val="auto"/>
              </w:rPr>
            </w:pPr>
          </w:p>
        </w:tc>
        <w:tc>
          <w:tcPr>
            <w:tcW w:w="2440" w:type="dxa"/>
            <w:vAlign w:val="bottom"/>
            <w:gridSpan w:val="4"/>
          </w:tcPr>
          <w:p>
            <w:pPr>
              <w:jc w:val="right"/>
              <w:ind w:right="526"/>
              <w:spacing w:after="0"/>
              <w:rPr>
                <w:sz w:val="20"/>
                <w:szCs w:val="20"/>
                <w:color w:val="auto"/>
              </w:rPr>
            </w:pPr>
            <w:r>
              <w:rPr>
                <w:rFonts w:ascii="Arial" w:cs="Arial" w:eastAsia="Arial" w:hAnsi="Arial"/>
                <w:sz w:val="11"/>
                <w:szCs w:val="11"/>
                <w:b w:val="1"/>
                <w:bCs w:val="1"/>
                <w:color w:val="auto"/>
              </w:rPr>
              <w:t>Three Months Ended March 31,</w:t>
            </w:r>
          </w:p>
        </w:tc>
      </w:tr>
      <w:tr>
        <w:trPr>
          <w:trHeight w:val="203"/>
        </w:trPr>
        <w:tc>
          <w:tcPr>
            <w:tcW w:w="320" w:type="dxa"/>
            <w:vAlign w:val="bottom"/>
          </w:tcPr>
          <w:p>
            <w:pPr>
              <w:spacing w:after="0"/>
              <w:rPr>
                <w:sz w:val="17"/>
                <w:szCs w:val="17"/>
                <w:color w:val="auto"/>
              </w:rPr>
            </w:pPr>
          </w:p>
        </w:tc>
        <w:tc>
          <w:tcPr>
            <w:tcW w:w="1000" w:type="dxa"/>
            <w:vAlign w:val="bottom"/>
          </w:tcPr>
          <w:p>
            <w:pPr>
              <w:jc w:val="right"/>
              <w:ind w:right="486"/>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86"/>
              <w:spacing w:after="0"/>
              <w:rPr>
                <w:sz w:val="20"/>
                <w:szCs w:val="20"/>
                <w:color w:val="auto"/>
              </w:rPr>
            </w:pPr>
            <w:r>
              <w:rPr>
                <w:rFonts w:ascii="Arial" w:cs="Arial" w:eastAsia="Arial" w:hAnsi="Arial"/>
                <w:sz w:val="11"/>
                <w:szCs w:val="11"/>
                <w:b w:val="1"/>
                <w:bCs w:val="1"/>
                <w:color w:val="auto"/>
              </w:rPr>
              <w:t>2020</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2"/>
        </w:trPr>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432.1</w:t>
            </w:r>
          </w:p>
        </w:tc>
        <w:tc>
          <w:tcPr>
            <w:tcW w:w="120" w:type="dxa"/>
            <w:vAlign w:val="bottom"/>
          </w:tcPr>
          <w:p>
            <w:pPr>
              <w:spacing w:after="0"/>
              <w:rPr>
                <w:sz w:val="24"/>
                <w:szCs w:val="24"/>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(3,227.9)</w:t>
            </w:r>
          </w:p>
        </w:tc>
      </w:tr>
      <w:tr>
        <w:trPr>
          <w:trHeight w:val="324"/>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78.4</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24.1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25.5</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18.8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3,188.0</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16.3</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(58.7)</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(470.1)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92.6</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(22.1)</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23.5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(0.1)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(5.1)</w:t>
            </w:r>
          </w:p>
        </w:tc>
      </w:tr>
      <w:tr>
        <w:trPr>
          <w:trHeight w:val="324"/>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(165.6)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38.3</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66.0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(29.1)</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84.8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(56.9)</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(132.9)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50.3</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165.3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43.4</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100.7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(676.7)</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103.9</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3"/>
        </w:trPr>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181.5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(439.8)</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66.3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467.7</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3"/>
        </w:trPr>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247.8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27.9</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44"/>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(44.2)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(75.5)</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24.2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2.5</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7.1</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1.9</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4"/>
        </w:trPr>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196.9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(64.0)</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(9.5)</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4"/>
        </w:trPr>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192.4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(73.5)</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44"/>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73.6</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(953.1)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(309.2)</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500.0</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(1,065.8)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(53.5)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(0.4)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4"/>
        </w:trPr>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(866.6)</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261.2</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(79.1)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(458.2)</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4"/>
        </w:trPr>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(945.7)</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(197.0)</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4"/>
        </w:trPr>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(9.7)</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(516.4)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(252.3)</w:t>
            </w:r>
          </w:p>
        </w:tc>
      </w:tr>
      <w:tr>
        <w:trPr>
          <w:trHeight w:val="162"/>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1,269.2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1,188.0</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3"/>
        </w:trPr>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752.8</w:t>
            </w:r>
          </w:p>
        </w:tc>
        <w:tc>
          <w:tcPr>
            <w:tcW w:w="120" w:type="dxa"/>
            <w:vAlign w:val="bottom"/>
          </w:tcPr>
          <w:p>
            <w:pPr>
              <w:spacing w:after="0"/>
              <w:rPr>
                <w:sz w:val="11"/>
                <w:szCs w:val="11"/>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935.7</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Page 18 of 22</w:t>
      </w:r>
    </w:p>
    <w:p>
      <w:pPr>
        <w:sectPr>
          <w:pgSz w:w="11900" w:h="16838" w:orient="portrait"/>
          <w:cols w:equalWidth="0" w:num="2">
            <w:col w:w="7740" w:space="720"/>
            <w:col w:w="2760"/>
          </w:cols>
          <w:pgMar w:left="340" w:top="891" w:right="339" w:bottom="1440" w:gutter="0" w:footer="0" w:header="0"/>
        </w:sectPr>
      </w:pPr>
    </w:p>
    <w:bookmarkStart w:id="22" w:name="page23"/>
    <w:bookmarkEnd w:id="22"/>
    <w:p>
      <w:pPr>
        <w:ind w:left="10740"/>
        <w:spacing w:after="0"/>
        <w:rPr>
          <w:sz w:val="20"/>
          <w:szCs w:val="20"/>
          <w:color w:val="auto"/>
        </w:rPr>
      </w:pPr>
      <w:r>
        <w:rPr>
          <w:rFonts w:ascii="Arial" w:cs="Arial" w:eastAsia="Arial" w:hAnsi="Arial"/>
          <w:sz w:val="10"/>
          <w:szCs w:val="10"/>
          <w:b w:val="1"/>
          <w:bCs w:val="1"/>
          <w:color w:val="auto"/>
        </w:rPr>
        <w:t>Exhibit 6</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322" w:lineRule="auto"/>
        <w:rPr>
          <w:sz w:val="20"/>
          <w:szCs w:val="20"/>
          <w:color w:val="auto"/>
        </w:rPr>
      </w:pPr>
      <w:r>
        <w:rPr>
          <w:rFonts w:ascii="Arial" w:cs="Arial" w:eastAsia="Arial" w:hAnsi="Arial"/>
          <w:sz w:val="10"/>
          <w:szCs w:val="10"/>
          <w:color w:val="auto"/>
        </w:rPr>
        <w:t>In addition to financial results determined in accordance with U.S. generally accepted accounting principles (GAAP), the first quarter 2021 Earnings Release also includes non-GAAP financial measures (as defined in Item 10 of Regulation S-K of the Securities Exchange Act of 1934, as amended) and describes performance on a year-over-year basis against 2020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39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1"/>
                <w:szCs w:val="11"/>
                <w:b w:val="1"/>
                <w:bCs w:val="1"/>
                <w:color w:val="auto"/>
                <w:w w:val="90"/>
              </w:rPr>
              <w:t>Three Months Ended</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March 31, 2021</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87"/>
              </w:rPr>
              <w:t>Income (loss) from</w:t>
            </w:r>
          </w:p>
        </w:tc>
        <w:tc>
          <w:tcPr>
            <w:tcW w:w="10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w w:val="98"/>
              </w:rPr>
              <w:t>Income attributable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w w:val="89"/>
              </w:rPr>
              <w:t>Earnings before net</w:t>
            </w: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5"/>
              </w:rPr>
              <w:t>Net interest expense</w:t>
            </w:r>
          </w:p>
        </w:tc>
        <w:tc>
          <w:tcPr>
            <w:tcW w:w="10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4"/>
              </w:rPr>
              <w:t>Income (loss) before</w:t>
            </w: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4"/>
              </w:rPr>
              <w:t>interest expense,</w:t>
            </w: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continuing</w:t>
            </w:r>
          </w:p>
        </w:tc>
        <w:tc>
          <w:tcPr>
            <w:tcW w:w="1040" w:type="dxa"/>
            <w:vAlign w:val="bottom"/>
            <w:gridSpan w:val="4"/>
          </w:tcPr>
          <w:p>
            <w:pPr>
              <w:jc w:val="center"/>
              <w:ind w:right="80"/>
              <w:spacing w:after="0" w:line="108" w:lineRule="exact"/>
              <w:rPr>
                <w:sz w:val="20"/>
                <w:szCs w:val="20"/>
                <w:color w:val="auto"/>
              </w:rPr>
            </w:pPr>
            <w:r>
              <w:rPr>
                <w:rFonts w:ascii="Arial" w:cs="Arial" w:eastAsia="Arial" w:hAnsi="Arial"/>
                <w:sz w:val="11"/>
                <w:szCs w:val="11"/>
                <w:b w:val="1"/>
                <w:bCs w:val="1"/>
                <w:color w:val="auto"/>
                <w:w w:val="89"/>
              </w:rPr>
              <w:t>to non-controlling</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85"/>
              </w:rPr>
              <w:t>income taxes,</w:t>
            </w: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operations</w:t>
            </w:r>
          </w:p>
        </w:tc>
        <w:tc>
          <w:tcPr>
            <w:tcW w:w="80" w:type="dxa"/>
            <w:vAlign w:val="bottom"/>
          </w:tcPr>
          <w:p>
            <w:pPr>
              <w:spacing w:after="0"/>
              <w:rPr>
                <w:sz w:val="9"/>
                <w:szCs w:val="9"/>
                <w:color w:val="auto"/>
              </w:rPr>
            </w:pPr>
          </w:p>
        </w:tc>
        <w:tc>
          <w:tcPr>
            <w:tcW w:w="960" w:type="dxa"/>
            <w:vAlign w:val="bottom"/>
            <w:gridSpan w:val="3"/>
          </w:tcPr>
          <w:p>
            <w:pPr>
              <w:jc w:val="center"/>
              <w:ind w:right="160"/>
              <w:spacing w:after="0" w:line="108" w:lineRule="exact"/>
              <w:rPr>
                <w:sz w:val="20"/>
                <w:szCs w:val="20"/>
                <w:color w:val="auto"/>
              </w:rPr>
            </w:pPr>
            <w:r>
              <w:rPr>
                <w:rFonts w:ascii="Arial" w:cs="Arial" w:eastAsia="Arial" w:hAnsi="Arial"/>
                <w:sz w:val="11"/>
                <w:szCs w:val="11"/>
                <w:b w:val="1"/>
                <w:bCs w:val="1"/>
                <w:color w:val="auto"/>
                <w:w w:val="89"/>
              </w:rPr>
              <w:t>interest from</w:t>
            </w:r>
          </w:p>
        </w:tc>
        <w:tc>
          <w:tcPr>
            <w:tcW w:w="20" w:type="dxa"/>
            <w:vAlign w:val="bottom"/>
          </w:tcPr>
          <w:p>
            <w:pPr>
              <w:spacing w:after="0"/>
              <w:rPr>
                <w:sz w:val="9"/>
                <w:szCs w:val="9"/>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w w:val="89"/>
              </w:rPr>
              <w:t>Provision (benefit)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and loss on early</w:t>
            </w:r>
          </w:p>
        </w:tc>
        <w:tc>
          <w:tcPr>
            <w:tcW w:w="1060" w:type="dxa"/>
            <w:vAlign w:val="bottom"/>
            <w:gridSpan w:val="3"/>
          </w:tcPr>
          <w:p>
            <w:pPr>
              <w:ind w:left="40"/>
              <w:spacing w:after="0" w:line="108" w:lineRule="exact"/>
              <w:rPr>
                <w:sz w:val="20"/>
                <w:szCs w:val="20"/>
                <w:color w:val="auto"/>
              </w:rPr>
            </w:pPr>
            <w:r>
              <w:rPr>
                <w:rFonts w:ascii="Arial" w:cs="Arial" w:eastAsia="Arial" w:hAnsi="Arial"/>
                <w:sz w:val="11"/>
                <w:szCs w:val="11"/>
                <w:b w:val="1"/>
                <w:bCs w:val="1"/>
                <w:color w:val="auto"/>
                <w:w w:val="93"/>
              </w:rPr>
              <w:t>net interest expense</w:t>
            </w:r>
          </w:p>
        </w:tc>
        <w:tc>
          <w:tcPr>
            <w:tcW w:w="80" w:type="dxa"/>
            <w:vAlign w:val="bottom"/>
          </w:tcPr>
          <w:p>
            <w:pPr>
              <w:spacing w:after="0"/>
              <w:rPr>
                <w:sz w:val="9"/>
                <w:szCs w:val="9"/>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Depreciation and</w:t>
            </w:r>
          </w:p>
        </w:tc>
        <w:tc>
          <w:tcPr>
            <w:tcW w:w="100" w:type="dxa"/>
            <w:vAlign w:val="bottom"/>
          </w:tcPr>
          <w:p>
            <w:pPr>
              <w:spacing w:after="0"/>
              <w:rPr>
                <w:sz w:val="9"/>
                <w:szCs w:val="9"/>
                <w:color w:val="auto"/>
              </w:rPr>
            </w:pPr>
          </w:p>
        </w:tc>
        <w:tc>
          <w:tcPr>
            <w:tcW w:w="8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88"/>
              </w:rPr>
              <w:t>depreciation and</w:t>
            </w: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attributable to</w:t>
            </w:r>
          </w:p>
        </w:tc>
        <w:tc>
          <w:tcPr>
            <w:tcW w:w="80" w:type="dxa"/>
            <w:vAlign w:val="bottom"/>
          </w:tcPr>
          <w:p>
            <w:pPr>
              <w:spacing w:after="0"/>
              <w:rPr>
                <w:sz w:val="9"/>
                <w:szCs w:val="9"/>
                <w:color w:val="auto"/>
              </w:rPr>
            </w:pPr>
          </w:p>
        </w:tc>
        <w:tc>
          <w:tcPr>
            <w:tcW w:w="960" w:type="dxa"/>
            <w:vAlign w:val="bottom"/>
            <w:gridSpan w:val="3"/>
          </w:tcPr>
          <w:p>
            <w:pPr>
              <w:jc w:val="center"/>
              <w:ind w:right="160"/>
              <w:spacing w:after="0" w:line="108" w:lineRule="exact"/>
              <w:rPr>
                <w:sz w:val="20"/>
                <w:szCs w:val="20"/>
                <w:color w:val="auto"/>
              </w:rPr>
            </w:pPr>
            <w:r>
              <w:rPr>
                <w:rFonts w:ascii="Arial" w:cs="Arial" w:eastAsia="Arial" w:hAnsi="Arial"/>
                <w:sz w:val="11"/>
                <w:szCs w:val="11"/>
                <w:b w:val="1"/>
                <w:bCs w:val="1"/>
                <w:color w:val="auto"/>
                <w:w w:val="85"/>
              </w:rPr>
              <w:t>continuing</w:t>
            </w:r>
          </w:p>
        </w:tc>
        <w:tc>
          <w:tcPr>
            <w:tcW w:w="2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86"/>
              </w:rPr>
              <w:t>extinguishment of</w:t>
            </w:r>
          </w:p>
        </w:tc>
        <w:tc>
          <w:tcPr>
            <w:tcW w:w="80" w:type="dxa"/>
            <w:vAlign w:val="bottom"/>
          </w:tcPr>
          <w:p>
            <w:pPr>
              <w:spacing w:after="0"/>
              <w:rPr>
                <w:sz w:val="9"/>
                <w:szCs w:val="9"/>
                <w:color w:val="auto"/>
              </w:rPr>
            </w:pPr>
          </w:p>
        </w:tc>
        <w:tc>
          <w:tcPr>
            <w:tcW w:w="9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4"/>
              </w:rPr>
              <w:t>and income taxes</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91"/>
              </w:rPr>
              <w:t>amortization</w:t>
            </w:r>
          </w:p>
        </w:tc>
        <w:tc>
          <w:tcPr>
            <w:tcW w:w="0" w:type="dxa"/>
            <w:vAlign w:val="bottom"/>
          </w:tcPr>
          <w:p>
            <w:pPr>
              <w:spacing w:after="0"/>
              <w:rPr>
                <w:sz w:val="1"/>
                <w:szCs w:val="1"/>
                <w:color w:val="auto"/>
              </w:rPr>
            </w:pPr>
          </w:p>
        </w:tc>
      </w:tr>
      <w:tr>
        <w:trPr>
          <w:trHeight w:val="140"/>
        </w:trPr>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TechnipFMC plc</w:t>
            </w:r>
          </w:p>
        </w:tc>
        <w:tc>
          <w:tcPr>
            <w:tcW w:w="80" w:type="dxa"/>
            <w:vAlign w:val="bottom"/>
          </w:tcPr>
          <w:p>
            <w:pPr>
              <w:spacing w:after="0"/>
              <w:rPr>
                <w:sz w:val="12"/>
                <w:szCs w:val="12"/>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5"/>
              </w:rPr>
              <w:t>operations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4"/>
              </w:rPr>
              <w:t>for income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debt</w:t>
            </w:r>
          </w:p>
        </w:tc>
        <w:tc>
          <w:tcPr>
            <w:tcW w:w="10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0"/>
              </w:rPr>
              <w:t>(Operating profit)</w:t>
            </w:r>
          </w:p>
        </w:tc>
        <w:tc>
          <w:tcPr>
            <w:tcW w:w="8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amortization</w:t>
            </w:r>
          </w:p>
        </w:tc>
        <w:tc>
          <w:tcPr>
            <w:tcW w:w="100" w:type="dxa"/>
            <w:vAlign w:val="bottom"/>
          </w:tcPr>
          <w:p>
            <w:pPr>
              <w:spacing w:after="0"/>
              <w:rPr>
                <w:sz w:val="12"/>
                <w:szCs w:val="12"/>
                <w:color w:val="auto"/>
              </w:rPr>
            </w:pPr>
          </w:p>
        </w:tc>
        <w:tc>
          <w:tcPr>
            <w:tcW w:w="88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20"/>
                <w:szCs w:val="20"/>
                <w:color w:val="auto"/>
              </w:rPr>
            </w:pPr>
            <w:r>
              <w:rPr>
                <w:rFonts w:ascii="Arial" w:cs="Arial" w:eastAsia="Arial" w:hAnsi="Arial"/>
                <w:sz w:val="11"/>
                <w:szCs w:val="11"/>
                <w:color w:val="auto"/>
              </w:rPr>
              <w:t>TechnipFMC plc, as reported</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430.3</w:t>
            </w:r>
          </w:p>
        </w:tc>
        <w:tc>
          <w:tcPr>
            <w:tcW w:w="8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24.5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58.0</w:t>
            </w:r>
          </w:p>
        </w:tc>
        <w:tc>
          <w:tcPr>
            <w:tcW w:w="8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514.6</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95.2</w:t>
            </w:r>
          </w:p>
        </w:tc>
        <w:tc>
          <w:tcPr>
            <w:tcW w:w="8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609.8</w:t>
            </w:r>
          </w:p>
        </w:tc>
        <w:tc>
          <w:tcPr>
            <w:tcW w:w="0" w:type="dxa"/>
            <w:vAlign w:val="bottom"/>
          </w:tcPr>
          <w:p>
            <w:pPr>
              <w:spacing w:after="0"/>
              <w:rPr>
                <w:sz w:val="1"/>
                <w:szCs w:val="1"/>
                <w:color w:val="auto"/>
              </w:rPr>
            </w:pPr>
          </w:p>
        </w:tc>
      </w:tr>
      <w:tr>
        <w:trPr>
          <w:trHeight w:val="324"/>
        </w:trPr>
        <w:tc>
          <w:tcPr>
            <w:tcW w:w="3940" w:type="dxa"/>
            <w:vAlign w:val="bottom"/>
          </w:tcPr>
          <w:p>
            <w:pPr>
              <w:spacing w:after="0"/>
              <w:rPr>
                <w:sz w:val="20"/>
                <w:szCs w:val="20"/>
                <w:color w:val="auto"/>
              </w:rPr>
            </w:pPr>
            <w:r>
              <w:rPr>
                <w:rFonts w:ascii="Arial" w:cs="Arial" w:eastAsia="Arial" w:hAnsi="Arial"/>
                <w:sz w:val="11"/>
                <w:szCs w:val="11"/>
                <w:color w:val="auto"/>
              </w:rPr>
              <w:t>Charges and (credits):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200"/>
              <w:spacing w:after="0"/>
              <w:rPr>
                <w:sz w:val="20"/>
                <w:szCs w:val="20"/>
                <w:color w:val="auto"/>
              </w:rPr>
            </w:pPr>
            <w:r>
              <w:rPr>
                <w:rFonts w:ascii="Arial" w:cs="Arial" w:eastAsia="Arial" w:hAnsi="Arial"/>
                <w:sz w:val="11"/>
                <w:szCs w:val="11"/>
                <w:color w:val="auto"/>
              </w:rPr>
              <w:t>Impairment and other charges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62"/>
        </w:trPr>
        <w:tc>
          <w:tcPr>
            <w:tcW w:w="3940" w:type="dxa"/>
            <w:vAlign w:val="bottom"/>
          </w:tcPr>
          <w:p>
            <w:pPr>
              <w:ind w:left="200"/>
              <w:spacing w:after="0"/>
              <w:rPr>
                <w:sz w:val="20"/>
                <w:szCs w:val="20"/>
                <w:color w:val="auto"/>
              </w:rPr>
            </w:pPr>
            <w:r>
              <w:rPr>
                <w:rFonts w:ascii="Arial" w:cs="Arial" w:eastAsia="Arial" w:hAnsi="Arial"/>
                <w:sz w:val="11"/>
                <w:szCs w:val="11"/>
                <w:color w:val="auto"/>
              </w:rPr>
              <w:t>Restructuring and other charges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0.2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62"/>
        </w:trPr>
        <w:tc>
          <w:tcPr>
            <w:tcW w:w="3940" w:type="dxa"/>
            <w:vAlign w:val="bottom"/>
          </w:tcPr>
          <w:p>
            <w:pPr>
              <w:ind w:left="200"/>
              <w:spacing w:after="0"/>
              <w:rPr>
                <w:sz w:val="20"/>
                <w:szCs w:val="20"/>
                <w:color w:val="auto"/>
              </w:rPr>
            </w:pPr>
            <w:r>
              <w:rPr>
                <w:rFonts w:ascii="Arial" w:cs="Arial" w:eastAsia="Arial" w:hAnsi="Arial"/>
                <w:sz w:val="11"/>
                <w:szCs w:val="11"/>
                <w:color w:val="auto"/>
              </w:rPr>
              <w:t>(Income) loss from investment in Technip Energies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(470.1)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(470.1)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(470.1)</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20"/>
                <w:szCs w:val="20"/>
                <w:color w:val="auto"/>
              </w:rPr>
            </w:pPr>
            <w:r>
              <w:rPr>
                <w:rFonts w:ascii="Arial" w:cs="Arial" w:eastAsia="Arial" w:hAnsi="Arial"/>
                <w:sz w:val="11"/>
                <w:szCs w:val="11"/>
                <w:color w:val="auto"/>
              </w:rPr>
              <w:t>Adjusted financial measures</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w:t>
            </w:r>
          </w:p>
        </w:tc>
        <w:tc>
          <w:tcPr>
            <w:tcW w:w="80" w:type="dxa"/>
            <w:vAlign w:val="bottom"/>
          </w:tcPr>
          <w:p>
            <w:pPr>
              <w:spacing w:after="0"/>
              <w:rPr>
                <w:sz w:val="13"/>
                <w:szCs w:val="13"/>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58.0</w:t>
            </w:r>
          </w:p>
        </w:tc>
        <w:tc>
          <w:tcPr>
            <w:tcW w:w="80" w:type="dxa"/>
            <w:vAlign w:val="bottom"/>
          </w:tcPr>
          <w:p>
            <w:pPr>
              <w:spacing w:after="0"/>
              <w:rPr>
                <w:sz w:val="13"/>
                <w:szCs w:val="13"/>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70.0</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95.2</w:t>
            </w:r>
          </w:p>
        </w:tc>
        <w:tc>
          <w:tcPr>
            <w:tcW w:w="8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165.2</w:t>
            </w:r>
          </w:p>
        </w:tc>
        <w:tc>
          <w:tcPr>
            <w:tcW w:w="0" w:type="dxa"/>
            <w:vAlign w:val="bottom"/>
          </w:tcPr>
          <w:p>
            <w:pPr>
              <w:spacing w:after="0"/>
              <w:rPr>
                <w:sz w:val="1"/>
                <w:szCs w:val="1"/>
                <w:color w:val="auto"/>
              </w:rPr>
            </w:pPr>
          </w:p>
        </w:tc>
      </w:tr>
      <w:tr>
        <w:trPr>
          <w:trHeight w:val="21"/>
        </w:trPr>
        <w:tc>
          <w:tcPr>
            <w:tcW w:w="3940" w:type="dxa"/>
            <w:vAlign w:val="bottom"/>
            <w:vMerge w:val="restart"/>
          </w:tcPr>
          <w:p>
            <w:pPr>
              <w:spacing w:after="0"/>
              <w:rPr>
                <w:sz w:val="20"/>
                <w:szCs w:val="20"/>
                <w:color w:val="auto"/>
              </w:rPr>
            </w:pPr>
            <w:r>
              <w:rPr>
                <w:rFonts w:ascii="Arial" w:cs="Arial" w:eastAsia="Arial" w:hAnsi="Arial"/>
                <w:sz w:val="11"/>
                <w:szCs w:val="11"/>
                <w:color w:val="auto"/>
              </w:rPr>
              <w:t>Diluted earnings (loss) per share from continuing operations attributable to</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5"/>
        </w:trPr>
        <w:tc>
          <w:tcPr>
            <w:tcW w:w="3940" w:type="dxa"/>
            <w:vAlign w:val="bottom"/>
            <w:vMerge w:val="continue"/>
          </w:tcPr>
          <w:p>
            <w:pPr>
              <w:spacing w:after="0"/>
              <w:rPr>
                <w:sz w:val="24"/>
                <w:szCs w:val="24"/>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vMerge w:val="restart"/>
          </w:tcPr>
          <w:p>
            <w:pPr>
              <w:jc w:val="right"/>
              <w:ind w:right="6"/>
              <w:spacing w:after="0"/>
              <w:rPr>
                <w:sz w:val="20"/>
                <w:szCs w:val="20"/>
                <w:color w:val="auto"/>
              </w:rPr>
            </w:pPr>
            <w:r>
              <w:rPr>
                <w:rFonts w:ascii="Arial" w:cs="Arial" w:eastAsia="Arial" w:hAnsi="Arial"/>
                <w:sz w:val="11"/>
                <w:szCs w:val="11"/>
                <w:color w:val="auto"/>
              </w:rPr>
              <w:t>0.95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rPr>
                <w:sz w:val="20"/>
                <w:szCs w:val="20"/>
                <w:color w:val="auto"/>
              </w:rPr>
            </w:pPr>
            <w:r>
              <w:rPr>
                <w:rFonts w:ascii="Arial" w:cs="Arial" w:eastAsia="Arial" w:hAnsi="Arial"/>
                <w:sz w:val="11"/>
                <w:szCs w:val="11"/>
                <w:color w:val="auto"/>
              </w:rPr>
              <w:t>TechnipFMC plc, as reported</w:t>
            </w:r>
          </w:p>
        </w:tc>
        <w:tc>
          <w:tcPr>
            <w:tcW w:w="1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940" w:type="dxa"/>
            <w:vAlign w:val="bottom"/>
          </w:tcPr>
          <w:p>
            <w:pPr>
              <w:spacing w:after="0"/>
              <w:rPr>
                <w:sz w:val="20"/>
                <w:szCs w:val="20"/>
                <w:color w:val="auto"/>
              </w:rPr>
            </w:pPr>
            <w:r>
              <w:rPr>
                <w:rFonts w:ascii="Arial" w:cs="Arial" w:eastAsia="Arial" w:hAnsi="Arial"/>
                <w:sz w:val="11"/>
                <w:szCs w:val="11"/>
                <w:color w:val="auto"/>
              </w:rPr>
              <w:t>Adjusted diluted earnings per share from continuing operations attributable to</w:t>
            </w:r>
          </w:p>
        </w:tc>
        <w:tc>
          <w:tcPr>
            <w:tcW w:w="100" w:type="dxa"/>
            <w:vAlign w:val="bottom"/>
            <w:gridSpan w:val="2"/>
            <w:vMerge w:val="restart"/>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(0.03)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rPr>
                <w:sz w:val="20"/>
                <w:szCs w:val="20"/>
                <w:color w:val="auto"/>
              </w:rPr>
            </w:pPr>
            <w:r>
              <w:rPr>
                <w:rFonts w:ascii="Arial" w:cs="Arial" w:eastAsia="Arial" w:hAnsi="Arial"/>
                <w:sz w:val="11"/>
                <w:szCs w:val="11"/>
                <w:color w:val="auto"/>
              </w:rPr>
              <w:t>TechnipFMC plc</w:t>
            </w:r>
          </w:p>
        </w:tc>
        <w:tc>
          <w:tcPr>
            <w:tcW w:w="1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8"/>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90"/>
              </w:rPr>
              <w:t>Three Months Ended</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March 31, 2020</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3"/>
            <w:vMerge w:val="restart"/>
          </w:tcPr>
          <w:p>
            <w:pPr>
              <w:jc w:val="center"/>
              <w:ind w:right="60"/>
              <w:spacing w:after="0"/>
              <w:rPr>
                <w:sz w:val="20"/>
                <w:szCs w:val="20"/>
                <w:color w:val="auto"/>
              </w:rPr>
            </w:pPr>
            <w:r>
              <w:rPr>
                <w:rFonts w:ascii="Arial" w:cs="Arial" w:eastAsia="Arial" w:hAnsi="Arial"/>
                <w:sz w:val="11"/>
                <w:szCs w:val="11"/>
                <w:b w:val="1"/>
                <w:bCs w:val="1"/>
                <w:color w:val="auto"/>
                <w:w w:val="87"/>
              </w:rPr>
              <w:t>Income (loss) from</w:t>
            </w:r>
          </w:p>
        </w:tc>
        <w:tc>
          <w:tcPr>
            <w:tcW w:w="1040" w:type="dxa"/>
            <w:vAlign w:val="bottom"/>
            <w:gridSpan w:val="4"/>
            <w:vMerge w:val="restart"/>
          </w:tcPr>
          <w:p>
            <w:pPr>
              <w:jc w:val="center"/>
              <w:ind w:right="40"/>
              <w:spacing w:after="0"/>
              <w:rPr>
                <w:sz w:val="20"/>
                <w:szCs w:val="20"/>
                <w:color w:val="auto"/>
              </w:rPr>
            </w:pPr>
            <w:r>
              <w:rPr>
                <w:rFonts w:ascii="Arial" w:cs="Arial" w:eastAsia="Arial" w:hAnsi="Arial"/>
                <w:sz w:val="11"/>
                <w:szCs w:val="11"/>
                <w:b w:val="1"/>
                <w:bCs w:val="1"/>
                <w:color w:val="auto"/>
                <w:w w:val="90"/>
              </w:rPr>
              <w:t>Income attributable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w w:val="89"/>
              </w:rPr>
              <w:t>Earnings before net</w:t>
            </w: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4"/>
              </w:rPr>
              <w:t>Income (loss) before</w:t>
            </w: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4"/>
              </w:rPr>
              <w:t>interest expense,</w:t>
            </w: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5"/>
              </w:rPr>
              <w:t>continuing</w:t>
            </w:r>
          </w:p>
        </w:tc>
        <w:tc>
          <w:tcPr>
            <w:tcW w:w="80" w:type="dxa"/>
            <w:vAlign w:val="bottom"/>
          </w:tcPr>
          <w:p>
            <w:pPr>
              <w:spacing w:after="0"/>
              <w:rPr>
                <w:sz w:val="9"/>
                <w:szCs w:val="9"/>
                <w:color w:val="auto"/>
              </w:rPr>
            </w:pPr>
          </w:p>
        </w:tc>
        <w:tc>
          <w:tcPr>
            <w:tcW w:w="96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89"/>
              </w:rPr>
              <w:t>to non-controlling</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85"/>
              </w:rPr>
              <w:t>income taxes,</w:t>
            </w: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5"/>
              </w:rPr>
              <w:t>operations</w:t>
            </w:r>
          </w:p>
        </w:tc>
        <w:tc>
          <w:tcPr>
            <w:tcW w:w="80" w:type="dxa"/>
            <w:vAlign w:val="bottom"/>
          </w:tcPr>
          <w:p>
            <w:pPr>
              <w:spacing w:after="0"/>
              <w:rPr>
                <w:sz w:val="9"/>
                <w:szCs w:val="9"/>
                <w:color w:val="auto"/>
              </w:rPr>
            </w:pPr>
          </w:p>
        </w:tc>
        <w:tc>
          <w:tcPr>
            <w:tcW w:w="96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89"/>
              </w:rPr>
              <w:t>interest from</w:t>
            </w:r>
          </w:p>
        </w:tc>
        <w:tc>
          <w:tcPr>
            <w:tcW w:w="20" w:type="dxa"/>
            <w:vAlign w:val="bottom"/>
          </w:tcPr>
          <w:p>
            <w:pPr>
              <w:spacing w:after="0"/>
              <w:rPr>
                <w:sz w:val="9"/>
                <w:szCs w:val="9"/>
                <w:color w:val="auto"/>
              </w:rPr>
            </w:pPr>
          </w:p>
        </w:tc>
        <w:tc>
          <w:tcPr>
            <w:tcW w:w="1020" w:type="dxa"/>
            <w:vAlign w:val="bottom"/>
            <w:gridSpan w:val="4"/>
            <w:vMerge w:val="restart"/>
          </w:tcPr>
          <w:p>
            <w:pPr>
              <w:jc w:val="center"/>
              <w:ind w:right="60"/>
              <w:spacing w:after="0"/>
              <w:rPr>
                <w:sz w:val="20"/>
                <w:szCs w:val="20"/>
                <w:color w:val="auto"/>
              </w:rPr>
            </w:pPr>
            <w:r>
              <w:rPr>
                <w:rFonts w:ascii="Arial" w:cs="Arial" w:eastAsia="Arial" w:hAnsi="Arial"/>
                <w:sz w:val="11"/>
                <w:szCs w:val="11"/>
                <w:b w:val="1"/>
                <w:bCs w:val="1"/>
                <w:color w:val="auto"/>
                <w:w w:val="86"/>
              </w:rPr>
              <w:t>Provision (benefit)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3"/>
          </w:tcPr>
          <w:p>
            <w:pPr>
              <w:ind w:left="40"/>
              <w:spacing w:after="0" w:line="108" w:lineRule="exact"/>
              <w:rPr>
                <w:sz w:val="20"/>
                <w:szCs w:val="20"/>
                <w:color w:val="auto"/>
              </w:rPr>
            </w:pPr>
            <w:r>
              <w:rPr>
                <w:rFonts w:ascii="Arial" w:cs="Arial" w:eastAsia="Arial" w:hAnsi="Arial"/>
                <w:sz w:val="11"/>
                <w:szCs w:val="11"/>
                <w:b w:val="1"/>
                <w:bCs w:val="1"/>
                <w:color w:val="auto"/>
                <w:w w:val="93"/>
              </w:rPr>
              <w:t>net interest expense</w:t>
            </w:r>
          </w:p>
        </w:tc>
        <w:tc>
          <w:tcPr>
            <w:tcW w:w="80" w:type="dxa"/>
            <w:vAlign w:val="bottom"/>
          </w:tcPr>
          <w:p>
            <w:pPr>
              <w:spacing w:after="0"/>
              <w:rPr>
                <w:sz w:val="9"/>
                <w:szCs w:val="9"/>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Depreciation and</w:t>
            </w:r>
          </w:p>
        </w:tc>
        <w:tc>
          <w:tcPr>
            <w:tcW w:w="100" w:type="dxa"/>
            <w:vAlign w:val="bottom"/>
          </w:tcPr>
          <w:p>
            <w:pPr>
              <w:spacing w:after="0"/>
              <w:rPr>
                <w:sz w:val="9"/>
                <w:szCs w:val="9"/>
                <w:color w:val="auto"/>
              </w:rPr>
            </w:pPr>
          </w:p>
        </w:tc>
        <w:tc>
          <w:tcPr>
            <w:tcW w:w="8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88"/>
              </w:rPr>
              <w:t>depreciation and</w:t>
            </w:r>
          </w:p>
        </w:tc>
        <w:tc>
          <w:tcPr>
            <w:tcW w:w="0" w:type="dxa"/>
            <w:vAlign w:val="bottom"/>
          </w:tcPr>
          <w:p>
            <w:pPr>
              <w:spacing w:after="0"/>
              <w:rPr>
                <w:sz w:val="1"/>
                <w:szCs w:val="1"/>
                <w:color w:val="auto"/>
              </w:rPr>
            </w:pPr>
          </w:p>
        </w:tc>
      </w:tr>
      <w:tr>
        <w:trPr>
          <w:trHeight w:val="108"/>
        </w:trPr>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2"/>
              </w:rPr>
              <w:t>attributable to</w:t>
            </w:r>
          </w:p>
        </w:tc>
        <w:tc>
          <w:tcPr>
            <w:tcW w:w="80" w:type="dxa"/>
            <w:vAlign w:val="bottom"/>
          </w:tcPr>
          <w:p>
            <w:pPr>
              <w:spacing w:after="0"/>
              <w:rPr>
                <w:sz w:val="9"/>
                <w:szCs w:val="9"/>
                <w:color w:val="auto"/>
              </w:rPr>
            </w:pPr>
          </w:p>
        </w:tc>
        <w:tc>
          <w:tcPr>
            <w:tcW w:w="960" w:type="dxa"/>
            <w:vAlign w:val="bottom"/>
            <w:gridSpan w:val="3"/>
          </w:tcPr>
          <w:p>
            <w:pPr>
              <w:jc w:val="center"/>
              <w:ind w:right="140"/>
              <w:spacing w:after="0" w:line="108" w:lineRule="exact"/>
              <w:rPr>
                <w:sz w:val="20"/>
                <w:szCs w:val="20"/>
                <w:color w:val="auto"/>
              </w:rPr>
            </w:pPr>
            <w:r>
              <w:rPr>
                <w:rFonts w:ascii="Arial" w:cs="Arial" w:eastAsia="Arial" w:hAnsi="Arial"/>
                <w:sz w:val="11"/>
                <w:szCs w:val="11"/>
                <w:b w:val="1"/>
                <w:bCs w:val="1"/>
                <w:color w:val="auto"/>
                <w:w w:val="88"/>
              </w:rPr>
              <w:t>continuing</w:t>
            </w:r>
          </w:p>
        </w:tc>
        <w:tc>
          <w:tcPr>
            <w:tcW w:w="2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5"/>
              </w:rPr>
              <w:t>Net interest expense</w:t>
            </w:r>
          </w:p>
        </w:tc>
        <w:tc>
          <w:tcPr>
            <w:tcW w:w="80" w:type="dxa"/>
            <w:vAlign w:val="bottom"/>
          </w:tcPr>
          <w:p>
            <w:pPr>
              <w:spacing w:after="0"/>
              <w:rPr>
                <w:sz w:val="9"/>
                <w:szCs w:val="9"/>
                <w:color w:val="auto"/>
              </w:rPr>
            </w:pPr>
          </w:p>
        </w:tc>
        <w:tc>
          <w:tcPr>
            <w:tcW w:w="98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4"/>
              </w:rPr>
              <w:t>and income taxes</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91"/>
              </w:rPr>
              <w:t>amortization</w:t>
            </w:r>
          </w:p>
        </w:tc>
        <w:tc>
          <w:tcPr>
            <w:tcW w:w="0" w:type="dxa"/>
            <w:vAlign w:val="bottom"/>
          </w:tcPr>
          <w:p>
            <w:pPr>
              <w:spacing w:after="0"/>
              <w:rPr>
                <w:sz w:val="1"/>
                <w:szCs w:val="1"/>
                <w:color w:val="auto"/>
              </w:rPr>
            </w:pPr>
          </w:p>
        </w:tc>
      </w:tr>
      <w:tr>
        <w:trPr>
          <w:trHeight w:val="140"/>
        </w:trPr>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TechnipFMC plc</w:t>
            </w:r>
          </w:p>
        </w:tc>
        <w:tc>
          <w:tcPr>
            <w:tcW w:w="80" w:type="dxa"/>
            <w:vAlign w:val="bottom"/>
          </w:tcPr>
          <w:p>
            <w:pPr>
              <w:spacing w:after="0"/>
              <w:rPr>
                <w:sz w:val="12"/>
                <w:szCs w:val="12"/>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5"/>
              </w:rPr>
              <w:t>operations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6"/>
              </w:rPr>
              <w:t>for income taxes</w:t>
            </w:r>
          </w:p>
        </w:tc>
        <w:tc>
          <w:tcPr>
            <w:tcW w:w="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0"/>
              </w:rPr>
              <w:t>(Operating profit)</w:t>
            </w:r>
          </w:p>
        </w:tc>
        <w:tc>
          <w:tcPr>
            <w:tcW w:w="8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amortization</w:t>
            </w:r>
          </w:p>
        </w:tc>
        <w:tc>
          <w:tcPr>
            <w:tcW w:w="100" w:type="dxa"/>
            <w:vAlign w:val="bottom"/>
          </w:tcPr>
          <w:p>
            <w:pPr>
              <w:spacing w:after="0"/>
              <w:rPr>
                <w:sz w:val="12"/>
                <w:szCs w:val="12"/>
                <w:color w:val="auto"/>
              </w:rPr>
            </w:pPr>
          </w:p>
        </w:tc>
        <w:tc>
          <w:tcPr>
            <w:tcW w:w="88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20"/>
                <w:szCs w:val="20"/>
                <w:color w:val="auto"/>
              </w:rPr>
            </w:pPr>
            <w:r>
              <w:rPr>
                <w:rFonts w:ascii="Arial" w:cs="Arial" w:eastAsia="Arial" w:hAnsi="Arial"/>
                <w:sz w:val="11"/>
                <w:szCs w:val="11"/>
                <w:color w:val="auto"/>
              </w:rPr>
              <w:t>TechnipFMC plc, as reported</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(3,234.8)</w:t>
            </w:r>
          </w:p>
        </w:tc>
        <w:tc>
          <w:tcPr>
            <w:tcW w:w="8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6.9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23.0</w:t>
            </w:r>
          </w:p>
        </w:tc>
        <w:tc>
          <w:tcPr>
            <w:tcW w:w="8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(3,228.1)</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108.7</w:t>
            </w:r>
          </w:p>
        </w:tc>
        <w:tc>
          <w:tcPr>
            <w:tcW w:w="8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(3,119.4)</w:t>
            </w:r>
          </w:p>
        </w:tc>
        <w:tc>
          <w:tcPr>
            <w:tcW w:w="0" w:type="dxa"/>
            <w:vAlign w:val="bottom"/>
          </w:tcPr>
          <w:p>
            <w:pPr>
              <w:spacing w:after="0"/>
              <w:rPr>
                <w:sz w:val="1"/>
                <w:szCs w:val="1"/>
                <w:color w:val="auto"/>
              </w:rPr>
            </w:pPr>
          </w:p>
        </w:tc>
      </w:tr>
      <w:tr>
        <w:trPr>
          <w:trHeight w:val="324"/>
        </w:trPr>
        <w:tc>
          <w:tcPr>
            <w:tcW w:w="3940" w:type="dxa"/>
            <w:vAlign w:val="bottom"/>
          </w:tcPr>
          <w:p>
            <w:pPr>
              <w:spacing w:after="0"/>
              <w:rPr>
                <w:sz w:val="20"/>
                <w:szCs w:val="20"/>
                <w:color w:val="auto"/>
              </w:rPr>
            </w:pPr>
            <w:r>
              <w:rPr>
                <w:rFonts w:ascii="Arial" w:cs="Arial" w:eastAsia="Arial" w:hAnsi="Arial"/>
                <w:sz w:val="11"/>
                <w:szCs w:val="11"/>
                <w:color w:val="auto"/>
              </w:rPr>
              <w:t>Charges and (credits):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200"/>
              <w:spacing w:after="0"/>
              <w:rPr>
                <w:sz w:val="20"/>
                <w:szCs w:val="20"/>
                <w:color w:val="auto"/>
              </w:rPr>
            </w:pPr>
            <w:r>
              <w:rPr>
                <w:rFonts w:ascii="Arial" w:cs="Arial" w:eastAsia="Arial" w:hAnsi="Arial"/>
                <w:sz w:val="11"/>
                <w:szCs w:val="11"/>
                <w:color w:val="auto"/>
              </w:rPr>
              <w:t>Impairment and other charges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3,159.9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28.1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3,188.0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3,188.0</w:t>
            </w:r>
          </w:p>
        </w:tc>
        <w:tc>
          <w:tcPr>
            <w:tcW w:w="0" w:type="dxa"/>
            <w:vAlign w:val="bottom"/>
          </w:tcPr>
          <w:p>
            <w:pPr>
              <w:spacing w:after="0"/>
              <w:rPr>
                <w:sz w:val="1"/>
                <w:szCs w:val="1"/>
                <w:color w:val="auto"/>
              </w:rPr>
            </w:pPr>
          </w:p>
        </w:tc>
      </w:tr>
      <w:tr>
        <w:trPr>
          <w:trHeight w:val="162"/>
        </w:trPr>
        <w:tc>
          <w:tcPr>
            <w:tcW w:w="3940" w:type="dxa"/>
            <w:vAlign w:val="bottom"/>
          </w:tcPr>
          <w:p>
            <w:pPr>
              <w:ind w:left="200"/>
              <w:spacing w:after="0"/>
              <w:rPr>
                <w:sz w:val="20"/>
                <w:szCs w:val="20"/>
                <w:color w:val="auto"/>
              </w:rPr>
            </w:pPr>
            <w:r>
              <w:rPr>
                <w:rFonts w:ascii="Arial" w:cs="Arial" w:eastAsia="Arial" w:hAnsi="Arial"/>
                <w:sz w:val="11"/>
                <w:szCs w:val="11"/>
                <w:color w:val="auto"/>
              </w:rPr>
              <w:t>Restructuring and other charges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6.0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62"/>
        </w:trPr>
        <w:tc>
          <w:tcPr>
            <w:tcW w:w="3940" w:type="dxa"/>
            <w:vAlign w:val="bottom"/>
          </w:tcPr>
          <w:p>
            <w:pPr>
              <w:ind w:left="220"/>
              <w:spacing w:after="0"/>
              <w:rPr>
                <w:sz w:val="20"/>
                <w:szCs w:val="20"/>
                <w:color w:val="auto"/>
              </w:rPr>
            </w:pPr>
            <w:r>
              <w:rPr>
                <w:rFonts w:ascii="Arial" w:cs="Arial" w:eastAsia="Arial" w:hAnsi="Arial"/>
                <w:sz w:val="11"/>
                <w:szCs w:val="11"/>
                <w:color w:val="auto"/>
              </w:rPr>
              <w:t>Direct COVID-19 expenses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162"/>
        </w:trPr>
        <w:tc>
          <w:tcPr>
            <w:tcW w:w="3940" w:type="dxa"/>
            <w:vAlign w:val="bottom"/>
          </w:tcPr>
          <w:p>
            <w:pPr>
              <w:ind w:left="200"/>
              <w:spacing w:after="0"/>
              <w:rPr>
                <w:sz w:val="20"/>
                <w:szCs w:val="20"/>
                <w:color w:val="auto"/>
              </w:rPr>
            </w:pPr>
            <w:r>
              <w:rPr>
                <w:rFonts w:ascii="Arial" w:cs="Arial" w:eastAsia="Arial" w:hAnsi="Arial"/>
                <w:sz w:val="11"/>
                <w:szCs w:val="11"/>
                <w:color w:val="auto"/>
              </w:rPr>
              <w:t>Purchase price accounting adjustment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20"/>
                <w:szCs w:val="20"/>
                <w:color w:val="auto"/>
              </w:rPr>
            </w:pPr>
            <w:r>
              <w:rPr>
                <w:rFonts w:ascii="Arial" w:cs="Arial" w:eastAsia="Arial" w:hAnsi="Arial"/>
                <w:sz w:val="11"/>
                <w:szCs w:val="11"/>
                <w:color w:val="auto"/>
              </w:rPr>
              <w:t>Adjusted financial measures</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(60.0)</w:t>
            </w: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6.9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9.6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23.0</w:t>
            </w: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(20.5)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100.2</w:t>
            </w:r>
          </w:p>
        </w:tc>
        <w:tc>
          <w:tcPr>
            <w:tcW w:w="8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79.7</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1"/>
                <w:szCs w:val="11"/>
                <w:color w:val="auto"/>
              </w:rPr>
              <w:t>Diluted earnings (loss) per share from continuing operations attributable to</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5"/>
        </w:trPr>
        <w:tc>
          <w:tcPr>
            <w:tcW w:w="3940" w:type="dxa"/>
            <w:vAlign w:val="bottom"/>
            <w:vMerge w:val="continue"/>
          </w:tcPr>
          <w:p>
            <w:pPr>
              <w:spacing w:after="0"/>
              <w:rPr>
                <w:sz w:val="24"/>
                <w:szCs w:val="24"/>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(7.23)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rPr>
                <w:sz w:val="20"/>
                <w:szCs w:val="20"/>
                <w:color w:val="auto"/>
              </w:rPr>
            </w:pPr>
            <w:r>
              <w:rPr>
                <w:rFonts w:ascii="Arial" w:cs="Arial" w:eastAsia="Arial" w:hAnsi="Arial"/>
                <w:sz w:val="11"/>
                <w:szCs w:val="11"/>
                <w:color w:val="auto"/>
              </w:rPr>
              <w:t>TechnipFMC plc, as reported</w:t>
            </w:r>
          </w:p>
        </w:tc>
        <w:tc>
          <w:tcPr>
            <w:tcW w:w="1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940" w:type="dxa"/>
            <w:vAlign w:val="bottom"/>
          </w:tcPr>
          <w:p>
            <w:pPr>
              <w:spacing w:after="0"/>
              <w:rPr>
                <w:sz w:val="20"/>
                <w:szCs w:val="20"/>
                <w:color w:val="auto"/>
              </w:rPr>
            </w:pPr>
            <w:r>
              <w:rPr>
                <w:rFonts w:ascii="Arial" w:cs="Arial" w:eastAsia="Arial" w:hAnsi="Arial"/>
                <w:sz w:val="11"/>
                <w:szCs w:val="11"/>
                <w:color w:val="auto"/>
              </w:rPr>
              <w:t>Adjusted diluted earnings per share from continuing operations attributable to</w:t>
            </w:r>
          </w:p>
        </w:tc>
        <w:tc>
          <w:tcPr>
            <w:tcW w:w="100" w:type="dxa"/>
            <w:vAlign w:val="bottom"/>
            <w:gridSpan w:val="2"/>
            <w:vMerge w:val="restart"/>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(0.13)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rPr>
                <w:sz w:val="20"/>
                <w:szCs w:val="20"/>
                <w:color w:val="auto"/>
              </w:rPr>
            </w:pPr>
            <w:r>
              <w:rPr>
                <w:rFonts w:ascii="Arial" w:cs="Arial" w:eastAsia="Arial" w:hAnsi="Arial"/>
                <w:sz w:val="11"/>
                <w:szCs w:val="11"/>
                <w:color w:val="auto"/>
              </w:rPr>
              <w:t>TechnipFMC plc</w:t>
            </w:r>
          </w:p>
        </w:tc>
        <w:tc>
          <w:tcPr>
            <w:tcW w:w="1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19 of 22</w:t>
      </w:r>
    </w:p>
    <w:p>
      <w:pPr>
        <w:sectPr>
          <w:pgSz w:w="11900" w:h="16838" w:orient="portrait"/>
          <w:cols w:equalWidth="0" w:num="1">
            <w:col w:w="11240"/>
          </w:cols>
          <w:pgMar w:left="320" w:top="1053"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3"/>
          <w:szCs w:val="13"/>
          <w:b w:val="1"/>
          <w:bCs w:val="1"/>
          <w:color w:val="auto"/>
        </w:rPr>
        <w:t>Exhibit 7</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auto"/>
        </w:rPr>
        <w:t>RECONCILIATION OF GAAP TO NON-GAAP FINANCIAL MEASURES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173355</wp:posOffset>
            </wp:positionV>
            <wp:extent cx="39262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ectPr>
          <w:pgSz w:w="11900" w:h="16838" w:orient="portrait"/>
          <w:cols w:equalWidth="0" w:num="1">
            <w:col w:w="11220"/>
          </w:cols>
          <w:pgMar w:left="34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Revenue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 (loss), as reported (pre-tax)</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Charges and (credits):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Impairment and other charges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Restructuring and other charges</w:t>
      </w:r>
    </w:p>
    <w:p>
      <w:pPr>
        <w:spacing w:after="0" w:line="28" w:lineRule="exact"/>
        <w:rPr>
          <w:sz w:val="20"/>
          <w:szCs w:val="20"/>
          <w:color w:val="auto"/>
        </w:rPr>
      </w:pPr>
    </w:p>
    <w:p>
      <w:pPr>
        <w:ind w:left="460" w:right="860" w:hanging="242"/>
        <w:spacing w:after="0" w:line="318" w:lineRule="auto"/>
        <w:rPr>
          <w:sz w:val="20"/>
          <w:szCs w:val="20"/>
          <w:color w:val="auto"/>
        </w:rPr>
      </w:pPr>
      <w:r>
        <w:rPr>
          <w:rFonts w:ascii="Arial" w:cs="Arial" w:eastAsia="Arial" w:hAnsi="Arial"/>
          <w:sz w:val="14"/>
          <w:szCs w:val="14"/>
          <w:color w:val="auto"/>
        </w:rPr>
        <w:t>(Income) loss from investment in Technip Energies Subtotal</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profit (loss)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 margin, as reported</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profit margin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Revenue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 (loss), as reported (pre-tax)</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Charges and (credits):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Impairment and other charges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Restructuring and other charges*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Direct COVID-19 expenses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Purchase price accounting adjustments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Subtotal</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profit (loss)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Adjusted Depreciation and amortization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Operating profit margin, as reported</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profit margin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 margin</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 2021</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Surface</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89"/>
              </w:rPr>
              <w:t>Foreign</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Exchange, net</w:t>
            </w:r>
          </w:p>
        </w:tc>
        <w:tc>
          <w:tcPr>
            <w:tcW w:w="260" w:type="dxa"/>
            <w:vAlign w:val="bottom"/>
          </w:tcPr>
          <w:p>
            <w:pPr>
              <w:spacing w:after="0"/>
              <w:rPr>
                <w:sz w:val="11"/>
                <w:szCs w:val="11"/>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Technologies</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and Other</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1,386.5</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245.5</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1,632.0</w:t>
            </w:r>
          </w:p>
        </w:tc>
        <w:tc>
          <w:tcPr>
            <w:tcW w:w="0" w:type="dxa"/>
            <w:vAlign w:val="bottom"/>
          </w:tcPr>
          <w:p>
            <w:pPr>
              <w:spacing w:after="0"/>
              <w:rPr>
                <w:sz w:val="1"/>
                <w:szCs w:val="1"/>
                <w:color w:val="auto"/>
              </w:rPr>
            </w:pPr>
          </w:p>
        </w:tc>
      </w:tr>
      <w:tr>
        <w:trPr>
          <w:trHeight w:val="346"/>
        </w:trPr>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498.2</w:t>
            </w:r>
          </w:p>
        </w:tc>
        <w:tc>
          <w:tcPr>
            <w:tcW w:w="10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514.6</w:t>
            </w: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(470.1)</w:t>
            </w:r>
          </w:p>
        </w:tc>
        <w:tc>
          <w:tcPr>
            <w:tcW w:w="0" w:type="dxa"/>
            <w:vAlign w:val="bottom"/>
          </w:tcPr>
          <w:p>
            <w:pPr>
              <w:spacing w:after="0"/>
              <w:rPr>
                <w:sz w:val="1"/>
                <w:szCs w:val="1"/>
                <w:color w:val="auto"/>
              </w:rPr>
            </w:pPr>
          </w:p>
        </w:tc>
      </w:tr>
      <w:tr>
        <w:trPr>
          <w:trHeight w:val="182"/>
        </w:trPr>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(470.1)</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(444.6)</w:t>
            </w:r>
          </w:p>
        </w:tc>
        <w:tc>
          <w:tcPr>
            <w:tcW w:w="0" w:type="dxa"/>
            <w:vAlign w:val="bottom"/>
          </w:tcPr>
          <w:p>
            <w:pPr>
              <w:spacing w:after="0"/>
              <w:rPr>
                <w:sz w:val="1"/>
                <w:szCs w:val="1"/>
                <w:color w:val="auto"/>
              </w:rPr>
            </w:pPr>
          </w:p>
        </w:tc>
      </w:tr>
      <w:tr>
        <w:trPr>
          <w:trHeight w:val="169"/>
        </w:trPr>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322"/>
        </w:trPr>
        <w:tc>
          <w:tcPr>
            <w:tcW w:w="24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78.4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74"/>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135.1</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24"/>
        </w:trPr>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6"/>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31.5 %</w:t>
            </w: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624840</wp:posOffset>
            </wp:positionV>
            <wp:extent cx="39344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93"/>
              </w:rPr>
              <w:t>Surface</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220"/>
              <w:spacing w:after="0" w:line="141" w:lineRule="exact"/>
              <w:rPr>
                <w:sz w:val="20"/>
                <w:szCs w:val="20"/>
                <w:color w:val="auto"/>
              </w:rPr>
            </w:pPr>
            <w:r>
              <w:rPr>
                <w:rFonts w:ascii="Arial" w:cs="Arial" w:eastAsia="Arial" w:hAnsi="Arial"/>
                <w:sz w:val="14"/>
                <w:szCs w:val="14"/>
                <w:b w:val="1"/>
                <w:bCs w:val="1"/>
                <w:color w:val="auto"/>
              </w:rPr>
              <w:t>Foreign</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Technologies</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Exchange, net</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1,253.1</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329.5</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1,582.6</w:t>
            </w:r>
          </w:p>
        </w:tc>
        <w:tc>
          <w:tcPr>
            <w:tcW w:w="0" w:type="dxa"/>
            <w:vAlign w:val="bottom"/>
          </w:tcPr>
          <w:p>
            <w:pPr>
              <w:spacing w:after="0"/>
              <w:rPr>
                <w:sz w:val="1"/>
                <w:szCs w:val="1"/>
                <w:color w:val="auto"/>
              </w:rPr>
            </w:pPr>
          </w:p>
        </w:tc>
      </w:tr>
      <w:tr>
        <w:trPr>
          <w:trHeight w:val="332"/>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(2,750.7)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(424.0)</w:t>
            </w:r>
          </w:p>
        </w:tc>
        <w:tc>
          <w:tcPr>
            <w:tcW w:w="1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ind w:left="620"/>
              <w:spacing w:after="0"/>
              <w:rPr>
                <w:sz w:val="20"/>
                <w:szCs w:val="20"/>
                <w:color w:val="auto"/>
              </w:rPr>
            </w:pPr>
            <w:r>
              <w:rPr>
                <w:rFonts w:ascii="Arial" w:cs="Arial" w:eastAsia="Arial" w:hAnsi="Arial"/>
                <w:sz w:val="14"/>
                <w:szCs w:val="14"/>
                <w:color w:val="auto"/>
                <w:w w:val="98"/>
              </w:rPr>
              <w:t>(23.1)</w:t>
            </w:r>
          </w:p>
        </w:tc>
        <w:tc>
          <w:tcPr>
            <w:tcW w:w="10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(3,228.1)</w:t>
            </w:r>
          </w:p>
        </w:tc>
        <w:tc>
          <w:tcPr>
            <w:tcW w:w="0" w:type="dxa"/>
            <w:vAlign w:val="bottom"/>
          </w:tcPr>
          <w:p>
            <w:pPr>
              <w:spacing w:after="0"/>
              <w:rPr>
                <w:sz w:val="1"/>
                <w:szCs w:val="1"/>
                <w:color w:val="auto"/>
              </w:rPr>
            </w:pPr>
          </w:p>
        </w:tc>
      </w:tr>
      <w:tr>
        <w:trPr>
          <w:trHeight w:val="526"/>
        </w:trPr>
        <w:tc>
          <w:tcPr>
            <w:tcW w:w="24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2,776.5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411.5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3,188.0</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2"/>
        </w:trPr>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2,782.1</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424.4</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3,207.6</w:t>
            </w:r>
          </w:p>
        </w:tc>
        <w:tc>
          <w:tcPr>
            <w:tcW w:w="0" w:type="dxa"/>
            <w:vAlign w:val="bottom"/>
          </w:tcPr>
          <w:p>
            <w:pPr>
              <w:spacing w:after="0"/>
              <w:rPr>
                <w:sz w:val="1"/>
                <w:szCs w:val="1"/>
                <w:color w:val="auto"/>
              </w:rPr>
            </w:pPr>
          </w:p>
        </w:tc>
      </w:tr>
      <w:tr>
        <w:trPr>
          <w:trHeight w:val="155"/>
        </w:trPr>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w w:val="98"/>
              </w:rPr>
              <w:t>(23.1)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309"/>
        </w:trPr>
        <w:tc>
          <w:tcPr>
            <w:tcW w:w="24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60"/>
        </w:trPr>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104.8</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w w:val="98"/>
              </w:rPr>
              <w:t>(23.1)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4"/>
        </w:trPr>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-219.5 %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-128.7 %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-204.0 %</w:t>
            </w:r>
          </w:p>
        </w:tc>
        <w:tc>
          <w:tcPr>
            <w:tcW w:w="0" w:type="dxa"/>
            <w:vAlign w:val="bottom"/>
          </w:tcPr>
          <w:p>
            <w:pPr>
              <w:spacing w:after="0"/>
              <w:rPr>
                <w:sz w:val="1"/>
                <w:szCs w:val="1"/>
                <w:color w:val="auto"/>
              </w:rPr>
            </w:pPr>
          </w:p>
        </w:tc>
      </w:tr>
      <w:tr>
        <w:trPr>
          <w:trHeight w:val="338"/>
        </w:trPr>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0.1 %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338"/>
        </w:trPr>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bl>
    <w:p>
      <w:pPr>
        <w:spacing w:after="0" w:line="202" w:lineRule="exact"/>
        <w:rPr>
          <w:sz w:val="20"/>
          <w:szCs w:val="20"/>
          <w:color w:val="auto"/>
        </w:rPr>
      </w:pPr>
    </w:p>
    <w:p>
      <w:pPr>
        <w:sectPr>
          <w:pgSz w:w="11900" w:h="16838" w:orient="portrait"/>
          <w:cols w:equalWidth="0" w:num="2">
            <w:col w:w="4300" w:space="720"/>
            <w:col w:w="6200"/>
          </w:cols>
          <w:pgMar w:left="340" w:top="105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20"/>
        <w:spacing w:after="0"/>
        <w:tabs>
          <w:tab w:leader="none" w:pos="102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20 of 22</w:t>
      </w:r>
    </w:p>
    <w:p>
      <w:pPr>
        <w:sectPr>
          <w:pgSz w:w="11900" w:h="16838" w:orient="portrait"/>
          <w:cols w:equalWidth="0" w:num="1">
            <w:col w:w="11220"/>
          </w:cols>
          <w:pgMar w:left="340" w:top="1053" w:right="33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3"/>
          <w:szCs w:val="13"/>
          <w:b w:val="1"/>
          <w:bCs w:val="1"/>
          <w:color w:val="auto"/>
        </w:rPr>
        <w:t>Exhibit 8</w:t>
      </w:r>
    </w:p>
    <w:p>
      <w:pPr>
        <w:spacing w:after="0" w:line="1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29"/>
        </w:trPr>
        <w:tc>
          <w:tcPr>
            <w:tcW w:w="8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1,269.2</w:t>
            </w:r>
          </w:p>
        </w:tc>
      </w:tr>
      <w:tr>
        <w:trPr>
          <w:trHeight w:val="229"/>
        </w:trPr>
        <w:tc>
          <w:tcPr>
            <w:tcW w:w="824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(624.7)</w:t>
            </w: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(2,835.5)</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Net debt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(2,191.0)</w:t>
            </w:r>
          </w:p>
        </w:tc>
      </w:tr>
      <w:tr>
        <w:trPr>
          <w:trHeight w:val="21"/>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(debt) cash, is a non-GAAP financial measure reflecting cash and cash equivalents, net of debt. Management uses 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U.S. GAAP or as an indicator of our operating performance or liquidity.</w:t>
      </w:r>
    </w:p>
    <w:p>
      <w:pPr>
        <w:spacing w:after="0" w:line="200" w:lineRule="exact"/>
        <w:rPr>
          <w:sz w:val="20"/>
          <w:szCs w:val="20"/>
          <w:color w:val="auto"/>
        </w:rPr>
      </w:pPr>
    </w:p>
    <w:p>
      <w:pPr>
        <w:spacing w:after="0" w:line="272"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21 of 22</w:t>
      </w:r>
    </w:p>
    <w:p>
      <w:pPr>
        <w:sectPr>
          <w:pgSz w:w="11900" w:h="16838" w:orient="portrait"/>
          <w:cols w:equalWidth="0" w:num="1">
            <w:col w:w="11240"/>
          </w:cols>
          <w:pgMar w:left="320" w:top="1053"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3"/>
          <w:szCs w:val="13"/>
          <w:b w:val="1"/>
          <w:bCs w:val="1"/>
          <w:color w:val="auto"/>
        </w:rPr>
        <w:t>Exhibit 9</w:t>
      </w:r>
    </w:p>
    <w:p>
      <w:pPr>
        <w:spacing w:after="0" w:line="161" w:lineRule="exact"/>
        <w:rPr>
          <w:sz w:val="20"/>
          <w:szCs w:val="20"/>
          <w:color w:val="auto"/>
        </w:rPr>
      </w:pPr>
    </w:p>
    <w:p>
      <w:pPr>
        <w:jc w:val="center"/>
        <w:ind w:left="2680" w:right="268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right="3260"/>
        <w:spacing w:after="0" w:line="289" w:lineRule="auto"/>
        <w:rPr>
          <w:sz w:val="20"/>
          <w:szCs w:val="20"/>
          <w:color w:val="auto"/>
        </w:rPr>
      </w:pPr>
      <w:r>
        <w:rPr>
          <w:rFonts w:ascii="Arial" w:cs="Arial" w:eastAsia="Arial" w:hAnsi="Arial"/>
          <w:sz w:val="18"/>
          <w:szCs w:val="18"/>
          <w:color w:val="auto"/>
        </w:rPr>
        <w:t>Cash provided (required) by continuing operating activities Capital expenditures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Free cash flow (deficit) from continuing operations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740"/>
              <w:spacing w:after="0"/>
              <w:rPr>
                <w:sz w:val="20"/>
                <w:szCs w:val="20"/>
                <w:color w:val="auto"/>
              </w:rPr>
            </w:pPr>
            <w:r>
              <w:rPr>
                <w:rFonts w:ascii="Arial" w:cs="Arial" w:eastAsia="Arial" w:hAnsi="Arial"/>
                <w:sz w:val="18"/>
                <w:szCs w:val="18"/>
                <w:color w:val="auto"/>
              </w:rPr>
              <w:t>181.5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(439.8)</w:t>
            </w:r>
          </w:p>
        </w:tc>
      </w:tr>
      <w:tr>
        <w:trPr>
          <w:trHeight w:val="230"/>
        </w:trPr>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3"/>
              </w:rPr>
              <w:t>(44.2)</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137.3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2960"/>
          </w:cols>
          <w:pgMar w:left="320" w:top="1053" w:right="339" w:bottom="1440" w:gutter="0" w:footer="0" w:header="0"/>
          <w:type w:val="continuous"/>
        </w:sectPr>
      </w:pP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Free cash flow, is a non-GAAP financial measure and is defined as cash provided by operating activities less capital expenditures. Management uses this non-GAAP financial measure to evaluate our financial condition. We believe, free cash flow is a meaningful financial measure that may assist investors in understanding our financial condition and results of operations.</w:t>
      </w:r>
    </w:p>
    <w:p>
      <w:pPr>
        <w:spacing w:after="0" w:line="200" w:lineRule="exact"/>
        <w:rPr>
          <w:sz w:val="20"/>
          <w:szCs w:val="20"/>
          <w:color w:val="auto"/>
        </w:rPr>
      </w:pPr>
    </w:p>
    <w:p>
      <w:pPr>
        <w:spacing w:after="0" w:line="268"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22 of 22</w:t>
      </w:r>
    </w:p>
    <w:sectPr>
      <w:pgSz w:w="11900" w:h="16838" w:orient="portrait"/>
      <w:cols w:equalWidth="0" w:num="1">
        <w:col w:w="11240"/>
      </w:cols>
      <w:pgMar w:left="320" w:top="105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2021-04-27T15:44:32Z</dcterms:created>
  <dcterms:modified xsi:type="dcterms:W3CDTF">2021-04-27T15:44:32Z</dcterms:modified>
</cp:coreProperties>
</file>