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44" w:hAnchor="page" w:vAnchor="page" w:x="1856" w:y="197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638" w:hAnchor="page" w:vAnchor="page" w:x="1609" w:y="194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  Shared Dispositive</w:t>
      </w:r>
    </w:p>
    <w:p>
      <w:pPr>
        <w:pStyle w:val="Normal"/>
        <w:framePr w:w="1783" w:hAnchor="page" w:vAnchor="page" w:x="1856" w:y="191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37,448,047.00</w:t>
      </w:r>
    </w:p>
    <w:p>
      <w:pPr>
        <w:pStyle w:val="Normal"/>
        <w:framePr w:w="396" w:hAnchor="page" w:vAnchor="page" w:x="1609" w:y="188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7</w:t>
      </w:r>
    </w:p>
    <w:p>
      <w:pPr>
        <w:pStyle w:val="Normal"/>
        <w:framePr w:w="832" w:hAnchor="page" w:vAnchor="page" w:x="628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2879" w:hAnchor="page" w:vAnchor="page" w:x="1856" w:y="185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Dispositive Power </w:t>
      </w:r>
    </w:p>
    <w:p>
      <w:pPr>
        <w:pStyle w:val="Normal"/>
        <w:framePr w:w="942" w:hAnchor="page" w:vAnchor="page" w:x="578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82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79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77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73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34,731,082.00</w:t>
      </w:r>
    </w:p>
    <w:p>
      <w:pPr>
        <w:pStyle w:val="Normal"/>
        <w:framePr w:w="1430" w:hAnchor="page" w:vAnchor="page" w:x="356" w:y="172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0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0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67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530" w:hAnchor="page" w:vAnchor="page" w:x="1526" w:y="164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DELAWARE</w:t>
      </w:r>
    </w:p>
    <w:p>
      <w:pPr>
        <w:pStyle w:val="Normal"/>
        <w:framePr w:w="361" w:hAnchor="page" w:vAnchor="page" w:x="842" w:y="161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59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56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56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440" w:hAnchor="page" w:vAnchor="page" w:x="176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(b)</w:t>
      </w:r>
    </w:p>
    <w:p>
      <w:pPr>
        <w:pStyle w:val="Normal"/>
        <w:framePr w:w="2849" w:hAnchor="page" w:vAnchor="page" w:x="1766" w:y="150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48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45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1780" w:hAnchor="page" w:vAnchor="page" w:x="1526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</w:t>
      </w:r>
    </w:p>
    <w:p>
      <w:pPr>
        <w:pStyle w:val="Normal"/>
        <w:framePr w:w="361" w:hAnchor="page" w:vAnchor="page" w:x="842" w:y="139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36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27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06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9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95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1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88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79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75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09/30/2025</w:t>
      </w:r>
    </w:p>
    <w:p>
      <w:pPr>
        <w:pStyle w:val="Normal"/>
        <w:framePr w:w="2018" w:hAnchor="page" w:vAnchor="page" w:x="4232" w:y="67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63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54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1807" w:hAnchor="page" w:vAnchor="page" w:x="4328" w:y="505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2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38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9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07.4pt;z-index:-1677720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51.7pt;z-index:-1677720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69.75pt;z-index:-1677719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14pt;z-index:-16777192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32.05pt;z-index:-16777188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6.3pt;z-index:-1677718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394.35pt;z-index:-1677718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.4pt;margin-top:633.4pt;z-index:-16777176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9.95pt;z-index:-16777172;width:585.25pt;height:32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778.65pt;z-index:-16777168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73.8pt;margin-top:778.65pt;z-index:-16777164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25pt;margin-top:721.6pt;z-index:-167771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71.55pt;margin-top:681.8pt;z-index:-167771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5.25pt;margin-top:681.8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73.8pt;margin-top:721.6pt;z-index:-1677714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94pt;margin-top:681.8pt;z-index:-167771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73.8pt;margin-top:681.8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5.3pt;margin-top:708.1pt;z-index:-1677713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5.25pt;margin-top:776.4pt;z-index:-1677713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1.55pt;margin-top:723.85pt;z-index:-167771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25pt;margin-top:723.8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73.8pt;margin-top:776.4pt;z-index:-1677712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594pt;margin-top:723.85pt;z-index:-167771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3.8pt;margin-top:723.8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5.3pt;margin-top:750.15pt;z-index:-16777108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5.25pt;margin-top:792.9pt;z-index:-167771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1.55pt;margin-top:778.65pt;z-index:-1677710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25pt;margin-top:778.6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3.8pt;margin-top:792.9pt;z-index:-1677709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4pt;margin-top:778.65pt;z-index:-167770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3.8pt;margin-top:778.6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5.25pt;margin-top:834.95pt;z-index:-167770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1.55pt;margin-top:795.15pt;z-index:-167770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5.25pt;margin-top:795.1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3.8pt;margin-top:834.95pt;z-index:-1677706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594pt;margin-top:795.15pt;z-index:-167770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73.8pt;margin-top:795.1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5.3pt;margin-top:821.45pt;z-index:-1677705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1.55pt;margin-top:837.2pt;z-index:-16777052;width:2.75pt;height:16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5.25pt;margin-top:837.2pt;z-index:-16777048;width:2.75pt;height:16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594pt;margin-top:837.2pt;z-index:-16777044;width:2.75pt;height:16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73.8pt;margin-top:837.2pt;z-index:-16777040;width:2.75pt;height:16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6.8pt;margin-top:881.5pt;z-index:-16777036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88.05pt;margin-top:839.45pt;z-index:-1677703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90.3pt;margin-top:881.5pt;z-index:-16777028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839.45pt;z-index:-16777024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1.8pt;margin-top:867.25pt;z-index:-1677702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76.8pt;margin-top:925.8pt;z-index:-16777016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88.05pt;margin-top:883.75pt;z-index:-1677701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90.3pt;margin-top:925.8pt;z-index:-16777008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883.75pt;z-index:-16777004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1.8pt;margin-top:911.5pt;z-index:-1677700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76.8pt;margin-top:970.05pt;z-index:-16776996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28.05pt;z-index:-16776992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70.05pt;z-index:-16776988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90.3pt;margin-top:928.05pt;z-index:-16776984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91.8pt;margin-top:955.8pt;z-index:-16776980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88.05pt;margin-top:972.3pt;z-index:-16776976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90.3pt;margin-top:972.3pt;z-index:-16776972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6.25pt;margin-top:459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6.25pt;margin-top:475.65pt;z-index:-1677696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6.25pt;margin-top:492.15pt;z-index:-1677696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76.3pt;margin-top:751.15pt;z-index:-1677695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76.3pt;margin-top:763.9pt;z-index:-1677695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pt;margin-top:22pt;z-index:-16776948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46.05pt;z-index:-1677694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5.25pt;margin-top:208.9pt;z-index:-16776940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5.25pt;margin-top:271.25pt;z-index:-1677693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5.25pt;margin-top:333.55pt;z-index:-1677693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5.25pt;margin-top:395.85pt;z-index:-1677692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pt;margin-top:520.45pt;z-index:-1677692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pt;margin-top:536.95pt;z-index:-16776920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</w:p>
    <w:p>
      <w:pPr>
        <w:pStyle w:val="Normal"/>
        <w:framePr w:w="519" w:hAnchor="page" w:vAnchor="page" w:x="650" w:y="19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91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4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4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81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9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9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6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73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7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6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5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519" w:hAnchor="page" w:vAnchor="page" w:x="650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97" w:hAnchor="page" w:vAnchor="page" w:x="152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 parent holding company or control person in accordance with § 240.13d-1(b)(1)(ii)(G);</w:t>
      </w:r>
    </w:p>
    <w:p>
      <w:pPr>
        <w:pStyle w:val="Normal"/>
        <w:framePr w:w="625" w:hAnchor="page" w:vAnchor="page" w:x="1286" w:y="158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5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53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411" w:hAnchor="page" w:vAnchor="page" w:x="1526" w:y="153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investment adviser in accordance with § 240.13d-1(b)(1)(ii)(E);</w:t>
      </w:r>
    </w:p>
    <w:p>
      <w:pPr>
        <w:pStyle w:val="Normal"/>
        <w:framePr w:w="2044" w:hAnchor="page" w:vAnchor="page" w:x="1286" w:y="150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8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7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41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41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8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8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34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31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9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6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1727" w:hAnchor="page" w:vAnchor="page" w:x="1286" w:y="123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20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8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2677" w:hAnchor="page" w:vAnchor="page" w:x="1286" w:y="115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Item 4 of Cover Page</w:t>
      </w:r>
    </w:p>
    <w:p>
      <w:pPr>
        <w:pStyle w:val="Normal"/>
        <w:framePr w:w="506" w:hAnchor="page" w:vAnchor="page" w:x="656" w:y="112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10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5686" w:hAnchor="page" w:vAnchor="page" w:x="1286" w:y="107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Inc., 50 Hudson Yards New York, NY 10001</w:t>
      </w:r>
    </w:p>
    <w:p>
      <w:pPr>
        <w:pStyle w:val="Normal"/>
        <w:framePr w:w="532" w:hAnchor="page" w:vAnchor="page" w:x="643" w:y="104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101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066" w:hAnchor="page" w:vAnchor="page" w:x="1286" w:y="98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accordance with such release.</w:t>
      </w:r>
    </w:p>
    <w:p>
      <w:pPr>
        <w:pStyle w:val="Normal"/>
        <w:framePr w:w="11957" w:hAnchor="page" w:vAnchor="page" w:x="1286" w:y="9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business units whose beneficial ownership of securities are disaggregated from that of the Reporting Business Units in </w:t>
      </w:r>
    </w:p>
    <w:p>
      <w:pPr>
        <w:pStyle w:val="Normal"/>
        <w:framePr w:w="12231" w:hAnchor="page" w:vAnchor="page" w:x="1286" w:y="9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 Inc.  and  its  subsidiaries  and  affiliates.  It  does  not  include  securities,  if  any,  beneficiallyowned  byother </w:t>
      </w:r>
    </w:p>
    <w:p>
      <w:pPr>
        <w:pStyle w:val="Normal"/>
        <w:framePr w:w="4180" w:hAnchor="page" w:vAnchor="page" w:x="1286" w:y="91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owned, or deemed to be beneficially</w:t>
      </w:r>
    </w:p>
    <w:p>
      <w:pPr>
        <w:pStyle w:val="Normal"/>
        <w:framePr w:w="1698" w:hAnchor="page" w:vAnchor="page" w:x="4542" w:y="91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owned, by</w:t>
      </w:r>
    </w:p>
    <w:p>
      <w:pPr>
        <w:pStyle w:val="Normal"/>
        <w:framePr w:w="4037" w:hAnchor="page" w:vAnchor="page" w:x="5541" w:y="91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certain business units (collectively</w:t>
      </w:r>
    </w:p>
    <w:p>
      <w:pPr>
        <w:pStyle w:val="Normal"/>
        <w:framePr w:w="3854" w:hAnchor="page" w:vAnchor="page" w:x="8653" w:y="91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, the "Reporting Business Units") of </w:t>
      </w:r>
    </w:p>
    <w:p>
      <w:pPr>
        <w:pStyle w:val="Normal"/>
        <w:framePr w:w="519" w:hAnchor="page" w:vAnchor="page" w:x="650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605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In accordance with SEC Release No. 34-39538 (January</w:t>
      </w:r>
    </w:p>
    <w:p>
      <w:pPr>
        <w:pStyle w:val="Normal"/>
        <w:framePr w:w="6797" w:hAnchor="page" w:vAnchor="page" w:x="6243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12, 1998), this Schedule 13G reflects the securities beneficially</w:t>
      </w:r>
    </w:p>
    <w:p>
      <w:pPr>
        <w:pStyle w:val="Normal"/>
        <w:framePr w:w="1839" w:hAnchor="page" w:vAnchor="page" w:x="1286" w:y="83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Inc. </w:t>
      </w:r>
    </w:p>
    <w:p>
      <w:pPr>
        <w:pStyle w:val="Normal"/>
        <w:framePr w:w="2565" w:hAnchor="page" w:vAnchor="page" w:x="1286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751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10163" w:hAnchor="page" w:vAnchor="page" w:x="1286" w:y="72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 NEWCASTLE UPON TYNE United Kingdom NE6 3PL</w:t>
      </w:r>
    </w:p>
    <w:p>
      <w:pPr>
        <w:pStyle w:val="Normal"/>
        <w:framePr w:w="532" w:hAnchor="page" w:vAnchor="page" w:x="643" w:y="69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66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63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6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58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55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4887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72" w:hAnchor="page" w:vAnchor="page" w:x="1526" w:y="37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HC</w:t>
      </w:r>
    </w:p>
    <w:p>
      <w:pPr>
        <w:pStyle w:val="Normal"/>
        <w:framePr w:w="480" w:hAnchor="page" w:vAnchor="page" w:x="787" w:y="34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32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28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9.1 %</w:t>
      </w:r>
    </w:p>
    <w:p>
      <w:pPr>
        <w:pStyle w:val="Normal"/>
        <w:framePr w:w="467" w:hAnchor="page" w:vAnchor="page" w:x="794" w:y="26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23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0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1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1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12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37,448,047.00</w:t>
      </w:r>
    </w:p>
    <w:p>
      <w:pPr>
        <w:pStyle w:val="Normal"/>
        <w:framePr w:w="361" w:hAnchor="page" w:vAnchor="page" w:x="842" w:y="9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7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30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7pt;margin-top:1pt;z-index:-167769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3.4pt;margin-top:1pt;z-index:-16776912;width:585.25pt;height:20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5.25pt;margin-top:31.05pt;z-index:-167769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1.55pt;margin-top:1pt;z-index:-1677690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5.25pt;margin-top:1pt;z-index:-16776900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73.8pt;margin-top:31.05pt;z-index:-1677689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594pt;margin-top:1pt;z-index:-16776892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73.8pt;margin-top:1pt;z-index:-16776888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88.05pt;margin-top:1pt;z-index:-16776884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90.3pt;margin-top:1pt;z-index:-16776880;width:2.75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1.8pt;margin-top:14.5pt;z-index:-1677687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5.25pt;margin-top:73.05pt;z-index:-1677687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1.55pt;margin-top:33.3pt;z-index:-167768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5.25pt;margin-top:33.3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73.8pt;margin-top:73.05pt;z-index:-1677686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4pt;margin-top:33.3pt;z-index:-167768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73.8pt;margin-top:33.3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5.3pt;margin-top:59.55pt;z-index:-16776848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5.25pt;margin-top:115.1pt;z-index:-167768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71.55pt;margin-top:75.3pt;z-index:-167768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5.25pt;margin-top:75.3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73.8pt;margin-top:115.1pt;z-index:-1677683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94pt;margin-top:75.3pt;z-index:-167768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3.8pt;margin-top:75.3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5.25pt;margin-top:157.15pt;z-index:-1677682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1.55pt;margin-top:117.35pt;z-index:-167768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5.25pt;margin-top:117.3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3.8pt;margin-top:157.15pt;z-index:-1677680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94pt;margin-top:117.35pt;z-index:-167768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73.8pt;margin-top:117.3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5.3pt;margin-top:143.6pt;z-index:-16776796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5.25pt;margin-top:199.15pt;z-index:-167767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71.55pt;margin-top:159.4pt;z-index:-167767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15.25pt;margin-top:159.4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73.8pt;margin-top:199.15pt;z-index:-16776780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594pt;margin-top:159.4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73.8pt;margin-top:159.4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5.3pt;margin-top:185.65pt;z-index:-16776768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63.3pt;margin-top:317.75pt;z-index:-167767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59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16.1pt;z-index:-16776756;width:531.9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533.95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75.2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616.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657.8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76.3pt;margin-top:102.6pt;z-index:-1677673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4.3pt;margin-top:690.35pt;z-index:-167767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4.3pt;margin-top:706.1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721.8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737.6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766.15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81.9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810.4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826.2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854.7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83.25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924.5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</w:p>
    <w:p>
      <w:pPr>
        <w:pStyle w:val="Normal"/>
        <w:framePr w:w="3490" w:hAnchor="page" w:vAnchor="page" w:x="325" w:y="192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Exhibit 24: Power of Attorney</w:t>
      </w:r>
    </w:p>
    <w:p>
      <w:pPr>
        <w:pStyle w:val="Normal"/>
        <w:framePr w:w="2037" w:hAnchor="page" w:vAnchor="page" w:x="2953" w:y="192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Exhibit 99: Item 7</w:t>
      </w:r>
    </w:p>
    <w:p>
      <w:pPr>
        <w:pStyle w:val="Normal"/>
        <w:framePr w:w="2355" w:hAnchor="page" w:vAnchor="page" w:x="1497" w:y="186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Exhibit Information </w:t>
      </w:r>
    </w:p>
    <w:p>
      <w:pPr>
        <w:pStyle w:val="Normal"/>
        <w:framePr w:w="796" w:hAnchor="page" w:vAnchor="page" w:x="3988" w:y="182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5369" w:y="182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10/17/2025</w:t>
      </w:r>
    </w:p>
    <w:p>
      <w:pPr>
        <w:pStyle w:val="Normal"/>
        <w:framePr w:w="1452" w:hAnchor="page" w:vAnchor="page" w:x="3988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2185" w:hAnchor="page" w:vAnchor="page" w:x="5369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Managing Director</w:t>
      </w:r>
    </w:p>
    <w:p>
      <w:pPr>
        <w:pStyle w:val="Normal"/>
        <w:framePr w:w="1307" w:hAnchor="page" w:vAnchor="page" w:x="3988" w:y="173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952" w:hAnchor="page" w:vAnchor="page" w:x="5369" w:y="173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Spencer Fleming</w:t>
      </w:r>
    </w:p>
    <w:p>
      <w:pPr>
        <w:pStyle w:val="Normal"/>
        <w:framePr w:w="2766" w:hAnchor="page" w:vAnchor="page" w:x="2697" w:y="16780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BlackRock, Inc.</w:t>
      </w:r>
    </w:p>
    <w:p>
      <w:pPr>
        <w:pStyle w:val="Normal"/>
        <w:framePr w:w="4030" w:hAnchor="page" w:vAnchor="page" w:x="1871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58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58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58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58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381" w:hAnchor="page" w:vAnchor="page" w:x="128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</w:t>
      </w:r>
    </w:p>
    <w:p>
      <w:pPr>
        <w:pStyle w:val="Normal"/>
        <w:framePr w:w="3532" w:hAnchor="page" w:vAnchor="page" w:x="1286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139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139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139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136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129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126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123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120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641" w:hAnchor="page" w:vAnchor="page" w:x="1286" w:y="1173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Exhibit 99</w:t>
      </w:r>
    </w:p>
    <w:p>
      <w:pPr>
        <w:pStyle w:val="Normal"/>
        <w:framePr w:w="2400" w:hAnchor="page" w:vAnchor="page" w:x="1286" w:y="109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relevant subsidiary</w:t>
      </w:r>
    </w:p>
    <w:p>
      <w:pPr>
        <w:pStyle w:val="Normal"/>
        <w:framePr w:w="301" w:hAnchor="page" w:vAnchor="page" w:x="2910" w:y="1097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</w:t>
      </w:r>
    </w:p>
    <w:p>
      <w:pPr>
        <w:pStyle w:val="Normal"/>
        <w:framePr w:w="11888" w:hAnchor="page" w:vAnchor="page" w:x="1286" w:y="107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has  filed  this  schedule  pursuant  to  Rule  13d-1(c)  or  Rule  13d-1(d),  attach  an  exhibit  stating  the  identification  of  the</w:t>
      </w:r>
    </w:p>
    <w:p>
      <w:pPr>
        <w:pStyle w:val="Normal"/>
        <w:framePr w:w="4063" w:hAnchor="page" w:vAnchor="page" w:x="1286" w:y="104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attach an exhibit stating the identity</w:t>
      </w:r>
    </w:p>
    <w:p>
      <w:pPr>
        <w:pStyle w:val="Normal"/>
        <w:framePr w:w="5923" w:hAnchor="page" w:vAnchor="page" w:x="4435" w:y="104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the Item 3 classification of the relevant subsidiary</w:t>
      </w:r>
    </w:p>
    <w:p>
      <w:pPr>
        <w:pStyle w:val="Normal"/>
        <w:framePr w:w="3475" w:hAnchor="page" w:vAnchor="page" w:x="9261" w:y="104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. If a parent holding company</w:t>
      </w:r>
    </w:p>
    <w:p>
      <w:pPr>
        <w:pStyle w:val="Normal"/>
        <w:framePr w:w="11890" w:hAnchor="page" w:vAnchor="page" w:x="1286" w:y="102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 parent holding companyhas filed this schedule, pursuant to Rule 13d-1(b)(ii)(G), so indicate under Item 3(g) and</w:t>
      </w:r>
    </w:p>
    <w:p>
      <w:pPr>
        <w:pStyle w:val="Normal"/>
        <w:framePr w:w="4060" w:hAnchor="page" w:vAnchor="page" w:x="1286" w:y="98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97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9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6465" w:hAnchor="page" w:vAnchor="page" w:x="1286" w:y="93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 more than five percent of the total outstanding common shares.</w:t>
      </w:r>
    </w:p>
    <w:p>
      <w:pPr>
        <w:pStyle w:val="Normal"/>
        <w:framePr w:w="11958" w:hAnchor="page" w:vAnchor="page" w:x="1286" w:y="90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sale of the common stock of TECHNIPFMC PLC. No one person's interest in the common stock of TECHNIPFMC PLC </w:t>
      </w:r>
    </w:p>
    <w:p>
      <w:pPr>
        <w:pStyle w:val="Normal"/>
        <w:framePr w:w="11946" w:hAnchor="page" w:vAnchor="page" w:x="1286" w:y="88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Various persons have the right to receive or the power to direct the receipt of dividends from, or the proceeds from the </w:t>
      </w:r>
    </w:p>
    <w:p>
      <w:pPr>
        <w:pStyle w:val="Normal"/>
        <w:framePr w:w="4888" w:hAnchor="page" w:vAnchor="page" w:x="1286" w:y="80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2576" w:hAnchor="page" w:vAnchor="page" w:x="1286" w:y="77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</w:t>
      </w:r>
    </w:p>
    <w:p>
      <w:pPr>
        <w:pStyle w:val="Normal"/>
        <w:framePr w:w="4665" w:hAnchor="page" w:vAnchor="page" w:x="3084" w:y="77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registered under the Investment Company</w:t>
      </w:r>
    </w:p>
    <w:p>
      <w:pPr>
        <w:pStyle w:val="Normal"/>
        <w:framePr w:w="4736" w:hAnchor="page" w:vAnchor="page" w:x="6780" w:y="77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Act of 1940 or the beneficiaries of employ</w:t>
      </w:r>
    </w:p>
    <w:p>
      <w:pPr>
        <w:pStyle w:val="Normal"/>
        <w:framePr w:w="1708" w:hAnchor="page" w:vAnchor="page" w:x="10542" w:y="77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ee benefit plan,</w:t>
      </w:r>
    </w:p>
    <w:p>
      <w:pPr>
        <w:pStyle w:val="Normal"/>
        <w:framePr w:w="11890" w:hAnchor="page" w:vAnchor="page" w:x="1286" w:y="75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5439" w:hAnchor="page" w:vAnchor="page" w:x="452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5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4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37448047</w:t>
      </w:r>
    </w:p>
    <w:p>
      <w:pPr>
        <w:pStyle w:val="Normal"/>
        <w:framePr w:w="5947" w:hAnchor="page" w:vAnchor="page" w:x="1286" w:y="39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3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2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34731082</w:t>
      </w:r>
    </w:p>
    <w:p>
      <w:pPr>
        <w:pStyle w:val="Normal"/>
        <w:framePr w:w="4567" w:hAnchor="page" w:vAnchor="page" w:x="1286" w:y="17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9.1  % </w:t>
      </w:r>
    </w:p>
    <w:p>
      <w:pPr>
        <w:pStyle w:val="Normal"/>
        <w:framePr w:w="532" w:hAnchor="page" w:vAnchor="page" w:x="643" w:y="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193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37448047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7pt;margin-top:1pt;z-index:-16776688;width:598pt;height:994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3.3pt;margin-top:1pt;z-index:-1677668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3.3pt;margin-top:42.3pt;z-index:-16776680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112.1pt;z-index:-1677667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166.1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220.2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74.25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350.05pt;z-index:-16776660;width:531.9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439.35pt;z-index:-16776656;width:531.9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509.2pt;z-index:-16776652;width:531.9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585.7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617.25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648.8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695.35pt;z-index:-16776636;width:533.4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792.9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33.85pt;margin-top:837.95pt;z-index:-16776628;width:110.8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5.25pt;margin-top:931.05pt;z-index:-16776624;width:215.2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5.25pt;margin-top:959.55pt;z-index:-16776620;width:215.2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styles.xml" Type="http://schemas.openxmlformats.org/officeDocument/2006/relationships/styles"/><Relationship Id="rId151" Target="fontTable.xml" Type="http://schemas.openxmlformats.org/officeDocument/2006/relationships/fontTable"/><Relationship Id="rId152" Target="settings.xml" Type="http://schemas.openxmlformats.org/officeDocument/2006/relationships/settings"/><Relationship Id="rId153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1058</Words>
  <Characters>5500</Characters>
  <Application>e-iceblue</Application>
  <DocSecurity>0</DocSecurity>
  <Lines>196</Lines>
  <Paragraphs>196</Paragraphs>
  <ScaleCrop>false</ScaleCrop>
  <Company>e-iceblue</Company>
  <LinksUpToDate>false</LinksUpToDate>
  <CharactersWithSpaces>6508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2025-10-17T20:42:38Z</dcterms:created>
  <dc:creator>root</dc:creator>
  <cp:lastModifiedBy>root</cp:lastModifiedBy>
  <dcterms:modified xsi:type="dcterms:W3CDTF">2025-10-17T20:42:38Z</dcterms:modified>
  <cp:revision>1</cp:revision>
</cp:coreProperties>
</file>