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9602" w:hAnchor="page" w:vAnchor="page" w:x="270" w:y="7286"/>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Persons who respond to the collection of information contained in this form are not required to respond unless the form displays a currently valid OMB Number</w:t>
      </w:r>
    </w:p>
    <w:p>
      <w:pPr>
        <w:pStyle w:val="Normal"/>
        <w:framePr w:w="153" w:hAnchor="page" w:vAnchor="page" w:x="7878" w:y="7286"/>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w:t>
      </w:r>
    </w:p>
    <w:p>
      <w:pPr>
        <w:pStyle w:val="Normal"/>
        <w:framePr w:w="7027" w:hAnchor="page" w:vAnchor="page" w:x="270" w:y="71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Note: File three copies of this Form, one of which must be manually signed. If space is insufficient,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Instruction 6 for procedure.</w:t>
      </w:r>
    </w:p>
    <w:p>
      <w:pPr>
        <w:pStyle w:val="Normal"/>
        <w:framePr w:w="7051" w:hAnchor="page" w:vAnchor="page" w:x="270" w:y="69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 Intentional misstatements or omissions of facts constitute Federal Criminal Violations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18 U.S.C. 1001 and 15 U.S.C. 78ff(a).</w:t>
      </w:r>
    </w:p>
    <w:p>
      <w:pPr>
        <w:pStyle w:val="Normal"/>
        <w:framePr w:w="4472" w:hAnchor="page" w:vAnchor="page" w:x="270" w:y="68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 If the form is filed by more than one reporting person,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Instruction 5 (b)(v).</w:t>
      </w:r>
    </w:p>
    <w:p>
      <w:pPr>
        <w:pStyle w:val="Normal"/>
        <w:framePr w:w="6121" w:hAnchor="page" w:vAnchor="page" w:x="270" w:y="66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Reminder: Report on a separate line for each class of securities beneficially owned directly or indirectly</w:t>
      </w:r>
    </w:p>
    <w:p>
      <w:pPr>
        <w:pStyle w:val="Normal"/>
        <w:framePr w:w="153" w:hAnchor="page" w:vAnchor="page" w:x="4813" w:y="66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t>
      </w:r>
    </w:p>
    <w:p>
      <w:pPr>
        <w:pStyle w:val="Normal"/>
        <w:framePr w:w="1863" w:hAnchor="page" w:vAnchor="page" w:x="7306" w:y="65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Signature of Reporting Person</w:t>
      </w:r>
    </w:p>
    <w:p>
      <w:pPr>
        <w:pStyle w:val="Normal"/>
        <w:framePr w:w="374" w:hAnchor="page" w:vAnchor="page" w:x="9658" w:y="65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Date</w:t>
      </w:r>
    </w:p>
    <w:p>
      <w:pPr>
        <w:pStyle w:val="Normal"/>
        <w:framePr w:w="2174" w:hAnchor="page" w:vAnchor="page" w:x="7306" w:y="6339"/>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Victoria Lazar, Attorney-in-Fact</w:t>
      </w:r>
    </w:p>
    <w:p>
      <w:pPr>
        <w:pStyle w:val="Normal"/>
        <w:framePr w:w="861" w:hAnchor="page" w:vAnchor="page" w:x="9658" w:y="6339"/>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05/11/2022</w:t>
      </w:r>
    </w:p>
    <w:p>
      <w:pPr>
        <w:pStyle w:val="Normal"/>
        <w:framePr w:w="868" w:hAnchor="page" w:vAnchor="page" w:x="270" w:y="6087"/>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Remarks:</w:t>
      </w:r>
    </w:p>
    <w:p>
      <w:pPr>
        <w:pStyle w:val="Normal"/>
        <w:framePr w:w="1134" w:hAnchor="page" w:vAnchor="page" w:x="270" w:y="5936"/>
        <w:widowControl w:val="off"/>
        <w:autoSpaceDE w:val="off"/>
        <w:autoSpaceDN w:val="off"/>
        <w:spacing w:before="0" w:after="0" w:line="111" w:lineRule="exact"/>
        <w:ind w:left="0" w:right="0" w:first-line="0"/>
        <w:jc w:val="left"/>
        <w:rPr>
          <w:rFonts w:ascii="TimesNewRomanPSMT" w:hAnsi="TimesNewRomanPSMT" w:fareast="TimesNewRomanPSMT" w:cs="TimesNewRomanPSMT"/>
          <w:color w:val="008000"/>
          <w:w w:val="100"/>
          <w:sz w:val="10"/>
          <w:szCs w:val="10"/>
        </w:rPr>
      </w:pPr>
      <w:r>
        <w:rPr>
          <w:rFonts w:ascii="TimesNewRomanPSMT" w:hAnsi="TimesNewRomanPSMT" w:fareast="TimesNewRomanPSMT" w:cs="TimesNewRomanPSMT"/>
          <w:color w:val="008000"/>
          <w:w w:val="100"/>
          <w:sz w:val="10"/>
          <w:szCs w:val="10"/>
        </w:rPr>
        <w:t>vest on May 1, 2025.</w:t>
      </w:r>
    </w:p>
    <w:p>
      <w:pPr>
        <w:pStyle w:val="Normal"/>
        <w:framePr w:w="14139" w:hAnchor="page" w:vAnchor="page" w:x="270" w:y="5826"/>
        <w:widowControl w:val="off"/>
        <w:autoSpaceDE w:val="off"/>
        <w:autoSpaceDN w:val="off"/>
        <w:spacing w:before="0" w:after="0" w:line="111" w:lineRule="exact"/>
        <w:ind w:left="0" w:right="0" w:first-line="0"/>
        <w:jc w:val="left"/>
        <w:rPr>
          <w:rFonts w:ascii="TimesNewRomanPSMT" w:hAnsi="TimesNewRomanPSMT" w:fareast="TimesNewRomanPSMT" w:cs="TimesNewRomanPSMT"/>
          <w:color w:val="008000"/>
          <w:w w:val="100"/>
          <w:sz w:val="10"/>
          <w:szCs w:val="10"/>
        </w:rPr>
      </w:pPr>
      <w:r>
        <w:rPr>
          <w:rFonts w:ascii="TimesNewRomanPSMT" w:hAnsi="TimesNewRomanPSMT" w:fareast="TimesNewRomanPSMT" w:cs="TimesNewRomanPSMT"/>
          <w:color w:val="008000"/>
          <w:w w:val="100"/>
          <w:sz w:val="10"/>
          <w:szCs w:val="10"/>
        </w:rPr>
        <w:t>1. Represents grants of restricted stock units, each of which represents a contingent right to receive one Ordinary Share upon vesting, 19,203 of which will vest on March 9, 2023, 9,868 of which will vest on March 1, 2024, 13,135 of which will vest on March 8, 2025, and 8,670 of which will</w:t>
      </w:r>
    </w:p>
    <w:p>
      <w:pPr>
        <w:pStyle w:val="Normal"/>
        <w:framePr w:w="1662" w:hAnchor="page" w:vAnchor="page" w:x="270" w:y="56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Explanation of Responses:</w:t>
      </w:r>
    </w:p>
    <w:p>
      <w:pPr>
        <w:pStyle w:val="Normal"/>
        <w:framePr w:w="788" w:hAnchor="page" w:vAnchor="page" w:x="4313"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80" w:hAnchor="page" w:vAnchor="page" w:x="4974"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5" w:hAnchor="page" w:vAnchor="page" w:x="5565"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21" w:hAnchor="page" w:vAnchor="page" w:x="7856"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80" w:hAnchor="page" w:vAnchor="page" w:x="4313"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7" w:hAnchor="page" w:vAnchor="page" w:x="4974"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21" w:hAnchor="page" w:vAnchor="page" w:x="7856"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727" w:hAnchor="page" w:vAnchor="page" w:x="7856" w:y="52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767" w:hAnchor="page" w:vAnchor="page" w:x="8557" w:y="52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4" w:hAnchor="page" w:vAnchor="page" w:x="8557" w:y="51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587" w:hAnchor="page" w:vAnchor="page" w:x="9378" w:y="51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1101" w:hAnchor="page" w:vAnchor="page" w:x="4313"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561" w:hAnchor="page" w:vAnchor="page" w:x="8557"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854" w:hAnchor="page" w:vAnchor="page" w:x="9378"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Indirect (I)</w:t>
      </w:r>
    </w:p>
    <w:p>
      <w:pPr>
        <w:pStyle w:val="Normal"/>
        <w:framePr w:w="1001" w:hAnchor="page" w:vAnchor="page" w:x="4313"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1274" w:hAnchor="page" w:vAnchor="page" w:x="5565"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4)</w:t>
      </w:r>
    </w:p>
    <w:p>
      <w:pPr>
        <w:pStyle w:val="Normal"/>
        <w:framePr w:w="768" w:hAnchor="page" w:vAnchor="page" w:x="8557"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34" w:hAnchor="page" w:vAnchor="page" w:x="9378"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w:t>
      </w:r>
    </w:p>
    <w:p>
      <w:pPr>
        <w:pStyle w:val="Normal"/>
        <w:framePr w:w="1241" w:hAnchor="page" w:vAnchor="page" w:x="10309"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 (Instr. 5)</w:t>
      </w:r>
    </w:p>
    <w:p>
      <w:pPr>
        <w:pStyle w:val="Normal"/>
        <w:framePr w:w="2440" w:hAnchor="page" w:vAnchor="page" w:x="300"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 Security (Instr. 4)</w:t>
      </w:r>
    </w:p>
    <w:p>
      <w:pPr>
        <w:pStyle w:val="Normal"/>
        <w:framePr w:w="1462" w:hAnchor="page" w:vAnchor="page" w:x="4313"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Date Exercisable and</w:t>
      </w:r>
    </w:p>
    <w:p>
      <w:pPr>
        <w:pStyle w:val="Normal"/>
        <w:framePr w:w="3428" w:hAnchor="page" w:vAnchor="page" w:x="5565"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Title and Amount of Securities Underlying Derivative</w:t>
      </w:r>
    </w:p>
    <w:p>
      <w:pPr>
        <w:pStyle w:val="Normal"/>
        <w:framePr w:w="914" w:hAnchor="page" w:vAnchor="page" w:x="8557"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Conversion</w:t>
      </w:r>
    </w:p>
    <w:p>
      <w:pPr>
        <w:pStyle w:val="Normal"/>
        <w:framePr w:w="874" w:hAnchor="page" w:vAnchor="page" w:x="9378"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Ownership</w:t>
      </w:r>
    </w:p>
    <w:p>
      <w:pPr>
        <w:pStyle w:val="Normal"/>
        <w:framePr w:w="1849" w:hAnchor="page" w:vAnchor="page" w:x="10309"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Nature of Indirect Beneficial</w:t>
      </w:r>
    </w:p>
    <w:p>
      <w:pPr>
        <w:pStyle w:val="Normal"/>
        <w:framePr w:w="4459" w:hAnchor="page" w:vAnchor="page" w:x="4327" w:y="4576"/>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(e.g., puts, calls, warrants, options, convertible securities)</w:t>
      </w:r>
    </w:p>
    <w:p>
      <w:pPr>
        <w:pStyle w:val="Normal"/>
        <w:framePr w:w="4058" w:hAnchor="page" w:vAnchor="page" w:x="4588" w:y="4426"/>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Table II - Derivative Securities Beneficially Owned</w:t>
      </w:r>
    </w:p>
    <w:p>
      <w:pPr>
        <w:pStyle w:val="Normal"/>
        <w:framePr w:w="1175" w:hAnchor="page" w:vAnchor="page" w:x="300"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Ordinary Shares</w:t>
      </w:r>
    </w:p>
    <w:p>
      <w:pPr>
        <w:pStyle w:val="Normal"/>
        <w:framePr w:w="672" w:hAnchor="page" w:vAnchor="page" w:x="6313"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8000"/>
          <w:w w:val="100"/>
          <w:sz w:val="8"/>
          <w:szCs w:val="8"/>
        </w:rPr>
      </w:pPr>
      <w:r>
        <w:rPr>
          <w:rFonts w:ascii="TimesNewRomanPSMT" w:hAnsi="TimesNewRomanPSMT" w:fareast="TimesNewRomanPSMT" w:cs="TimesNewRomanPSMT"/>
          <w:color w:val="0000ff"/>
          <w:w w:val="100"/>
          <w:sz w:val="13"/>
          <w:szCs w:val="13"/>
        </w:rPr>
        <w:t>56,092</w:t>
      </w:r>
      <w:r>
        <w:rPr>
          <w:rFonts w:ascii="TimesNewRomanPSMT" w:hAnsi="TimesNewRomanPSMT" w:fareast="TimesNewRomanPSMT" w:cs="TimesNewRomanPSMT"/>
          <w:color w:val="008000"/>
          <w:w w:val="100"/>
          <w:sz w:val="8"/>
          <w:szCs w:val="8"/>
        </w:rPr>
        <w:t>(1)</w:t>
      </w:r>
    </w:p>
    <w:p>
      <w:pPr>
        <w:pStyle w:val="Normal"/>
        <w:framePr w:w="269" w:hAnchor="page" w:vAnchor="page" w:x="8255"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587" w:hAnchor="page" w:vAnchor="page" w:x="7706" w:y="393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587" w:hAnchor="page" w:vAnchor="page" w:x="5474" w:y="3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428" w:hAnchor="page" w:vAnchor="page" w:x="7706" w:y="3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 Indirect (I)</w:t>
      </w:r>
    </w:p>
    <w:p>
      <w:pPr>
        <w:pStyle w:val="Normal"/>
        <w:framePr w:w="1833" w:hAnchor="page" w:vAnchor="page" w:x="300"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Security (Instr. 4)</w:t>
      </w:r>
    </w:p>
    <w:p>
      <w:pPr>
        <w:pStyle w:val="Normal"/>
        <w:framePr w:w="3926" w:hAnchor="page" w:vAnchor="page" w:x="5474"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Amount of Securities Beneficially Owned 3. Ownership Form:</w:t>
      </w:r>
    </w:p>
    <w:p>
      <w:pPr>
        <w:pStyle w:val="Normal"/>
        <w:framePr w:w="3003" w:hAnchor="page" w:vAnchor="page" w:x="8997"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Nature of Indirect Beneficial Ownership (Instr. 5)</w:t>
      </w:r>
    </w:p>
    <w:p>
      <w:pPr>
        <w:pStyle w:val="Normal"/>
        <w:framePr w:w="4370" w:hAnchor="page" w:vAnchor="page" w:x="4458" w:y="3465"/>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Table I - Non-Derivative Securities Beneficially Owned</w:t>
      </w:r>
    </w:p>
    <w:p>
      <w:pPr>
        <w:pStyle w:val="Normal"/>
        <w:framePr w:w="587" w:hAnchor="page" w:vAnchor="page" w:x="330"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(City)</w:t>
      </w:r>
    </w:p>
    <w:p>
      <w:pPr>
        <w:pStyle w:val="Normal"/>
        <w:framePr w:w="480" w:hAnchor="page" w:vAnchor="page" w:x="1461"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(State)</w:t>
      </w:r>
    </w:p>
    <w:p>
      <w:pPr>
        <w:pStyle w:val="Normal"/>
        <w:framePr w:w="367" w:hAnchor="page" w:vAnchor="page" w:x="2592"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(Zip)</w:t>
      </w:r>
    </w:p>
    <w:p>
      <w:pPr>
        <w:pStyle w:val="Normal"/>
        <w:framePr w:w="899" w:hAnchor="page" w:vAnchor="page" w:x="330"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HOUSTON</w:t>
      </w:r>
    </w:p>
    <w:p>
      <w:pPr>
        <w:pStyle w:val="Normal"/>
        <w:framePr w:w="364" w:hAnchor="page" w:vAnchor="page" w:x="1461"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TX</w:t>
      </w:r>
    </w:p>
    <w:p>
      <w:pPr>
        <w:pStyle w:val="Normal"/>
        <w:framePr w:w="546" w:hAnchor="page" w:vAnchor="page" w:x="2592"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77044</w:t>
      </w:r>
    </w:p>
    <w:p>
      <w:pPr>
        <w:pStyle w:val="Normal"/>
        <w:framePr w:w="2797" w:hAnchor="page" w:vAnchor="page" w:x="9548" w:y="277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Form filed by More than One Reporting Person</w:t>
      </w:r>
    </w:p>
    <w:p>
      <w:pPr>
        <w:pStyle w:val="Normal"/>
        <w:framePr w:w="520" w:hAnchor="page" w:vAnchor="page" w:x="300" w:y="266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(Street)</w:t>
      </w:r>
    </w:p>
    <w:p>
      <w:pPr>
        <w:pStyle w:val="Normal"/>
        <w:framePr w:w="1292" w:hAnchor="page" w:vAnchor="page" w:x="6798" w:y="268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President, Surface</w:t>
      </w:r>
    </w:p>
    <w:p>
      <w:pPr>
        <w:pStyle w:val="Normal"/>
        <w:framePr w:w="269" w:hAnchor="page" w:vAnchor="page" w:x="9261" w:y="257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X</w:t>
      </w:r>
    </w:p>
    <w:p>
      <w:pPr>
        <w:pStyle w:val="Normal"/>
        <w:framePr w:w="2223" w:hAnchor="page" w:vAnchor="page" w:x="9548" w:y="259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Form filed by One Reporting Person</w:t>
      </w:r>
    </w:p>
    <w:p>
      <w:pPr>
        <w:pStyle w:val="Normal"/>
        <w:framePr w:w="269" w:hAnchor="page" w:vAnchor="page" w:x="5788" w:y="248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X</w:t>
      </w:r>
    </w:p>
    <w:p>
      <w:pPr>
        <w:pStyle w:val="Normal"/>
        <w:framePr w:w="1373" w:hAnchor="page" w:vAnchor="page" w:x="6115" w:y="25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Officer (give title below)</w:t>
      </w:r>
    </w:p>
    <w:p>
      <w:pPr>
        <w:pStyle w:val="Normal"/>
        <w:framePr w:w="1435" w:hAnchor="page" w:vAnchor="page" w:x="7816" w:y="25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Other (specify below)</w:t>
      </w:r>
    </w:p>
    <w:p>
      <w:pPr>
        <w:pStyle w:val="Normal"/>
        <w:framePr w:w="3177" w:hAnchor="page" w:vAnchor="page" w:x="9077" w:y="24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6. Individual or Joint/Group Filing (Check Applicable Line)</w:t>
      </w:r>
    </w:p>
    <w:p>
      <w:pPr>
        <w:pStyle w:val="Normal"/>
        <w:framePr w:w="540" w:hAnchor="page" w:vAnchor="page" w:x="6115" w:y="23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Director</w:t>
      </w:r>
    </w:p>
    <w:p>
      <w:pPr>
        <w:pStyle w:val="Normal"/>
        <w:framePr w:w="747" w:hAnchor="page" w:vAnchor="page" w:x="7816" w:y="23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10% Owner</w:t>
      </w:r>
    </w:p>
    <w:p>
      <w:pPr>
        <w:pStyle w:val="Normal"/>
        <w:framePr w:w="1570" w:hAnchor="page" w:vAnchor="page" w:x="330" w:y="225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ONE SUBSEA LANE</w:t>
      </w:r>
    </w:p>
    <w:p>
      <w:pPr>
        <w:pStyle w:val="Normal"/>
        <w:framePr w:w="1268" w:hAnchor="page" w:vAnchor="page" w:x="5565" w:y="21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all applicable)</w:t>
      </w:r>
    </w:p>
    <w:p>
      <w:pPr>
        <w:pStyle w:val="Normal"/>
        <w:framePr w:w="427" w:hAnchor="page" w:vAnchor="page" w:x="330"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(Last)</w:t>
      </w:r>
    </w:p>
    <w:p>
      <w:pPr>
        <w:pStyle w:val="Normal"/>
        <w:framePr w:w="433" w:hAnchor="page" w:vAnchor="page" w:x="1461"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(First)</w:t>
      </w:r>
    </w:p>
    <w:p>
      <w:pPr>
        <w:pStyle w:val="Normal"/>
        <w:framePr w:w="554" w:hAnchor="page" w:vAnchor="page" w:x="2592"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(Middle)</w:t>
      </w:r>
    </w:p>
    <w:p>
      <w:pPr>
        <w:pStyle w:val="Normal"/>
        <w:framePr w:w="2682" w:hAnchor="page" w:vAnchor="page" w:x="5565"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4. Relationship of Reporting Person(s) to Issuer </w:t>
      </w:r>
    </w:p>
    <w:p>
      <w:pPr>
        <w:pStyle w:val="Normal"/>
        <w:framePr w:w="3166" w:hAnchor="page" w:vAnchor="page" w:x="9077"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5. If Amendment, Date of Original Filed (Month/Day/Year)</w:t>
      </w:r>
    </w:p>
    <w:p>
      <w:pPr>
        <w:pStyle w:val="Normal"/>
        <w:framePr w:w="867" w:hAnchor="page" w:vAnchor="page" w:x="3813" w:y="171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05/01/2022</w:t>
      </w:r>
    </w:p>
    <w:p>
      <w:pPr>
        <w:pStyle w:val="Normal"/>
        <w:framePr w:w="1243" w:hAnchor="page" w:vAnchor="page" w:x="330" w:y="1659"/>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ed"/>
          <w:w w:val="100"/>
          <w:sz w:val="16"/>
          <w:szCs w:val="16"/>
        </w:rPr>
      </w:pPr>
      <w:r>
        <w:rPr>
          <w:rFonts w:ascii="TimesNewRomanPSMT" w:hAnsi="TimesNewRomanPSMT" w:fareast="TimesNewRomanPSMT" w:cs="TimesNewRomanPSMT"/>
          <w:color w:val="0000ed"/>
          <w:w w:val="100"/>
          <w:sz w:val="16"/>
          <w:szCs w:val="16"/>
        </w:rPr>
        <w:t>Conti Thierry</w:t>
      </w:r>
    </w:p>
    <w:p>
      <w:pPr>
        <w:pStyle w:val="Normal"/>
        <w:framePr w:w="1638" w:hAnchor="page" w:vAnchor="page" w:x="3813" w:y="160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Statement (Month/Day/Year)</w:t>
      </w:r>
    </w:p>
    <w:p>
      <w:pPr>
        <w:pStyle w:val="Normal"/>
        <w:framePr w:w="1994" w:hAnchor="page" w:vAnchor="page" w:x="5565" w:y="1599"/>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00"/>
          <w:w w:val="100"/>
          <w:sz w:val="16"/>
          <w:szCs w:val="16"/>
        </w:rPr>
      </w:pPr>
      <w:r>
        <w:rPr>
          <w:rFonts w:ascii="TimesNewRomanPSMT" w:hAnsi="TimesNewRomanPSMT" w:fareast="TimesNewRomanPSMT" w:cs="TimesNewRomanPSMT"/>
          <w:color w:val="0000ed"/>
          <w:w w:val="100"/>
          <w:sz w:val="16"/>
          <w:szCs w:val="16"/>
        </w:rPr>
        <w:t>TechnipFMC plc</w:t>
      </w:r>
      <w:r>
        <w:rPr>
          <w:rFonts w:ascii="TimesNewRomanPSMT" w:hAnsi="TimesNewRomanPSMT" w:fareast="TimesNewRomanPSMT" w:cs="TimesNewRomanPSMT"/>
          <w:color w:val="000000"/>
          <w:w w:val="100"/>
          <w:sz w:val="16"/>
          <w:szCs w:val="16"/>
        </w:rPr>
        <w:t xml:space="preserve"> [ </w:t>
      </w:r>
      <w:r>
        <w:rPr>
          <w:rFonts w:ascii="TimesNewRomanPSMT" w:hAnsi="TimesNewRomanPSMT" w:fareast="TimesNewRomanPSMT" w:cs="TimesNewRomanPSMT"/>
          <w:color w:val="0000ff"/>
          <w:w w:val="100"/>
          <w:sz w:val="13"/>
          <w:szCs w:val="13"/>
        </w:rPr>
        <w:t>FTI</w:t>
      </w:r>
      <w:r>
        <w:rPr>
          <w:rFonts w:ascii="TimesNewRomanPSMT" w:hAnsi="TimesNewRomanPSMT" w:fareast="TimesNewRomanPSMT" w:cs="TimesNewRomanPSMT"/>
          <w:color w:val="000000"/>
          <w:w w:val="100"/>
          <w:sz w:val="16"/>
          <w:szCs w:val="16"/>
        </w:rPr>
        <w:t xml:space="preserve"> ]</w:t>
      </w:r>
    </w:p>
    <w:p>
      <w:pPr>
        <w:pStyle w:val="Normal"/>
        <w:framePr w:w="2410" w:hAnchor="page" w:vAnchor="page" w:x="300" w:y="1496"/>
        <w:widowControl w:val="off"/>
        <w:autoSpaceDE w:val="off"/>
        <w:autoSpaceDN w:val="off"/>
        <w:spacing w:before="0" w:after="0" w:line="112" w:lineRule="exact"/>
        <w:ind w:left="0" w:right="0" w:first-line="0"/>
        <w:jc w:val="left"/>
        <w:rPr>
          <w:rFonts w:ascii="ArialMT" w:hAnsi="ArialMT" w:fareast="ArialMT" w:cs="ArialMT"/>
          <w:color w:val="000000"/>
          <w:w w:val="100"/>
          <w:sz w:val="8"/>
          <w:szCs w:val="8"/>
        </w:rPr>
      </w:pPr>
      <w:r>
        <w:rPr>
          <w:rFonts w:ascii="ArialMT" w:hAnsi="ArialMT" w:fareast="ArialMT" w:cs="ArialMT"/>
          <w:color w:val="000000"/>
          <w:w w:val="100"/>
          <w:sz w:val="10"/>
          <w:szCs w:val="10"/>
        </w:rPr>
        <w:t>1. Name and Address of Reporting Person</w:t>
      </w:r>
      <w:r>
        <w:rPr>
          <w:rFonts w:ascii="ArialMT" w:hAnsi="ArialMT" w:fareast="ArialMT" w:cs="ArialMT"/>
          <w:color w:val="000000"/>
          <w:w w:val="100"/>
          <w:sz w:val="8"/>
          <w:szCs w:val="8"/>
        </w:rPr>
        <w:t>*</w:t>
      </w:r>
    </w:p>
    <w:p>
      <w:pPr>
        <w:pStyle w:val="Normal"/>
        <w:framePr w:w="1529" w:hAnchor="page" w:vAnchor="page" w:x="3813" w:y="14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2. Date of Event Requiring</w:t>
      </w:r>
    </w:p>
    <w:p>
      <w:pPr>
        <w:pStyle w:val="Normal"/>
        <w:framePr w:w="2727" w:hAnchor="page" w:vAnchor="page" w:x="5565" w:y="14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3. Issuer Name </w:t>
      </w:r>
      <w:r>
        <w:rPr>
          <w:rFonts w:ascii="Arial-BoldMT" w:hAnsi="Arial-BoldMT" w:fareast="Arial-BoldMT" w:cs="Arial-BoldMT"/>
          <w:color w:val="000000"/>
          <w:w w:val="100"/>
          <w:sz w:val="10"/>
          <w:szCs w:val="10"/>
        </w:rPr>
        <w:t>and</w:t>
      </w:r>
      <w:r>
        <w:rPr>
          <w:rFonts w:ascii="ArialMT" w:hAnsi="ArialMT" w:fareast="ArialMT" w:cs="ArialMT"/>
          <w:color w:val="000000"/>
          <w:w w:val="100"/>
          <w:sz w:val="10"/>
          <w:szCs w:val="10"/>
        </w:rPr>
        <w:t xml:space="preserve"> Ticker or Trading Symbol</w:t>
      </w:r>
    </w:p>
    <w:p>
      <w:pPr>
        <w:pStyle w:val="Normal"/>
        <w:framePr w:w="3298" w:hAnchor="page" w:vAnchor="page" w:x="4871" w:y="12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or Section 30(h) of the Investment Company Act of 1940</w:t>
      </w:r>
    </w:p>
    <w:p>
      <w:pPr>
        <w:pStyle w:val="Normal"/>
        <w:framePr w:w="3865" w:hAnchor="page" w:vAnchor="page" w:x="4559" w:y="1170"/>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Filed pursuant to Section 16(a) of the Securities Exchange Act of 1934</w:t>
      </w:r>
    </w:p>
    <w:p>
      <w:pPr>
        <w:pStyle w:val="Normal"/>
        <w:framePr w:w="1069" w:hAnchor="page" w:vAnchor="page" w:x="9768" w:y="90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hours per response:</w:t>
      </w:r>
    </w:p>
    <w:p>
      <w:pPr>
        <w:pStyle w:val="Normal"/>
        <w:framePr w:w="258" w:hAnchor="page" w:vAnchor="page" w:x="11755" w:y="90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0.5</w:t>
      </w:r>
    </w:p>
    <w:p>
      <w:pPr>
        <w:pStyle w:val="Normal"/>
        <w:framePr w:w="6355" w:hAnchor="page" w:vAnchor="page" w:x="3552" w:y="806"/>
        <w:widowControl w:val="off"/>
        <w:autoSpaceDE w:val="off"/>
        <w:autoSpaceDN w:val="off"/>
        <w:spacing w:before="0" w:after="0" w:line="179" w:lineRule="exact"/>
        <w:ind w:left="0" w:right="0" w:first-line="0"/>
        <w:jc w:val="left"/>
        <w:rPr>
          <w:rFonts w:ascii="Arial-BoldMT" w:hAnsi="Arial-BoldMT" w:fareast="Arial-BoldMT" w:cs="Arial-BoldMT"/>
          <w:color w:val="000000"/>
          <w:w w:val="100"/>
          <w:sz w:val="16"/>
          <w:szCs w:val="16"/>
        </w:rPr>
      </w:pPr>
      <w:r>
        <w:rPr>
          <w:rFonts w:ascii="Arial-BoldMT" w:hAnsi="Arial-BoldMT" w:fareast="Arial-BoldMT" w:cs="Arial-BoldMT"/>
          <w:color w:val="000000"/>
          <w:w w:val="100"/>
          <w:sz w:val="16"/>
          <w:szCs w:val="16"/>
        </w:rPr>
        <w:t>INITIAL STATEMENT OF BENEFICIAL OWNERSHIP OF SECURITIES</w:t>
      </w:r>
    </w:p>
    <w:p>
      <w:pPr>
        <w:pStyle w:val="Normal"/>
        <w:framePr w:w="1376" w:hAnchor="page" w:vAnchor="page" w:x="9768" w:y="76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Estimated average burden</w:t>
      </w:r>
    </w:p>
    <w:p>
      <w:pPr>
        <w:pStyle w:val="Normal"/>
        <w:framePr w:w="799" w:hAnchor="page" w:vAnchor="page" w:x="9768" w:y="62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OMB Number:</w:t>
      </w:r>
    </w:p>
    <w:p>
      <w:pPr>
        <w:pStyle w:val="Normal"/>
        <w:framePr w:w="625" w:hAnchor="page" w:vAnchor="page" w:x="11449" w:y="62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3235-0104</w:t>
      </w:r>
    </w:p>
    <w:p>
      <w:pPr>
        <w:pStyle w:val="Normal"/>
        <w:framePr w:w="1424" w:hAnchor="page" w:vAnchor="page" w:x="5577" w:y="520"/>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Washington, D.C. 20549</w:t>
      </w:r>
    </w:p>
    <w:p>
      <w:pPr>
        <w:pStyle w:val="Normal"/>
        <w:framePr w:w="1385" w:hAnchor="page" w:vAnchor="page" w:x="10312" w:y="393"/>
        <w:widowControl w:val="off"/>
        <w:autoSpaceDE w:val="off"/>
        <w:autoSpaceDN w:val="off"/>
        <w:spacing w:before="0" w:after="0" w:line="145"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APPROVAL</w:t>
      </w:r>
    </w:p>
    <w:p>
      <w:pPr>
        <w:pStyle w:val="Normal"/>
        <w:framePr w:w="1033" w:hAnchor="page" w:vAnchor="page" w:x="1076" w:y="337"/>
        <w:widowControl w:val="off"/>
        <w:autoSpaceDE w:val="off"/>
        <w:autoSpaceDN w:val="off"/>
        <w:spacing w:before="0" w:after="0" w:line="201"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FORM 3</w:t>
      </w:r>
    </w:p>
    <w:p>
      <w:pPr>
        <w:pStyle w:val="Normal"/>
        <w:framePr w:w="5822" w:hAnchor="page" w:vAnchor="page" w:x="3774" w:y="335"/>
        <w:widowControl w:val="off"/>
        <w:autoSpaceDE w:val="off"/>
        <w:autoSpaceDN w:val="off"/>
        <w:spacing w:before="0" w:after="0" w:line="179" w:lineRule="exact"/>
        <w:ind w:left="0" w:right="0" w:first-line="0"/>
        <w:jc w:val="left"/>
        <w:rPr>
          <w:rFonts w:ascii="Arial-BoldMT" w:hAnsi="Arial-BoldMT" w:fareast="Arial-BoldMT" w:cs="Arial-BoldMT"/>
          <w:color w:val="000000"/>
          <w:w w:val="100"/>
          <w:sz w:val="16"/>
          <w:szCs w:val="16"/>
        </w:rPr>
      </w:pPr>
      <w:r>
        <w:rPr>
          <w:rFonts w:ascii="Arial-BoldMT" w:hAnsi="Arial-BoldMT" w:fareast="Arial-BoldMT" w:cs="Arial-BoldMT"/>
          <w:color w:val="000000"/>
          <w:w w:val="100"/>
          <w:sz w:val="16"/>
          <w:szCs w:val="16"/>
        </w:rPr>
        <w:t>UNITED STATES SECURITIES AND EXCHANGE COMMISSION</w:t>
      </w:r>
    </w:p>
    <w:p>
      <w:pPr>
        <w:pStyle w:val="Normal"/>
        <w:framePr w:w="1153" w:hAnchor="page" w:vAnchor="page" w:x="240" w:y="117"/>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00"/>
          <w:w w:val="100"/>
          <w:sz w:val="16"/>
          <w:szCs w:val="16"/>
        </w:rPr>
      </w:pPr>
      <w:r>
        <w:rPr>
          <w:rFonts w:ascii="TimesNewRomanPSMT" w:hAnsi="TimesNewRomanPSMT" w:fareast="TimesNewRomanPSMT" w:cs="TimesNewRomanPSMT"/>
          <w:color w:val="000000"/>
          <w:w w:val="100"/>
          <w:sz w:val="16"/>
          <w:szCs w:val="16"/>
        </w:rPr>
        <w:t>SEC Form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8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3.4pt;margin-top:16pt;z-index:-16777208;width:115.6pt;height:2.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3.4pt;margin-top:53.05pt;z-index:-16777204;width:115.6pt;height:2.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6.5pt;margin-top:16pt;z-index:-16777200;width:2.5pt;height:39.5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3.4pt;margin-top:16pt;z-index:-16777196;width:2.5pt;height:39.5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4.9pt;margin-top:17.5pt;z-index:-16777192;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4.9pt;margin-top:26.5pt;z-index:-16777188;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5pt;margin-top:17.5pt;z-index:-16777184;width:2.5pt;height:11.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4.9pt;margin-top:17.5pt;z-index:-16777180;width:2.5pt;height:11.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4.9pt;margin-top:28pt;z-index:-16777176;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4.9pt;margin-top:51.55pt;z-index:-16777172;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5pt;margin-top:28pt;z-index:-16777168;width:2.5pt;height:26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4.9pt;margin-top:28pt;z-index:-16777164;width:2.5pt;height:26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1pt;margin-top:70.55pt;z-index:-1677716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1pt;margin-top:168.65pt;z-index:-1677715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598.5pt;margin-top:70.55pt;z-index:-16777152;width:2.5pt;height:100.6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1pt;margin-top:70.55pt;z-index:-16777148;width:2.5pt;height:100.6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1.5pt;margin-top:71.05pt;z-index:-16777144;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1.5pt;margin-top:168.15pt;z-index:-16777140;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86.65pt;margin-top:71.05pt;z-index:-16777136;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1.5pt;margin-top:71.05pt;z-index:-16777132;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pt;margin-top:96.6pt;z-index:-16777128;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pt;margin-top:97.1pt;z-index:-16777124;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83.15pt;margin-top:96.6pt;z-index:-16777120;width:2.5pt;height:3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pt;margin-top:96.6pt;z-index:-16777116;width:2.5pt;height:3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pt;margin-top:127.1pt;z-index:-16777112;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pt;margin-top:127.6pt;z-index:-16777108;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83.15pt;margin-top:127.1pt;z-index:-16777104;width:2.5pt;height:3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pt;margin-top:127.1pt;z-index:-16777100;width:2.5pt;height:3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5pt;margin-top:152.65pt;z-index:-16777096;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5pt;margin-top:153.15pt;z-index:-16777092;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183.15pt;margin-top:152.65pt;z-index:-16777088;width:2.5pt;height:3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5pt;margin-top:152.65pt;z-index:-16777084;width:2.5pt;height:3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87.15pt;margin-top:71.05pt;z-index:-16777080;width:89.55pt;height:2.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87.15pt;margin-top:168.15pt;z-index:-16777076;width:89.55pt;height:2.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74.2pt;margin-top:71.05pt;z-index:-16777072;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87.15pt;margin-top:71.05pt;z-index:-16777068;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274.7pt;margin-top:71.05pt;z-index:-16777064;width:325.75pt;height:2.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274.7pt;margin-top:100.1pt;z-index:-16777060;width:325.75pt;height:2.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598pt;margin-top:71.05pt;z-index:-16777056;width:2.5pt;height:31.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274.7pt;margin-top:71.05pt;z-index:-16777052;width:2.5pt;height:31.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274.7pt;margin-top:100.6pt;z-index:-16777048;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274.7pt;margin-top:168.15pt;z-index:-16777044;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449.85pt;margin-top:100.6pt;z-index:-16777040;width:2.5pt;height:70.0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274.7pt;margin-top:100.6pt;z-index:-16777036;width:2.5pt;height:70.0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450.35pt;margin-top:100.6pt;z-index:-16777032;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450.35pt;margin-top:117.6pt;z-index:-16777028;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598pt;margin-top:100.6pt;z-index:-16777024;width:2.5pt;height:19.5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450.35pt;margin-top:100.6pt;z-index:-16777020;width:2.5pt;height:19.5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450.35pt;margin-top:118.1pt;z-index:-16777016;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450.35pt;margin-top:168.15pt;z-index:-16777012;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598pt;margin-top:118.1pt;z-index:-16777008;width:2.5pt;height:52.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450.35pt;margin-top:118.1pt;z-index:-16777004;width:2.5pt;height:52.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11pt;margin-top:169.15pt;z-index:-1677700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11pt;margin-top:216.7pt;z-index:-1677699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8.5pt;margin-top:169.15pt;z-index:-16776992;width:2.5pt;height:50.0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11pt;margin-top:169.15pt;z-index:-16776988;width:2.5pt;height:50.0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11.5pt;margin-top:169.65pt;z-index:-16776984;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11.5pt;margin-top:181.65pt;z-index:-16776980;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598pt;margin-top:169.65pt;z-index:-16776976;width:2.5pt;height:1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11.5pt;margin-top:169.65pt;z-index:-16776972;width:2.5pt;height:1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11.5pt;margin-top:182.15pt;z-index:-16776968;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11.5pt;margin-top:203.15pt;z-index:-16776964;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269.7pt;margin-top:182.15pt;z-index:-1677696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11.5pt;margin-top:182.15pt;z-index:-16776956;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270.2pt;margin-top:182.15pt;z-index:-16776952;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270.2pt;margin-top:203.15pt;z-index:-16776948;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381.3pt;margin-top:182.15pt;z-index:-1677694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270.2pt;margin-top:182.15pt;z-index:-1677694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381.8pt;margin-top:182.15pt;z-index:-16776936;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381.8pt;margin-top:203.15pt;z-index:-16776932;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445.85pt;margin-top:182.15pt;z-index:-1677692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381.8pt;margin-top:182.15pt;z-index:-1677692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446.35pt;margin-top:182.15pt;z-index:-16776920;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446.35pt;margin-top:203.15pt;z-index:-16776916;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8pt;margin-top:182.15pt;z-index:-1677691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446.35pt;margin-top:182.15pt;z-index:-1677690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5pt;margin-top:203.65pt;z-index:-16776904;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5pt;margin-top:216.2pt;z-index:-16776900;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69.7pt;margin-top:203.65pt;z-index:-16776896;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5pt;margin-top:203.65pt;z-index:-16776892;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70.2pt;margin-top:203.65pt;z-index:-16776888;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70.2pt;margin-top:216.2pt;z-index:-16776884;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381.3pt;margin-top:203.65pt;z-index:-16776880;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70.2pt;margin-top:203.65pt;z-index:-16776876;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381.8pt;margin-top:203.65pt;z-index:-16776872;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381.8pt;margin-top:216.2pt;z-index:-16776868;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445.85pt;margin-top:203.65pt;z-index:-16776864;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381.8pt;margin-top:203.65pt;z-index:-16776860;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446.35pt;margin-top:203.65pt;z-index:-16776856;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446.35pt;margin-top:216.2pt;z-index:-16776852;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598pt;margin-top:203.65pt;z-index:-16776848;width:2.5pt;height:1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446.35pt;margin-top:203.65pt;z-index:-16776844;width:2.5pt;height:1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11pt;margin-top:217.2pt;z-index:-1677684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11pt;margin-top:280.75pt;z-index:-1677683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598.5pt;margin-top:217.2pt;z-index:-16776832;width:2.5pt;height:66.0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11pt;margin-top:217.2pt;z-index:-16776828;width:2.5pt;height:66.0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11.5pt;margin-top:217.7pt;z-index:-16776824;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11.5pt;margin-top:237.2pt;z-index:-16776820;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98pt;margin-top:217.7pt;z-index:-16776816;width:2.5pt;height:22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11.5pt;margin-top:217.7pt;z-index:-16776812;width:2.5pt;height:22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11.5pt;margin-top:237.7pt;z-index:-16776808;width:202.65pt;height:2.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11.5pt;margin-top:280.25pt;z-index:-16776804;width:202.65pt;height:2.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211.65pt;margin-top:237.7pt;z-index:-16776800;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11.5pt;margin-top:237.7pt;z-index:-1677679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212.15pt;margin-top:237.7pt;z-index:-16776792;width:64.55pt;height:2.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212.15pt;margin-top:258.7pt;z-index:-16776788;width:64.55pt;height:2.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274.2pt;margin-top:237.7pt;z-index:-1677678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212.15pt;margin-top:237.7pt;z-index:-1677678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74.7pt;margin-top:237.7pt;z-index:-16776776;width:151.65pt;height:2.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74.7pt;margin-top:258.7pt;z-index:-16776772;width:151.65pt;height:2.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423.85pt;margin-top:237.7pt;z-index:-1677676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74.7pt;margin-top:237.7pt;z-index:-1677676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424.35pt;margin-top:237.7pt;z-index:-16776760;width:43.05pt;height:2.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424.35pt;margin-top:280.25pt;z-index:-16776756;width:43.05pt;height:2.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464.9pt;margin-top:237.7pt;z-index:-16776752;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424.35pt;margin-top:237.7pt;z-index:-16776748;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465.4pt;margin-top:237.7pt;z-index:-16776744;width:48.55pt;height:2.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465.4pt;margin-top:280.25pt;z-index:-16776740;width:48.55pt;height:2.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511.4pt;margin-top:237.7pt;z-index:-1677673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465.4pt;margin-top:237.7pt;z-index:-16776732;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511.9pt;margin-top:237.7pt;z-index:-16776728;width:88.55pt;height:2.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511.9pt;margin-top:280.25pt;z-index:-16776724;width:88.55pt;height:2.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598pt;margin-top:237.7pt;z-index:-16776720;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511.9pt;margin-top:237.7pt;z-index:-1677671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212.15pt;margin-top:259.2pt;z-index:-16776712;width:35.05pt;height:2.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212.15pt;margin-top:280.25pt;z-index:-16776708;width:35.05pt;height:2.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244.7pt;margin-top:259.2pt;z-index:-1677670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212.15pt;margin-top:259.2pt;z-index:-1677670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245.2pt;margin-top:259.2pt;z-index:-16776696;width:31.5pt;height:2.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245.2pt;margin-top:280.25pt;z-index:-16776692;width:31.5pt;height:2.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74.2pt;margin-top:259.2pt;z-index:-1677668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245.2pt;margin-top:259.2pt;z-index:-1677668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74.7pt;margin-top:259.2pt;z-index:-16776680;width:116.6pt;height:2.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74.7pt;margin-top:280.25pt;z-index:-16776676;width:116.6pt;height:2.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388.8pt;margin-top:259.2pt;z-index:-1677667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74.7pt;margin-top:259.2pt;z-index:-1677666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389.3pt;margin-top:259.2pt;z-index:-16776664;width:37.05pt;height:2.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389.3pt;margin-top:280.25pt;z-index:-16776660;width:37.05pt;height:2.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423.85pt;margin-top:259.2pt;z-index:-16776656;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389.3pt;margin-top:259.2pt;z-index:-1677665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12pt;margin-top:289.75pt;z-index:-16776648;width:588pt;height:14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12pt;margin-top:312.25pt;z-index:-16776644;width:588pt;height:3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15.5pt;margin-top:89.55pt;z-index:-16776640;width:45.8pt;height:2.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15.5pt;margin-top:111.6pt;z-index:-16776636;width:61.05pt;height:9.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15.5pt;margin-top:139.1pt;z-index:-16776632;width:33.05pt;height:9.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72.05pt;margin-top:139.1pt;z-index:-16776628;width:10.5pt;height:9.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128.6pt;margin-top:139.1pt;z-index:-16776624;width:18.5pt;height:9.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189.65pt;margin-top:84.55pt;z-index:-16776620;width:31.5pt;height:9.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277.25pt;margin-top:86.55pt;z-index:-16776616;width:56.35pt;height:2.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8.3pt;margin-top:80.05pt;z-index:-16776612;width:11.5pt;height:9.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288.25pt;margin-top:123.1pt;z-index:-16776608;width:7pt;height: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8.8pt;margin-top:133.1pt;z-index:-16776604;width:49.55pt;height:9.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461.9pt;margin-top:127.6pt;z-index:-16776600;width:7pt;height:9.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14pt;margin-top:206.15pt;z-index:-16776596;width:44.55pt;height:9.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314.75pt;margin-top:206.15pt;z-index:-16776592;width:20pt;height:9.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32.75pt;margin-top:207.65pt;z-index:-16776588;width:6.5pt;height:7.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85pt;margin-top:206.15pt;z-index:-16776584;width:6.5pt;height:9.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364.3pt;margin-top:315.75pt;z-index:-16776580;width:86.05pt;height:9.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364.3pt;margin-top:322.25pt;z-index:-16776576;width:86.05pt;height:2.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81.9pt;margin-top:315.75pt;z-index:-16776572;width:31.5pt;height:9.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81.9pt;margin-top:322.25pt;z-index:-16776568;width:31.4pt;height:2.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p>
    <w:p>
      <w:pPr>
        <w:pStyle w:val="Normal"/>
        <w:framePr w:w="2686" w:hAnchor="page" w:vAnchor="page" w:x="240" w:y="31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       Name: Thierry Conti </w:t>
      </w:r>
    </w:p>
    <w:p>
      <w:pPr>
        <w:pStyle w:val="Normal"/>
        <w:framePr w:w="3716" w:hAnchor="page" w:vAnchor="page" w:x="240" w:y="304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                    /s/ Thierry Conti </w:t>
      </w:r>
    </w:p>
    <w:p>
      <w:pPr>
        <w:pStyle w:val="Normal"/>
        <w:framePr w:w="11961" w:hAnchor="page" w:vAnchor="page" w:x="240" w:y="25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IN WITNESS WHEREOF, the undersigned has caused this Limited Power of Attorney to be executed as of this 10th day of May 2022. </w:t>
      </w:r>
    </w:p>
    <w:p>
      <w:pPr>
        <w:pStyle w:val="Normal"/>
        <w:framePr w:w="14397" w:hAnchor="page" w:vAnchor="page" w:x="240" w:y="22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This Limited Power of Attorney shall remain in full force and effect until the undersigned is no longer required to file Forms 3, 4 or 5 with respect to</w:t>
      </w:r>
    </w:p>
    <w:p>
      <w:pPr>
        <w:pStyle w:val="Normal"/>
        <w:framePr w:w="14397" w:hAnchor="page" w:vAnchor="page" w:x="240" w:y="19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The undersigned hereby grants to each such attorney-in-fact full power and authority to do and perform any and every act and thing whatsoever requisite,</w:t>
      </w:r>
    </w:p>
    <w:p>
      <w:pPr>
        <w:pStyle w:val="Normal"/>
        <w:framePr w:w="14397" w:hAnchor="page" w:vAnchor="page" w:x="240" w:y="16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3.    Take any other action of any type whatsoever in connection with the foregoing which, in the opinion of such attorney-in-fact, may be of benefit to</w:t>
      </w:r>
    </w:p>
    <w:p>
      <w:pPr>
        <w:pStyle w:val="Normal"/>
        <w:framePr w:w="14397" w:hAnchor="page" w:vAnchor="page" w:x="240" w:y="13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2.    Do and perform any and all acts for and on behalf of the undersigned that may be necessary or desirable to complete and execute any such Form 3, 4</w:t>
      </w:r>
    </w:p>
    <w:p>
      <w:pPr>
        <w:pStyle w:val="Normal"/>
        <w:framePr w:w="14397" w:hAnchor="page" w:vAnchor="page" w:x="240" w:y="10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1.    Execute for and on behalf of the undersigned, in the undersigned's capacity as an officer or director, or both, of TechnipFMC plc (the "Company"),</w:t>
      </w:r>
    </w:p>
    <w:p>
      <w:pPr>
        <w:pStyle w:val="Normal"/>
        <w:framePr w:w="14397" w:hAnchor="page" w:vAnchor="page" w:x="240" w:y="79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Know all by these presents, that the undersigned hereby constitutes and appoints each of Victoria Lazar, Guillaume Groisard, and Stevan Verkin, signing </w:t>
      </w:r>
    </w:p>
    <w:p>
      <w:pPr>
        <w:pStyle w:val="Normal"/>
        <w:framePr w:w="3248" w:hAnchor="page" w:vAnchor="page" w:x="240" w:y="49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(For Executing Forms 3, 4 and 5) </w:t>
      </w:r>
    </w:p>
    <w:p>
      <w:pPr>
        <w:pStyle w:val="Normal"/>
        <w:framePr w:w="2592" w:hAnchor="page" w:vAnchor="page" w:x="240" w:y="34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LIMITED POWER OF ATTORNEY </w:t>
      </w:r>
    </w:p>
    <w:p>
      <w:pPr>
        <w:pStyle w:val="Normal"/>
        <w:framePr w:w="1561" w:hAnchor="page" w:vAnchor="page" w:x="240" w:y="4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TechnipFMC plc </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162" style="position:absolute;margin-left:7pt;margin-top:1pt;z-index:-16776564;width:598pt;height:173.6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p>
    <w:sectPr>
      <w:pgSz w:w="12240" w:h="20160"/>
      <w:pgMar w:top="400" w:right="400" w:bottom="400" w:left="400" w:header="720" w:footer="720"/>
      <w:pgNumType w:start="2"/>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 w:name="CourierNewPSMT">
    <w:panose-1>"02070309020205020404"</w:panose-1>
    <w:charset>
      <w:val>"01"</w:val>
    </w:charset>
    <w:family>"Modern"</w:family>
    <w:notTrueType w:val="off"/>
    <w:pitch>"variable"</w:pitch>
    <w:sig w:usb0="01010101" w:usb1="01010101" w:usb2="01010101" w:usb3="01010101" w:csb0="01010101" w:csb1="01010101"/>
    <w:embedRegular xmlns:r="http://schemas.openxmlformats.org/officeDocument/2006/relationships" r:id="rId5" w:fontKey="{f84bb018-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styles.xml" Type="http://schemas.openxmlformats.org/officeDocument/2006/relationships/styles"/><Relationship Id="rId165" Target="fontTable.xml" Type="http://schemas.openxmlformats.org/officeDocument/2006/relationships/fontTable"/><Relationship Id="rId166" Target="settings.xml" Type="http://schemas.openxmlformats.org/officeDocument/2006/relationships/settings"/><Relationship Id="rId167" Target="webSettings.xml" Type="http://schemas.openxmlformats.org/officeDocument/2006/relationships/webSettings"/><Relationship Id="rId17" Target="media/image17.png" Type="http://schemas.openxmlformats.org/officeDocument/2006/relationships/image"/><Relationship Id="rId18" Target="media/image18.png" Type="http://schemas.openxmlformats.org/officeDocument/2006/relationships/image"/><Relationship Id="rId19" Target="media/image1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1" Target="media/image21.png" Type="http://schemas.openxmlformats.org/officeDocument/2006/relationships/image"/><Relationship Id="rId22" Target="media/image22.png" Type="http://schemas.openxmlformats.org/officeDocument/2006/relationships/image"/><Relationship Id="rId23" Target="media/image23.png" Type="http://schemas.openxmlformats.org/officeDocument/2006/relationships/image"/><Relationship Id="rId24" Target="media/image24.png" Type="http://schemas.openxmlformats.org/officeDocument/2006/relationships/image"/><Relationship Id="rId25" Target="media/image25.png" Type="http://schemas.openxmlformats.org/officeDocument/2006/relationships/image"/><Relationship Id="rId26" Target="media/image26.png" Type="http://schemas.openxmlformats.org/officeDocument/2006/relationships/image"/><Relationship Id="rId27" Target="media/image27.png" Type="http://schemas.openxmlformats.org/officeDocument/2006/relationships/image"/><Relationship Id="rId28" Target="media/image28.png" Type="http://schemas.openxmlformats.org/officeDocument/2006/relationships/image"/><Relationship Id="rId29" Target="media/image2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s>
</file>

<file path=docProps/app.xml><?xml version="1.0" encoding="utf-8"?>
<Properties xmlns="http://schemas.openxmlformats.org/officeDocument/2006/extended-properties">
  <Template>Normal.dotm</Template>
  <TotalTime>3</TotalTime>
  <Pages>2</Pages>
  <Words>644</Words>
  <Characters>3346</Characters>
  <Application>e-iceblue</Application>
  <DocSecurity>0</DocSecurity>
  <Lines>108</Lines>
  <Paragraphs>108</Paragraphs>
  <ScaleCrop>false</ScaleCrop>
  <Company>e-iceblue</Company>
  <LinksUpToDate>false</LinksUpToDate>
  <CharactersWithSpaces>3924</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2022-05-12T01:41:09Z</dcterms:created>
  <dc:creator>root</dc:creator>
  <cp:lastModifiedBy>root</cp:lastModifiedBy>
  <dcterms:modified xsi:type="dcterms:W3CDTF">2022-05-12T01:41:09Z</dcterms:modified>
  <cp:revision>1</cp:revision>
</cp:coreProperties>
</file>