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23,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00"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4120" w:type="dxa"/>
            <w:vAlign w:val="bottom"/>
          </w:tcPr>
          <w:p>
            <w:pPr>
              <w:jc w:val="center"/>
              <w:ind w:right="870"/>
              <w:spacing w:after="0"/>
              <w:rPr>
                <w:sz w:val="20"/>
                <w:szCs w:val="20"/>
                <w:color w:val="auto"/>
              </w:rPr>
            </w:pPr>
            <w:r>
              <w:rPr>
                <w:rFonts w:ascii="Arial" w:cs="Arial" w:eastAsia="Arial" w:hAnsi="Arial"/>
                <w:sz w:val="18"/>
                <w:szCs w:val="18"/>
                <w:b w:val="1"/>
                <w:bCs w:val="1"/>
                <w:color w:val="auto"/>
                <w:w w:val="92"/>
              </w:rPr>
              <w:t>United Kingdom</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001-37983</w:t>
            </w:r>
          </w:p>
        </w:tc>
        <w:tc>
          <w:tcPr>
            <w:tcW w:w="3360" w:type="dxa"/>
            <w:vAlign w:val="bottom"/>
          </w:tcPr>
          <w:p>
            <w:pPr>
              <w:jc w:val="right"/>
              <w:ind w:right="790"/>
              <w:spacing w:after="0"/>
              <w:rPr>
                <w:sz w:val="20"/>
                <w:szCs w:val="20"/>
                <w:color w:val="auto"/>
              </w:rPr>
            </w:pPr>
            <w:r>
              <w:rPr>
                <w:rFonts w:ascii="Arial" w:cs="Arial" w:eastAsia="Arial" w:hAnsi="Arial"/>
                <w:sz w:val="18"/>
                <w:szCs w:val="18"/>
                <w:b w:val="1"/>
                <w:bCs w:val="1"/>
                <w:color w:val="auto"/>
              </w:rPr>
              <w:t>98-1283037</w:t>
            </w:r>
          </w:p>
        </w:tc>
      </w:tr>
      <w:tr>
        <w:trPr>
          <w:trHeight w:val="230"/>
        </w:trPr>
        <w:tc>
          <w:tcPr>
            <w:tcW w:w="412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 incorporation)</w:t>
            </w:r>
          </w:p>
        </w:tc>
        <w:tc>
          <w:tcPr>
            <w:tcW w:w="2940" w:type="dxa"/>
            <w:vAlign w:val="bottom"/>
          </w:tcPr>
          <w:p>
            <w:pPr>
              <w:jc w:val="center"/>
              <w:ind w:right="350"/>
              <w:spacing w:after="0"/>
              <w:rPr>
                <w:sz w:val="20"/>
                <w:szCs w:val="20"/>
                <w:color w:val="auto"/>
              </w:rPr>
            </w:pPr>
            <w:r>
              <w:rPr>
                <w:rFonts w:ascii="Arial" w:cs="Arial" w:eastAsia="Arial" w:hAnsi="Arial"/>
                <w:sz w:val="18"/>
                <w:szCs w:val="18"/>
                <w:color w:val="auto"/>
                <w:w w:val="92"/>
              </w:rPr>
              <w:t>(Commission File Number)</w:t>
            </w:r>
          </w:p>
        </w:tc>
        <w:tc>
          <w:tcPr>
            <w:tcW w:w="3360" w:type="dxa"/>
            <w:vAlign w:val="bottom"/>
          </w:tcPr>
          <w:p>
            <w:pPr>
              <w:ind w:left="740"/>
              <w:spacing w:after="0"/>
              <w:rPr>
                <w:sz w:val="20"/>
                <w:szCs w:val="20"/>
                <w:color w:val="auto"/>
              </w:rPr>
            </w:pPr>
            <w:r>
              <w:rPr>
                <w:rFonts w:ascii="Arial" w:cs="Arial" w:eastAsia="Arial" w:hAnsi="Arial"/>
                <w:sz w:val="18"/>
                <w:szCs w:val="18"/>
                <w:color w:val="auto"/>
                <w:w w:val="93"/>
              </w:rPr>
              <w:t>(I.R.S. Employer Identification No.)</w:t>
            </w:r>
          </w:p>
        </w:tc>
      </w:tr>
      <w:tr>
        <w:trPr>
          <w:trHeight w:val="365"/>
        </w:trPr>
        <w:tc>
          <w:tcPr>
            <w:tcW w:w="412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One St. Paul’s Churchyard</w:t>
            </w:r>
          </w:p>
        </w:tc>
        <w:tc>
          <w:tcPr>
            <w:tcW w:w="2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25"/>
        </w:trPr>
        <w:tc>
          <w:tcPr>
            <w:tcW w:w="412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London</w:t>
            </w:r>
          </w:p>
        </w:tc>
        <w:tc>
          <w:tcPr>
            <w:tcW w:w="29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34"/>
        </w:trPr>
        <w:tc>
          <w:tcPr>
            <w:tcW w:w="412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United Kingdom</w:t>
            </w:r>
          </w:p>
        </w:tc>
        <w:tc>
          <w:tcPr>
            <w:tcW w:w="2940" w:type="dxa"/>
            <w:vAlign w:val="bottom"/>
          </w:tcPr>
          <w:p>
            <w:pPr>
              <w:spacing w:after="0"/>
              <w:rPr>
                <w:sz w:val="20"/>
                <w:szCs w:val="20"/>
                <w:color w:val="auto"/>
              </w:rPr>
            </w:pPr>
          </w:p>
        </w:tc>
        <w:tc>
          <w:tcPr>
            <w:tcW w:w="3360" w:type="dxa"/>
            <w:vAlign w:val="bottom"/>
          </w:tcPr>
          <w:p>
            <w:pPr>
              <w:ind w:left="700"/>
              <w:spacing w:after="0"/>
              <w:rPr>
                <w:sz w:val="20"/>
                <w:szCs w:val="20"/>
                <w:color w:val="auto"/>
              </w:rPr>
            </w:pPr>
            <w:r>
              <w:rPr>
                <w:rFonts w:ascii="Arial" w:cs="Arial" w:eastAsia="Arial" w:hAnsi="Arial"/>
                <w:sz w:val="18"/>
                <w:szCs w:val="18"/>
                <w:b w:val="1"/>
                <w:bCs w:val="1"/>
                <w:color w:val="auto"/>
              </w:rPr>
              <w:t>EC4M 8AP</w:t>
            </w:r>
          </w:p>
        </w:tc>
      </w:tr>
      <w:tr>
        <w:trPr>
          <w:trHeight w:val="283"/>
        </w:trPr>
        <w:tc>
          <w:tcPr>
            <w:tcW w:w="4120" w:type="dxa"/>
            <w:vAlign w:val="bottom"/>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spacing w:after="0"/>
              <w:rPr>
                <w:sz w:val="24"/>
                <w:szCs w:val="24"/>
                <w:color w:val="auto"/>
              </w:rPr>
            </w:pPr>
          </w:p>
        </w:tc>
        <w:tc>
          <w:tcPr>
            <w:tcW w:w="3360" w:type="dxa"/>
            <w:vAlign w:val="bottom"/>
          </w:tcPr>
          <w:p>
            <w:pPr>
              <w:ind w:left="740"/>
              <w:spacing w:after="0"/>
              <w:rPr>
                <w:sz w:val="20"/>
                <w:szCs w:val="20"/>
                <w:color w:val="auto"/>
              </w:rPr>
            </w:pPr>
            <w:r>
              <w:rPr>
                <w:rFonts w:ascii="Arial" w:cs="Arial" w:eastAsia="Arial" w:hAnsi="Arial"/>
                <w:sz w:val="18"/>
                <w:szCs w:val="18"/>
                <w:color w:val="auto"/>
              </w:rPr>
              <w:t>(Zip Code)</w:t>
            </w:r>
          </w:p>
        </w:tc>
      </w:tr>
      <w:tr>
        <w:trPr>
          <w:trHeight w:val="486"/>
        </w:trPr>
        <w:tc>
          <w:tcPr>
            <w:tcW w:w="4120" w:type="dxa"/>
            <w:vAlign w:val="bottom"/>
          </w:tcPr>
          <w:p>
            <w:pPr>
              <w:spacing w:after="0"/>
              <w:rPr>
                <w:sz w:val="24"/>
                <w:szCs w:val="24"/>
                <w:color w:val="auto"/>
              </w:rPr>
            </w:pPr>
          </w:p>
        </w:tc>
        <w:tc>
          <w:tcPr>
            <w:tcW w:w="2940" w:type="dxa"/>
            <w:vAlign w:val="bottom"/>
          </w:tcPr>
          <w:p>
            <w:pPr>
              <w:jc w:val="right"/>
              <w:ind w:right="970"/>
              <w:spacing w:after="0"/>
              <w:rPr>
                <w:sz w:val="20"/>
                <w:szCs w:val="20"/>
                <w:color w:val="auto"/>
              </w:rPr>
            </w:pPr>
            <w:r>
              <w:rPr>
                <w:rFonts w:ascii="Arial" w:cs="Arial" w:eastAsia="Arial" w:hAnsi="Arial"/>
                <w:sz w:val="18"/>
                <w:szCs w:val="18"/>
                <w:b w:val="1"/>
                <w:bCs w:val="1"/>
                <w:color w:val="auto"/>
              </w:rPr>
              <w:t>+44 203-429-3950</w:t>
            </w:r>
          </w:p>
        </w:tc>
        <w:tc>
          <w:tcPr>
            <w:tcW w:w="336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160020</wp:posOffset>
            </wp:positionV>
            <wp:extent cx="270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360" w:type="dxa"/>
        <w:tblCellMar>
          <w:top w:w="0" w:type="dxa"/>
          <w:left w:w="0" w:type="dxa"/>
          <w:bottom w:w="0" w:type="dxa"/>
          <w:right w:w="0" w:type="dxa"/>
        </w:tblCellMar>
      </w:tblPr>
      <w:tr>
        <w:trPr>
          <w:trHeight w:val="261"/>
        </w:trPr>
        <w:tc>
          <w:tcPr>
            <w:tcW w:w="3860" w:type="dxa"/>
            <w:vAlign w:val="bottom"/>
          </w:tcPr>
          <w:p>
            <w:pPr>
              <w:jc w:val="center"/>
              <w:ind w:right="730"/>
              <w:spacing w:after="0"/>
              <w:rPr>
                <w:sz w:val="20"/>
                <w:szCs w:val="20"/>
                <w:color w:val="auto"/>
              </w:rPr>
            </w:pPr>
            <w:r>
              <w:rPr>
                <w:rFonts w:ascii="Arial" w:cs="Arial" w:eastAsia="Arial" w:hAnsi="Arial"/>
                <w:sz w:val="18"/>
                <w:szCs w:val="18"/>
                <w:b w:val="1"/>
                <w:bCs w:val="1"/>
                <w:color w:val="auto"/>
                <w:w w:val="89"/>
              </w:rPr>
              <w:t>Title of Each Class</w:t>
            </w:r>
          </w:p>
        </w:tc>
        <w:tc>
          <w:tcPr>
            <w:tcW w:w="27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w:t>
            </w:r>
          </w:p>
        </w:tc>
        <w:tc>
          <w:tcPr>
            <w:tcW w:w="420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311"/>
        </w:trPr>
        <w:tc>
          <w:tcPr>
            <w:tcW w:w="3860" w:type="dxa"/>
            <w:vAlign w:val="bottom"/>
          </w:tcPr>
          <w:p>
            <w:pPr>
              <w:jc w:val="center"/>
              <w:ind w:right="730"/>
              <w:spacing w:after="0"/>
              <w:rPr>
                <w:sz w:val="20"/>
                <w:szCs w:val="20"/>
                <w:color w:val="auto"/>
              </w:rPr>
            </w:pPr>
            <w:r>
              <w:rPr>
                <w:rFonts w:ascii="Arial" w:cs="Arial" w:eastAsia="Arial" w:hAnsi="Arial"/>
                <w:sz w:val="18"/>
                <w:szCs w:val="18"/>
                <w:color w:val="auto"/>
                <w:w w:val="88"/>
              </w:rPr>
              <w:t>Ordinary shares, $1.00 par value per share</w:t>
            </w:r>
          </w:p>
        </w:tc>
        <w:tc>
          <w:tcPr>
            <w:tcW w:w="2740" w:type="dxa"/>
            <w:vAlign w:val="bottom"/>
          </w:tcPr>
          <w:p>
            <w:pPr>
              <w:jc w:val="center"/>
              <w:ind w:left="50"/>
              <w:spacing w:after="0"/>
              <w:rPr>
                <w:sz w:val="20"/>
                <w:szCs w:val="20"/>
                <w:color w:val="auto"/>
              </w:rPr>
            </w:pPr>
            <w:r>
              <w:rPr>
                <w:rFonts w:ascii="Arial" w:cs="Arial" w:eastAsia="Arial" w:hAnsi="Arial"/>
                <w:sz w:val="18"/>
                <w:szCs w:val="18"/>
                <w:color w:val="auto"/>
              </w:rPr>
              <w:t>FTI</w:t>
            </w:r>
          </w:p>
        </w:tc>
        <w:tc>
          <w:tcPr>
            <w:tcW w:w="4200" w:type="dxa"/>
            <w:vAlign w:val="bottom"/>
          </w:tcPr>
          <w:p>
            <w:pPr>
              <w:jc w:val="center"/>
              <w:ind w:left="610"/>
              <w:spacing w:after="0"/>
              <w:rPr>
                <w:sz w:val="20"/>
                <w:szCs w:val="20"/>
                <w:color w:val="auto"/>
              </w:rPr>
            </w:pPr>
            <w:r>
              <w:rPr>
                <w:rFonts w:ascii="Arial" w:cs="Arial" w:eastAsia="Arial" w:hAnsi="Arial"/>
                <w:sz w:val="18"/>
                <w:szCs w:val="18"/>
                <w:color w:val="auto"/>
                <w:w w:val="91"/>
              </w:rPr>
              <w:t>New York Stock Exchange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2021, upon the recommendation of the Environmental, Social, and Governance Committee (the “Committee”) of the Board of Directors (the “Board”) of TechnipFMC plc (the “Company”), the Board elected Sophie Zurquiyah to the Board and appointed Ms. Zurquiyah to the Audit Committee of the Board, effective April 1, 2021. In connection with the election of Ms. Zurquiyah, effective April 1, 2021, the Board will increase its size from nine to ten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her service, Ms. Zurquiyah will receive compensation commensurate with that received by the Company’s other non-executive directors as disclosed under the caption “Director Compensation” in the Company’s Definitive Proxy Statement, filed with the U.S. Securities and Exchange Commission on March 13, 2020, prorated to reflect her length of service in 2021. Such compensation is in accordance with the Company’s shareholder-approved Director Remuneration Policy.</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2021, the Company issued a news release announcing Ms. Zurquiyah’s election to the Board, a copy of which is filed herewith as Exhibit 99.1.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in this Item 7.01, including Exhibit 99.1, is being furnished and shall not be deemed “filed” for purposes of Section 18 of the Securities Exchange Act of 1934, as amended (the “Exchange Act”), or otherwise subject to the liabilities of that Section. The information in this Item 7.01, including Exhibit 99.1, shall not be deemed incorporated by reference into any filing under the Securities Act of 1933, as amended, or the Exchange Act, except as shall be expressly set forth by specific reference in such a filing.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1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ind w:left="600"/>
        <w:spacing w:after="0"/>
        <w:tabs>
          <w:tab w:leader="none" w:pos="112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News Release issued by TechnipFMC plc dated March 1, 2021</w:t>
      </w:r>
    </w:p>
    <w:p>
      <w:pPr>
        <w:spacing w:after="0" w:line="10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TechnipFMC plc</w:t>
      </w:r>
    </w:p>
    <w:p>
      <w:pPr>
        <w:spacing w:after="0" w:line="32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By: /s/ Victoria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31750</wp:posOffset>
            </wp:positionV>
            <wp:extent cx="5349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97"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Dated: March 1, 2021</w:t>
      </w:r>
      <w:r>
        <w:rPr>
          <w:sz w:val="20"/>
          <w:szCs w:val="20"/>
          <w:color w:val="auto"/>
        </w:rPr>
        <w:tab/>
      </w:r>
      <w:r>
        <w:rPr>
          <w:rFonts w:ascii="Arial" w:cs="Arial" w:eastAsia="Arial" w:hAnsi="Arial"/>
          <w:sz w:val="16"/>
          <w:szCs w:val="16"/>
          <w:color w:val="auto"/>
        </w:rPr>
        <w:t>Name: Victoria Lazar</w:t>
      </w:r>
    </w:p>
    <w:p>
      <w:pPr>
        <w:spacing w:after="0" w:line="10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Title: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58000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00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appoints Sophie Zurquiyah to its Board of Directors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LONDON, PARIS, HOUSTON, March 1, 2020 </w:t>
      </w:r>
      <w:r>
        <w:rPr>
          <w:rFonts w:ascii="Arial" w:cs="Arial" w:eastAsia="Arial" w:hAnsi="Arial"/>
          <w:sz w:val="18"/>
          <w:szCs w:val="18"/>
          <w:color w:val="auto"/>
        </w:rPr>
        <w:t>— TechnipFMC (NYSE: FTI) (PARIS: FTI) announces that Sophie Zurquiyah,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CGG S.A., has been appointed to its Board of Directors and Audit Committee, effective April 1,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Doug Pferdehirt, Chairman and CEO of TechnipFMC, stated: “I am delighted to welcome Sophie to the Board. She brings a depth of knowledge to our Board, established over 30 years in our industry. With a background in geophysics, technology, sustainability, and digital transformation, Sophie is a proven global business leader who has experience as an executive and board member with international public companies. Her skillset strengthens our Board of Directors and broadens its understanding and 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Sophie Zurquiyah</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Ms. Zurquiyah, 54, has served as the Chief Executive Officer at CGG S.A., a global geoscience technology leader, since 2018. Ms. Zurquiyah joined CGG in 2013 and has held a succession of leadership positions, including as Chief Operating Officer and Senior Executive Vice President in charge of the Geology, Geophysics and Reservoir division. Ms. Zurquiyah began her career at Schlumberger in 1991 as a geophysicist and held a variety of executive positions, including Vice President of Technology Sustaining, President, Data and Consulting Services and Chief Information Officer. Ms. Zurquiyah also serves on the Board of Directors of Safran S.A. Ms. Zurquiyah is a graduate of the Ecole Centrale de Paris and holds a Master of Science in Numerical Analysis from the Pierre and Marie Curie University (Paris 6), as well as a Master of Science in Aerospace Engineering from the University of Colorado.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TechnipFMC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TechnipFMC is a leading technology provider to the traditional and new energies industries; delivering fully integrated projects, products, and services.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Organized in two business segments — Subsea and Surface Technologies — we will continue to advance the industry with our pioneering integrated ecosystems (such as iEPCI™, iFEED™ and iComplete™), technology leadership and digital innovation.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approximately 20,000 employees is driven by a commitment to our clients’ success, and a culture of strong execution, purposeful innovation, and challenging industry conventions.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TechnipFMC uses its website as a channel of distribution of material company information. To learn more about how we are driving change in the industry, go to www.TechnipFMC.com and follow us on Twitter @TechnipFMC.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7340" w:type="dxa"/>
            <w:vAlign w:val="bottom"/>
          </w:tcPr>
          <w:p>
            <w:pPr>
              <w:ind w:left="1720"/>
              <w:spacing w:after="0"/>
              <w:rPr>
                <w:sz w:val="20"/>
                <w:szCs w:val="20"/>
                <w:color w:val="auto"/>
              </w:rPr>
            </w:pPr>
            <w:r>
              <w:rPr>
                <w:rFonts w:ascii="Arial" w:cs="Arial" w:eastAsia="Arial" w:hAnsi="Arial"/>
                <w:sz w:val="18"/>
                <w:szCs w:val="18"/>
                <w:b w:val="1"/>
                <w:bCs w:val="1"/>
                <w:color w:val="auto"/>
              </w:rPr>
              <w:t>Media relations</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Matt Seinsheimer</w:t>
            </w:r>
          </w:p>
        </w:tc>
        <w:tc>
          <w:tcPr>
            <w:tcW w:w="7340" w:type="dxa"/>
            <w:vAlign w:val="bottom"/>
          </w:tcPr>
          <w:p>
            <w:pPr>
              <w:ind w:left="1720"/>
              <w:spacing w:after="0"/>
              <w:rPr>
                <w:sz w:val="20"/>
                <w:szCs w:val="20"/>
                <w:color w:val="auto"/>
              </w:rPr>
            </w:pPr>
            <w:r>
              <w:rPr>
                <w:rFonts w:ascii="Arial" w:cs="Arial" w:eastAsia="Arial" w:hAnsi="Arial"/>
                <w:sz w:val="18"/>
                <w:szCs w:val="18"/>
                <w:color w:val="auto"/>
              </w:rPr>
              <w:t>Nicola Cameron</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7340" w:type="dxa"/>
            <w:vAlign w:val="bottom"/>
          </w:tcPr>
          <w:p>
            <w:pPr>
              <w:ind w:left="1720"/>
              <w:spacing w:after="0"/>
              <w:rPr>
                <w:sz w:val="20"/>
                <w:szCs w:val="20"/>
                <w:color w:val="auto"/>
              </w:rPr>
            </w:pPr>
            <w:r>
              <w:rPr>
                <w:rFonts w:ascii="Arial" w:cs="Arial" w:eastAsia="Arial" w:hAnsi="Arial"/>
                <w:sz w:val="18"/>
                <w:szCs w:val="18"/>
                <w:color w:val="auto"/>
              </w:rPr>
              <w:t>Vice President Corporate Communications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Tel: +1 281 260 3665</w:t>
            </w:r>
          </w:p>
        </w:tc>
        <w:tc>
          <w:tcPr>
            <w:tcW w:w="7340" w:type="dxa"/>
            <w:vAlign w:val="bottom"/>
          </w:tcPr>
          <w:p>
            <w:pPr>
              <w:ind w:left="1720"/>
              <w:spacing w:after="0"/>
              <w:rPr>
                <w:sz w:val="20"/>
                <w:szCs w:val="20"/>
                <w:color w:val="auto"/>
              </w:rPr>
            </w:pPr>
            <w:r>
              <w:rPr>
                <w:rFonts w:ascii="Arial" w:cs="Arial" w:eastAsia="Arial" w:hAnsi="Arial"/>
                <w:sz w:val="18"/>
                <w:szCs w:val="18"/>
                <w:color w:val="auto"/>
              </w:rPr>
              <w:t>Tel: +44 1383 742297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Email: Matt Seinsheimer</w:t>
            </w:r>
          </w:p>
        </w:tc>
        <w:tc>
          <w:tcPr>
            <w:tcW w:w="7340" w:type="dxa"/>
            <w:vAlign w:val="bottom"/>
          </w:tcPr>
          <w:p>
            <w:pPr>
              <w:ind w:left="1720"/>
              <w:spacing w:after="0"/>
              <w:rPr>
                <w:sz w:val="20"/>
                <w:szCs w:val="20"/>
                <w:color w:val="auto"/>
              </w:rPr>
            </w:pPr>
            <w:r>
              <w:rPr>
                <w:rFonts w:ascii="Arial" w:cs="Arial" w:eastAsia="Arial" w:hAnsi="Arial"/>
                <w:sz w:val="18"/>
                <w:szCs w:val="18"/>
                <w:color w:val="auto"/>
              </w:rPr>
              <w:t>Email: Nicola Cameron</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James Davis</w:t>
            </w:r>
          </w:p>
        </w:tc>
        <w:tc>
          <w:tcPr>
            <w:tcW w:w="7340" w:type="dxa"/>
            <w:vAlign w:val="bottom"/>
          </w:tcPr>
          <w:p>
            <w:pPr>
              <w:ind w:left="1720"/>
              <w:spacing w:after="0"/>
              <w:rPr>
                <w:sz w:val="20"/>
                <w:szCs w:val="20"/>
                <w:color w:val="auto"/>
              </w:rPr>
            </w:pPr>
            <w:r>
              <w:rPr>
                <w:rFonts w:ascii="Arial" w:cs="Arial" w:eastAsia="Arial" w:hAnsi="Arial"/>
                <w:sz w:val="18"/>
                <w:szCs w:val="18"/>
                <w:color w:val="auto"/>
              </w:rPr>
              <w:t>Brooke Robertson</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Senior Manager Investor Relations</w:t>
            </w:r>
          </w:p>
        </w:tc>
        <w:tc>
          <w:tcPr>
            <w:tcW w:w="7340" w:type="dxa"/>
            <w:vAlign w:val="bottom"/>
          </w:tcPr>
          <w:p>
            <w:pPr>
              <w:ind w:left="1720"/>
              <w:spacing w:after="0"/>
              <w:rPr>
                <w:sz w:val="20"/>
                <w:szCs w:val="20"/>
                <w:color w:val="auto"/>
              </w:rPr>
            </w:pPr>
            <w:r>
              <w:rPr>
                <w:rFonts w:ascii="Arial" w:cs="Arial" w:eastAsia="Arial" w:hAnsi="Arial"/>
                <w:sz w:val="18"/>
                <w:szCs w:val="18"/>
                <w:color w:val="auto"/>
              </w:rPr>
              <w:t>Public Relations Director</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Tel: +1 281 260 3665</w:t>
            </w:r>
          </w:p>
        </w:tc>
        <w:tc>
          <w:tcPr>
            <w:tcW w:w="7340" w:type="dxa"/>
            <w:vAlign w:val="bottom"/>
          </w:tcPr>
          <w:p>
            <w:pPr>
              <w:ind w:left="1720"/>
              <w:spacing w:after="0"/>
              <w:rPr>
                <w:sz w:val="20"/>
                <w:szCs w:val="20"/>
                <w:color w:val="auto"/>
              </w:rPr>
            </w:pPr>
            <w:r>
              <w:rPr>
                <w:rFonts w:ascii="Arial" w:cs="Arial" w:eastAsia="Arial" w:hAnsi="Arial"/>
                <w:sz w:val="18"/>
                <w:szCs w:val="18"/>
                <w:color w:val="auto"/>
              </w:rPr>
              <w:t>Tel: +1 281 591 4108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Email: James Davis</w:t>
            </w:r>
          </w:p>
        </w:tc>
        <w:tc>
          <w:tcPr>
            <w:tcW w:w="7340" w:type="dxa"/>
            <w:vAlign w:val="bottom"/>
          </w:tcPr>
          <w:p>
            <w:pPr>
              <w:ind w:left="1720"/>
              <w:spacing w:after="0"/>
              <w:rPr>
                <w:sz w:val="20"/>
                <w:szCs w:val="20"/>
                <w:color w:val="auto"/>
              </w:rPr>
            </w:pPr>
            <w:r>
              <w:rPr>
                <w:rFonts w:ascii="Arial" w:cs="Arial" w:eastAsia="Arial" w:hAnsi="Arial"/>
                <w:sz w:val="18"/>
                <w:szCs w:val="18"/>
                <w:color w:val="auto"/>
              </w:rPr>
              <w:t>Email: Brooke Robertson</w:t>
            </w:r>
          </w:p>
        </w:tc>
      </w:tr>
      <w:tr>
        <w:trPr>
          <w:trHeight w:val="771"/>
        </w:trPr>
        <w:tc>
          <w:tcPr>
            <w:tcW w:w="3900" w:type="dxa"/>
            <w:vAlign w:val="bottom"/>
          </w:tcPr>
          <w:p>
            <w:pPr>
              <w:spacing w:after="0"/>
              <w:rPr>
                <w:sz w:val="24"/>
                <w:szCs w:val="24"/>
                <w:color w:val="auto"/>
              </w:rPr>
            </w:pPr>
          </w:p>
        </w:tc>
        <w:tc>
          <w:tcPr>
            <w:tcW w:w="7340" w:type="dxa"/>
            <w:vAlign w:val="bottom"/>
          </w:tcPr>
          <w:p>
            <w:pPr>
              <w:ind w:left="1400"/>
              <w:spacing w:after="0"/>
              <w:rPr>
                <w:sz w:val="20"/>
                <w:szCs w:val="20"/>
                <w:color w:val="auto"/>
              </w:rPr>
            </w:pPr>
            <w:r>
              <w:rPr>
                <w:rFonts w:ascii="Arial" w:cs="Arial" w:eastAsia="Arial" w:hAnsi="Arial"/>
                <w:sz w:val="14"/>
                <w:szCs w:val="14"/>
                <w:color w:val="auto"/>
              </w:rPr>
              <w:t>Page 2 of 2</w:t>
            </w:r>
          </w:p>
        </w:tc>
      </w:tr>
      <w:tr>
        <w:trPr>
          <w:trHeight w:val="100"/>
        </w:trPr>
        <w:tc>
          <w:tcPr>
            <w:tcW w:w="390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2021-03-01T15:53:55Z</dcterms:created>
  <dcterms:modified xsi:type="dcterms:W3CDTF">2021-03-01T15:53:55Z</dcterms:modified>
</cp:coreProperties>
</file>