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257810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-224155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35" w:lineRule="exact"/>
        <w:rPr>
          <w:sz w:val="24"/>
          <w:szCs w:val="24"/>
          <w:color w:val="auto"/>
        </w:rPr>
      </w:pPr>
    </w:p>
    <w:p>
      <w:pPr>
        <w:ind w:left="1500" w:right="1580" w:hanging="533"/>
        <w:spacing w:after="0" w:line="256" w:lineRule="auto"/>
        <w:tabs>
          <w:tab w:leader="none" w:pos="1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1500" w:hanging="533"/>
        <w:spacing w:after="0"/>
        <w:tabs>
          <w:tab w:leader="none" w:pos="1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w:t>
      </w:r>
    </w:p>
    <w:p>
      <w:pPr>
        <w:spacing w:after="0" w:line="14" w:lineRule="exact"/>
        <w:rPr>
          <w:sz w:val="24"/>
          <w:szCs w:val="24"/>
          <w:color w:val="auto"/>
        </w:rPr>
      </w:pPr>
    </w:p>
    <w:p>
      <w:pPr>
        <w:ind w:left="1500"/>
        <w:spacing w:after="0"/>
        <w:rPr>
          <w:sz w:val="20"/>
          <w:szCs w:val="20"/>
          <w:color w:val="auto"/>
        </w:rPr>
      </w:pPr>
      <w:r>
        <w:rPr>
          <w:rFonts w:ascii="Arial" w:cs="Arial" w:eastAsia="Arial" w:hAnsi="Arial"/>
          <w:sz w:val="22"/>
          <w:szCs w:val="22"/>
          <w:b w:val="1"/>
          <w:bCs w:val="1"/>
          <w:color w:val="auto"/>
        </w:rPr>
        <w:t>EXCHANGE ACT OF 1934</w:t>
      </w:r>
    </w:p>
    <w:p>
      <w:pPr>
        <w:spacing w:after="0" w:line="4" w:lineRule="exact"/>
        <w:rPr>
          <w:sz w:val="24"/>
          <w:szCs w:val="24"/>
          <w:color w:val="auto"/>
        </w:rPr>
      </w:pPr>
    </w:p>
    <w:p>
      <w:pPr>
        <w:ind w:left="376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4"/>
          <w:szCs w:val="14"/>
          <w:b w:val="1"/>
          <w:bCs w:val="1"/>
          <w:color w:val="auto"/>
        </w:rPr>
        <w:t>001-37983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TechnipFMC plc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6400" w:type="dxa"/>
            <w:vAlign w:val="bottom"/>
          </w:tcPr>
          <w:p>
            <w:pPr>
              <w:jc w:val="center"/>
              <w:ind w:right="2600"/>
              <w:spacing w:after="0"/>
              <w:rPr>
                <w:sz w:val="20"/>
                <w:szCs w:val="20"/>
                <w:color w:val="auto"/>
              </w:rPr>
            </w:pPr>
            <w:r>
              <w:rPr>
                <w:rFonts w:ascii="Arial" w:cs="Arial" w:eastAsia="Arial" w:hAnsi="Arial"/>
                <w:sz w:val="18"/>
                <w:szCs w:val="18"/>
                <w:b w:val="1"/>
                <w:bCs w:val="1"/>
                <w:color w:val="auto"/>
                <w:w w:val="89"/>
              </w:rPr>
              <w:t>England and Wales</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98-1283037</w:t>
            </w:r>
          </w:p>
        </w:tc>
      </w:tr>
      <w:tr>
        <w:trPr>
          <w:trHeight w:val="218"/>
        </w:trPr>
        <w:tc>
          <w:tcPr>
            <w:tcW w:w="6400" w:type="dxa"/>
            <w:vAlign w:val="bottom"/>
          </w:tcPr>
          <w:p>
            <w:pPr>
              <w:jc w:val="center"/>
              <w:ind w:right="260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58"/>
        </w:trPr>
        <w:tc>
          <w:tcPr>
            <w:tcW w:w="6400" w:type="dxa"/>
            <w:vAlign w:val="bottom"/>
          </w:tcPr>
          <w:p>
            <w:pPr>
              <w:jc w:val="center"/>
              <w:ind w:right="2600"/>
              <w:spacing w:after="0"/>
              <w:rPr>
                <w:sz w:val="20"/>
                <w:szCs w:val="20"/>
                <w:color w:val="auto"/>
              </w:rPr>
            </w:pPr>
            <w:r>
              <w:rPr>
                <w:rFonts w:ascii="Arial" w:cs="Arial" w:eastAsia="Arial" w:hAnsi="Arial"/>
                <w:sz w:val="18"/>
                <w:szCs w:val="18"/>
                <w:b w:val="1"/>
                <w:bCs w:val="1"/>
                <w:color w:val="auto"/>
                <w:w w:val="91"/>
              </w:rPr>
              <w:t>One St. Paul’s Churchyard</w:t>
            </w:r>
          </w:p>
        </w:tc>
        <w:tc>
          <w:tcPr>
            <w:tcW w:w="2280" w:type="dxa"/>
            <w:vAlign w:val="bottom"/>
          </w:tcPr>
          <w:p>
            <w:pPr>
              <w:spacing w:after="0"/>
              <w:rPr>
                <w:sz w:val="24"/>
                <w:szCs w:val="24"/>
                <w:color w:val="auto"/>
              </w:rPr>
            </w:pPr>
          </w:p>
        </w:tc>
      </w:tr>
      <w:tr>
        <w:trPr>
          <w:trHeight w:val="234"/>
        </w:trPr>
        <w:tc>
          <w:tcPr>
            <w:tcW w:w="6400" w:type="dxa"/>
            <w:vAlign w:val="bottom"/>
          </w:tcPr>
          <w:p>
            <w:pPr>
              <w:jc w:val="center"/>
              <w:ind w:right="2580"/>
              <w:spacing w:after="0"/>
              <w:rPr>
                <w:sz w:val="20"/>
                <w:szCs w:val="20"/>
                <w:color w:val="auto"/>
              </w:rPr>
            </w:pPr>
            <w:r>
              <w:rPr>
                <w:rFonts w:ascii="Arial" w:cs="Arial" w:eastAsia="Arial" w:hAnsi="Arial"/>
                <w:sz w:val="18"/>
                <w:szCs w:val="18"/>
                <w:b w:val="1"/>
                <w:bCs w:val="1"/>
                <w:color w:val="auto"/>
                <w:w w:val="92"/>
              </w:rPr>
              <w:t>London, United Kingdom</w:t>
            </w:r>
          </w:p>
        </w:tc>
        <w:tc>
          <w:tcPr>
            <w:tcW w:w="2280" w:type="dxa"/>
            <w:vAlign w:val="bottom"/>
          </w:tcPr>
          <w:p>
            <w:pPr>
              <w:jc w:val="center"/>
              <w:ind w:left="39"/>
              <w:spacing w:after="0"/>
              <w:rPr>
                <w:sz w:val="20"/>
                <w:szCs w:val="20"/>
                <w:color w:val="auto"/>
              </w:rPr>
            </w:pPr>
            <w:r>
              <w:rPr>
                <w:rFonts w:ascii="Arial" w:cs="Arial" w:eastAsia="Arial" w:hAnsi="Arial"/>
                <w:sz w:val="18"/>
                <w:szCs w:val="18"/>
                <w:b w:val="1"/>
                <w:bCs w:val="1"/>
                <w:color w:val="auto"/>
                <w:w w:val="97"/>
              </w:rPr>
              <w:t>EC4M 8AP</w:t>
            </w:r>
          </w:p>
        </w:tc>
      </w:tr>
      <w:tr>
        <w:trPr>
          <w:trHeight w:val="218"/>
        </w:trPr>
        <w:tc>
          <w:tcPr>
            <w:tcW w:w="6400" w:type="dxa"/>
            <w:vAlign w:val="bottom"/>
          </w:tcPr>
          <w:p>
            <w:pPr>
              <w:jc w:val="center"/>
              <w:ind w:right="25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03"/>
        </w:trPr>
        <w:tc>
          <w:tcPr>
            <w:tcW w:w="6400" w:type="dxa"/>
            <w:vAlign w:val="bottom"/>
          </w:tcPr>
          <w:p>
            <w:pPr>
              <w:jc w:val="right"/>
              <w:ind w:right="1060"/>
              <w:spacing w:after="0"/>
              <w:rPr>
                <w:sz w:val="20"/>
                <w:szCs w:val="20"/>
                <w:color w:val="auto"/>
              </w:rPr>
            </w:pPr>
            <w:r>
              <w:rPr>
                <w:rFonts w:ascii="Arial" w:cs="Arial" w:eastAsia="Arial" w:hAnsi="Arial"/>
                <w:sz w:val="14"/>
                <w:szCs w:val="14"/>
                <w:b w:val="1"/>
                <w:bCs w:val="1"/>
                <w:color w:val="auto"/>
              </w:rPr>
              <w:t>+44 203-429-3950</w:t>
            </w:r>
          </w:p>
        </w:tc>
        <w:tc>
          <w:tcPr>
            <w:tcW w:w="2280" w:type="dxa"/>
            <w:vAlign w:val="bottom"/>
          </w:tcPr>
          <w:p>
            <w:pPr>
              <w:spacing w:after="0"/>
              <w:rPr>
                <w:sz w:val="17"/>
                <w:szCs w:val="17"/>
                <w:color w:val="auto"/>
              </w:rPr>
            </w:pPr>
          </w:p>
        </w:tc>
      </w:tr>
      <w:tr>
        <w:trPr>
          <w:trHeight w:val="203"/>
        </w:trPr>
        <w:tc>
          <w:tcPr>
            <w:tcW w:w="6400" w:type="dxa"/>
            <w:vAlign w:val="bottom"/>
          </w:tcPr>
          <w:p>
            <w:pPr>
              <w:jc w:val="center"/>
              <w:ind w:left="29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80" w:type="dxa"/>
            <w:vAlign w:val="bottom"/>
          </w:tcPr>
          <w:p>
            <w:pPr>
              <w:spacing w:after="0"/>
              <w:rPr>
                <w:sz w:val="17"/>
                <w:szCs w:val="17"/>
                <w:color w:val="auto"/>
              </w:rPr>
            </w:pPr>
          </w:p>
        </w:tc>
      </w:tr>
    </w:tbl>
    <w:p>
      <w:pPr>
        <w:spacing w:after="0" w:line="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99" w:lineRule="exact"/>
        <w:rPr>
          <w:sz w:val="24"/>
          <w:szCs w:val="24"/>
          <w:color w:val="auto"/>
        </w:rPr>
      </w:pPr>
    </w:p>
    <w:p>
      <w:pPr>
        <w:ind w:right="18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9"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4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800" w:type="dxa"/>
            <w:vAlign w:val="bottom"/>
          </w:tcPr>
          <w:p>
            <w:pPr>
              <w:ind w:left="540"/>
              <w:spacing w:after="0"/>
              <w:rPr>
                <w:sz w:val="20"/>
                <w:szCs w:val="20"/>
                <w:color w:val="auto"/>
              </w:rPr>
            </w:pPr>
            <w:r>
              <w:rPr>
                <w:rFonts w:ascii="Arial" w:cs="Arial" w:eastAsia="Arial" w:hAnsi="Arial"/>
                <w:sz w:val="16"/>
                <w:szCs w:val="16"/>
                <w:color w:val="auto"/>
              </w:rPr>
              <w:t>o</w:t>
            </w:r>
          </w:p>
        </w:tc>
        <w:tc>
          <w:tcPr>
            <w:tcW w:w="3600" w:type="dxa"/>
            <w:vAlign w:val="bottom"/>
          </w:tcPr>
          <w:p>
            <w:pPr>
              <w:ind w:left="200"/>
              <w:spacing w:after="0"/>
              <w:rPr>
                <w:sz w:val="20"/>
                <w:szCs w:val="20"/>
                <w:color w:val="auto"/>
              </w:rPr>
            </w:pPr>
            <w:r>
              <w:rPr>
                <w:rFonts w:ascii="Arial" w:cs="Arial" w:eastAsia="Arial" w:hAnsi="Arial"/>
                <w:sz w:val="16"/>
                <w:szCs w:val="16"/>
                <w:color w:val="auto"/>
              </w:rPr>
              <w:t>Accelerated filer</w:t>
            </w:r>
          </w:p>
        </w:tc>
        <w:tc>
          <w:tcPr>
            <w:tcW w:w="1700" w:type="dxa"/>
            <w:vAlign w:val="bottom"/>
          </w:tcPr>
          <w:p>
            <w:pPr>
              <w:ind w:left="162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57"/>
        </w:trPr>
        <w:tc>
          <w:tcPr>
            <w:tcW w:w="4940" w:type="dxa"/>
            <w:vAlign w:val="bottom"/>
            <w:vMerge w:val="restart"/>
          </w:tcPr>
          <w:p>
            <w:pPr>
              <w:spacing w:after="0"/>
              <w:rPr>
                <w:sz w:val="20"/>
                <w:szCs w:val="20"/>
                <w:color w:val="auto"/>
              </w:rPr>
            </w:pPr>
            <w:r>
              <w:rPr>
                <w:rFonts w:ascii="Arial" w:cs="Arial" w:eastAsia="Arial" w:hAnsi="Arial"/>
                <w:sz w:val="16"/>
                <w:szCs w:val="16"/>
                <w:color w:val="auto"/>
              </w:rPr>
              <w:t>Non-accelerated filer (Do not check if a smaller reporting company)</w:t>
            </w:r>
          </w:p>
        </w:tc>
        <w:tc>
          <w:tcPr>
            <w:tcW w:w="800" w:type="dxa"/>
            <w:vAlign w:val="bottom"/>
          </w:tcPr>
          <w:p>
            <w:pPr>
              <w:ind w:left="540"/>
              <w:spacing w:after="0"/>
              <w:rPr>
                <w:sz w:val="20"/>
                <w:szCs w:val="20"/>
                <w:color w:val="auto"/>
              </w:rPr>
            </w:pPr>
            <w:r>
              <w:rPr>
                <w:rFonts w:ascii="Arial" w:cs="Arial" w:eastAsia="Arial" w:hAnsi="Arial"/>
                <w:sz w:val="16"/>
                <w:szCs w:val="16"/>
                <w:color w:val="auto"/>
              </w:rPr>
              <w:t>x</w:t>
            </w:r>
          </w:p>
        </w:tc>
        <w:tc>
          <w:tcPr>
            <w:tcW w:w="3600" w:type="dxa"/>
            <w:vAlign w:val="bottom"/>
            <w:vMerge w:val="restart"/>
          </w:tcPr>
          <w:p>
            <w:pPr>
              <w:ind w:left="200"/>
              <w:spacing w:after="0"/>
              <w:rPr>
                <w:sz w:val="20"/>
                <w:szCs w:val="20"/>
                <w:color w:val="auto"/>
              </w:rPr>
            </w:pPr>
            <w:r>
              <w:rPr>
                <w:rFonts w:ascii="Arial" w:cs="Arial" w:eastAsia="Arial" w:hAnsi="Arial"/>
                <w:sz w:val="16"/>
                <w:szCs w:val="16"/>
                <w:color w:val="auto"/>
              </w:rPr>
              <w:t>Smaller reporting company</w:t>
            </w:r>
          </w:p>
        </w:tc>
        <w:tc>
          <w:tcPr>
            <w:tcW w:w="1700" w:type="dxa"/>
            <w:vAlign w:val="bottom"/>
            <w:vMerge w:val="restart"/>
          </w:tcPr>
          <w:p>
            <w:pPr>
              <w:ind w:left="162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03"/>
        </w:trPr>
        <w:tc>
          <w:tcPr>
            <w:tcW w:w="494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360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0" w:type="dxa"/>
            <w:vAlign w:val="bottom"/>
          </w:tcPr>
          <w:p>
            <w:pPr>
              <w:ind w:left="200"/>
              <w:spacing w:after="0"/>
              <w:rPr>
                <w:sz w:val="20"/>
                <w:szCs w:val="20"/>
                <w:color w:val="auto"/>
              </w:rPr>
            </w:pPr>
            <w:r>
              <w:rPr>
                <w:rFonts w:ascii="Arial" w:cs="Arial" w:eastAsia="Arial" w:hAnsi="Arial"/>
                <w:sz w:val="16"/>
                <w:szCs w:val="16"/>
                <w:color w:val="auto"/>
              </w:rPr>
              <w:t>Emerging growth company</w:t>
            </w:r>
          </w:p>
        </w:tc>
        <w:tc>
          <w:tcPr>
            <w:tcW w:w="1700" w:type="dxa"/>
            <w:vAlign w:val="bottom"/>
          </w:tcPr>
          <w:p>
            <w:pPr>
              <w:ind w:left="162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bl>
    <w:p>
      <w:pPr>
        <w:spacing w:after="0" w:line="77"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8360" w:type="dxa"/>
            <w:vAlign w:val="bottom"/>
            <w:gridSpan w:val="3"/>
          </w:tcPr>
          <w:p>
            <w:pPr>
              <w:spacing w:after="0"/>
              <w:rPr>
                <w:sz w:val="20"/>
                <w:szCs w:val="20"/>
                <w:color w:val="auto"/>
              </w:rPr>
            </w:pPr>
            <w:r>
              <w:rPr>
                <w:rFonts w:ascii="Arial" w:cs="Arial" w:eastAsia="Arial" w:hAnsi="Arial"/>
                <w:sz w:val="16"/>
                <w:szCs w:val="16"/>
                <w:color w:val="auto"/>
                <w:w w:val="95"/>
              </w:rPr>
              <w:t>Indicate the number of shares outstanding of each of the issuer’s classes of common stock, as of the latest practicable date.</w:t>
            </w: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330"/>
        </w:trPr>
        <w:tc>
          <w:tcPr>
            <w:tcW w:w="3880" w:type="dxa"/>
            <w:vAlign w:val="bottom"/>
          </w:tcPr>
          <w:p>
            <w:pPr>
              <w:spacing w:after="0"/>
              <w:rPr>
                <w:sz w:val="24"/>
                <w:szCs w:val="24"/>
                <w:color w:val="auto"/>
              </w:rPr>
            </w:pPr>
          </w:p>
        </w:tc>
        <w:tc>
          <w:tcPr>
            <w:tcW w:w="4480" w:type="dxa"/>
            <w:vAlign w:val="bottom"/>
            <w:gridSpan w:val="2"/>
          </w:tcPr>
          <w:p>
            <w:pPr>
              <w:jc w:val="center"/>
              <w:ind w:right="4120"/>
              <w:spacing w:after="0"/>
              <w:rPr>
                <w:sz w:val="20"/>
                <w:szCs w:val="20"/>
                <w:color w:val="auto"/>
              </w:rPr>
            </w:pPr>
            <w:r>
              <w:rPr>
                <w:rFonts w:ascii="Arial" w:cs="Arial" w:eastAsia="Arial" w:hAnsi="Arial"/>
                <w:sz w:val="16"/>
                <w:szCs w:val="16"/>
                <w:b w:val="1"/>
                <w:bCs w:val="1"/>
                <w:color w:val="auto"/>
                <w:w w:val="84"/>
              </w:rPr>
              <w:t>Class</w:t>
            </w:r>
          </w:p>
        </w:tc>
        <w:tc>
          <w:tcPr>
            <w:tcW w:w="30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Outstanding at August 1, 2017</w:t>
            </w:r>
          </w:p>
        </w:tc>
      </w:tr>
      <w:tr>
        <w:trPr>
          <w:trHeight w:val="20"/>
        </w:trPr>
        <w:tc>
          <w:tcPr>
            <w:tcW w:w="3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85"/>
        </w:trPr>
        <w:tc>
          <w:tcPr>
            <w:tcW w:w="8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Ordinary shares, $1.00 par value per share</w:t>
            </w:r>
          </w:p>
        </w:tc>
        <w:tc>
          <w:tcPr>
            <w:tcW w:w="25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467,221,709</w:t>
            </w:r>
          </w:p>
        </w:tc>
        <w:tc>
          <w:tcPr>
            <w:tcW w:w="540" w:type="dxa"/>
            <w:vAlign w:val="bottom"/>
          </w:tcPr>
          <w:p>
            <w:pPr>
              <w:spacing w:after="0"/>
              <w:rPr>
                <w:sz w:val="24"/>
                <w:szCs w:val="24"/>
                <w:color w:val="auto"/>
              </w:rPr>
            </w:pPr>
          </w:p>
        </w:tc>
      </w:tr>
      <w:tr>
        <w:trPr>
          <w:trHeight w:val="168"/>
        </w:trPr>
        <w:tc>
          <w:tcPr>
            <w:tcW w:w="3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gridSpan w:val="2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0"/>
        </w:trPr>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40" w:type="dxa"/>
            <w:vAlign w:val="bottom"/>
            <w:gridSpan w:val="4"/>
          </w:tcPr>
          <w:p>
            <w:pPr>
              <w:jc w:val="center"/>
              <w:ind w:right="196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7"/>
        </w:trPr>
        <w:tc>
          <w:tcPr>
            <w:tcW w:w="60" w:type="dxa"/>
            <w:vAlign w:val="bottom"/>
          </w:tcPr>
          <w:p>
            <w:pPr>
              <w:spacing w:after="0"/>
              <w:rPr>
                <w:sz w:val="24"/>
                <w:szCs w:val="24"/>
                <w:color w:val="auto"/>
              </w:rPr>
            </w:pPr>
          </w:p>
        </w:tc>
        <w:tc>
          <w:tcPr>
            <w:tcW w:w="8960" w:type="dxa"/>
            <w:vAlign w:val="bottom"/>
            <w:gridSpan w:val="24"/>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I—Financial Information</w:t>
              </w:r>
            </w:hyperlink>
          </w:p>
        </w:tc>
        <w:tc>
          <w:tcPr>
            <w:tcW w:w="234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 Financial Statements (unaudited)</w:t>
              </w:r>
            </w:hyperlink>
          </w:p>
        </w:tc>
        <w:tc>
          <w:tcPr>
            <w:tcW w:w="234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7"/>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Income</w:t>
              </w:r>
            </w:hyperlink>
          </w:p>
        </w:tc>
        <w:tc>
          <w:tcPr>
            <w:tcW w:w="5220" w:type="dxa"/>
            <w:vAlign w:val="bottom"/>
            <w:gridSpan w:val="6"/>
          </w:tcPr>
          <w:p>
            <w:pPr>
              <w:spacing w:after="0"/>
              <w:rPr>
                <w:sz w:val="21"/>
                <w:szCs w:val="21"/>
                <w:color w:val="auto"/>
              </w:rPr>
            </w:pPr>
          </w:p>
        </w:tc>
        <w:tc>
          <w:tcPr>
            <w:tcW w:w="234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0" w:type="dxa"/>
            <w:vAlign w:val="bottom"/>
            <w:gridSpan w:val="20"/>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Comprehensive Income</w:t>
              </w:r>
            </w:hyperlink>
          </w:p>
        </w:tc>
        <w:tc>
          <w:tcPr>
            <w:tcW w:w="4040" w:type="dxa"/>
            <w:vAlign w:val="bottom"/>
            <w:gridSpan w:val="3"/>
          </w:tcPr>
          <w:p>
            <w:pPr>
              <w:spacing w:after="0"/>
              <w:rPr>
                <w:sz w:val="21"/>
                <w:szCs w:val="21"/>
                <w:color w:val="auto"/>
              </w:rPr>
            </w:pPr>
          </w:p>
        </w:tc>
        <w:tc>
          <w:tcPr>
            <w:tcW w:w="234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0" w:type="dxa"/>
            <w:vAlign w:val="bottom"/>
            <w:gridSpan w:val="2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Balance Sheets</w:t>
              </w:r>
            </w:hyperlink>
          </w:p>
        </w:tc>
        <w:tc>
          <w:tcPr>
            <w:tcW w:w="4040" w:type="dxa"/>
            <w:vAlign w:val="bottom"/>
            <w:gridSpan w:val="3"/>
          </w:tcPr>
          <w:p>
            <w:pPr>
              <w:spacing w:after="0"/>
              <w:rPr>
                <w:sz w:val="21"/>
                <w:szCs w:val="21"/>
                <w:color w:val="auto"/>
              </w:rPr>
            </w:pPr>
          </w:p>
        </w:tc>
        <w:tc>
          <w:tcPr>
            <w:tcW w:w="234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40" w:type="dxa"/>
            <w:vAlign w:val="bottom"/>
            <w:gridSpan w:val="23"/>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234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60" w:type="dxa"/>
            <w:vAlign w:val="bottom"/>
            <w:gridSpan w:val="21"/>
          </w:tcPr>
          <w:p>
            <w:pPr>
              <w:spacing w:after="0"/>
              <w:rPr>
                <w:sz w:val="20"/>
                <w:szCs w:val="20"/>
                <w:color w:val="auto"/>
              </w:rPr>
            </w:pPr>
            <w:r>
              <w:rPr>
                <w:rFonts w:ascii="Arial" w:cs="Arial" w:eastAsia="Arial" w:hAnsi="Arial"/>
                <w:sz w:val="18"/>
                <w:szCs w:val="18"/>
                <w:color w:val="0000FF"/>
                <w:w w:val="89"/>
              </w:rPr>
              <w:t>Condensed Consolidated Statements of Changes in Stockholders’ Equity</w:t>
            </w:r>
          </w:p>
        </w:tc>
        <w:tc>
          <w:tcPr>
            <w:tcW w:w="3380" w:type="dxa"/>
            <w:vAlign w:val="bottom"/>
            <w:gridSpan w:val="2"/>
          </w:tcPr>
          <w:p>
            <w:pPr>
              <w:spacing w:after="0"/>
              <w:rPr>
                <w:sz w:val="21"/>
                <w:szCs w:val="21"/>
                <w:color w:val="auto"/>
              </w:rPr>
            </w:pPr>
          </w:p>
        </w:tc>
        <w:tc>
          <w:tcPr>
            <w:tcW w:w="234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60" w:type="dxa"/>
            <w:vAlign w:val="bottom"/>
            <w:gridSpan w:val="21"/>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3380" w:type="dxa"/>
            <w:vAlign w:val="bottom"/>
            <w:gridSpan w:val="2"/>
          </w:tcPr>
          <w:p>
            <w:pPr>
              <w:spacing w:after="0"/>
              <w:rPr>
                <w:sz w:val="21"/>
                <w:szCs w:val="21"/>
                <w:color w:val="auto"/>
              </w:rPr>
            </w:pPr>
          </w:p>
        </w:tc>
        <w:tc>
          <w:tcPr>
            <w:tcW w:w="2340" w:type="dxa"/>
            <w:vAlign w:val="bottom"/>
            <w:gridSpan w:val="4"/>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2. Management’s Discussion and Analysis of Financial Condition and Results of Operations</w:t>
              </w:r>
            </w:hyperlink>
          </w:p>
        </w:tc>
        <w:tc>
          <w:tcPr>
            <w:tcW w:w="2340" w:type="dxa"/>
            <w:vAlign w:val="bottom"/>
            <w:gridSpan w:val="4"/>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50"/>
        </w:trPr>
        <w:tc>
          <w:tcPr>
            <w:tcW w:w="60" w:type="dxa"/>
            <w:vAlign w:val="bottom"/>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660" w:type="dxa"/>
            <w:vAlign w:val="bottom"/>
            <w:tcBorders>
              <w:top w:val="single" w:sz="8" w:color="0000FF"/>
            </w:tcBorders>
            <w:gridSpan w:val="22"/>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Business Outlook</w:t>
              </w:r>
            </w:hyperlink>
          </w:p>
        </w:tc>
        <w:tc>
          <w:tcPr>
            <w:tcW w:w="1980" w:type="dxa"/>
            <w:vAlign w:val="bottom"/>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40" w:type="dxa"/>
            <w:vAlign w:val="bottom"/>
            <w:gridSpan w:val="2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Consolidated Results of Operations</w:t>
              </w:r>
            </w:hyperlink>
          </w:p>
        </w:tc>
        <w:tc>
          <w:tcPr>
            <w:tcW w:w="234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tcBorders>
              <w:top w:val="single" w:sz="8" w:color="0000FF"/>
            </w:tcBorders>
            <w:gridSpan w:val="1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Segment Results of Operations</w:t>
              </w:r>
            </w:hyperlink>
          </w:p>
        </w:tc>
        <w:tc>
          <w:tcPr>
            <w:tcW w:w="6060" w:type="dxa"/>
            <w:vAlign w:val="bottom"/>
            <w:gridSpan w:val="9"/>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Inbound Orders and Order Backlog</w:t>
              </w:r>
            </w:hyperlink>
          </w:p>
        </w:tc>
        <w:tc>
          <w:tcPr>
            <w:tcW w:w="6060" w:type="dxa"/>
            <w:vAlign w:val="bottom"/>
            <w:gridSpan w:val="9"/>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4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Liquidity and Capital Resources</w:t>
              </w:r>
            </w:hyperlink>
          </w:p>
        </w:tc>
        <w:tc>
          <w:tcPr>
            <w:tcW w:w="6300" w:type="dxa"/>
            <w:vAlign w:val="bottom"/>
            <w:gridSpan w:val="12"/>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40" w:type="dxa"/>
            <w:vAlign w:val="bottom"/>
            <w:tcBorders>
              <w:bottom w:val="single" w:sz="8" w:color="0000FF"/>
            </w:tcBorders>
            <w:gridSpan w:val="10"/>
          </w:tcPr>
          <w:p>
            <w:pPr>
              <w:spacing w:after="0"/>
              <w:rPr>
                <w:rFonts w:ascii="Arial" w:cs="Arial" w:eastAsia="Arial" w:hAnsi="Arial"/>
                <w:sz w:val="18"/>
                <w:szCs w:val="18"/>
                <w:color w:val="0000FF"/>
                <w:w w:val="94"/>
              </w:rPr>
            </w:pPr>
            <w:hyperlink w:anchor="page51">
              <w:r>
                <w:rPr>
                  <w:rFonts w:ascii="Arial" w:cs="Arial" w:eastAsia="Arial" w:hAnsi="Arial"/>
                  <w:sz w:val="18"/>
                  <w:szCs w:val="18"/>
                  <w:color w:val="0000FF"/>
                  <w:w w:val="94"/>
                </w:rPr>
                <w:t>Critical Accounting Estimates</w:t>
              </w:r>
            </w:hyperlink>
          </w:p>
        </w:tc>
        <w:tc>
          <w:tcPr>
            <w:tcW w:w="6400" w:type="dxa"/>
            <w:vAlign w:val="bottom"/>
            <w:gridSpan w:val="13"/>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51</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40" w:type="dxa"/>
            <w:vAlign w:val="bottom"/>
            <w:gridSpan w:val="2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Off-Balance Sheet Arrangements</w:t>
              </w:r>
            </w:hyperlink>
          </w:p>
        </w:tc>
        <w:tc>
          <w:tcPr>
            <w:tcW w:w="234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Borders>
              <w:top w:val="single" w:sz="8" w:color="0000EE"/>
              <w:bottom w:val="single" w:sz="8" w:color="0000FF"/>
            </w:tcBorders>
            <w:gridSpan w:val="3"/>
          </w:tcPr>
          <w:p>
            <w:pPr>
              <w:spacing w:after="0"/>
              <w:rPr>
                <w:sz w:val="20"/>
                <w:szCs w:val="20"/>
                <w:color w:val="auto"/>
              </w:rPr>
            </w:pPr>
            <w:r>
              <w:rPr>
                <w:rFonts w:ascii="Arial" w:cs="Arial" w:eastAsia="Arial" w:hAnsi="Arial"/>
                <w:sz w:val="18"/>
                <w:szCs w:val="18"/>
                <w:color w:val="0000FF"/>
                <w:w w:val="90"/>
              </w:rPr>
              <w:t>Other Matters</w:t>
            </w:r>
          </w:p>
        </w:tc>
        <w:tc>
          <w:tcPr>
            <w:tcW w:w="1380" w:type="dxa"/>
            <w:vAlign w:val="bottom"/>
            <w:tcBorders>
              <w:top w:val="single" w:sz="8" w:color="0000EE"/>
            </w:tcBorders>
            <w:gridSpan w:val="9"/>
          </w:tcPr>
          <w:p>
            <w:pPr>
              <w:spacing w:after="0"/>
              <w:rPr>
                <w:sz w:val="21"/>
                <w:szCs w:val="21"/>
                <w:color w:val="auto"/>
              </w:rPr>
            </w:pPr>
          </w:p>
        </w:tc>
        <w:tc>
          <w:tcPr>
            <w:tcW w:w="6240" w:type="dxa"/>
            <w:vAlign w:val="bottom"/>
            <w:gridSpan w:val="11"/>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r>
      <w:tr>
        <w:trPr>
          <w:trHeight w:val="250"/>
        </w:trPr>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Recently Issued Accounting Standards</w:t>
            </w:r>
          </w:p>
        </w:tc>
        <w:tc>
          <w:tcPr>
            <w:tcW w:w="5840" w:type="dxa"/>
            <w:vAlign w:val="bottom"/>
            <w:gridSpan w:val="8"/>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r>
      <w:tr>
        <w:trPr>
          <w:trHeight w:val="250"/>
        </w:trPr>
        <w:tc>
          <w:tcPr>
            <w:tcW w:w="6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3. Quantitative and Qualitative Disclosures About Market Risk</w:t>
              </w:r>
            </w:hyperlink>
          </w:p>
        </w:tc>
        <w:tc>
          <w:tcPr>
            <w:tcW w:w="2340" w:type="dxa"/>
            <w:vAlign w:val="bottom"/>
            <w:gridSpan w:val="4"/>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50"/>
        </w:trPr>
        <w:tc>
          <w:tcPr>
            <w:tcW w:w="60" w:type="dxa"/>
            <w:vAlign w:val="bottom"/>
          </w:tcPr>
          <w:p>
            <w:pPr>
              <w:spacing w:after="0"/>
              <w:rPr>
                <w:sz w:val="21"/>
                <w:szCs w:val="21"/>
                <w:color w:val="auto"/>
              </w:rPr>
            </w:pPr>
          </w:p>
        </w:tc>
        <w:tc>
          <w:tcPr>
            <w:tcW w:w="230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7"/>
              </w:rPr>
            </w:pPr>
            <w:hyperlink w:anchor="page56">
              <w:r>
                <w:rPr>
                  <w:rFonts w:ascii="Arial" w:cs="Arial" w:eastAsia="Arial" w:hAnsi="Arial"/>
                  <w:sz w:val="18"/>
                  <w:szCs w:val="18"/>
                  <w:color w:val="0000FF"/>
                  <w:w w:val="87"/>
                </w:rPr>
                <w:t>Item 4. Controls and Procedures</w:t>
              </w:r>
            </w:hyperlink>
          </w:p>
        </w:tc>
        <w:tc>
          <w:tcPr>
            <w:tcW w:w="2620" w:type="dxa"/>
            <w:vAlign w:val="bottom"/>
            <w:tcBorders>
              <w:top w:val="single" w:sz="8" w:color="0000FF"/>
            </w:tcBorders>
            <w:gridSpan w:val="12"/>
          </w:tcPr>
          <w:p>
            <w:pPr>
              <w:spacing w:after="0"/>
              <w:rPr>
                <w:sz w:val="21"/>
                <w:szCs w:val="21"/>
                <w:color w:val="auto"/>
              </w:rPr>
            </w:pPr>
          </w:p>
        </w:tc>
        <w:tc>
          <w:tcPr>
            <w:tcW w:w="4040" w:type="dxa"/>
            <w:vAlign w:val="bottom"/>
            <w:gridSpan w:val="3"/>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r>
      <w:tr>
        <w:trPr>
          <w:trHeight w:val="250"/>
        </w:trPr>
        <w:tc>
          <w:tcPr>
            <w:tcW w:w="60" w:type="dxa"/>
            <w:vAlign w:val="bottom"/>
          </w:tcPr>
          <w:p>
            <w:pPr>
              <w:spacing w:after="0"/>
              <w:rPr>
                <w:sz w:val="21"/>
                <w:szCs w:val="21"/>
                <w:color w:val="auto"/>
              </w:rPr>
            </w:pPr>
          </w:p>
        </w:tc>
        <w:tc>
          <w:tcPr>
            <w:tcW w:w="2260" w:type="dxa"/>
            <w:vAlign w:val="bottom"/>
            <w:tcBorders>
              <w:bottom w:val="single" w:sz="8" w:color="0000FF"/>
            </w:tcBorders>
            <w:gridSpan w:val="8"/>
          </w:tcPr>
          <w:p>
            <w:pPr>
              <w:spacing w:after="0"/>
              <w:rPr>
                <w:rFonts w:ascii="Arial" w:cs="Arial" w:eastAsia="Arial" w:hAnsi="Arial"/>
                <w:sz w:val="18"/>
                <w:szCs w:val="18"/>
                <w:b w:val="1"/>
                <w:bCs w:val="1"/>
                <w:color w:val="0000FF"/>
                <w:w w:val="95"/>
              </w:rPr>
            </w:pPr>
            <w:hyperlink w:anchor="page57">
              <w:r>
                <w:rPr>
                  <w:rFonts w:ascii="Arial" w:cs="Arial" w:eastAsia="Arial" w:hAnsi="Arial"/>
                  <w:sz w:val="18"/>
                  <w:szCs w:val="18"/>
                  <w:b w:val="1"/>
                  <w:bCs w:val="1"/>
                  <w:color w:val="0000FF"/>
                  <w:w w:val="95"/>
                </w:rPr>
                <w:t>PART II—Other Information</w:t>
              </w:r>
            </w:hyperlink>
          </w:p>
        </w:tc>
        <w:tc>
          <w:tcPr>
            <w:tcW w:w="6700" w:type="dxa"/>
            <w:vAlign w:val="bottom"/>
            <w:gridSpan w:val="16"/>
          </w:tcPr>
          <w:p>
            <w:pPr>
              <w:spacing w:after="0"/>
              <w:rPr>
                <w:sz w:val="21"/>
                <w:szCs w:val="21"/>
                <w:color w:val="auto"/>
              </w:rPr>
            </w:pP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Item 1. Legal Proceedings</w:t>
              </w:r>
            </w:hyperlink>
          </w:p>
        </w:tc>
        <w:tc>
          <w:tcPr>
            <w:tcW w:w="234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50"/>
        </w:trPr>
        <w:tc>
          <w:tcPr>
            <w:tcW w:w="60" w:type="dxa"/>
            <w:vAlign w:val="bottom"/>
          </w:tcPr>
          <w:p>
            <w:pPr>
              <w:spacing w:after="0"/>
              <w:rPr>
                <w:sz w:val="21"/>
                <w:szCs w:val="21"/>
                <w:color w:val="auto"/>
              </w:rPr>
            </w:pPr>
          </w:p>
        </w:tc>
        <w:tc>
          <w:tcPr>
            <w:tcW w:w="1860" w:type="dxa"/>
            <w:vAlign w:val="bottom"/>
            <w:tcBorders>
              <w:top w:val="single" w:sz="8" w:color="0000FF"/>
            </w:tcBorders>
            <w:gridSpan w:val="7"/>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Item 1A. Risk Factors</w:t>
              </w:r>
            </w:hyperlink>
          </w:p>
        </w:tc>
        <w:tc>
          <w:tcPr>
            <w:tcW w:w="7100" w:type="dxa"/>
            <w:vAlign w:val="bottom"/>
            <w:gridSpan w:val="17"/>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57</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920" w:type="dxa"/>
            <w:vAlign w:val="bottom"/>
            <w:tcBorders>
              <w:bottom w:val="single" w:sz="8" w:color="0000FF"/>
            </w:tcBorders>
            <w:gridSpan w:val="21"/>
          </w:tcPr>
          <w:p>
            <w:pP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Item 2. Unregistered Sales of Equity Securities and Use of Proceeds</w:t>
              </w:r>
            </w:hyperlink>
          </w:p>
        </w:tc>
        <w:tc>
          <w:tcPr>
            <w:tcW w:w="4040" w:type="dxa"/>
            <w:vAlign w:val="bottom"/>
            <w:gridSpan w:val="3"/>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68</w:t>
              </w:r>
            </w:hyperlink>
          </w:p>
        </w:tc>
      </w:tr>
      <w:tr>
        <w:trPr>
          <w:trHeight w:val="250"/>
        </w:trPr>
        <w:tc>
          <w:tcPr>
            <w:tcW w:w="60" w:type="dxa"/>
            <w:vAlign w:val="bottom"/>
          </w:tcPr>
          <w:p>
            <w:pPr>
              <w:spacing w:after="0"/>
              <w:rPr>
                <w:sz w:val="21"/>
                <w:szCs w:val="21"/>
                <w:color w:val="auto"/>
              </w:rPr>
            </w:pPr>
          </w:p>
        </w:tc>
        <w:tc>
          <w:tcPr>
            <w:tcW w:w="286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68">
              <w:r>
                <w:rPr>
                  <w:rFonts w:ascii="Arial" w:cs="Arial" w:eastAsia="Arial" w:hAnsi="Arial"/>
                  <w:sz w:val="18"/>
                  <w:szCs w:val="18"/>
                  <w:color w:val="0000FF"/>
                  <w:w w:val="90"/>
                </w:rPr>
                <w:t>Item 3. Defaults Upon Senior Securities</w:t>
              </w:r>
            </w:hyperlink>
          </w:p>
        </w:tc>
        <w:tc>
          <w:tcPr>
            <w:tcW w:w="6100" w:type="dxa"/>
            <w:vAlign w:val="bottom"/>
            <w:gridSpan w:val="10"/>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68</w:t>
              </w:r>
            </w:hyperlink>
          </w:p>
        </w:tc>
      </w:tr>
      <w:tr>
        <w:trPr>
          <w:trHeight w:val="250"/>
        </w:trPr>
        <w:tc>
          <w:tcPr>
            <w:tcW w:w="60" w:type="dxa"/>
            <w:vAlign w:val="bottom"/>
          </w:tcPr>
          <w:p>
            <w:pPr>
              <w:spacing w:after="0"/>
              <w:rPr>
                <w:sz w:val="21"/>
                <w:szCs w:val="21"/>
                <w:color w:val="auto"/>
              </w:rPr>
            </w:pPr>
          </w:p>
        </w:tc>
        <w:tc>
          <w:tcPr>
            <w:tcW w:w="230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68">
              <w:r>
                <w:rPr>
                  <w:rFonts w:ascii="Arial" w:cs="Arial" w:eastAsia="Arial" w:hAnsi="Arial"/>
                  <w:sz w:val="18"/>
                  <w:szCs w:val="18"/>
                  <w:color w:val="0000FF"/>
                  <w:w w:val="90"/>
                </w:rPr>
                <w:t>Item 4. Mine Safety Disclosures</w:t>
              </w:r>
            </w:hyperlink>
          </w:p>
        </w:tc>
        <w:tc>
          <w:tcPr>
            <w:tcW w:w="6660" w:type="dxa"/>
            <w:vAlign w:val="bottom"/>
            <w:gridSpan w:val="15"/>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68</w:t>
              </w:r>
            </w:hyperlink>
          </w:p>
        </w:tc>
      </w:tr>
      <w:tr>
        <w:trPr>
          <w:trHeight w:val="250"/>
        </w:trPr>
        <w:tc>
          <w:tcPr>
            <w:tcW w:w="6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Item 5. Other Information</w:t>
              </w:r>
            </w:hyperlink>
          </w:p>
        </w:tc>
        <w:tc>
          <w:tcPr>
            <w:tcW w:w="2340" w:type="dxa"/>
            <w:vAlign w:val="bottom"/>
            <w:gridSpan w:val="4"/>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250"/>
        </w:trPr>
        <w:tc>
          <w:tcPr>
            <w:tcW w:w="60" w:type="dxa"/>
            <w:vAlign w:val="bottom"/>
          </w:tcPr>
          <w:p>
            <w:pPr>
              <w:spacing w:after="0"/>
              <w:rPr>
                <w:sz w:val="21"/>
                <w:szCs w:val="21"/>
                <w:color w:val="auto"/>
              </w:rPr>
            </w:pPr>
          </w:p>
        </w:tc>
        <w:tc>
          <w:tcPr>
            <w:tcW w:w="1840" w:type="dxa"/>
            <w:vAlign w:val="bottom"/>
            <w:tcBorders>
              <w:top w:val="single" w:sz="8" w:color="0000FF"/>
            </w:tcBorders>
            <w:gridSpan w:val="6"/>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Item 6. Exhibits</w:t>
              </w:r>
            </w:hyperlink>
          </w:p>
        </w:tc>
        <w:tc>
          <w:tcPr>
            <w:tcW w:w="7120" w:type="dxa"/>
            <w:vAlign w:val="bottom"/>
            <w:gridSpan w:val="18"/>
          </w:tcPr>
          <w:p>
            <w:pPr>
              <w:spacing w:after="0"/>
              <w:rPr>
                <w:sz w:val="21"/>
                <w:szCs w:val="21"/>
                <w:color w:val="auto"/>
              </w:rPr>
            </w:pPr>
          </w:p>
        </w:tc>
        <w:tc>
          <w:tcPr>
            <w:tcW w:w="2160" w:type="dxa"/>
            <w:vAlign w:val="bottom"/>
            <w:gridSpan w:val="2"/>
          </w:tcPr>
          <w:p>
            <w:pPr>
              <w:spacing w:after="0"/>
              <w:rPr>
                <w:sz w:val="21"/>
                <w:szCs w:val="21"/>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69</w:t>
              </w:r>
            </w:hyperlink>
          </w:p>
        </w:tc>
      </w:tr>
      <w:tr>
        <w:trPr>
          <w:trHeight w:val="507"/>
        </w:trPr>
        <w:tc>
          <w:tcPr>
            <w:tcW w:w="60" w:type="dxa"/>
            <w:vAlign w:val="bottom"/>
          </w:tcPr>
          <w:p>
            <w:pPr>
              <w:spacing w:after="0"/>
              <w:rPr>
                <w:sz w:val="24"/>
                <w:szCs w:val="24"/>
                <w:color w:val="auto"/>
              </w:rPr>
            </w:pPr>
          </w:p>
        </w:tc>
        <w:tc>
          <w:tcPr>
            <w:tcW w:w="1120" w:type="dxa"/>
            <w:vAlig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ight="1280"/>
              <w:spacing w:after="0"/>
              <w:rPr>
                <w:sz w:val="20"/>
                <w:szCs w:val="20"/>
                <w:color w:val="auto"/>
              </w:rPr>
            </w:pPr>
            <w:r>
              <w:rPr>
                <w:rFonts w:ascii="Arial" w:cs="Arial" w:eastAsia="Arial" w:hAnsi="Arial"/>
                <w:sz w:val="18"/>
                <w:szCs w:val="18"/>
                <w:color w:val="auto"/>
              </w:rPr>
              <w:t>2</w:t>
            </w:r>
          </w:p>
        </w:tc>
        <w:tc>
          <w:tcPr>
            <w:tcW w:w="19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40" w:top="108"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Quarterly Report on Form 10-Q contains “forward-looking statements” as defined in Section 27A of the United States Securities Act of 1933, as amended, and Section 21E of the United States Securities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II, Item 1A, “Risk Factors” and elsewhere in this Quarterly Report on Form 10-Q, as well as the following:</w:t>
      </w:r>
    </w:p>
    <w:p>
      <w:pPr>
        <w:spacing w:after="0" w:line="2" w:lineRule="exact"/>
        <w:rPr>
          <w:sz w:val="20"/>
          <w:szCs w:val="20"/>
          <w:color w:val="auto"/>
        </w:rPr>
      </w:pPr>
    </w:p>
    <w:p>
      <w:pPr>
        <w:ind w:left="660" w:right="5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the material weakness remediation process could identify additional issues relating to disclosure controls and procedures or internal control over financial reporting;</w:t>
      </w:r>
    </w:p>
    <w:p>
      <w:pPr>
        <w:ind w:left="660" w:right="68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may need to devote additional time, effort and expense to address other matters relating to the restatement, including potential governmental investigations or shareholder lawsuits and possible fines, penalties or settlements resulting therefrom;</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our industry;</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implement new technologies and services, as well as our ability to protect and maintain critical intellectual property assets;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liabilities arising out of the installation or use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related to our fixed price contracts or asset construction projects that may affect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the timely delivery of our backlog and its effect on our future sales, profitability, and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reliance on subcontractors, suppliers and joint venture partners in the performance of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hire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piracy risks for our maritime employees and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cumulative loss of major contracts or alliances;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international laws and regulations, including environmental regulations, that may increase our costs, limit the demand for our products and services or restrict our operations;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Depository Trust Company and Euroclear for clearance services for shares traded on the NYSE and Euronext Paris, respectively;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the United Kingdom’s referendum on withdrawal from the European Union;</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being an English public limited company, including the need for court approval of “distributable profits” and stockholder approval of certain capital structure decisions;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pay dividends or repurchase shares in accordance with our announced capital allocation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covenants under our debt instruments and conditions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downgrade in the ratings of our debt could restrict our ability to access the debt capital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uninsured claims and litigation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currency exchange rate fluctuations associated with our international operations;</w:t>
      </w:r>
    </w:p>
    <w:p>
      <w:pPr>
        <w:spacing w:after="0" w:line="9" w:lineRule="exact"/>
        <w:rPr>
          <w:rFonts w:ascii="Arial" w:cs="Arial" w:eastAsia="Arial" w:hAnsi="Arial"/>
          <w:sz w:val="18"/>
          <w:szCs w:val="18"/>
          <w:color w:val="auto"/>
        </w:rPr>
      </w:pPr>
    </w:p>
    <w:p>
      <w:pPr>
        <w:ind w:left="660" w:right="18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merger-related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any significant breach of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tax liabilities, or changes in U.S. federal or international tax laws or interpretations to which they are subject; and</w:t>
      </w:r>
    </w:p>
    <w:p>
      <w:pPr>
        <w:spacing w:after="0" w:line="9" w:lineRule="exact"/>
        <w:rPr>
          <w:rFonts w:ascii="Arial" w:cs="Arial" w:eastAsia="Arial" w:hAnsi="Arial"/>
          <w:sz w:val="18"/>
          <w:szCs w:val="18"/>
          <w:color w:val="auto"/>
        </w:rPr>
      </w:pPr>
    </w:p>
    <w:p>
      <w:pPr>
        <w:ind w:left="660" w:right="3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other risk factors set forth in our filings with the United States Securities and Exchange Commission and in our filings with the Autorité des marchés financiers or the U.K. Financial Conduct Authority.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240" w:top="121" w:right="8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per share data)</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Service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Product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Lease and other revenue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and expenses: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of service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of product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of lease and other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Selling, general and administrative expense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Research and development expense</w:t>
      </w:r>
    </w:p>
    <w:p>
      <w:pPr>
        <w:spacing w:after="0" w:line="109" w:lineRule="exact"/>
        <w:rPr>
          <w:sz w:val="20"/>
          <w:szCs w:val="20"/>
          <w:color w:val="auto"/>
        </w:rPr>
      </w:pPr>
    </w:p>
    <w:p>
      <w:pPr>
        <w:jc w:val="right"/>
        <w:ind w:right="2460"/>
        <w:spacing w:after="0"/>
        <w:rPr>
          <w:sz w:val="20"/>
          <w:szCs w:val="20"/>
          <w:color w:val="auto"/>
        </w:rPr>
      </w:pPr>
      <w:r>
        <w:rPr>
          <w:rFonts w:ascii="Arial" w:cs="Arial" w:eastAsia="Arial" w:hAnsi="Arial"/>
          <w:sz w:val="14"/>
          <w:szCs w:val="14"/>
          <w:color w:val="auto"/>
        </w:rPr>
        <w:t>Impairment, restructuring and other expense (Note 5)</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Merger transaction and integration costs (Note 2)</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costs and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 from equity affiliates (Note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net interest expense and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 for income taxes (Note 14)</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attributable to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TechnipFMC plc</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60" w:type="dxa"/>
            <w:vAlign w:val="bottom"/>
          </w:tcPr>
          <w:p>
            <w:pPr>
              <w:spacing w:after="0"/>
              <w:rPr>
                <w:sz w:val="16"/>
                <w:szCs w:val="16"/>
                <w:color w:val="auto"/>
              </w:rPr>
            </w:pPr>
          </w:p>
        </w:tc>
        <w:tc>
          <w:tcPr>
            <w:tcW w:w="22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02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r>
      <w:tr>
        <w:trPr>
          <w:trHeight w:val="264"/>
        </w:trPr>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r>
      <w:tr>
        <w:trPr>
          <w:trHeight w:val="528"/>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3,134.3</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2,351.4</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5,926.1</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4,729.6</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654.8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1,217.3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46.6</w:t>
            </w:r>
          </w:p>
        </w:tc>
      </w:tr>
      <w:tr>
        <w:trPr>
          <w:trHeight w:val="276"/>
        </w:trPr>
        <w:tc>
          <w:tcPr>
            <w:tcW w:w="2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3,845.0</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2,370.5</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7,233.0</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4,776.2</w:t>
            </w:r>
          </w:p>
        </w:tc>
      </w:tr>
      <w:tr>
        <w:trPr>
          <w:trHeight w:val="540"/>
        </w:trPr>
        <w:tc>
          <w:tcPr>
            <w:tcW w:w="2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2,509.5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1,916.1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4,887.1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3,900.0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614.8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1,192.5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32.7</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143.4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291.0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45.8</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99.5</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3,490.1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2,176.4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6,832.3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4,385.7</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(99.2)</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296.7</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275.7</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51.3</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224.4</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164.9</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-3970020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-3618230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-3275330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-2932430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-2589530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-2245995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-1903095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-1560195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-1217295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-874395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-530860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-187960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180340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780"/>
          </w:cols>
          <w:pgMar w:left="240" w:top="121" w:right="239" w:bottom="1440" w:gutter="0" w:footer="0" w:header="0"/>
          <w:type w:val="continuous"/>
        </w:sectPr>
      </w:pP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Earnings per share attributable to TechnipFMC plc (Note 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ind w:left="380"/>
              <w:spacing w:after="0"/>
              <w:rPr>
                <w:sz w:val="20"/>
                <w:szCs w:val="20"/>
                <w:color w:val="auto"/>
              </w:rPr>
            </w:pPr>
            <w:r>
              <w:rPr>
                <w:rFonts w:ascii="Arial" w:cs="Arial" w:eastAsia="Arial" w:hAnsi="Arial"/>
                <w:sz w:val="14"/>
                <w:szCs w:val="14"/>
                <w:color w:val="auto"/>
              </w:rPr>
              <w:t>Basic</w:t>
            </w:r>
          </w:p>
        </w:tc>
        <w:tc>
          <w:tcPr>
            <w:tcW w:w="234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0.35</w:t>
            </w:r>
          </w:p>
        </w:tc>
        <w:tc>
          <w:tcPr>
            <w:tcW w:w="5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0.87</w:t>
            </w:r>
          </w:p>
        </w:tc>
        <w:tc>
          <w:tcPr>
            <w:tcW w:w="4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0.31</w:t>
            </w:r>
          </w:p>
        </w:tc>
        <w:tc>
          <w:tcPr>
            <w:tcW w:w="5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74"/>
        </w:trPr>
        <w:tc>
          <w:tcPr>
            <w:tcW w:w="470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Diluted</w:t>
            </w:r>
          </w:p>
        </w:tc>
        <w:tc>
          <w:tcPr>
            <w:tcW w:w="234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0.35</w:t>
            </w:r>
          </w:p>
        </w:tc>
        <w:tc>
          <w:tcPr>
            <w:tcW w:w="5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0.83</w:t>
            </w:r>
          </w:p>
        </w:tc>
        <w:tc>
          <w:tcPr>
            <w:tcW w:w="4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0.31</w:t>
            </w:r>
          </w:p>
        </w:tc>
        <w:tc>
          <w:tcPr>
            <w:tcW w:w="5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80"/>
        </w:trPr>
        <w:tc>
          <w:tcPr>
            <w:tcW w:w="4700" w:type="dxa"/>
            <w:vAlign w:val="bottom"/>
            <w:shd w:val="clear" w:color="auto" w:fill="CCEEFF"/>
          </w:tcPr>
          <w:p>
            <w:pPr>
              <w:spacing w:after="0"/>
              <w:rPr>
                <w:sz w:val="6"/>
                <w:szCs w:val="6"/>
                <w:color w:val="auto"/>
              </w:rPr>
            </w:pPr>
          </w:p>
        </w:tc>
        <w:tc>
          <w:tcPr>
            <w:tcW w:w="23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00" w:type="dxa"/>
            <w:vAlign w:val="bottom"/>
          </w:tcPr>
          <w:p>
            <w:pPr>
              <w:ind w:left="40"/>
              <w:spacing w:after="0"/>
              <w:rPr>
                <w:sz w:val="20"/>
                <w:szCs w:val="20"/>
                <w:color w:val="auto"/>
              </w:rPr>
            </w:pPr>
            <w:r>
              <w:rPr>
                <w:rFonts w:ascii="Arial" w:cs="Arial" w:eastAsia="Arial" w:hAnsi="Arial"/>
                <w:sz w:val="14"/>
                <w:szCs w:val="14"/>
                <w:color w:val="auto"/>
              </w:rPr>
              <w:t>Weighted average shares outstanding (Note 4):</w:t>
            </w:r>
          </w:p>
        </w:tc>
        <w:tc>
          <w:tcPr>
            <w:tcW w:w="2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7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23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466.7</w:t>
            </w:r>
          </w:p>
        </w:tc>
        <w:tc>
          <w:tcPr>
            <w:tcW w:w="5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119.5</w:t>
            </w:r>
          </w:p>
        </w:tc>
        <w:tc>
          <w:tcPr>
            <w:tcW w:w="4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466.7</w:t>
            </w:r>
          </w:p>
        </w:tc>
        <w:tc>
          <w:tcPr>
            <w:tcW w:w="5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80"/>
        </w:trPr>
        <w:tc>
          <w:tcPr>
            <w:tcW w:w="4700" w:type="dxa"/>
            <w:vAlign w:val="bottom"/>
            <w:shd w:val="clear" w:color="auto" w:fill="CCEEFF"/>
          </w:tcPr>
          <w:p>
            <w:pPr>
              <w:spacing w:after="0"/>
              <w:rPr>
                <w:sz w:val="6"/>
                <w:szCs w:val="6"/>
                <w:color w:val="auto"/>
              </w:rPr>
            </w:pPr>
          </w:p>
        </w:tc>
        <w:tc>
          <w:tcPr>
            <w:tcW w:w="23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00" w:type="dxa"/>
            <w:vAlign w:val="bottom"/>
          </w:tcPr>
          <w:p>
            <w:pPr>
              <w:ind w:left="380"/>
              <w:spacing w:after="0"/>
              <w:rPr>
                <w:sz w:val="20"/>
                <w:szCs w:val="20"/>
                <w:color w:val="auto"/>
              </w:rPr>
            </w:pPr>
            <w:r>
              <w:rPr>
                <w:rFonts w:ascii="Arial" w:cs="Arial" w:eastAsia="Arial" w:hAnsi="Arial"/>
                <w:sz w:val="14"/>
                <w:szCs w:val="14"/>
                <w:color w:val="auto"/>
              </w:rPr>
              <w:t>Diluted</w:t>
            </w:r>
          </w:p>
        </w:tc>
        <w:tc>
          <w:tcPr>
            <w:tcW w:w="2340" w:type="dxa"/>
            <w:vAlign w:val="bottom"/>
          </w:tcPr>
          <w:p>
            <w:pPr>
              <w:spacing w:after="0"/>
              <w:rPr>
                <w:sz w:val="16"/>
                <w:szCs w:val="16"/>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468.4</w:t>
            </w:r>
          </w:p>
        </w:tc>
        <w:tc>
          <w:tcPr>
            <w:tcW w:w="50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125.2</w:t>
            </w:r>
          </w:p>
        </w:tc>
        <w:tc>
          <w:tcPr>
            <w:tcW w:w="4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468.2</w:t>
            </w:r>
          </w:p>
        </w:tc>
        <w:tc>
          <w:tcPr>
            <w:tcW w:w="50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Foreign currency translation adjustments </w:t>
      </w:r>
      <w:r>
        <w:rPr>
          <w:rFonts w:ascii="Arial" w:cs="Arial" w:eastAsia="Arial" w:hAnsi="Arial"/>
          <w:sz w:val="8"/>
          <w:szCs w:val="8"/>
          <w:color w:val="auto"/>
        </w:rPr>
        <w:t>(1)</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unrealized gains (losses) on available-for-sale securities: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unrealized gains (losses) arising during the period</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Reclassification adjustment for net gains (losses) included in net income</w:t>
      </w:r>
    </w:p>
    <w:p>
      <w:pPr>
        <w:spacing w:after="0" w:line="10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Net unrealized gains (losses) on available-for-sale securities </w:t>
      </w:r>
      <w:r>
        <w:rPr>
          <w:rFonts w:ascii="Arial" w:cs="Arial" w:eastAsia="Arial" w:hAnsi="Arial"/>
          <w:sz w:val="8"/>
          <w:szCs w:val="8"/>
          <w:color w:val="auto"/>
        </w:rPr>
        <w:t>(2)</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gains (losses) on hedging instruments: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gains arising during the period</w:t>
      </w:r>
    </w:p>
    <w:p>
      <w:pPr>
        <w:spacing w:after="0" w:line="109" w:lineRule="exact"/>
        <w:rPr>
          <w:sz w:val="20"/>
          <w:szCs w:val="20"/>
          <w:color w:val="auto"/>
        </w:rPr>
      </w:pPr>
    </w:p>
    <w:p>
      <w:pPr>
        <w:ind w:left="1040" w:right="900" w:hanging="323"/>
        <w:spacing w:after="0" w:line="402" w:lineRule="auto"/>
        <w:rPr>
          <w:sz w:val="20"/>
          <w:szCs w:val="20"/>
          <w:color w:val="auto"/>
        </w:rPr>
      </w:pPr>
      <w:r>
        <w:rPr>
          <w:rFonts w:ascii="Arial" w:cs="Arial" w:eastAsia="Arial" w:hAnsi="Arial"/>
          <w:sz w:val="14"/>
          <w:szCs w:val="14"/>
          <w:color w:val="auto"/>
        </w:rPr>
        <w:t xml:space="preserve">Reclassification adjustment for net losses included in net income Net gains on hedging instruments </w:t>
      </w:r>
      <w:r>
        <w:rPr>
          <w:rFonts w:ascii="Arial" w:cs="Arial" w:eastAsia="Arial" w:hAnsi="Arial"/>
          <w:sz w:val="8"/>
          <w:szCs w:val="8"/>
          <w:color w:val="auto"/>
        </w:rPr>
        <w:t>(3)</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Pension and other post-retirement benefits: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losses arising during the period</w:t>
      </w:r>
    </w:p>
    <w:p>
      <w:pPr>
        <w:spacing w:after="0" w:line="109" w:lineRule="exact"/>
        <w:rPr>
          <w:sz w:val="20"/>
          <w:szCs w:val="20"/>
          <w:color w:val="auto"/>
        </w:rPr>
      </w:pPr>
    </w:p>
    <w:p>
      <w:pPr>
        <w:ind w:left="720"/>
        <w:spacing w:after="0" w:line="253" w:lineRule="auto"/>
        <w:rPr>
          <w:sz w:val="20"/>
          <w:szCs w:val="20"/>
          <w:color w:val="auto"/>
        </w:rPr>
      </w:pPr>
      <w:r>
        <w:rPr>
          <w:rFonts w:ascii="Arial" w:cs="Arial" w:eastAsia="Arial" w:hAnsi="Arial"/>
          <w:sz w:val="14"/>
          <w:szCs w:val="14"/>
          <w:color w:val="auto"/>
        </w:rPr>
        <w:t>Reclassification adjustment for amortization of prior service cost included in net income</w:t>
      </w:r>
    </w:p>
    <w:p>
      <w:pPr>
        <w:spacing w:after="0" w:line="12" w:lineRule="exact"/>
        <w:rPr>
          <w:sz w:val="20"/>
          <w:szCs w:val="20"/>
          <w:color w:val="auto"/>
        </w:rPr>
      </w:pPr>
    </w:p>
    <w:p>
      <w:pPr>
        <w:ind w:left="720" w:right="20"/>
        <w:spacing w:after="0" w:line="253" w:lineRule="auto"/>
        <w:rPr>
          <w:sz w:val="20"/>
          <w:szCs w:val="20"/>
          <w:color w:val="auto"/>
        </w:rPr>
      </w:pPr>
      <w:r>
        <w:rPr>
          <w:rFonts w:ascii="Arial" w:cs="Arial" w:eastAsia="Arial" w:hAnsi="Arial"/>
          <w:sz w:val="14"/>
          <w:szCs w:val="14"/>
          <w:color w:val="auto"/>
        </w:rPr>
        <w:t>Reclassification adjustment for amortization of net actuarial loss included in net income</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Net pension and other post-retirement costs </w:t>
      </w:r>
      <w:r>
        <w:rPr>
          <w:rFonts w:ascii="Arial" w:cs="Arial" w:eastAsia="Arial" w:hAnsi="Arial"/>
          <w:sz w:val="8"/>
          <w:szCs w:val="8"/>
          <w:color w:val="auto"/>
        </w:rPr>
        <w:t>(4)</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loss attributable to noncontrolling interest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 attributable to TechnipFMC plc</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40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6"/>
                <w:szCs w:val="16"/>
                <w:color w:val="auto"/>
              </w:rPr>
            </w:pPr>
          </w:p>
        </w:tc>
      </w:tr>
      <w:tr>
        <w:trPr>
          <w:trHeight w:val="276"/>
        </w:trPr>
        <w:tc>
          <w:tcPr>
            <w:tcW w:w="9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24"/>
                <w:szCs w:val="24"/>
                <w:color w:val="auto"/>
              </w:rPr>
            </w:pPr>
          </w:p>
        </w:tc>
      </w:tr>
      <w:tr>
        <w:trPr>
          <w:trHeight w:val="264"/>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83"/>
              </w:rPr>
              <w:t>2016</w:t>
            </w:r>
          </w:p>
        </w:tc>
      </w:tr>
      <w:tr>
        <w:trPr>
          <w:trHeight w:val="244"/>
        </w:trPr>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159.0</w:t>
            </w:r>
          </w:p>
        </w:tc>
        <w:tc>
          <w:tcPr>
            <w:tcW w:w="120" w:type="dxa"/>
            <w:vAlign w:val="bottom"/>
          </w:tcPr>
          <w:p>
            <w:pPr>
              <w:spacing w:after="0"/>
              <w:rPr>
                <w:sz w:val="21"/>
                <w:szCs w:val="21"/>
                <w:color w:val="auto"/>
              </w:rPr>
            </w:pP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143.8</w:t>
            </w:r>
          </w:p>
        </w:tc>
        <w:tc>
          <w:tcPr>
            <w:tcW w:w="12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224.4</w:t>
            </w:r>
          </w:p>
        </w:tc>
      </w:tr>
      <w:tr>
        <w:trPr>
          <w:trHeight w:val="540"/>
        </w:trPr>
        <w:tc>
          <w:tcPr>
            <w:tcW w:w="90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(24.9)</w:t>
            </w:r>
          </w:p>
        </w:tc>
      </w:tr>
      <w:tr>
        <w:trPr>
          <w:trHeight w:val="540"/>
        </w:trPr>
        <w:tc>
          <w:tcPr>
            <w:tcW w:w="90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5.0</w:t>
            </w:r>
          </w:p>
        </w:tc>
      </w:tr>
      <w:tr>
        <w:trPr>
          <w:trHeight w:val="276"/>
        </w:trPr>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90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5.0</w:t>
            </w:r>
          </w:p>
        </w:tc>
      </w:tr>
      <w:tr>
        <w:trPr>
          <w:trHeight w:val="540"/>
        </w:trPr>
        <w:tc>
          <w:tcPr>
            <w:tcW w:w="90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42.6</w:t>
            </w:r>
          </w:p>
        </w:tc>
      </w:tr>
      <w:tr>
        <w:trPr>
          <w:trHeight w:val="276"/>
        </w:trPr>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62.6</w:t>
            </w:r>
          </w:p>
        </w:tc>
      </w:tr>
      <w:tr>
        <w:trPr>
          <w:trHeight w:val="244"/>
        </w:trPr>
        <w:tc>
          <w:tcPr>
            <w:tcW w:w="900" w:type="dxa"/>
            <w:vAlign w:val="bottom"/>
          </w:tcPr>
          <w:p>
            <w:pPr>
              <w:spacing w:after="0"/>
              <w:rPr>
                <w:sz w:val="21"/>
                <w:szCs w:val="21"/>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105.2</w:t>
            </w:r>
          </w:p>
        </w:tc>
      </w:tr>
      <w:tr>
        <w:trPr>
          <w:trHeight w:val="540"/>
        </w:trPr>
        <w:tc>
          <w:tcPr>
            <w:tcW w:w="90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351"/>
        </w:trPr>
        <w:tc>
          <w:tcPr>
            <w:tcW w:w="90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357"/>
        </w:trPr>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r>
      <w:tr>
        <w:trPr>
          <w:trHeight w:val="250"/>
        </w:trPr>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r>
      <w:tr>
        <w:trPr>
          <w:trHeight w:val="244"/>
        </w:trPr>
        <w:tc>
          <w:tcPr>
            <w:tcW w:w="90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98.4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69.7</w:t>
            </w:r>
          </w:p>
        </w:tc>
      </w:tr>
      <w:tr>
        <w:trPr>
          <w:trHeight w:val="270"/>
        </w:trPr>
        <w:tc>
          <w:tcPr>
            <w:tcW w:w="90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154.0</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205.8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294.1</w:t>
            </w:r>
          </w:p>
        </w:tc>
      </w:tr>
      <w:tr>
        <w:trPr>
          <w:trHeight w:val="276"/>
        </w:trPr>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r>
      <w:tr>
        <w:trPr>
          <w:trHeight w:val="237"/>
        </w:trPr>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159.9</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208.0</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295.1</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-3549650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-3206750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-2863850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-2520950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-2177415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-1834515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-1491615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-1097280</wp:posOffset>
            </wp:positionV>
            <wp:extent cx="724662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-702310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-359410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5" w:lineRule="exact"/>
        <w:rPr>
          <w:sz w:val="20"/>
          <w:szCs w:val="20"/>
          <w:color w:val="auto"/>
        </w:rPr>
      </w:pPr>
    </w:p>
    <w:p>
      <w:pPr>
        <w:sectPr>
          <w:pgSz w:w="11900" w:h="16838" w:orient="portrait"/>
          <w:cols w:equalWidth="0" w:num="2">
            <w:col w:w="5340" w:space="380"/>
            <w:col w:w="5700"/>
          </w:cols>
          <w:pgMar w:left="240" w:top="121" w:right="239" w:bottom="1440" w:gutter="0" w:footer="0" w:header="0"/>
          <w:type w:val="continuous"/>
        </w:sectPr>
      </w:pPr>
    </w:p>
    <w:p>
      <w:pPr>
        <w:ind w:left="500" w:right="160" w:hanging="492"/>
        <w:spacing w:after="0" w:line="250" w:lineRule="auto"/>
        <w:tabs>
          <w:tab w:leader="none" w:pos="500" w:val="left"/>
        </w:tabs>
        <w:numPr>
          <w:ilvl w:val="0"/>
          <w:numId w:val="4"/>
        </w:numPr>
        <w:rPr>
          <w:rFonts w:ascii="Arial" w:cs="Arial" w:eastAsia="Arial" w:hAnsi="Arial"/>
          <w:sz w:val="9"/>
          <w:szCs w:val="9"/>
          <w:color w:val="auto"/>
        </w:rPr>
      </w:pPr>
      <w:r>
        <w:rPr>
          <w:rFonts w:ascii="Arial" w:cs="Arial" w:eastAsia="Arial" w:hAnsi="Arial"/>
          <w:sz w:val="14"/>
          <w:szCs w:val="14"/>
          <w:color w:val="auto"/>
        </w:rPr>
        <w:t>Net of income tax (expense) benefit of $(3.2) and nil for the three months ended June 30, 2017 and 2016, respectively, and $(3.9) and nil for the six months ended June 30, 2017 and 2016, respectively.</w:t>
      </w:r>
    </w:p>
    <w:p>
      <w:pPr>
        <w:ind w:left="500" w:right="540" w:hanging="492"/>
        <w:spacing w:after="0" w:line="247" w:lineRule="auto"/>
        <w:tabs>
          <w:tab w:leader="none" w:pos="500" w:val="left"/>
        </w:tabs>
        <w:numPr>
          <w:ilvl w:val="0"/>
          <w:numId w:val="4"/>
        </w:numPr>
        <w:rPr>
          <w:rFonts w:ascii="Arial" w:cs="Arial" w:eastAsia="Arial" w:hAnsi="Arial"/>
          <w:sz w:val="9"/>
          <w:szCs w:val="9"/>
          <w:color w:val="auto"/>
        </w:rPr>
      </w:pPr>
      <w:r>
        <w:rPr>
          <w:rFonts w:ascii="Arial" w:cs="Arial" w:eastAsia="Arial" w:hAnsi="Arial"/>
          <w:sz w:val="14"/>
          <w:szCs w:val="14"/>
          <w:color w:val="auto"/>
        </w:rPr>
        <w:t>Net of income tax (expense) benefit of nil and nil for the three months ended June 30, 2017 and 2016, respectively, and nil and nil for the six months ended June 30, 2017 and 2016, respectively.</w:t>
      </w:r>
    </w:p>
    <w:p>
      <w:pPr>
        <w:ind w:left="500" w:right="60" w:hanging="492"/>
        <w:spacing w:after="0" w:line="214" w:lineRule="auto"/>
        <w:tabs>
          <w:tab w:leader="none" w:pos="50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Net of income tax (expense) benefit of $(18.7) and $(13.3) for the three months ended June 30, 2017 and 2016, respectively, and $(37.3) and $(20.9) for the six months ended June 30, 2017 and 2016, respectively.</w:t>
      </w:r>
    </w:p>
    <w:p>
      <w:pPr>
        <w:spacing w:after="0" w:line="1" w:lineRule="exact"/>
        <w:rPr>
          <w:rFonts w:ascii="Arial" w:cs="Arial" w:eastAsia="Arial" w:hAnsi="Arial"/>
          <w:sz w:val="18"/>
          <w:szCs w:val="18"/>
          <w:color w:val="auto"/>
          <w:vertAlign w:val="superscript"/>
        </w:rPr>
      </w:pPr>
    </w:p>
    <w:p>
      <w:pPr>
        <w:ind w:left="500" w:right="140" w:hanging="492"/>
        <w:spacing w:after="0" w:line="255" w:lineRule="auto"/>
        <w:tabs>
          <w:tab w:leader="none" w:pos="500" w:val="left"/>
        </w:tabs>
        <w:numPr>
          <w:ilvl w:val="0"/>
          <w:numId w:val="4"/>
        </w:numPr>
        <w:rPr>
          <w:rFonts w:ascii="Arial" w:cs="Arial" w:eastAsia="Arial" w:hAnsi="Arial"/>
          <w:sz w:val="9"/>
          <w:szCs w:val="9"/>
          <w:color w:val="auto"/>
        </w:rPr>
      </w:pPr>
      <w:r>
        <w:rPr>
          <w:rFonts w:ascii="Arial" w:cs="Arial" w:eastAsia="Arial" w:hAnsi="Arial"/>
          <w:sz w:val="14"/>
          <w:szCs w:val="14"/>
          <w:color w:val="auto"/>
        </w:rPr>
        <w:t>Net of income tax (expense) benefit of $0.2 and $4.4 for the three months ended June 30, 2017 and 2016, respectively, and $0.4 and $4.5 for the six months ended June 30, 2017 and 2016, respectively.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CONDENSED CONSOLIDATED BALANCE SHEETS (UNAUDITED)</w:t>
      </w:r>
    </w:p>
    <w:p>
      <w:pPr>
        <w:sectPr>
          <w:pgSz w:w="11900" w:h="16838" w:orient="portrait"/>
          <w:cols w:equalWidth="0" w:num="1">
            <w:col w:w="11060"/>
          </w:cols>
          <w:pgMar w:left="240" w:top="121" w:right="599" w:bottom="11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par value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1484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Trade receivables, net of allowances of $103.2 in 2017 and $85.6 in 2016</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and estimated earnings in excess of billings on uncompleted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Inventories, net (Note 6)</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financial instruments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taxes receivable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Advances paid to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current assets (Note 7)</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Investments in equity affiliates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Property, plant and equipment, net of accumulated depreciation of $1,852.4 in 2017 and $1,691.8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01484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Intangible assets, net of accumulated amortization of $380.2 in 2017 and $245.9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financial instruments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4845" cy="18859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 and equity</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2017</w:t>
            </w:r>
          </w:p>
        </w:tc>
        <w:tc>
          <w:tcPr>
            <w:tcW w:w="13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6"/>
              </w:rPr>
              <w:t>December 31, 2016</w:t>
            </w:r>
          </w:p>
        </w:tc>
      </w:tr>
      <w:tr>
        <w:trPr>
          <w:trHeight w:val="798"/>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7,179.1</w:t>
            </w:r>
          </w:p>
        </w:tc>
        <w:tc>
          <w:tcPr>
            <w:tcW w:w="100" w:type="dxa"/>
            <w:vAlign w:val="bottom"/>
          </w:tcPr>
          <w:p>
            <w:pPr>
              <w:spacing w:after="0"/>
              <w:rPr>
                <w:sz w:val="24"/>
                <w:szCs w:val="24"/>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6,269.3</w:t>
            </w:r>
          </w:p>
        </w:tc>
      </w:tr>
      <w:tr>
        <w:trPr>
          <w:trHeight w:val="270"/>
        </w:trPr>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2,159.3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2,024.5</w:t>
            </w:r>
          </w:p>
        </w:tc>
      </w:tr>
      <w:tr>
        <w:trPr>
          <w:trHeight w:val="270"/>
        </w:trPr>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1,168.3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485.8</w:t>
            </w:r>
          </w:p>
        </w:tc>
      </w:tr>
      <w:tr>
        <w:trPr>
          <w:trHeight w:val="270"/>
        </w:trPr>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899.1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334.7</w:t>
            </w:r>
          </w:p>
        </w:tc>
      </w:tr>
      <w:tr>
        <w:trPr>
          <w:trHeight w:val="270"/>
        </w:trPr>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47.2</w:t>
            </w:r>
          </w:p>
        </w:tc>
      </w:tr>
      <w:tr>
        <w:trPr>
          <w:trHeight w:val="270"/>
        </w:trPr>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363.6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265.0</w:t>
            </w:r>
          </w:p>
        </w:tc>
      </w:tr>
      <w:tr>
        <w:trPr>
          <w:trHeight w:val="270"/>
        </w:trPr>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1,077.6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711.5</w:t>
            </w:r>
          </w:p>
        </w:tc>
      </w:tr>
      <w:tr>
        <w:trPr>
          <w:trHeight w:val="276"/>
        </w:trPr>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1,002.9</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799.2</w:t>
            </w:r>
          </w:p>
        </w:tc>
      </w:tr>
      <w:tr>
        <w:trPr>
          <w:trHeight w:val="244"/>
        </w:trPr>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13,930.7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10,937.2</w:t>
            </w:r>
          </w:p>
        </w:tc>
      </w:tr>
      <w:tr>
        <w:trPr>
          <w:trHeight w:val="270"/>
        </w:trPr>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214.3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177.8</w:t>
            </w:r>
          </w:p>
        </w:tc>
      </w:tr>
      <w:tr>
        <w:trPr>
          <w:trHeight w:val="270"/>
        </w:trPr>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3,867.0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2,620.1</w:t>
            </w:r>
          </w:p>
        </w:tc>
      </w:tr>
      <w:tr>
        <w:trPr>
          <w:trHeight w:val="270"/>
        </w:trPr>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9,072.3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3,718.3</w:t>
            </w:r>
          </w:p>
        </w:tc>
      </w:tr>
      <w:tr>
        <w:trPr>
          <w:trHeight w:val="270"/>
        </w:trPr>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1,444.4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173.7</w:t>
            </w:r>
          </w:p>
        </w:tc>
      </w:tr>
      <w:tr>
        <w:trPr>
          <w:trHeight w:val="270"/>
        </w:trPr>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511.5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621.6</w:t>
            </w:r>
          </w:p>
        </w:tc>
      </w:tr>
      <w:tr>
        <w:trPr>
          <w:trHeight w:val="270"/>
        </w:trPr>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190.8</w:t>
            </w:r>
          </w:p>
        </w:tc>
      </w:tr>
      <w:tr>
        <w:trPr>
          <w:trHeight w:val="276"/>
        </w:trPr>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404.2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250.2</w:t>
            </w:r>
          </w:p>
        </w:tc>
      </w:tr>
      <w:tr>
        <w:trPr>
          <w:trHeight w:val="23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29,524.5</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18,689.7</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ectPr>
          <w:pgSz w:w="11900" w:h="16838" w:orient="portrait"/>
          <w:cols w:equalWidth="0" w:num="2">
            <w:col w:w="7680" w:space="720"/>
            <w:col w:w="2660"/>
          </w:cols>
          <w:pgMar w:left="240" w:top="121" w:right="599" w:bottom="1111" w:gutter="0" w:footer="0" w:header="0"/>
          <w:type w:val="continuous"/>
        </w:sectPr>
      </w:pPr>
    </w:p>
    <w:p>
      <w:pPr>
        <w:ind w:left="40"/>
        <w:spacing w:after="0"/>
        <w:rPr>
          <w:sz w:val="20"/>
          <w:szCs w:val="20"/>
          <w:color w:val="auto"/>
        </w:rPr>
      </w:pPr>
      <w:r>
        <w:rPr>
          <w:rFonts w:ascii="Arial" w:cs="Arial" w:eastAsia="Arial" w:hAnsi="Arial"/>
          <w:sz w:val="14"/>
          <w:szCs w:val="14"/>
          <w:color w:val="auto"/>
        </w:rPr>
        <w:t>Short-term debt and current portion of long-term debt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Accounts payable, trade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Advance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Billings in excess of costs and estimated earnings on uncompleted contracts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Accrued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financial instruments (Note 17)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current liabilities (Note 9)</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debt, less current portion (Note 10)</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Accrued pension and other post-retirement benefits,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financial instruments (Note 17)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liabilities (Note 11)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Commitments and contingent liabilities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Stockholders’ equity (Note 13):</w:t>
      </w:r>
    </w:p>
    <w:p>
      <w:pPr>
        <w:spacing w:after="0" w:line="109" w:lineRule="exact"/>
        <w:rPr>
          <w:sz w:val="20"/>
          <w:szCs w:val="20"/>
          <w:color w:val="auto"/>
        </w:rPr>
      </w:pPr>
    </w:p>
    <w:p>
      <w:pPr>
        <w:ind w:left="40"/>
        <w:spacing w:after="0" w:line="238" w:lineRule="auto"/>
        <w:rPr>
          <w:sz w:val="20"/>
          <w:szCs w:val="20"/>
          <w:color w:val="auto"/>
        </w:rPr>
      </w:pPr>
      <w:r>
        <w:rPr>
          <w:rFonts w:ascii="Arial" w:cs="Arial" w:eastAsia="Arial" w:hAnsi="Arial"/>
          <w:sz w:val="14"/>
          <w:szCs w:val="14"/>
          <w:color w:val="auto"/>
        </w:rPr>
        <w:t>Ordinary shares, $1.00 par value and €0.7625 in 2017 and 2016, respectively; 525.0 shares and 119.2 shares authorized in 2017 and 2016, respectively; 347.4 shares and 3.3 shares issued in 2017 and 2016, respectively; no shares and 3.2 shares canceled in 2017 and 2016, respectively; 467.2 and 118.9 shares outstanding in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1484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Ordinary shares held in employee benefit trust, at cost; 0.1 shares in 2017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Treasury stock, at cost; no shares and 0.3 shares in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Capital in excess of par value of ordinary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Accumulated other comprehensive loss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TechnipFMC plc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01484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liabilities and equity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471.2</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683.6</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4,092.3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3,837.7</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129.6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411.1</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3,751.9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3,323.0</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379.7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307.7</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183.0</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317.5</w:t>
            </w:r>
          </w:p>
        </w:tc>
      </w:tr>
      <w:tr>
        <w:trPr>
          <w:trHeight w:val="276"/>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2,260.3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1,825.3</w:t>
            </w:r>
          </w:p>
        </w:tc>
      </w:tr>
      <w:tr>
        <w:trPr>
          <w:trHeight w:val="244"/>
        </w:trPr>
        <w:tc>
          <w:tcPr>
            <w:tcW w:w="3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11,498.4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10,888.9</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3,301.3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1,869.3</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347.5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160.8</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227.7</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344.9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130.5</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407.5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467.2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114.7</w:t>
            </w:r>
          </w:p>
        </w:tc>
      </w:tr>
      <w:tr>
        <w:trPr>
          <w:trHeight w:val="270"/>
        </w:trPr>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10,522.4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2,694.7</w:t>
            </w:r>
          </w:p>
        </w:tc>
      </w:tr>
      <w:tr>
        <w:trPr>
          <w:trHeight w:val="270"/>
        </w:trPr>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3,562.3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3,416.1</w:t>
            </w:r>
          </w:p>
        </w:tc>
      </w:tr>
      <w:tr>
        <w:trPr>
          <w:trHeight w:val="276"/>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(1,057.4)</w:t>
            </w:r>
          </w:p>
        </w:tc>
      </w:tr>
      <w:tr>
        <w:trPr>
          <w:trHeight w:val="244"/>
        </w:trPr>
        <w:tc>
          <w:tcPr>
            <w:tcW w:w="3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13,551.2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5,123.6</w:t>
            </w:r>
          </w:p>
        </w:tc>
      </w:tr>
      <w:tr>
        <w:trPr>
          <w:trHeight w:val="276"/>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r>
      <w:tr>
        <w:trPr>
          <w:trHeight w:val="250"/>
        </w:trPr>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13,549.3</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5,111.9</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29,524.5</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18,689.7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980" w:space="420"/>
            <w:col w:w="2660"/>
          </w:cols>
          <w:pgMar w:left="240" w:top="121" w:right="599" w:bottom="1111" w:gutter="0" w:footer="0" w:header="0"/>
          <w:type w:val="continuous"/>
        </w:sectPr>
      </w:pPr>
    </w:p>
    <w:p>
      <w:pPr>
        <w:ind w:left="2240"/>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ectPr>
          <w:pgSz w:w="11900" w:h="16838" w:orient="portrait"/>
          <w:cols w:equalWidth="0" w:num="1">
            <w:col w:w="11060"/>
          </w:cols>
          <w:pgMar w:left="240" w:top="121" w:right="599" w:bottom="1111" w:gutter="0" w:footer="0" w:header="0"/>
          <w:type w:val="continuous"/>
        </w:sectPr>
      </w:pPr>
    </w:p>
    <w:p>
      <w:pPr>
        <w:spacing w:after="0" w:line="27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060"/>
          </w:cols>
          <w:pgMar w:left="240" w:top="121" w:right="599" w:bottom="1111"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(required) by operating activities: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Adjustments to reconcile net income to cash provided (required) by operating activities: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Employee benefit plan and stock-based compensation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Unrealized loss on derivative instruments and foreign exchange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Impairments (Note 5)</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Trade receivables, net and costs in excess of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Inventories,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payable,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Advance payments and billings in excess of costs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taxes payable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assets and liabilities,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(required) by investing activities: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Cash acquired in merger of FMC Technologies, Inc. and Technip S.A. (Note 2)</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divested from deconsolidation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(required) by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provided (required)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2947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increase (decrease) in short-term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increase (decrease) in commercial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long-term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Dividends paid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Payments related to taxes withheld on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required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changes in foreign exchange rates on cash and cash equivalents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2947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beginning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Six Months Ended</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15176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r>
      <w:tr>
        <w:trPr>
          <w:trHeight w:val="528"/>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143.8</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224.4</w:t>
            </w:r>
          </w:p>
        </w:tc>
      </w:tr>
      <w:tr>
        <w:trPr>
          <w:trHeight w:val="540"/>
        </w:trPr>
        <w:tc>
          <w:tcPr>
            <w:tcW w:w="28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183.3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137.7</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10.0</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9.2</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63.3</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(106.7)</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70.3</w:t>
            </w:r>
          </w:p>
        </w:tc>
      </w:tr>
      <w:tr>
        <w:trPr>
          <w:trHeight w:val="540"/>
        </w:trPr>
        <w:tc>
          <w:tcPr>
            <w:tcW w:w="28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715.1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(398.9)</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38.9</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64.2</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194.7</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104.6</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w:t>
            </w:r>
          </w:p>
        </w:tc>
      </w:tr>
      <w:tr>
        <w:trPr>
          <w:trHeight w:val="250"/>
        </w:trPr>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294.3</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426.2</w:t>
            </w:r>
          </w:p>
        </w:tc>
      </w:tr>
      <w:tr>
        <w:trPr>
          <w:trHeight w:val="528"/>
        </w:trPr>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(68.9)</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1,479.2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(89.8)</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10.5</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1,386.8</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w:t>
            </w:r>
          </w:p>
        </w:tc>
      </w:tr>
      <w:tr>
        <w:trPr>
          <w:trHeight w:val="528"/>
        </w:trPr>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448.7</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(742.7)</w:t>
            </w:r>
          </w:p>
        </w:tc>
      </w:tr>
      <w:tr>
        <w:trPr>
          <w:trHeight w:val="270"/>
        </w:trPr>
        <w:tc>
          <w:tcPr>
            <w:tcW w:w="2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(112.3)</w:t>
            </w:r>
          </w:p>
        </w:tc>
      </w:tr>
      <w:tr>
        <w:trPr>
          <w:trHeight w:val="270"/>
        </w:trPr>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r>
      <w:tr>
        <w:trPr>
          <w:trHeight w:val="250"/>
        </w:trPr>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(785.2)</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(403.0)</w:t>
            </w:r>
          </w:p>
        </w:tc>
      </w:tr>
      <w:tr>
        <w:trPr>
          <w:trHeight w:val="250"/>
        </w:trPr>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79.4</w:t>
            </w:r>
          </w:p>
        </w:tc>
      </w:tr>
      <w:tr>
        <w:trPr>
          <w:trHeight w:val="244"/>
        </w:trPr>
        <w:tc>
          <w:tcPr>
            <w:tcW w:w="2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909.8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(45.6)</w:t>
            </w:r>
          </w:p>
        </w:tc>
      </w:tr>
      <w:tr>
        <w:trPr>
          <w:trHeight w:val="276"/>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6,269.3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3,178.0</w:t>
            </w:r>
          </w:p>
        </w:tc>
      </w:tr>
      <w:tr>
        <w:trPr>
          <w:trHeight w:val="237"/>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7,179.1</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3,132.4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8280" w:space="720"/>
            <w:col w:w="2400"/>
          </w:cols>
          <w:pgMar w:left="240" w:top="121"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Balance as of December 31, 2016</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jc w:val="both"/>
        <w:ind w:left="40" w:right="40"/>
        <w:spacing w:after="0" w:line="238" w:lineRule="auto"/>
        <w:rPr>
          <w:sz w:val="20"/>
          <w:szCs w:val="20"/>
          <w:color w:val="auto"/>
        </w:rPr>
      </w:pPr>
      <w:r>
        <w:rPr>
          <w:rFonts w:ascii="Arial" w:cs="Arial" w:eastAsia="Arial" w:hAnsi="Arial"/>
          <w:sz w:val="14"/>
          <w:szCs w:val="14"/>
          <w:color w:val="auto"/>
        </w:rPr>
        <w:t>Issuance of ordinary shares due to the merger of FMC Technologies and Technip</w:t>
      </w:r>
    </w:p>
    <w:p>
      <w:pPr>
        <w:spacing w:after="0" w:line="21" w:lineRule="exact"/>
        <w:rPr>
          <w:sz w:val="20"/>
          <w:szCs w:val="20"/>
          <w:color w:val="auto"/>
        </w:rPr>
      </w:pPr>
    </w:p>
    <w:p>
      <w:pPr>
        <w:ind w:left="40" w:right="280"/>
        <w:spacing w:after="0" w:line="253" w:lineRule="auto"/>
        <w:rPr>
          <w:sz w:val="20"/>
          <w:szCs w:val="20"/>
          <w:color w:val="auto"/>
        </w:rPr>
      </w:pPr>
      <w:r>
        <w:rPr>
          <w:rFonts w:ascii="Arial" w:cs="Arial" w:eastAsia="Arial" w:hAnsi="Arial"/>
          <w:sz w:val="14"/>
          <w:szCs w:val="14"/>
          <w:color w:val="auto"/>
        </w:rPr>
        <w:t>Cancellation of treasury stock (Note 13)</w:t>
      </w:r>
    </w:p>
    <w:p>
      <w:pPr>
        <w:spacing w:after="0" w:line="12" w:lineRule="exact"/>
        <w:rPr>
          <w:sz w:val="20"/>
          <w:szCs w:val="20"/>
          <w:color w:val="auto"/>
        </w:rPr>
      </w:pPr>
    </w:p>
    <w:p>
      <w:pPr>
        <w:ind w:left="40" w:right="200"/>
        <w:spacing w:after="0" w:line="253" w:lineRule="auto"/>
        <w:rPr>
          <w:sz w:val="20"/>
          <w:szCs w:val="20"/>
          <w:color w:val="auto"/>
        </w:rPr>
      </w:pPr>
      <w:r>
        <w:rPr>
          <w:rFonts w:ascii="Arial" w:cs="Arial" w:eastAsia="Arial" w:hAnsi="Arial"/>
          <w:sz w:val="14"/>
          <w:szCs w:val="14"/>
          <w:color w:val="auto"/>
        </w:rPr>
        <w:t>Net sales of ordinary shares for employee benefit trust</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ordinary shares</w:t>
      </w:r>
    </w:p>
    <w:p>
      <w:pPr>
        <w:spacing w:after="0" w:line="42" w:lineRule="exact"/>
        <w:rPr>
          <w:sz w:val="20"/>
          <w:szCs w:val="20"/>
          <w:color w:val="auto"/>
        </w:rPr>
      </w:pPr>
    </w:p>
    <w:p>
      <w:pPr>
        <w:ind w:left="40" w:right="480"/>
        <w:spacing w:after="0" w:line="253" w:lineRule="auto"/>
        <w:rPr>
          <w:sz w:val="20"/>
          <w:szCs w:val="20"/>
          <w:color w:val="auto"/>
        </w:rPr>
      </w:pPr>
      <w:r>
        <w:rPr>
          <w:rFonts w:ascii="Arial" w:cs="Arial" w:eastAsia="Arial" w:hAnsi="Arial"/>
          <w:sz w:val="14"/>
          <w:szCs w:val="14"/>
          <w:color w:val="auto"/>
        </w:rPr>
        <w:t>Stock-based compensation (Note 16)</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June 30, 2017</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Shares Held in</w:t>
            </w:r>
          </w:p>
        </w:tc>
        <w:tc>
          <w:tcPr>
            <w:tcW w:w="14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Capital in</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Treasury and</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0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Ordinary</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Employee</w:t>
            </w:r>
          </w:p>
        </w:tc>
        <w:tc>
          <w:tcPr>
            <w:tcW w:w="14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Excess of Par</w:t>
            </w:r>
          </w:p>
        </w:tc>
        <w:tc>
          <w:tcPr>
            <w:tcW w:w="20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Value of</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2"/>
                <w:szCs w:val="12"/>
                <w:color w:val="auto"/>
              </w:rPr>
            </w:pPr>
          </w:p>
        </w:tc>
        <w:tc>
          <w:tcPr>
            <w:tcW w:w="10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Trust</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Ordinary Shares</w:t>
            </w:r>
          </w:p>
        </w:tc>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4"/>
                <w:szCs w:val="14"/>
                <w:color w:val="auto"/>
              </w:rPr>
              <w:t>114.7</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7"/>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67"/>
              <w:spacing w:after="0"/>
              <w:rPr>
                <w:sz w:val="20"/>
                <w:szCs w:val="20"/>
                <w:color w:val="auto"/>
              </w:rPr>
            </w:pPr>
            <w:r>
              <w:rPr>
                <w:rFonts w:ascii="Arial" w:cs="Arial" w:eastAsia="Arial" w:hAnsi="Arial"/>
                <w:sz w:val="14"/>
                <w:szCs w:val="14"/>
                <w:color w:val="auto"/>
              </w:rPr>
              <w:t>2,694.7</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3,416.1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(1,057.4)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5,111.9</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20" w:type="dxa"/>
            <w:vAlign w:val="bottom"/>
          </w:tcPr>
          <w:p>
            <w:pPr>
              <w:jc w:val="right"/>
              <w:ind w:right="27"/>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143.8</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500"/>
        </w:trPr>
        <w:tc>
          <w:tcPr>
            <w:tcW w:w="140" w:type="dxa"/>
            <w:vAlign w:val="bottom"/>
          </w:tcPr>
          <w:p>
            <w:pPr>
              <w:spacing w:after="0"/>
              <w:rPr>
                <w:sz w:val="24"/>
                <w:szCs w:val="24"/>
                <w:color w:val="auto"/>
              </w:rPr>
            </w:pPr>
          </w:p>
        </w:tc>
        <w:tc>
          <w:tcPr>
            <w:tcW w:w="780" w:type="dxa"/>
            <w:vAlign w:val="bottom"/>
          </w:tcPr>
          <w:p>
            <w:pPr>
              <w:jc w:val="right"/>
              <w:ind w:right="46"/>
              <w:spacing w:after="0"/>
              <w:rPr>
                <w:sz w:val="20"/>
                <w:szCs w:val="20"/>
                <w:color w:val="auto"/>
              </w:rPr>
            </w:pPr>
            <w:r>
              <w:rPr>
                <w:rFonts w:ascii="Arial" w:cs="Arial" w:eastAsia="Arial" w:hAnsi="Arial"/>
                <w:sz w:val="14"/>
                <w:szCs w:val="14"/>
                <w:color w:val="auto"/>
              </w:rPr>
              <w:t>351.9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7"/>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67"/>
              <w:spacing w:after="0"/>
              <w:rPr>
                <w:sz w:val="20"/>
                <w:szCs w:val="20"/>
                <w:color w:val="auto"/>
              </w:rPr>
            </w:pPr>
            <w:r>
              <w:rPr>
                <w:rFonts w:ascii="Arial" w:cs="Arial" w:eastAsia="Arial" w:hAnsi="Arial"/>
                <w:sz w:val="14"/>
                <w:szCs w:val="14"/>
                <w:color w:val="auto"/>
              </w:rPr>
              <w:t>7,825.4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8,170.7</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tcPr>
          <w:p>
            <w:pPr>
              <w:jc w:val="right"/>
              <w:ind w:right="47"/>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tcPr>
          <w:p>
            <w:pPr>
              <w:jc w:val="right"/>
              <w:ind w:right="47"/>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351"/>
        </w:trPr>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60" w:type="dxa"/>
            <w:vAlign w:val="bottom"/>
          </w:tcPr>
          <w:p>
            <w:pPr>
              <w:jc w:val="right"/>
              <w:ind w:right="47"/>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76"/>
        </w:trPr>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60" w:type="dxa"/>
            <w:vAlign w:val="bottom"/>
          </w:tcPr>
          <w:p>
            <w:pPr>
              <w:jc w:val="right"/>
              <w:ind w:right="47"/>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3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4"/>
                <w:szCs w:val="14"/>
                <w:color w:val="auto"/>
              </w:rPr>
              <w:t>467.2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4"/>
                <w:szCs w:val="14"/>
                <w:color w:val="auto"/>
              </w:rPr>
              <w:t>10,522.4</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4"/>
                <w:szCs w:val="14"/>
                <w:color w:val="auto"/>
              </w:rPr>
              <w:t>3,562.3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(995.4)</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13,549.3</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-2032000</wp:posOffset>
            </wp:positionV>
            <wp:extent cx="722947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-1689100</wp:posOffset>
            </wp:positionV>
            <wp:extent cx="72294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-1200150</wp:posOffset>
            </wp:positionV>
            <wp:extent cx="7229475"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9475" cy="22288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-753745</wp:posOffset>
            </wp:positionV>
            <wp:extent cx="722947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-359410</wp:posOffset>
            </wp:positionV>
            <wp:extent cx="722947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ectPr>
          <w:pgSz w:w="11900" w:h="16838" w:orient="portrait"/>
          <w:cols w:equalWidth="0" w:num="2">
            <w:col w:w="2060" w:space="140"/>
            <w:col w:w="9200"/>
          </w:cols>
          <w:pgMar w:left="240" w:top="121" w:right="259" w:bottom="1440" w:gutter="0" w:footer="0" w:header="0"/>
          <w:type w:val="continuous"/>
        </w:sect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1"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have been prepared in accordance with United States generally accepted accounting principles (“GAAP”) and rules and regulations of the Securities and Exchange Commission (“SEC”) pertaining to interim financial information. As permitted under those rules, certain footnotes or other financial information that are normally required by GAAP have been condensed or omitted.</w:t>
      </w:r>
    </w:p>
    <w:p>
      <w:pPr>
        <w:spacing w:after="0" w:line="13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ending December 31, 2017.</w:t>
      </w:r>
    </w:p>
    <w:p>
      <w:pPr>
        <w:spacing w:after="0" w:line="5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this Quarterly Report on Form 10-Q, we are reporting the results of our operations for the three months and six months ended June 30, 2017, which consist of the combined results of operations of Technip S.A. (“Technip”) and FMC Technologies, Inc. (“FMC Technologies”). Due to the merger of FMC Technologies and Technip, FMC Technologies’ results of operations have been included in our financial statements for periods subsequent to the consummation of the merger on January 16, 2017.</w:t>
      </w:r>
    </w:p>
    <w:p>
      <w:pPr>
        <w:spacing w:after="0" w:line="133"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Since TechnipFMC is the successor company to Technip, we are presenting the results of Technip’s operations for the three months and six months ended June 30, 2016 and as of December 31, 2016. Refer to Note 2 for further information related to the merger of FMC Technologies and Technip.</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Principles of consolidation</w:t>
      </w:r>
      <w:r>
        <w:rPr>
          <w:rFonts w:ascii="Arial" w:cs="Arial" w:eastAsia="Arial" w:hAnsi="Arial"/>
          <w:sz w:val="16"/>
          <w:szCs w:val="16"/>
          <w:color w:val="auto"/>
        </w:rPr>
        <w:t>—The consolidated financial statements include the accounts of TechnipFMC and its majority-owned subsidiaries and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Intercompany accounts and transactions are eliminated in consolidation.</w:t>
      </w:r>
    </w:p>
    <w:p>
      <w:pPr>
        <w:spacing w:after="0" w:line="15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Use of estimates</w:t>
      </w:r>
      <w:r>
        <w:rPr>
          <w:rFonts w:ascii="Arial" w:cs="Arial" w:eastAsia="Arial" w:hAnsi="Arial"/>
          <w:sz w:val="17"/>
          <w:szCs w:val="17"/>
          <w:color w:val="auto"/>
        </w:rPr>
        <w:t>—The preparation of financial statements in conformity with GAAP requires management to make estimates and assumptions that affect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amounts of assets and liabilities and disclosures of contingent assets and liabilities at the date of the financial statements and the reported amounts of revenue and expenses during the reporting period. Actual results could differ from those estimates. Such estimates include, but are not limited to, estimates of total contract profit or loss on long-term construction-type contracts; estimated realizable value on excess and obsolete inventory; estimates related to pension accounting; estimates related to fair value for purposes of assessing goodwill, long-lived assets and intangible assets for impairment; estimates related to income taxes; and estimates related to contingencies, including liquidated damages.</w:t>
      </w:r>
    </w:p>
    <w:p>
      <w:pPr>
        <w:spacing w:after="0" w:line="12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auto"/>
        </w:rPr>
        <w:t>Investments in the common stock of unconsolidated affiliates</w:t>
      </w:r>
      <w:r>
        <w:rPr>
          <w:rFonts w:ascii="Arial" w:cs="Arial" w:eastAsia="Arial" w:hAnsi="Arial"/>
          <w:sz w:val="18"/>
          <w:szCs w:val="18"/>
          <w:color w:val="auto"/>
        </w:rPr>
        <w:t>—The equity method of accounting is used to account for investments in unconsolidated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where we have the ability to exert significant influence over the affiliate’s operating and financial policies. The cost method of accounting is used where significant influence over the affiliate is not present.</w:t>
      </w:r>
    </w:p>
    <w:p>
      <w:pPr>
        <w:ind w:right="80"/>
        <w:spacing w:after="0" w:line="252" w:lineRule="auto"/>
        <w:rPr>
          <w:sz w:val="20"/>
          <w:szCs w:val="20"/>
          <w:color w:val="auto"/>
        </w:rPr>
      </w:pPr>
      <w:r>
        <w:rPr>
          <w:rFonts w:ascii="Arial" w:cs="Arial" w:eastAsia="Arial" w:hAnsi="Arial"/>
          <w:sz w:val="18"/>
          <w:szCs w:val="18"/>
          <w:color w:val="auto"/>
        </w:rPr>
        <w:t>Investments in unconsolidated affiliates are assessed for impairment whenever events or changes in facts and circumstances indicate the carrying value of the investments may not be fully recoverable. When such a condition is subjectively determined to be other than temporary, the carrying value of the investment is written down to fair value. Management’s assessment as to whether any decline in value is other than temporary is based on our ability and intent to hold the investment and whether evidence indicating the carrying value of the investment is recoverable within a reasonable period of time outweighs evidence to the contrary. Management generally considers our investments in equity method investees to be strategic, long-term investments and completes its assessments for impairment with a long-term viewpoint.</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Investments in which ownership is less than 20% or that do not represent significant investments are reported in other assets on the consolidated balance sheets. Where no active market exists and where no other valuation method can be used, these financial assets are maintained at historical cost, less any accumulated impairment losses.</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Business combinations are accounted for using the acquisition method of accounting. Under the acquisition method, assets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assumed are recorded at their respective fair values as of the acquisition date. Determining the fair value of assets and liabilities involves significant judgment regarding methods and assumptions used to calculate estimated fair values. The purchase price is allocated to the assets, assumed liabilities and identifiable intangible assets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based on their estimated fair values. Any excess of the purchase price over the estimated fair values of the net assets acquired is recorded as goodwill.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 related costs are expensed as incurred.</w:t>
      </w:r>
    </w:p>
    <w:p>
      <w:pPr>
        <w:spacing w:after="0" w:line="15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—Revenue is generally recognized once the following four criteria are met: i) persuasive evidence of an arrangement exists, ii)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equipment has occurred (which is upon shipment or when customer-specific acceptance requirements are met) or services have been rendered, iii) the price of the equipment or service is fixed and determinable, and iv) collectability is reasonably assured. We record our sales net of any value added, sales or use tax.</w:t>
      </w:r>
    </w:p>
    <w:p>
      <w:pPr>
        <w:spacing w:after="0" w:line="13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 xml:space="preserve">For certain construction-type manufacturing and assembly projects that involve significant design and engineering efforts to satisfy detailed customer specifications, revenue is recognized using the percentage of completion method of accounting. Under the percentage of completion method, revenue is recognized as work progresses on each contract. We apply the ratio of costs incurred to date to total estimated contract costs at completion or </w:t>
      </w:r>
      <w:r>
        <w:rPr>
          <w:rFonts w:ascii="Arial" w:cs="Arial" w:eastAsia="Arial" w:hAnsi="Arial"/>
          <w:sz w:val="17"/>
          <w:szCs w:val="17"/>
          <w:color w:val="231F20"/>
        </w:rPr>
        <w:t>on physical</w:t>
      </w:r>
      <w:r>
        <w:rPr>
          <w:rFonts w:ascii="Arial" w:cs="Arial" w:eastAsia="Arial" w:hAnsi="Arial"/>
          <w:sz w:val="17"/>
          <w:szCs w:val="17"/>
          <w:color w:val="auto"/>
        </w:rPr>
        <w:t xml:space="preserve"> </w:t>
      </w:r>
      <w:r>
        <w:rPr>
          <w:rFonts w:ascii="Arial" w:cs="Arial" w:eastAsia="Arial" w:hAnsi="Arial"/>
          <w:sz w:val="17"/>
          <w:szCs w:val="17"/>
          <w:color w:val="231F20"/>
        </w:rPr>
        <w:t>progress defined for the main deliverables under the contracts</w:t>
      </w:r>
      <w:r>
        <w:rPr>
          <w:rFonts w:ascii="Arial" w:cs="Arial" w:eastAsia="Arial" w:hAnsi="Arial"/>
          <w:sz w:val="17"/>
          <w:szCs w:val="17"/>
          <w:color w:val="000000"/>
        </w:rPr>
        <w:t>. If it is not possible to form a reliable estimate of progress toward completion, no revenue or</w:t>
      </w:r>
      <w:r>
        <w:rPr>
          <w:rFonts w:ascii="Arial" w:cs="Arial" w:eastAsia="Arial" w:hAnsi="Arial"/>
          <w:sz w:val="17"/>
          <w:szCs w:val="17"/>
          <w:color w:val="231F20"/>
        </w:rPr>
        <w:t xml:space="preserve"> </w:t>
      </w:r>
      <w:r>
        <w:rPr>
          <w:rFonts w:ascii="Arial" w:cs="Arial" w:eastAsia="Arial" w:hAnsi="Arial"/>
          <w:sz w:val="17"/>
          <w:szCs w:val="17"/>
          <w:color w:val="000000"/>
        </w:rPr>
        <w:t>costs are recognized until the project is complete or substantially complete. Any expected losses on construction-type contracts in progress are charged to earnings, in total, in the period the losses are identified.</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Modifications to construction-type contracts, referred to as “change orders,” effectively change the provisions of the original contract, and may, for example, alter the specifications or design, method or manner of performance, equipment, materials, sites and/or period for completion of the work. If a change order represents a firm price commitment from a customer, we account for the revised estimate as if it had been included in the original estimate, effectively recognizing the pro rata impact of the new estimate on our calculation of progress toward completion in the period in which the firm commitment is received. If a change order is unpriced: (1) we include the costs of contract performance in our calculation of progress toward completion in the period in which the costs are incurred or become probable; and (2) when it is determined that the revenue is probable of recovery, we include the change order revenue, limited to the costs incurred to date related to the change order, in our calculation of progress toward completion. Unpriced change orders included in revenue were immaterial to our consolidated revenue for all periods presented. Margin is not recorded on unpriced change orders unless realization is assured beyond a reasonable doubt. The assessment of realization may be based upon our previous experience with the customer or based upon our receipt of a firm price commitment from the customer.</w:t>
      </w:r>
    </w:p>
    <w:p>
      <w:pPr>
        <w:spacing w:after="0" w:line="12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Progress billings are generally issued upon completion of certain phases of the work as stipulated in the contract. Revenue in excess of progress billings are reported in costs and estimated earnings in excess of billings on uncompleted contracts in our condensed consolidated balance sheets. Progress billings and cash collections in excess of revenue recognized on a contract are classified as billings in excess of costs and estimated earnings on uncompleted contracts and advance payments, respectively, in our condensed consolidated balance sheets. Revenue generated from the installation portion of construction-type contracts is included in service and product revenue in our condensed consolidated statements of income.</w:t>
      </w:r>
    </w:p>
    <w:p>
      <w:pPr>
        <w:spacing w:after="0" w:line="1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—Cash equivalents are highly-liquid, short-term instruments with original maturities of generally three months or less from their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Trade receivables, net of allowances</w:t>
      </w:r>
      <w:r>
        <w:rPr>
          <w:rFonts w:ascii="Arial" w:cs="Arial" w:eastAsia="Arial" w:hAnsi="Arial"/>
          <w:sz w:val="18"/>
          <w:szCs w:val="18"/>
          <w:color w:val="auto"/>
        </w:rPr>
        <w:t>—An allowance for doubtful accounts is provided on receivables equal to the estimated uncollectible amounts. This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is based on historical collection experience and a specific review of each customer’s receivables balance.</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Inventories</w:t>
      </w:r>
      <w:r>
        <w:rPr>
          <w:rFonts w:ascii="Arial" w:cs="Arial" w:eastAsia="Arial" w:hAnsi="Arial"/>
          <w:sz w:val="17"/>
          <w:szCs w:val="17"/>
          <w:color w:val="auto"/>
        </w:rPr>
        <w:t>—Inventories are stated at the lower of cost or net realizable value. Inventory costs include those costs directly attributable to products,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all manufacturing overhead, but excluding costs to distribute. The first-in, first-out (“FIFO”) or weighted average methods are used to determine the cost for most other inventories. Cost for a significant portion of the U.S. domiciled inventories is determined on the last-in, first-out (“LIFO”) method. Write-down on inventories are recorded when the net realizable value of inventories is lower than their net book value.</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Impairment of property, plant and equipment</w:t>
      </w:r>
      <w:r>
        <w:rPr>
          <w:rFonts w:ascii="Arial" w:cs="Arial" w:eastAsia="Arial" w:hAnsi="Arial"/>
          <w:sz w:val="16"/>
          <w:szCs w:val="16"/>
          <w:color w:val="auto"/>
        </w:rPr>
        <w:t>—Property, plant and equipment are reviewed for impairment whenever events or changes in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the carrying value of the long-lived asset may not be recoverable. The carrying value of a long-lived asset is not recoverable if it exceeds the sum of the undiscounted cash flows expected to result from the use and eventual disposition of the asset. If it is determined that an impairment loss has occurred, the impairment loss is measured as the amount by which the carrying value of the long-lived asset exceeds its fair value.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classified as held for sale are reported at the lower of carrying value or fair value less cost to sell.</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—Goodwill is not subject to amortization but is tested for impairment on an annual basis (or more frequently if impairment indicators arise).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established October 31 as the date of our annual test for impairment of goodwill. Reporting units with goodwill are tested for impairment by first assessing qualitative factors to determine whether the existence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1"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of events or circumstances leads to a determination that it is more likely than not that the fair value of the reporting unit is less than its carrying amount. If after assessing the totality of events or circumstances, or based on management’s judgment, we determine it is more likely than not that the fair value of a reporting unit is less than its carrying amount, a two-step impairment test is performed. The first step compares the fair value of the reporting unit (measured as the present value of expected future cash flows) to its carrying amount. If the fair value of the reporting unit is less than its carrying amount, a second step is performed. In this step, the fair value of the reporting unit is allocated to its assets and liabilities to determine the implied fair value of goodwill, which is used to measure the impairment loss.</w:t>
      </w:r>
    </w:p>
    <w:p>
      <w:pPr>
        <w:spacing w:after="0" w:line="13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Debt instruments—</w:t>
      </w:r>
      <w:r>
        <w:rPr>
          <w:rFonts w:ascii="Arial" w:cs="Arial" w:eastAsia="Arial" w:hAnsi="Arial"/>
          <w:sz w:val="18"/>
          <w:szCs w:val="18"/>
          <w:color w:val="231F20"/>
        </w:rPr>
        <w:t>Debt instruments include convertible and synthetic bonds, senior and private placement notes and other borrowings. Issuance fees and</w:t>
      </w:r>
      <w:r>
        <w:rPr>
          <w:rFonts w:ascii="Arial" w:cs="Arial" w:eastAsia="Arial" w:hAnsi="Arial"/>
          <w:sz w:val="18"/>
          <w:szCs w:val="18"/>
          <w:i w:val="1"/>
          <w:iCs w:val="1"/>
          <w:color w:val="auto"/>
        </w:rPr>
        <w:t xml:space="preserve"> </w:t>
      </w:r>
      <w:r>
        <w:rPr>
          <w:rFonts w:ascii="Arial" w:cs="Arial" w:eastAsia="Arial" w:hAnsi="Arial"/>
          <w:sz w:val="18"/>
          <w:szCs w:val="18"/>
          <w:color w:val="231F20"/>
        </w:rPr>
        <w:t>redemption premium on all debt instruments are included in the cost of debt in the condensed consolidated balance sheets, as an adjustment to the nominal amount of the debt.</w:t>
      </w:r>
    </w:p>
    <w:p>
      <w:pPr>
        <w:spacing w:after="0" w:line="12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i w:val="1"/>
          <w:iCs w:val="1"/>
          <w:color w:val="auto"/>
        </w:rPr>
        <w:t>Fair value measurements</w:t>
      </w:r>
      <w:r>
        <w:rPr>
          <w:rFonts w:ascii="Arial" w:cs="Arial" w:eastAsia="Arial" w:hAnsi="Arial"/>
          <w:sz w:val="17"/>
          <w:szCs w:val="17"/>
          <w:color w:val="auto"/>
        </w:rPr>
        <w:t>—Fair value is defined as the price that would be received to sell an asset or paid to transfer a liability (an exit price) in an orderly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between market participants at the reporting date. The fair value framework requires the categorization of assets and liabilities measured at fair value into three levels based upon the assumptions (inputs) used to price the assets or liabilities, with the exception of certain assets and liabilities measured using the net asset value practical expedient, which are not required to be leveled. Level 1 provides the most reliable measure of fair value, whereas Level 3 generally requires significant management judgment. The three levels are defined as follows:</w:t>
      </w:r>
    </w:p>
    <w:p>
      <w:pPr>
        <w:spacing w:after="0" w:line="37" w:lineRule="exact"/>
        <w:rPr>
          <w:sz w:val="20"/>
          <w:szCs w:val="20"/>
          <w:color w:val="auto"/>
        </w:rPr>
      </w:pPr>
    </w:p>
    <w:p>
      <w:pPr>
        <w:ind w:left="740" w:hanging="570"/>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90" w:lineRule="exact"/>
        <w:rPr>
          <w:rFonts w:ascii="Arial" w:cs="Arial" w:eastAsia="Arial" w:hAnsi="Arial"/>
          <w:sz w:val="18"/>
          <w:szCs w:val="18"/>
          <w:color w:val="auto"/>
        </w:rPr>
      </w:pPr>
    </w:p>
    <w:p>
      <w:pPr>
        <w:ind w:left="740" w:right="40" w:hanging="570"/>
        <w:spacing w:after="0" w:line="277" w:lineRule="auto"/>
        <w:tabs>
          <w:tab w:leader="none" w:pos="7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or quoted prices for identical assets or liabilities in inactive markets.</w:t>
      </w:r>
    </w:p>
    <w:p>
      <w:pPr>
        <w:spacing w:after="0" w:line="35" w:lineRule="exact"/>
        <w:rPr>
          <w:rFonts w:ascii="Arial" w:cs="Arial" w:eastAsia="Arial" w:hAnsi="Arial"/>
          <w:sz w:val="18"/>
          <w:szCs w:val="18"/>
          <w:i w:val="1"/>
          <w:iCs w:val="1"/>
          <w:color w:val="auto"/>
        </w:rPr>
      </w:pPr>
    </w:p>
    <w:p>
      <w:pPr>
        <w:ind w:left="740" w:right="20" w:hanging="570"/>
        <w:spacing w:after="0" w:line="277" w:lineRule="auto"/>
        <w:tabs>
          <w:tab w:leader="none" w:pos="7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 pricing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—Current income taxes are provided on income reported for financial statement purposes, adjusted for transactions that do not enter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computation of income taxes payable in the same year. Deferred tax assets and liabilities are measured using enacted tax rates for the expected future tax consequences of temporary differences between the carrying amounts and the tax basis of assets and liabilities. A valuation allowance is established whenever management believes that it is more likely than not that deferred tax assets may not be realizable.</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Income taxes are not provided on our equity in undistributed earnings of foreign subsidiaries or affiliates to the extent we have determined that the earnings are indefinitely reinvested. Income taxes are provided on such earnings in the period in which we can no longer support that such earnings are indefinitely reinvested.</w:t>
      </w:r>
    </w:p>
    <w:p>
      <w:pPr>
        <w:spacing w:after="0" w:line="3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Tax benefits related to uncertain tax positions are recognized when it is more likely than not, based on the technical merits, that the position will be sustained upon examination.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expense and penalties recognized on underpayments of income taxes as income tax expense.</w:t>
      </w:r>
    </w:p>
    <w:p>
      <w:pPr>
        <w:spacing w:after="0" w:line="34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Stock-based employee compensation</w:t>
      </w:r>
      <w:r>
        <w:rPr>
          <w:rFonts w:ascii="Arial" w:cs="Arial" w:eastAsia="Arial" w:hAnsi="Arial"/>
          <w:sz w:val="17"/>
          <w:szCs w:val="17"/>
          <w:color w:val="auto"/>
        </w:rPr>
        <w:t>—The measurement of stock-based compensation expense on restricted stock awards is based on the market price at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date and the number of shares awarded. We used the Cox Ross Rubinstein binomial model to measure the fair value of stock options granted prior to December 31, 2016 and Black-Scholes options pricing model to measure the fair value of stock options granted since January 1, 2017. The stock-based compensation expense for each award is recognized ratably over the applicable service period, after taking into account estimated forfeitures, or the period beginning at the start of the service period and ending when an employee becomes eligible for retirement.</w:t>
      </w:r>
    </w:p>
    <w:p>
      <w:pPr>
        <w:spacing w:after="0" w:line="11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Ordinary shares held in employee benefit trust</w:t>
      </w:r>
      <w:r>
        <w:rPr>
          <w:rFonts w:ascii="Arial" w:cs="Arial" w:eastAsia="Arial" w:hAnsi="Arial"/>
          <w:sz w:val="18"/>
          <w:szCs w:val="18"/>
          <w:color w:val="auto"/>
        </w:rPr>
        <w:t>—Our ordinary shares are purchased by the plan administrator of the FMC Technologies, Inc.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Savings and Investment Plan and placed in a trust that we own. Purchased shares are recorded at cost and classified as a reduction of stockholders’ equity on the condensed consolidated balance sheets.</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Treasury shares</w:t>
      </w:r>
      <w:r>
        <w:rPr>
          <w:rFonts w:ascii="Arial" w:cs="Arial" w:eastAsia="Arial" w:hAnsi="Arial"/>
          <w:sz w:val="18"/>
          <w:szCs w:val="18"/>
          <w:color w:val="auto"/>
        </w:rPr>
        <w:t>—Treasury shares are recorded as a reduction to stockholders’ equity using the cost method. Any gain or loss related to the sale of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 included in stockholders’ equity.</w:t>
      </w:r>
    </w:p>
    <w:p>
      <w:pPr>
        <w:spacing w:after="0" w:line="1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Earnings per ordinary share (“EPS”)</w:t>
      </w:r>
      <w:r>
        <w:rPr>
          <w:rFonts w:ascii="Arial" w:cs="Arial" w:eastAsia="Arial" w:hAnsi="Arial"/>
          <w:sz w:val="18"/>
          <w:szCs w:val="18"/>
          <w:color w:val="auto"/>
        </w:rPr>
        <w:t>—Basic EPS is computed using the weighted-average number of ordinary shares outstanding during the year. We use</w:t>
      </w:r>
      <w:r>
        <w:rPr>
          <w:rFonts w:ascii="Arial" w:cs="Arial" w:eastAsia="Arial" w:hAnsi="Arial"/>
          <w:sz w:val="18"/>
          <w:szCs w:val="18"/>
          <w:i w:val="1"/>
          <w:iCs w:val="1"/>
          <w:color w:val="auto"/>
        </w:rPr>
        <w:t xml:space="preserve"> </w:t>
      </w:r>
      <w:r>
        <w:rPr>
          <w:rFonts w:ascii="Arial" w:cs="Arial" w:eastAsia="Arial" w:hAnsi="Arial"/>
          <w:sz w:val="18"/>
          <w:szCs w:val="18"/>
          <w:color w:val="auto"/>
        </w:rPr>
        <w:t>the treasury stock method to compute diluted EPS which gives effect to the potential dilution of earnings that could have occurred if additional shares were issued for awards granted under our incentive compensation and stock plan. The treasury stock method assumes proceeds that would be obtained upon exercise of awards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granted under our incentive compensation and stock plan are used to purchase outstanding ordinary shares at the average market price during the period.</w:t>
      </w:r>
    </w:p>
    <w:p>
      <w:pPr>
        <w:spacing w:after="0" w:line="1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Convertible bonds that could be converted into or be exchangeable for new or existing shares would additionally result in a dilution of earnings per share. The ordinary shares assumed to be converted as of the issuance date are included to compute diluted EPS under the if-converted method. Additionally, the net profit of the period is adjusted as if converted for the after-tax interest expense related to these dilutive shares.</w:t>
      </w:r>
    </w:p>
    <w:p>
      <w:pPr>
        <w:spacing w:after="0" w:line="12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Foreign currency</w:t>
      </w:r>
      <w:r>
        <w:rPr>
          <w:rFonts w:ascii="Arial" w:cs="Arial" w:eastAsia="Arial" w:hAnsi="Arial"/>
          <w:sz w:val="17"/>
          <w:szCs w:val="17"/>
          <w:color w:val="auto"/>
        </w:rPr>
        <w:t>—Financial statements of operations for which the U.S. dollar is not the functional currency, and are located in non-highly inflationary</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are translated into U.S. dollars prior to consolidation. Assets and liabilities are translated at the exchange rate in effect at the balance sheet date, while income statement accounts are translated at the average exchange rate for each period. For these operations, translation gains and losses are recorded as a component of accumulated other comprehensive income (loss) in stockholders’ equity until the foreign entity is sold or liquidated. For operations in highly inflationary countries and where the local currency is not the functional currency, inventories, property, plant and equipment, and other non-current assets are converted to U.S. dollars at historical exchange rates, and all gains or losses from conversion are included in net income. Foreign currency effects on cash, cash equivalents and debt in hyperinflationary economies are included in interest income or expense.</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certain committed and anticipated future cash flows and recognized assets and liabilities which are denominated in a foreign currency, we may choose to manage our risk against changes in the exchange rates, when compared against the functional currency, through the economic netting of exposures instead of derivative instruments. Cash outflows or liabilities in a foreign currency are matched against cash inflows or assets in the same currency, such that movements in exchanges rates will result in offsetting gains or losses. Due to the inherent unpredictability of the timing of cash flows, gains and losses in the current period may be economically offset by gains and losses in a future period. All gains and losses are recorded in our consolidated statements of income in the period in which they are incurred. Gains and losses from the remeasurement of assets and liabilities are recognized in other income (expense), net.</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Derivative instruments—</w:t>
      </w:r>
      <w:r>
        <w:rPr>
          <w:rFonts w:ascii="Arial" w:cs="Arial" w:eastAsia="Arial" w:hAnsi="Arial"/>
          <w:sz w:val="18"/>
          <w:szCs w:val="18"/>
          <w:color w:val="auto"/>
        </w:rPr>
        <w:t>Derivatives are recognized on the condensed consolidated balance sheets at fair value, with classification as current or non-current</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the maturity of the derivative instrument. Changes in the fair value of derivative instruments are recorded in current earnings or deferred in accumulated other comprehensive income (loss), depending on the type of hedging transaction and whether a derivative is designated as, and is effective as, a hedge. Each instrument is accounted for individually and assets and liabilities are not offset.</w:t>
      </w:r>
    </w:p>
    <w:p>
      <w:pPr>
        <w:spacing w:after="0" w:line="13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Hedge accounting is only applied when the derivative is deemed to be highly effective at offsetting changes in anticipated cash flows of the hedged item or transaction. Changes in fair value of derivatives that are designated as cash flow hedges are deferred in accumulated other comprehensive income (loss) until the underlying transactions are recognized in earnings. At such time, related deferred hedging gains or losses are recorded in earnings on the same line as the hedged item. Effectiveness is assessed at the inception of the hedge and on a quarterly basis. Effectiveness of forward contract cash flow hedges are assessed based solely on changes in fair value attributable to the change in the spot rate. The change in the fair value of the contract related to the change in forward rates is excluded from the assessment of hedge effectiveness. Changes in this excluded component of the derivative instrument, along with any ineffectiveness identified, are recorded in earnings as incurred. We document our risk management strategy and hedge effectiveness at the inception of, and during the term of, each hedge.</w:t>
      </w:r>
    </w:p>
    <w:p>
      <w:pPr>
        <w:spacing w:after="0" w:line="1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also use forward contracts to hedge foreign currency assets and liabilities, for which we do not apply hedge accounting. The changes in fair value of these contracts are recognized in other income (expense), net on our condensed consolidated statements of income, as they occur and offset gains or losses on the remeasurement of the related asset or liability.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MERGER OF FMC TECHNOLOGIES AND TECHNIP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merger of FMC Technologies and Technip</w:t>
      </w:r>
    </w:p>
    <w:p>
      <w:pPr>
        <w:spacing w:after="0" w:line="17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June 14, 2016, FMC Technologies and Technip entered into a definitive business combination agreement providing for the business combination among FMC Technologies, FMC Technologies SIS Limited, a private limited company incorporated under the laws of England and Wales and a wholly-owned subsidiary of FMC Technologies, and Technip. On August 4, 2016, the legal name of FMC Technologies SIS Limited was changed to TechnipFMC Limited, and on January 11, 2017, was subsequently re-registered as TechnipFMC plc, a public limited company incorporated under the laws of England and Wales.</w:t>
      </w:r>
    </w:p>
    <w:p>
      <w:pPr>
        <w:spacing w:after="0" w:line="10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January 16, 2017, the business combination was completed. Pursuant to the terms of the definitive business combination agreement, Technip merged with and into TechnipFMC, with TechnipFMC continuing as the surviving company (the “Technip Merger”), and each ordinary share of Technip (the “Technip Shares”), other than Technip Shares owned by Technip or 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wholly-owned subsidiaries, were exchanged for 2.0 ordinary shares of TechnipFMC, subject to the terms of the definitive business combination agreement. Immediately following the Technip Merger, a wholly-owned indirect subsidiary of TechnipFMC (“Merger Sub”) merged with and into FMC Technologies, with FMC Technologies continuing as the surviving company and as a wholly-owned indirect subsidiary of TechnipFMC (the “FMCTI Merger”), and each share of common stock of FMC Technologies (the “FMCTI Shares”), other than FMCTI Shares owned by FMC Technologies, TechnipFMC, Merger Sub or their wholly-owned subsidiaries, were exchanged for 1.0 ordinary share of TechnipFMC, subject to the terms of the definitive business combination agreement.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Under the acquisition method of accounting, Technip was identified as the accounting acquirer and acquired a 100% interest in FMC Technologies.</w:t>
      </w:r>
    </w:p>
    <w:p>
      <w:pPr>
        <w:spacing w:after="0" w:line="183"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color w:val="auto"/>
        </w:rPr>
        <w:t>The merger of FMC Technologies and Technip (the “Merger”) has created a larger and more diversified company that is better equipped to respond to economic and industry developments and better positioned to develop and build on its offerings in the subsea, surface, and onshore/offshore markets as compared to the former companies on a standalone basis. More importantly, the Merger will bring about the ability of the combined company to (i) standardize its product and service offerings to customers, (ii) reduce costs to customers, and (iii) provide integrated product offerings to the oil and gas industry with the aim to innovate the markets in which the combined company operates.</w:t>
      </w:r>
    </w:p>
    <w:p>
      <w:pPr>
        <w:spacing w:after="0" w:line="1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incurred merger transaction and integration costs of $23.3 million and $78.0 million in the three and six months ended June 30, 2017, respectively, and $16.7 million in the three and six months ended June 30,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FMC Technologies as Accounting Acquiree</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FMC Technologies is a global provider of technology solutions for the energy industry. FMC Technologies designs, manufactures and services technologically sophisticated systems and products, including subsea production and processing systems, surface wellhead production systems, high pressure fluid control equipment, measurement solutions and marine loading systems for the energy industry. Subsea systems produced by FMC Technologies are used in the offshore production of crude oil and natural gas and are placed on the seafloor to control the flow of crude oil and natural gas from the reservoir to a host processing facility. Additionally, FMC Technologies provides a full range of drilling, completion and production wellhead systems for both standard and custom-engineered applications. Surface wellhead production systems, or trees, are used to control and regulate the flow of crude oil and natural gas from the well and are used in both onshore and offshore applications.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Transferred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acquisition-date fair value of the consideration transferred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14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6"/>
        </w:trPr>
        <w:tc>
          <w:tcPr>
            <w:tcW w:w="20" w:type="dxa"/>
            <w:vAlign w:val="bottom"/>
          </w:tcPr>
          <w:p>
            <w:pPr>
              <w:spacing w:after="0"/>
              <w:rPr>
                <w:sz w:val="22"/>
                <w:szCs w:val="22"/>
                <w:color w:val="auto"/>
              </w:rPr>
            </w:pPr>
          </w:p>
        </w:tc>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FMC Technologies, Inc. shares subject to exchange as of January 16, 2017</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w:t>
            </w:r>
          </w:p>
        </w:tc>
      </w:tr>
      <w:tr>
        <w:trPr>
          <w:trHeight w:val="270"/>
        </w:trPr>
        <w:tc>
          <w:tcPr>
            <w:tcW w:w="20" w:type="dxa"/>
            <w:vAlign w:val="bottom"/>
          </w:tcPr>
          <w:p>
            <w:pPr>
              <w:spacing w:after="0"/>
              <w:rPr>
                <w:sz w:val="23"/>
                <w:szCs w:val="23"/>
                <w:color w:val="auto"/>
              </w:rPr>
            </w:pPr>
          </w:p>
        </w:tc>
        <w:tc>
          <w:tcPr>
            <w:tcW w:w="10140" w:type="dxa"/>
            <w:vAlign w:val="bottom"/>
            <w:tcBorders>
              <w:bottom w:val="single" w:sz="8" w:color="CCEEFF"/>
            </w:tcBorders>
          </w:tcPr>
          <w:p>
            <w:pPr>
              <w:ind w:left="260"/>
              <w:spacing w:after="0" w:line="270" w:lineRule="exact"/>
              <w:rPr>
                <w:sz w:val="20"/>
                <w:szCs w:val="20"/>
                <w:color w:val="auto"/>
              </w:rPr>
            </w:pPr>
            <w:r>
              <w:rPr>
                <w:rFonts w:ascii="Arial" w:cs="Arial" w:eastAsia="Arial" w:hAnsi="Arial"/>
                <w:sz w:val="18"/>
                <w:szCs w:val="18"/>
                <w:color w:val="auto"/>
              </w:rPr>
              <w:t xml:space="preserve">FMC Technologies, Inc. exchange ratio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44"/>
        </w:trPr>
        <w:tc>
          <w:tcPr>
            <w:tcW w:w="20" w:type="dxa"/>
            <w:vAlign w:val="bottom"/>
          </w:tcPr>
          <w:p>
            <w:pPr>
              <w:spacing w:after="0"/>
              <w:rPr>
                <w:sz w:val="21"/>
                <w:szCs w:val="21"/>
                <w:color w:val="auto"/>
              </w:rPr>
            </w:pPr>
          </w:p>
        </w:tc>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of TechnipFMC issued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r>
      <w:tr>
        <w:trPr>
          <w:trHeight w:val="270"/>
        </w:trPr>
        <w:tc>
          <w:tcPr>
            <w:tcW w:w="20" w:type="dxa"/>
            <w:vAlign w:val="bottom"/>
          </w:tcPr>
          <w:p>
            <w:pPr>
              <w:spacing w:after="0"/>
              <w:rPr>
                <w:sz w:val="23"/>
                <w:szCs w:val="23"/>
                <w:color w:val="auto"/>
              </w:rPr>
            </w:pPr>
          </w:p>
        </w:tc>
        <w:tc>
          <w:tcPr>
            <w:tcW w:w="10140" w:type="dxa"/>
            <w:vAlign w:val="bottom"/>
            <w:tcBorders>
              <w:bottom w:val="single" w:sz="8" w:color="CCEEFF"/>
            </w:tcBorders>
          </w:tcPr>
          <w:p>
            <w:pPr>
              <w:ind w:left="260"/>
              <w:spacing w:after="0" w:line="270" w:lineRule="exact"/>
              <w:rPr>
                <w:sz w:val="20"/>
                <w:szCs w:val="20"/>
                <w:color w:val="auto"/>
              </w:rPr>
            </w:pPr>
            <w:r>
              <w:rPr>
                <w:rFonts w:ascii="Arial" w:cs="Arial" w:eastAsia="Arial" w:hAnsi="Arial"/>
                <w:sz w:val="18"/>
                <w:szCs w:val="18"/>
                <w:color w:val="auto"/>
              </w:rPr>
              <w:t xml:space="preserve">Value per share of Technip as of January 16, 2017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w:t>
            </w:r>
          </w:p>
        </w:tc>
      </w:tr>
      <w:tr>
        <w:trPr>
          <w:trHeight w:val="244"/>
        </w:trPr>
        <w:tc>
          <w:tcPr>
            <w:tcW w:w="20" w:type="dxa"/>
            <w:vAlign w:val="bottom"/>
          </w:tcPr>
          <w:p>
            <w:pPr>
              <w:spacing w:after="0"/>
              <w:rPr>
                <w:sz w:val="21"/>
                <w:szCs w:val="21"/>
                <w:color w:val="auto"/>
              </w:rPr>
            </w:pPr>
          </w:p>
        </w:tc>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8,170.7</w:t>
            </w:r>
          </w:p>
        </w:tc>
      </w:tr>
      <w:tr>
        <w:trPr>
          <w:trHeight w:val="186"/>
        </w:trPr>
        <w:tc>
          <w:tcPr>
            <w:tcW w:w="20" w:type="dxa"/>
            <w:vAlign w:val="bottom"/>
          </w:tcPr>
          <w:p>
            <w:pPr>
              <w:spacing w:after="0"/>
              <w:rPr>
                <w:sz w:val="16"/>
                <w:szCs w:val="16"/>
                <w:color w:val="auto"/>
              </w:rPr>
            </w:pPr>
          </w:p>
        </w:tc>
        <w:tc>
          <w:tcPr>
            <w:tcW w:w="10140" w:type="dxa"/>
            <w:vAlign w:val="bottom"/>
          </w:tcPr>
          <w:p>
            <w:pPr>
              <w:spacing w:after="0"/>
              <w:rPr>
                <w:sz w:val="20"/>
                <w:szCs w:val="20"/>
                <w:color w:val="auto"/>
              </w:rPr>
            </w:pPr>
            <w:r>
              <w:rPr>
                <w:rFonts w:ascii="Arial" w:cs="Arial" w:eastAsia="Arial" w:hAnsi="Arial"/>
                <w:sz w:val="14"/>
                <w:szCs w:val="14"/>
                <w:b w:val="1"/>
                <w:bCs w:val="1"/>
                <w:color w:val="auto"/>
              </w:rPr>
              <w:t>_______________________</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65" w:lineRule="exact"/>
        <w:rPr>
          <w:sz w:val="20"/>
          <w:szCs w:val="20"/>
          <w:color w:val="auto"/>
        </w:rPr>
      </w:pPr>
    </w:p>
    <w:p>
      <w:pPr>
        <w:ind w:left="660" w:right="60" w:hanging="652"/>
        <w:spacing w:after="0" w:line="246" w:lineRule="auto"/>
        <w:tabs>
          <w:tab w:leader="none" w:pos="660" w:val="left"/>
        </w:tabs>
        <w:numPr>
          <w:ilvl w:val="0"/>
          <w:numId w:val="6"/>
        </w:numPr>
        <w:rPr>
          <w:rFonts w:ascii="Arial" w:cs="Arial" w:eastAsia="Arial" w:hAnsi="Arial"/>
          <w:sz w:val="9"/>
          <w:szCs w:val="9"/>
          <w:color w:val="auto"/>
        </w:rPr>
      </w:pPr>
      <w:r>
        <w:rPr>
          <w:rFonts w:ascii="Arial" w:cs="Arial" w:eastAsia="Arial" w:hAnsi="Arial"/>
          <w:sz w:val="14"/>
          <w:szCs w:val="14"/>
          <w:color w:val="auto"/>
        </w:rPr>
        <w:t>As the calculation is deemed to reflect a share capital increase of the accounting acquirer, the FMC Technologies exchange ratio (1 share of TechnipFMC for 1 share of FMC Technologies as provided in the business combination agreement) is adjusted by dividing the FMC Technologies exchange ratio by the Technip exchange ratio (2 shares of TechnipFMC for 1 share of Technip as provided in the business combination agreement), i.e., 1 ⁄ 2 = 0.5 in order to reflect the number of shares of Technip that FMC Technologies stockholders would have received if Technip was to have issued its own shares.</w:t>
      </w:r>
    </w:p>
    <w:p>
      <w:pPr>
        <w:ind w:left="660" w:hanging="652"/>
        <w:spacing w:after="0"/>
        <w:tabs>
          <w:tab w:leader="none" w:pos="660" w:val="left"/>
        </w:tabs>
        <w:numPr>
          <w:ilvl w:val="0"/>
          <w:numId w:val="6"/>
        </w:numPr>
        <w:rPr>
          <w:rFonts w:ascii="Arial" w:cs="Arial" w:eastAsia="Arial" w:hAnsi="Arial"/>
          <w:sz w:val="8"/>
          <w:szCs w:val="8"/>
          <w:color w:val="auto"/>
        </w:rPr>
      </w:pPr>
      <w:r>
        <w:rPr>
          <w:rFonts w:ascii="Arial" w:cs="Arial" w:eastAsia="Arial" w:hAnsi="Arial"/>
          <w:sz w:val="13"/>
          <w:szCs w:val="13"/>
          <w:color w:val="auto"/>
        </w:rPr>
        <w:t>Closing price of Technip’s ordinary shares on Euronext Paris on January 16, 2017 in Euro converted at the Euro to U.S. dollar exchange rate of $1.0594 on January 16, 2017.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summarizes the preliminary fair values of the assets acquired and liabilities assumed at the acquisition date. The purchase price allocation is subject to revision as additional information about fair value of assets and liabilities becomes available. Additional information that existed as of the acquisition date but at that time was unknown to us may become known during the remainder of the measurement period. The final purchase price allocation will be based on final appraisals and other analysis of fair values of acquired assets and liabilities.</w:t>
      </w: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280"/>
              <w:spacing w:after="0"/>
              <w:rPr>
                <w:sz w:val="20"/>
                <w:szCs w:val="20"/>
                <w:color w:val="auto"/>
              </w:rPr>
            </w:pPr>
            <w:r>
              <w:rPr>
                <w:rFonts w:ascii="Arial" w:cs="Arial" w:eastAsia="Arial" w:hAnsi="Arial"/>
                <w:sz w:val="18"/>
                <w:szCs w:val="18"/>
                <w:color w:val="auto"/>
              </w:rPr>
              <w:t>Cash</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1,479.2</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1,247.4</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764.8</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282.2</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1,286.3</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1,390.3</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Other long-term assets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167.3</w:t>
            </w: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6,823.7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and current portion of 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Accounts payable, trade</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386.0</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467.0</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92.1</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523.8</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Long-term debt, less current portion</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1,444.2</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pension and other post-retirement benefits, less current portion</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418.5</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Total liabilities assumed</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3,984.1</w:t>
            </w: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identifiable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2,839.6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5,331.1</w:t>
            </w: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8,170.7</w:t>
            </w:r>
          </w:p>
        </w:tc>
      </w:tr>
      <w:tr>
        <w:trPr>
          <w:trHeight w:val="20"/>
        </w:trPr>
        <w:tc>
          <w:tcPr>
            <w:tcW w:w="10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Allocation of Goodwill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Goodwill is preliminary due to the draft status of the purchase valuation. The allocation to the reporting segments based on the draft valuation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Allocated Goodwill</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2,596.9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1,689.4</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1,044.8</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5,331.1</w:t>
            </w:r>
          </w:p>
        </w:tc>
      </w:tr>
      <w:tr>
        <w:trPr>
          <w:trHeight w:val="20"/>
        </w:trPr>
        <w:tc>
          <w:tcPr>
            <w:tcW w:w="10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Goodwill is calculated as the excess of the consideration transferred over the net assets recognized and represents the expected revenue and cost synergies of the combined company, which are further described above. Goodwill recognized as a result of the acquisition is not deductible for tax purposes.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Identifiable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identifiable intangible assets acquired include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estimated useful lives)</w:t>
            </w:r>
          </w:p>
        </w:tc>
        <w:tc>
          <w:tcPr>
            <w:tcW w:w="240" w:type="dxa"/>
            <w:vAlign w:val="bottom"/>
          </w:tcPr>
          <w:p>
            <w:pPr>
              <w:spacing w:after="0"/>
              <w:rPr>
                <w:sz w:val="14"/>
                <w:szCs w:val="14"/>
                <w:color w:val="auto"/>
              </w:rPr>
            </w:pPr>
          </w:p>
        </w:tc>
        <w:tc>
          <w:tcPr>
            <w:tcW w:w="11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360" w:type="dxa"/>
            <w:vAlign w:val="bottom"/>
          </w:tcPr>
          <w:p>
            <w:pPr>
              <w:jc w:val="right"/>
              <w:ind w:right="30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technology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Backlog</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175.0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635.0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identifiable intangible assets acquired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1,390.3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FMC Technologies’ results of operations have been included in our financial statements for periods subsequent to the consummation of the Merger on January 16, 2017. FMC Technologies contributed revenues and a net loss of $1,603.8 million and $125.6 million, respectively, for the period from January 17, 2017 through June 30,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Impact of the Merger (unaudited)</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unaudited supplemental pro forma results present consolidated information as if the Merger had been completed as of January 1, 2016. The pro forma results do not include any potential synergies, cost savings or other expected benefits of the Merger. Accordingly, the pro forma results should not be considered indicative of the results that would have occurred if the Merger had been consummated as of January 1, 2016, nor are they indicative of future results. For comparative purposes, the weighted average shares outstanding used for the diluted earnings per share calculation for the three and six months ended June 30, 2017 was also used to calculate the diluted earnings per share for the three and six months ended June 30,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800" w:type="dxa"/>
            <w:vAlign w:val="bottom"/>
            <w:gridSpan w:val="4"/>
          </w:tcPr>
          <w:p>
            <w:pPr>
              <w:jc w:val="right"/>
              <w:ind w:right="597"/>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39"/>
              <w:spacing w:after="0" w:line="153"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57"/>
              <w:spacing w:after="0" w:line="15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19"/>
              <w:spacing w:after="0" w:line="153"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17"/>
              <w:spacing w:after="0" w:line="153"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6"/>
                <w:szCs w:val="16"/>
                <w:color w:val="auto"/>
              </w:rPr>
            </w:pPr>
          </w:p>
        </w:tc>
        <w:tc>
          <w:tcPr>
            <w:tcW w:w="1220" w:type="dxa"/>
            <w:vAlign w:val="bottom"/>
          </w:tcPr>
          <w:p>
            <w:pPr>
              <w:jc w:val="right"/>
              <w:ind w:right="317"/>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3,845.0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7,345.9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7,132.4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w w:val="97"/>
              </w:rPr>
              <w:t>Net income attributable to TechnipFMC adjusted for dilutive effects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Effective January 1, 2017, we adopted Accounting Standards Update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Among other amendments, this update requires that excess tax benefits or deficiencies be recognized as income tax expense or benefit in the income statement and eliminates the requirement to reclassify excess tax benefits and deficiencies from operating activities to financing activities in the statement of cash flows. This updated guidance also gives an entity the election to either (i) estimate the forfeiture rate of employee stock-based awards or (ii) account for forfeitures as they occur. We elected to retrospectively classify excess tax benefits and deficiencies as operating activity and these amounts, which were immaterial for all periods presented, are reflected in the income taxes payable, net line item in the accompanying condensed consolidated statement of cash flows. In addition, we elected to continue to estimate forfeitures on the grant date to account for the estimated number of awards for which the requisite service period will not be rendered. The adoption of this update did not have a material impact on our consolidated financial statements.</w:t>
      </w:r>
    </w:p>
    <w:p>
      <w:pPr>
        <w:spacing w:after="0" w:line="166"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Effective January 1, 2017, we adopted ASU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This update requires in scope inventory to be measured at the lower of cost or net realizable value rather than at the lower of cost or market under existing guidance. We adopted the updated guidance prospectively. The adoption of this update did not have a material impact on our consolidated financial statements.</w:t>
      </w:r>
    </w:p>
    <w:p>
      <w:pPr>
        <w:spacing w:after="0" w:line="11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Effective January 1, 2017, we adopted ASU No.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This update states that substantial doubt exists if it is probable that an entity will be unable to meet its current and future obligations. Disclosures are required if conditions give rise to substantial doubt. However, management will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need to assess if its plans will alleviate substantial doubt to determine the specific disclosures. We adopted this guidance prospectively. The adoption of this update concerns disclosure only as it relates to our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May 2014, the Financial Accounting Standards Board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This update requires an entity to recognize revenue to depict the transfer of promised goods or services to customers in an amount that reflects the consideration to which the entity expects to be entitled in exchange for those goods or services. The ASU will supersede most existing GAAP related to revenue recognition and will supersede some cost guidance in existing GAAP related to construction-type and production-type contract accounting. Additionally, the ASU will significantly increase disclosures related to revenue recognition. In August 2015, the FASB issued ASU No. 2015-14 which deferred the effective date of ASU No. 2014-09 by one year, and as a result, is now effective for us on January 1, 2018. In March 2016, the FASB issued ASU No. 2016-08, “Principal versus Agent Considerations (Reporting Revenue Gross versus Net)” which clarifies the implementation guidance on principal versus agent considerations. Early application is permitted to the original effective date of January 1, 2017. Entities are permitted to apply the amendments either retrospectively to each prior reporting period presented or retrospectively with the cumulative effect of initially applying the ASU recognized at the date of initial application. The impacts that adoption of the ASU is expected to have on our consolidated financial statements and related disclosures are being evaluated. Additionally, we have not determined the effect of the ASU on our internal control over financial reporting or other changes in business practices and processes and have not yet determined which transition method we will utilize upon adoption on the effective date.</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This update addresses certain aspects of recognition, measurement, presentation and disclosure of financial instruments. Among other amendments, this update requires equity investments not accounted for under the equity method of accounting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This updated guidance also simplifies the impairment assessment of equity investments without readily determinable fair values and eliminates the requirement to disclose significant assumptions and methods used to estimate the fair value of financial instruments measured at amortized cost. The updated guidance further requires the use of an exit price notion when measuring the fair value of financial instruments for disclosure purposes. The amendments in this ASU are effective for us on January 1, 2018. All amendments are required to be adopted on a modified retrospective basis, with two exceptions. The amendments related to equity investments without readily determinable fair values and the requirement to use an exit price notion are required to be adopted prospectively. Early adoption is not permitted. We are currently evaluating the impact of this ASU on our consolidated financial statements.</w:t>
      </w:r>
    </w:p>
    <w:p>
      <w:pPr>
        <w:spacing w:after="0" w:line="11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This update requires that a lessee recognize in the statement of financial position a liability to make lease payments and a right-of-use asset representing its right to use the underlying asset for the lease term. For leases with a term of 12 months or less, a lessee is permitted to make an accounting policy election by class of underlying asset not to recognize lease assets and lease liabilities. Similar to current guidance, the update continues to differentiate between finance leases and operating leases, however this distinction now primarily relates to differences in the manner of expense recognition over time and in the classification of lease payments in the statement of cash flows. The updated guidance leaves the accounting for leases by lessors largely unchanged from existing GAAP. Early application is permitted. Entities are required to use a modified retrospective adoption, with certain relief provisions, for leases that exist or are entered into after the beginning of the earliest comparative period in the financial statements when adopted. The guidance will become effective for us on January 1, 2019. The impacts that adoption of the ASU is expected to have on our consolidated financial statements and related disclosures are being evaluated. Additionally, we have not determined the effect of the ASU on our internal control over financial reporting or other changes in business practices and processes.</w:t>
      </w:r>
    </w:p>
    <w:p>
      <w:pPr>
        <w:spacing w:after="0" w:line="16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Credit Losses.”</w:t>
      </w:r>
      <w:r>
        <w:rPr>
          <w:rFonts w:ascii="Arial" w:cs="Arial" w:eastAsia="Arial" w:hAnsi="Arial"/>
          <w:sz w:val="17"/>
          <w:szCs w:val="17"/>
          <w:color w:val="auto"/>
        </w:rPr>
        <w:t xml:space="preserve"> This update introduces a new model for recognizing credit losses on financial instruments based on an estimate of current expected credit losses. The updated guidance applies to (i) loans, accounts receivable, trade receivables, and other financial assets measured at amortized cost, (ii) loan commitments and other off-balance sheet credit exposures, (iii) debt securities and other financial assets measured at fair value through other comprehensive income, and (iv) beneficial interests in securitized financial assets. The amendments in this ASU are effective for us on January 1, 2020 and are required to be adopted on a modified retrospective basis. Early adoption is permitted. We are currently evaluating the impact of this ASU on our consolidated financial statements.</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August 2016, the FASB issued ASU No. 2016-15</w:t>
      </w:r>
      <w:r>
        <w:rPr>
          <w:rFonts w:ascii="Arial" w:cs="Arial" w:eastAsia="Arial" w:hAnsi="Arial"/>
          <w:sz w:val="18"/>
          <w:szCs w:val="18"/>
          <w:i w:val="1"/>
          <w:iCs w:val="1"/>
          <w:color w:val="auto"/>
        </w:rPr>
        <w:t>, “Classification of Certain Cash Receipts and Cash Payments.”</w:t>
      </w:r>
      <w:r>
        <w:rPr>
          <w:rFonts w:ascii="Arial" w:cs="Arial" w:eastAsia="Arial" w:hAnsi="Arial"/>
          <w:sz w:val="18"/>
          <w:szCs w:val="18"/>
          <w:color w:val="auto"/>
        </w:rPr>
        <w:t xml:space="preserve"> This update amends the existing guidance for the statement of cash flows and provides guidance on eight classification issues related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to the statement of cash flows. The amendments in this ASU are effective for us on January 1, 2018 and are required to be adopted retrospectively. For issues that are impracticable to adopt retrospectively, the amendments may be adopted prospectively as of the earliest date practicable. Early adoption is permitted. We are currently evaluating the impact of this ASU on our consolidated statements of cash flows.</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This update requires that income tax consequences are recognized on an intra-entity transfer of an asset other than inventory when the transfer occurs. The amendments in this ASU are effective for us on January 1, 2018 and are required to be adopted on a modified retrospective basis. Early adoption is permitted. We are currently evaluating the impact of this ASU on our consolidated financial statements.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This update clarifies the definition of a business and provides a screen to determine when a set of assets and activities is not a business. The screen requires that when substantially all of the fair value of the gross assets acquired or disposed of is concentrated in a single identifiable asset or a group of similar identifiable assets, such set of assets is not a business. The amendments in this ASU are effective for us on January 1, 2018 and are required to be adopted prospectively. Early adoption is permitted. We are currently evaluating the impact of this ASU on our consolidated financial statements.</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This update eliminates Step 2 from the goodwill impairment test. An annual or interim goodwill test should be performed by comparing the fair value of a reporting unit with its carrying amount. Income tax effects from any tax deductible goodwill on the carrying amount of the reporting unit should also be considered when measuring any applicable goodwill impairment loss. This updated guidance also eliminates the requirements for any reporting unit with a zero or negative carrying amount to perform a qualitative assessment and if it fails that qualitative assessment, to perform Step 2 of the goodwill impairment test. Any goodwill amount allocated to a reporting unit with a zero or negative carrying amount net of assets is required to be disclosed. The amendments in this ASU are effective for us January 1, 2020 and are required to be adopted prospectively. Early adoption is permitted. We are currently evaluating the impact of this ASU on our consolidated financial statements.</w:t>
      </w:r>
    </w:p>
    <w:p>
      <w:pPr>
        <w:spacing w:after="0" w:line="19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“Clarifying the Scope of Asset Derecognition Guidance and Accounting for Partial Sales of Nonfinancial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This update defines an in-substance nonfinancial asset, unifies guidance related to partial sales of nonfinancial assets, eliminates rules specifically</w:t>
      </w:r>
      <w:r>
        <w:rPr>
          <w:rFonts w:ascii="Arial" w:cs="Arial" w:eastAsia="Arial" w:hAnsi="Arial"/>
          <w:sz w:val="16"/>
          <w:szCs w:val="16"/>
          <w:i w:val="1"/>
          <w:iCs w:val="1"/>
          <w:color w:val="auto"/>
        </w:rPr>
        <w:t xml:space="preserve"> </w:t>
      </w:r>
      <w:r>
        <w:rPr>
          <w:rFonts w:ascii="Arial" w:cs="Arial" w:eastAsia="Arial" w:hAnsi="Arial"/>
          <w:sz w:val="16"/>
          <w:szCs w:val="16"/>
          <w:color w:val="auto"/>
        </w:rPr>
        <w:t>addressing the sale of real estate, removes exceptions to the financial asset derecognition model, and clarifies the accounting for contributions of nonfinancial assets to joint ventures. The amendments in this ASU are effective for us January 1, 2018 and are required to be adopted with either a full retrospective approach or a modified retrospective approach. We are currently evaluating the impact of this ASU on our consolidated financial statements.</w:t>
      </w:r>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 </w:t>
      </w:r>
      <w:r>
        <w:rPr>
          <w:rFonts w:ascii="Arial" w:cs="Arial" w:eastAsia="Arial" w:hAnsi="Arial"/>
          <w:sz w:val="17"/>
          <w:szCs w:val="17"/>
          <w:color w:val="auto"/>
        </w:rPr>
        <w:t>This update requires employers to disaggregate the service cost component from the other components of net benefit cost and disclose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net benefit cost that is included in the income statement or capitalized in assets, by line item. The updated guidance requires employers to report the service cost component in the same line item(s) as other compensation costs and to report other pension-related costs (which include interest costs, amortization of pension-related costs from prior periods, and the gains or losses on plan assets) separately and exclude them from the subtotal of operating income. The updated guidance also allows only the service cost component to be eligible for capitalization when applicable. The amendments in this ASU are effective for us on January 1, 2018. Early adoption is permitted. The guidance requires adoption on a retrospective basis for the presentation of the service cost component and the other components of net periodic pension cost and net periodic post-retirement benefit cost in the income statement and on a prospective basis for the capitalization of the service cost component of net periodic pension cost and net periodic post-retirement benefit in assets. We are currently evaluating the impact of this ASU on our consolidated financial statements.</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“Scope of Modification Accounting.”</w:t>
      </w:r>
      <w:r>
        <w:rPr>
          <w:rFonts w:ascii="Arial" w:cs="Arial" w:eastAsia="Arial" w:hAnsi="Arial"/>
          <w:sz w:val="17"/>
          <w:szCs w:val="17"/>
          <w:color w:val="auto"/>
        </w:rPr>
        <w:t xml:space="preserve"> This update provides clarity on when changes to the terms or conditions of a share-based payment award must be accounted for as modifications. The amendments in this ASU are effective for us January 1, 2018 and are required to be adopted prospectively. We are currently evaluating the impact of this ASU on our consolidated financial statements.</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24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55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TechnipFMC plc</w:t>
            </w:r>
          </w:p>
        </w:tc>
        <w:tc>
          <w:tcPr>
            <w:tcW w:w="80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After-tax interest expense related to dilutive shares</w:t>
            </w:r>
          </w:p>
        </w:tc>
        <w:tc>
          <w:tcPr>
            <w:tcW w:w="8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Net income attributable to TechnipFMC plc adjusted for dilutive effects</w:t>
            </w:r>
          </w:p>
        </w:tc>
        <w:tc>
          <w:tcPr>
            <w:tcW w:w="8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164.9</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104.3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8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4"/>
              </w:rPr>
              <w:t>466.7</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4"/>
              </w:rPr>
              <w:t>119.5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restricted stock units</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Dilutive effect of stock options</w:t>
            </w:r>
          </w:p>
        </w:tc>
        <w:tc>
          <w:tcPr>
            <w:tcW w:w="80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performance shares</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Dilutive effect of convertible bonds</w:t>
            </w:r>
          </w:p>
        </w:tc>
        <w:tc>
          <w:tcPr>
            <w:tcW w:w="8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shares and dilutive securities</w:t>
            </w:r>
          </w:p>
        </w:tc>
        <w:tc>
          <w:tcPr>
            <w:tcW w:w="8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468.4</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125.2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TechnipFMC plc</w:t>
            </w:r>
          </w:p>
        </w:tc>
        <w:tc>
          <w:tcPr>
            <w:tcW w:w="80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share attributable to TechnipFMC plc</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800" w:type="dxa"/>
            <w:vAlign w:val="bottom"/>
          </w:tcPr>
          <w:p>
            <w:pPr>
              <w:jc w:val="right"/>
              <w:ind w:right="61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IMPAIRMENT, RESTRUCTURING AND OTHER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Impairment, restructuring and other expense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(27.7)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29.2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64.6</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14.6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14.6</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impairment, restructuring and other expense</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63.8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99.5</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Asset impairments—</w:t>
      </w:r>
      <w:r>
        <w:rPr>
          <w:rFonts w:ascii="Arial" w:cs="Arial" w:eastAsia="Arial" w:hAnsi="Arial"/>
          <w:sz w:val="18"/>
          <w:szCs w:val="18"/>
          <w:color w:val="auto"/>
        </w:rPr>
        <w:t>We conduct impairment tests on long-lived assets whenever events or changes in circumstances indicate the carrying value may not be</w:t>
      </w:r>
      <w:r>
        <w:rPr>
          <w:rFonts w:ascii="Arial" w:cs="Arial" w:eastAsia="Arial" w:hAnsi="Arial"/>
          <w:sz w:val="18"/>
          <w:szCs w:val="18"/>
          <w:i w:val="1"/>
          <w:iCs w:val="1"/>
          <w:color w:val="auto"/>
        </w:rPr>
        <w:t xml:space="preserve"> </w:t>
      </w:r>
      <w:r>
        <w:rPr>
          <w:rFonts w:ascii="Arial" w:cs="Arial" w:eastAsia="Arial" w:hAnsi="Arial"/>
          <w:sz w:val="18"/>
          <w:szCs w:val="18"/>
          <w:color w:val="auto"/>
        </w:rPr>
        <w:t>recoverable. The carrying value of a long-lived asset is not recoverable if it exceeds the sum of the undiscounted cash flows expected to result from the use and eventual disposition over the asset’s remaining useful life. Our review of recoverability of the carrying value of our assets considers several assumptions including the intended use and service potential of the asset.</w:t>
      </w:r>
    </w:p>
    <w:p>
      <w:pPr>
        <w:spacing w:after="0" w:line="13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i w:val="1"/>
          <w:iCs w:val="1"/>
          <w:color w:val="auto"/>
        </w:rPr>
        <w:t>Restructuring and other</w:t>
      </w:r>
      <w:r>
        <w:rPr>
          <w:rFonts w:ascii="Arial" w:cs="Arial" w:eastAsia="Arial" w:hAnsi="Arial"/>
          <w:sz w:val="16"/>
          <w:szCs w:val="16"/>
          <w:color w:val="auto"/>
        </w:rPr>
        <w:t>—As a result of the decline in crude oil prices and its effect on the demand for products and services in the oilfield services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we initiated a company-wide reduction in workforce and facility consolidation intended to reduce costs and better align our workforce with current and anticipated activity levels, which resulted in the continued recognition of severance costs relating to termination benefits and other restructuring charges. In the three months ended June 30, 2017, we recognized a gain in our Onshore/Offshore segment as the result of the favorable outcome of restructuring negotiations for which we previously accrued a reserve. In the three months ended June 30, 2016, as part of our restructuring plan, we divested and deconsolidated our wholly owned subsidiaries Technip Germany Holding GmBH and Technip Germany GmBH.</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gridSpan w:val="2"/>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536.2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969.4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899.1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OTHER CURRENT ASSETS</w:t>
            </w: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Other current assets consisted of the following:</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5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24"/>
                <w:szCs w:val="24"/>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5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Value added tax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Other tax receivables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180.4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317.5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248.5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1,002.9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EQUITY METHOD INVESTMENTS</w:t>
            </w: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6"/>
          </w:tcPr>
          <w:p>
            <w:pPr>
              <w:spacing w:after="0"/>
              <w:rPr>
                <w:sz w:val="20"/>
                <w:szCs w:val="20"/>
                <w:color w:val="auto"/>
              </w:rPr>
            </w:pPr>
            <w:r>
              <w:rPr>
                <w:rFonts w:ascii="Arial" w:cs="Arial" w:eastAsia="Arial" w:hAnsi="Arial"/>
                <w:sz w:val="18"/>
                <w:szCs w:val="18"/>
                <w:color w:val="auto"/>
                <w:w w:val="95"/>
              </w:rPr>
              <w:t>Our income (loss) from equity affiliates included in each of our reporting segments was as follows: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6"/>
          </w:tcPr>
          <w:p>
            <w:pPr>
              <w:jc w:val="right"/>
              <w:ind w:right="452"/>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Onshore/Offshore</w:t>
            </w:r>
          </w:p>
        </w:tc>
        <w:tc>
          <w:tcPr>
            <w:tcW w:w="34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from equity affiliates</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OTHER CURRENT LIABILITIES</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Other current liabilities consisted of the following:</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24"/>
                <w:szCs w:val="24"/>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December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gridSpan w:val="2"/>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Accruals on completed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Deferred income on contracts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Contingencies related to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taxes payable</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Social security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Redeemable financial liability</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current liabilities</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2,260.3</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1,825.3</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vMerge w:val="restart"/>
          </w:tcPr>
          <w:p>
            <w:pPr>
              <w:spacing w:after="0"/>
              <w:rPr>
                <w:sz w:val="20"/>
                <w:szCs w:val="20"/>
                <w:color w:val="auto"/>
              </w:rPr>
            </w:pPr>
            <w:r>
              <w:rPr>
                <w:rFonts w:ascii="Arial" w:cs="Arial" w:eastAsia="Arial" w:hAnsi="Arial"/>
                <w:sz w:val="18"/>
                <w:szCs w:val="18"/>
                <w:color w:val="auto"/>
              </w:rPr>
              <w:t>20</w:t>
            </w: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60" w:type="dxa"/>
            <w:vAlign w:val="bottom"/>
            <w:tcBorders>
              <w:bottom w:val="single" w:sz="8" w:color="CCEEFF"/>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Bilateral credit facilities</w:t>
            </w:r>
          </w:p>
        </w:tc>
        <w:tc>
          <w:tcPr>
            <w:tcW w:w="2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Synthetic bonds due 2021</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bonds due 2017</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2.00%</w:t>
            </w:r>
          </w:p>
        </w:tc>
        <w:tc>
          <w:tcPr>
            <w:tcW w:w="804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3.45%</w:t>
            </w: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5.00%</w:t>
            </w:r>
          </w:p>
        </w:tc>
        <w:tc>
          <w:tcPr>
            <w:tcW w:w="8040" w:type="dxa"/>
            <w:vAlign w:val="bottom"/>
          </w:tcPr>
          <w:p>
            <w:pPr>
              <w:ind w:left="20"/>
              <w:spacing w:after="0"/>
              <w:rPr>
                <w:sz w:val="20"/>
                <w:szCs w:val="20"/>
                <w:color w:val="auto"/>
              </w:rPr>
            </w:pPr>
            <w:r>
              <w:rPr>
                <w:rFonts w:ascii="Arial" w:cs="Arial" w:eastAsia="Arial" w:hAnsi="Arial"/>
                <w:sz w:val="18"/>
                <w:szCs w:val="18"/>
                <w:color w:val="auto"/>
              </w:rPr>
              <w:t>Notes due 2020</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3.40%</w:t>
            </w: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3.15%</w:t>
            </w:r>
          </w:p>
        </w:tc>
        <w:tc>
          <w:tcPr>
            <w:tcW w:w="8040" w:type="dxa"/>
            <w:vAlign w:val="bottom"/>
          </w:tcPr>
          <w:p>
            <w:pPr>
              <w:ind w:left="20"/>
              <w:spacing w:after="0"/>
              <w:rPr>
                <w:sz w:val="20"/>
                <w:szCs w:val="20"/>
                <w:color w:val="auto"/>
              </w:rPr>
            </w:pPr>
            <w:r>
              <w:rPr>
                <w:rFonts w:ascii="Arial" w:cs="Arial" w:eastAsia="Arial" w:hAnsi="Arial"/>
                <w:sz w:val="18"/>
                <w:szCs w:val="18"/>
                <w:color w:val="auto"/>
              </w:rPr>
              <w:t>Notes due 2023</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3.15%</w:t>
            </w: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2023</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4.00%</w:t>
            </w:r>
          </w:p>
        </w:tc>
        <w:tc>
          <w:tcPr>
            <w:tcW w:w="804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4.00%</w:t>
            </w: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2032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3.75%</w:t>
            </w:r>
          </w:p>
        </w:tc>
        <w:tc>
          <w:tcPr>
            <w:tcW w:w="8040" w:type="dxa"/>
            <w:vAlign w:val="bottom"/>
          </w:tcPr>
          <w:p>
            <w:pPr>
              <w:ind w:left="20"/>
              <w:spacing w:after="0"/>
              <w:rPr>
                <w:sz w:val="20"/>
                <w:szCs w:val="20"/>
                <w:color w:val="auto"/>
              </w:rPr>
            </w:pPr>
            <w:r>
              <w:rPr>
                <w:rFonts w:ascii="Arial" w:cs="Arial" w:eastAsia="Arial" w:hAnsi="Arial"/>
                <w:sz w:val="18"/>
                <w:szCs w:val="18"/>
                <w:color w:val="auto"/>
              </w:rPr>
              <w:t>Notes due 2033</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Bank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rPr>
              <w:t>Other</w:t>
            </w:r>
          </w:p>
        </w:tc>
        <w:tc>
          <w:tcPr>
            <w:tcW w:w="8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2,552.9</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Less: current portion</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(683.6)</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3,301.3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1,869.3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80"/>
        <w:spacing w:after="0" w:line="305"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21"/>
          <w:szCs w:val="21"/>
          <w:color w:val="auto"/>
        </w:rPr>
        <w:t>—</w:t>
      </w:r>
      <w:r>
        <w:rPr>
          <w:rFonts w:ascii="Arial" w:cs="Arial" w:eastAsia="Arial" w:hAnsi="Arial"/>
          <w:sz w:val="18"/>
          <w:szCs w:val="18"/>
          <w:color w:val="auto"/>
        </w:rPr>
        <w:t>On January 17, 2017, we acceded to a new $2.5 billion senior unsecured revolving credit facility agreement (“facility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FMC Technologies, Inc. and Technip Eurocash SNC (the “Borrowers”) with JPMorgan Chase Bank, National Association, as agent and an arranger, SG Americas Securities LLC as an arranger, and the lenders party thereto.</w:t>
      </w:r>
    </w:p>
    <w:p>
      <w:pPr>
        <w:spacing w:after="0" w:line="10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The facility expires in January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90" w:lineRule="exact"/>
        <w:rPr>
          <w:sz w:val="20"/>
          <w:szCs w:val="20"/>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171"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facility agreement contains usual and customary covenants, representations and warranties and events of default for credit facilities of this type, including financial covenants.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Bilateral credit facilities</w:t>
      </w:r>
      <w:r>
        <w:rPr>
          <w:rFonts w:ascii="Arial" w:cs="Arial" w:eastAsia="Arial" w:hAnsi="Arial"/>
          <w:sz w:val="20"/>
          <w:szCs w:val="20"/>
          <w:color w:val="auto"/>
        </w:rPr>
        <w:t>—</w:t>
      </w:r>
      <w:r>
        <w:rPr>
          <w:rFonts w:ascii="Arial" w:cs="Arial" w:eastAsia="Arial" w:hAnsi="Arial"/>
          <w:sz w:val="17"/>
          <w:szCs w:val="17"/>
          <w:color w:val="auto"/>
        </w:rPr>
        <w:t>We have access to four bilateral credit facilities in the aggregate of €340.0 million. The bilateral credit facilities consist of:</w:t>
      </w:r>
    </w:p>
    <w:p>
      <w:pPr>
        <w:spacing w:after="0" w:line="11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credit facilities of €80.0 million each expiring in May 2019;</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credit facility of €80.0 million expiring in June 2019;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credit facility of €100.0 million expiring in May 2021.</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Each bilateral credit facility contains usual and customary covenants, representations and warranties and events of default for credit facilities of this type.</w:t>
      </w:r>
    </w:p>
    <w:p>
      <w:pPr>
        <w:spacing w:after="0" w:line="19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Commercial paper</w:t>
      </w:r>
      <w:r>
        <w:rPr>
          <w:rFonts w:ascii="Arial" w:cs="Arial" w:eastAsia="Arial" w:hAnsi="Arial"/>
          <w:sz w:val="16"/>
          <w:szCs w:val="16"/>
          <w:color w:val="auto"/>
        </w:rPr>
        <w:t>—Under our commercial paper program, we have the ability to access $1.0 billion and €1.0 billion of short-term financing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paper dealers, subject to the limit of unused capacity of our facility agreement. As we have both the ability and intent to refinance these obligations on a long-term basis, our commercial paper borrowings were classified as long-term in the condensed consolidated balance sheets as of June 30, 2017 and December 31, 2016. Commercial paper borrowings are issued at market interest rates. As of June 30, 2017, our commercial paper borrowings had a weighted average interest rate of 1.52% on the U.S. dollar denominated borrowings and (0.28)% on the Euro denominated borrowings.</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Synthetic bonds</w:t>
      </w:r>
      <w:r>
        <w:rPr>
          <w:rFonts w:ascii="Arial" w:cs="Arial" w:eastAsia="Arial" w:hAnsi="Arial"/>
          <w:sz w:val="16"/>
          <w:szCs w:val="16"/>
          <w:color w:val="auto"/>
        </w:rPr>
        <w:t>—On January 25, 2016, we issued €375.0 million principal amount of 0.875% convertible bonds with a maturity date of January 25, 2021 and</w:t>
      </w:r>
      <w:r>
        <w:rPr>
          <w:rFonts w:ascii="Arial" w:cs="Arial" w:eastAsia="Arial" w:hAnsi="Arial"/>
          <w:sz w:val="16"/>
          <w:szCs w:val="16"/>
          <w:i w:val="1"/>
          <w:iCs w:val="1"/>
          <w:color w:val="auto"/>
        </w:rPr>
        <w:t xml:space="preserve"> </w:t>
      </w:r>
      <w:r>
        <w:rPr>
          <w:rFonts w:ascii="Arial" w:cs="Arial" w:eastAsia="Arial" w:hAnsi="Arial"/>
          <w:sz w:val="16"/>
          <w:szCs w:val="16"/>
          <w:color w:val="auto"/>
        </w:rPr>
        <w:t>a redemption at par of the bonds which have not been converted. On March 3, 2016, we issued additional convertible bonds for a principal amount of €75.0 million issued on the same terms, fully fungible with and assimilated to the bonds issued on January 25, 2016. The issuance of these non-dilutive cash-settled convertible bonds (“Synthetic Bonds”), which are linked to our ordinary shares were backed simultaneously by the purchase of cash-settled equity call options in order to hedge our economic exposure to the potential exercise of the conversion rights embedded in the Synthetic Bonds. As the Synthetic Bonds will only be cash settled, they will not result in the issuance of new ordinary shares or the delivery of existing ordinary shares upon conversion. Interest on the Synthetic Bonds is payable semi-annually in arrears on January 25 and July 25 of each year, beginning July 26, 2016. Net proceeds from the Synthetic Bonds were used for general corporate purposes and to finance the purchase of the call options. The Synthetic Bonds are our unsecured obligations. The Synthetic Bonds will rank equally in right of payment with all of our existing and future unsubordinated debt.</w:t>
      </w:r>
    </w:p>
    <w:p>
      <w:pPr>
        <w:spacing w:after="0" w:line="11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Synthetic Bonds issued on January 25, 2016 were issued at par. The Synthetic Bonds issued on March 3, 2016 were issued at a premium of 112.43802% resulting from an adjustment over the 3-day trading period following the issuance resulting in a share reference price of €48.8355.</w:t>
      </w:r>
    </w:p>
    <w:p>
      <w:pPr>
        <w:spacing w:after="0" w:line="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 40.0% conversion premium was applied to the share reference price of €40.7940. The share reference price was computed using the average of the daily volume weighted average price of our ordinary shares on the Euronext Paris market over the 10 consecutive trading days from January 21 to February 3, 2016. The initial conversion price of the bonds was then fixed at €57.1116.</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Synthetic Bonds each have a nominal value of €100.0 thousand with a conversion ratio of 3,464.6193 and a conversion price of €28.8632. Any bondholder may, at its sole option, request the conversion in cash of all or part of the bonds it owns, beginning November 15, 2020 to the 38th business day before the maturity date.</w:t>
      </w:r>
    </w:p>
    <w:p>
      <w:pPr>
        <w:spacing w:after="0" w:line="12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Convertible bonds</w:t>
      </w:r>
      <w:r>
        <w:rPr>
          <w:rFonts w:ascii="Arial" w:cs="Arial" w:eastAsia="Arial" w:hAnsi="Arial"/>
          <w:sz w:val="16"/>
          <w:szCs w:val="16"/>
          <w:color w:val="auto"/>
        </w:rPr>
        <w:t>—On December 15, 2011, we issued 5,178,455 bonds convertible (the “2011-2017 Convertible Bonds”) into and/or exchangeable for new</w:t>
      </w:r>
      <w:r>
        <w:rPr>
          <w:rFonts w:ascii="Arial" w:cs="Arial" w:eastAsia="Arial" w:hAnsi="Arial"/>
          <w:sz w:val="16"/>
          <w:szCs w:val="16"/>
          <w:i w:val="1"/>
          <w:iCs w:val="1"/>
          <w:color w:val="auto"/>
        </w:rPr>
        <w:t xml:space="preserve"> </w:t>
      </w:r>
      <w:r>
        <w:rPr>
          <w:rFonts w:ascii="Arial" w:cs="Arial" w:eastAsia="Arial" w:hAnsi="Arial"/>
          <w:sz w:val="16"/>
          <w:szCs w:val="16"/>
          <w:color w:val="auto"/>
        </w:rPr>
        <w:t>or existing shares (“OCEANE”) for approximately €497.6 million with a maturity date of January 1, 2017. Net proceeds from the issuance were used to partially restore our cash balance position following the acquisition of Global Industries, Ltd. in December 2011 for a cash consideration of $936.4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At maturity, all outstanding amounts under the 2011-2017 Convertible Bonds were repaid.</w:t>
      </w:r>
    </w:p>
    <w:p>
      <w:pPr>
        <w:spacing w:after="0" w:line="178" w:lineRule="exact"/>
        <w:rPr>
          <w:sz w:val="20"/>
          <w:szCs w:val="20"/>
          <w:color w:val="auto"/>
        </w:rPr>
      </w:pPr>
    </w:p>
    <w:p>
      <w:pPr>
        <w:ind w:right="20"/>
        <w:spacing w:after="0" w:line="302" w:lineRule="auto"/>
        <w:rPr>
          <w:sz w:val="20"/>
          <w:szCs w:val="20"/>
          <w:color w:val="auto"/>
        </w:rPr>
      </w:pPr>
      <w:r>
        <w:rPr>
          <w:rFonts w:ascii="Arial" w:cs="Arial" w:eastAsia="Arial" w:hAnsi="Arial"/>
          <w:sz w:val="18"/>
          <w:szCs w:val="18"/>
          <w:i w:val="1"/>
          <w:iCs w:val="1"/>
          <w:color w:val="auto"/>
        </w:rPr>
        <w:t>Senior Notes</w:t>
      </w:r>
      <w:r>
        <w:rPr>
          <w:rFonts w:ascii="Arial" w:cs="Arial" w:eastAsia="Arial" w:hAnsi="Arial"/>
          <w:sz w:val="21"/>
          <w:szCs w:val="21"/>
          <w:color w:val="auto"/>
        </w:rPr>
        <w:t>—</w:t>
      </w:r>
      <w:r>
        <w:rPr>
          <w:rFonts w:ascii="Arial" w:cs="Arial" w:eastAsia="Arial" w:hAnsi="Arial"/>
          <w:sz w:val="18"/>
          <w:szCs w:val="18"/>
          <w:color w:val="auto"/>
        </w:rPr>
        <w:t>On February 28, 2017, we commenced offers to exchange any and all outstanding notes issued by FMC Technologies for up to $800.0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new notes issued by TechnipFMC and cash. In conjunction with the offers to exchange, FMC Technologies solicited consents to adopt certain proposed amendments to each of the indentures governing the previously issued notes to eliminate certain covenants, restrictive provisions and events of defaults from such indentures.</w:t>
      </w:r>
    </w:p>
    <w:p>
      <w:pPr>
        <w:spacing w:after="0" w:line="1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March 29, 2017, we settled the offers to exchange and consent solicitations (the “Exchange Offers”) for (i) any and all 2.00% senior notes due October 1, 2017 (the “2017 FMC Notes”) issued by FMC Technologies for up to an aggregate principal amount of $300.0 million of new 2.00% senior notes due October 1, 2017 (the “2017 Senior Notes’) issued by TechnipFMC and cash, and (ii) any and all 3.45% senior notes due October 1, 2022 (the “2022 FMC Notes”) issued by FMC Technologies for up to an aggregate principal amount of $500.0 million in new 3.45% senior notes due October 1, 2022 (the “2022 Senior Notes”) issued by TechnipFMC with registration rights and cash. Pursuant to the Exchange Offers, we issued approximately $215.4 million in aggregate principal amount of 2017 Senior Notes and $459.8 million in aggregate principal amount of 2022</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Senior Notes (collectively the “Senior Notes”). Interest on the 2017 Senior Notes is payable on October 1, 2017. Interest on the 2022 Senior Notes is payable semi-annually in arrears on April 1 and October 1 of each year, beginning October 1, 2017.</w:t>
      </w:r>
    </w:p>
    <w:p>
      <w:pPr>
        <w:spacing w:after="0" w:line="1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terms of the Senior Notes are governed by the indenture, dated as of March 29, 2017 between TechnipFMC and U.S. Bank National Association, as trustee (the “Trustee”), as amended and supplemented by the First Supplemental Indenture between TechnipFMC and the Trustee (the “First Supplemental Indenture”) relating to the issuance of the 2017 Notes and the Second Supplemental Indenture between TechnipFMC and the Trustee (the “Second Supplemental Indenture”) relating to the issuance of the 2022 Notes.</w:t>
      </w:r>
    </w:p>
    <w:p>
      <w:pPr>
        <w:spacing w:after="0" w:line="13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At any time prior to their maturity in the case of the 2017 Notes, and at any time prior to July 1, 2022, in the case of the 2022 Notes, we may redeem some or all of the Senior Notes at the redemption prices specified in the First Supplemental Indenture and Second Supplemental Indenture, respectively. At any time on or after July 1, 2022, we may redeem the 2022 Notes at the redemption price equal to 100% of the principal amount of the 2022 Notes redeemed. The Senior Notes are our senior unsecured obligations. The Senior Notes will rank equally in right of payment with all of our existing and future unsubordinated debt, and will rank senior in right of payment to all of our future subordinated debt.</w:t>
      </w:r>
    </w:p>
    <w:p>
      <w:pPr>
        <w:spacing w:after="0" w:line="125" w:lineRule="exact"/>
        <w:rPr>
          <w:sz w:val="20"/>
          <w:szCs w:val="20"/>
          <w:color w:val="auto"/>
        </w:rPr>
      </w:pPr>
    </w:p>
    <w:p>
      <w:pPr>
        <w:ind w:right="40"/>
        <w:spacing w:after="0" w:line="320" w:lineRule="auto"/>
        <w:rPr>
          <w:sz w:val="20"/>
          <w:szCs w:val="20"/>
          <w:color w:val="auto"/>
        </w:rPr>
      </w:pPr>
      <w:r>
        <w:rPr>
          <w:rFonts w:ascii="Arial" w:cs="Arial" w:eastAsia="Arial" w:hAnsi="Arial"/>
          <w:sz w:val="17"/>
          <w:szCs w:val="17"/>
          <w:i w:val="1"/>
          <w:iCs w:val="1"/>
          <w:color w:val="auto"/>
        </w:rPr>
        <w:t>Private Placement Notes</w:t>
      </w:r>
      <w:r>
        <w:rPr>
          <w:rFonts w:ascii="Arial" w:cs="Arial" w:eastAsia="Arial" w:hAnsi="Arial"/>
          <w:sz w:val="20"/>
          <w:szCs w:val="20"/>
          <w:color w:val="auto"/>
        </w:rPr>
        <w:t>—</w:t>
      </w:r>
      <w:r>
        <w:rPr>
          <w:rFonts w:ascii="Arial" w:cs="Arial" w:eastAsia="Arial" w:hAnsi="Arial"/>
          <w:sz w:val="17"/>
          <w:szCs w:val="17"/>
          <w:color w:val="auto"/>
        </w:rPr>
        <w:t>On July 27, 2010, we completed the private placement of €200.0 million aggregate principal amount of 5.0% notes due July 2020</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 Notes”). Interest on the 2020 Notes is payable annually in arrears on July 27 of each year, beginning July 27, 2011. Net proceeds of the 2020 Notes were used to partially finance the 2004-2011 bond issue, which was repaid at its maturity date on May 26, 2011. The 2020 Notes contain contains usual and customary covenants and events of default for notes of this type. In the event of a change of control resulting in a downgrade in the rating of the notes below BBB-, the 2020 Notes may be redeemed early by any bondholder, at its sole discretion. The 2020 Notes are our unsecured obligations. The 2020 Notes will rank equally in right of payment with all of our existing and future unsubordinated debt.</w:t>
      </w:r>
    </w:p>
    <w:p>
      <w:pPr>
        <w:spacing w:after="0" w:line="9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June 2012, we completed the private placement of €325.0 million aggregate principal amount of notes. The notes were issued in three tranches with €150.0 million bearing interest at 3.40% and due June 2022 (the “Tranche A 2022 Notes”), €75.0 million bearing interest of 4.0% and due June 2027 (the “Tranche B 2027 Notes”) and €100.0 million bearing interest of 4.0% and due June 2032 (the “Tranche C 2032 Notes” and, collectively with the “Tranche A 2022 Notes and the “Tranche B 2027 Notes”, the “2012 Private Placement Notes”). Interest on the Tranche A 2022 Notes and the Tranche C 2032 Notes is payable annually in arrears on June 14 of each year beginning June 14, 2013. Interest on the Tranche B 2027 Notes is payable annually in arrears on June 15 of each year, beginning June 15, 2013. Net proceeds of the 2012 Private Placement Notes were used for general corporate purposes. The 2012 Private Placement Notes contain usual and customary covenants and events of default for notes of this type. In the event of a change of control resulting in a downgrade in the rating of the notes below BBB-, the 2012 Private Placement Notes may be redeemed early by any bondholder, at its sole discretion. The 2012 Private Placement Notes are our unsecured obligations. The 2012 Private Placement Notes will rank equally in right of payment with all of our existing and future unsubordinated debt.</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2013, we completed the private placement of €355.0 million aggregate principal amount of senior notes. The notes were issued in three tranches with €100.0 million bearing interest at 3.75% and due October 2033 (the “Tranche A 2033 Notes”), €130.0 million bearing interest of 3.15% and due October 2023 (the “Tranche B 2023 Notes) and €125.0 million bearing interest of 3.15% and due October 2023 (the “Tranche C 2023 Notes” and, collectively with the “Tranche A 2033 Notes and the “Tranche B 2023 Notes”, the “2013 Private Placement Notes”). Interest on the Tranche A 2033 Notes is payable annually in arrears on October 7 each year, beginning October 7, 2014. Interest on the Tranche B 2023 Notes is payable annually in arrears on October 16 of each year beginning October 16, 2014. Interest on the Tranche C 2023 Notes is payable annually in arrears on October 18 of each year, beginning October 18, 2014. Net proceeds of the 2013 Private Placement Notes were used for general corporate purposes. The 2013 Private Placement Notes contain contains usual and customary covenants and events of default for notes of this type. In the event of a change of control resulting in a downgrade in the rating of the notes below BBB-, the 2013 Private Placement Notes may be redeemed early by any bondholder, at its sole discretion. The 2013 Private Placement Notes are our unsecured obligations. The 2013 Private Placement Notes will rank equally in right of payment with all of our existing and future unsubordinated debt.</w:t>
      </w:r>
    </w:p>
    <w:p>
      <w:pPr>
        <w:spacing w:after="0" w:line="115"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i w:val="1"/>
          <w:iCs w:val="1"/>
          <w:color w:val="auto"/>
        </w:rPr>
        <w:t>Term loan</w:t>
      </w:r>
      <w:r>
        <w:rPr>
          <w:rFonts w:ascii="Arial" w:cs="Arial" w:eastAsia="Arial" w:hAnsi="Arial"/>
          <w:sz w:val="18"/>
          <w:szCs w:val="18"/>
          <w:color w:val="auto"/>
        </w:rPr>
        <w:t>—In December 2016, we entered into a £160.0 million term loan agreement to finance the Deep Explorer, a diving support vessel (“DSV”),</w:t>
      </w:r>
      <w:r>
        <w:rPr>
          <w:rFonts w:ascii="Arial" w:cs="Arial" w:eastAsia="Arial" w:hAnsi="Arial"/>
          <w:sz w:val="18"/>
          <w:szCs w:val="18"/>
          <w:i w:val="1"/>
          <w:iCs w:val="1"/>
          <w:color w:val="auto"/>
        </w:rPr>
        <w:t xml:space="preserve"> </w:t>
      </w:r>
      <w:r>
        <w:rPr>
          <w:rFonts w:ascii="Arial" w:cs="Arial" w:eastAsia="Arial" w:hAnsi="Arial"/>
          <w:sz w:val="18"/>
          <w:szCs w:val="18"/>
          <w:color w:val="auto"/>
        </w:rPr>
        <w:t>maturing December 2028. Under the loan agreement, interest accrues at an annual rate of 2.813%. This loan agreement contains usual and customary covenants and events of default for loans of this type.</w:t>
      </w:r>
    </w:p>
    <w:p>
      <w:pPr>
        <w:spacing w:after="0" w:line="12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i w:val="1"/>
          <w:iCs w:val="1"/>
          <w:color w:val="auto"/>
        </w:rPr>
        <w:t>Foreign committed credit</w:t>
      </w:r>
      <w:r>
        <w:rPr>
          <w:rFonts w:ascii="Arial" w:cs="Arial" w:eastAsia="Arial" w:hAnsi="Arial"/>
          <w:sz w:val="16"/>
          <w:szCs w:val="16"/>
          <w:color w:val="auto"/>
        </w:rPr>
        <w:t>—We have committed credit lines at many of our international subsidiaries for immaterial amounts. We utilize these facilities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asset financing and to provide a more efficient daily source of liquidity. The effective interest rates depend upon the local national market.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LIABILITIES</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three months ended December 31, 2016, we obtained voting control interests in legal onshore/offshore contract entities which own and account for the design, engineering and construction of the Yamal LNG plant. Prior to the amendments of the contractual terms that provided us with voting interest control, we accounted for these entities under the equity method of accounting based on our previously held interests in each of these entities. Since nearly all substantive processes to perform and execute the obligations of the underlying contract are conducted by TechnipFMC and the noncontrolling interest holders, we accounted for these entities as an asset acquisition upon our obtaining control and recognized a net gain of $7.7 million during 2016. As of December 31, 2016, total assets, liabilities and equity related to these entities were consolidated onto our balance sheet and our results of operations for the three and six months ended June 30, 2017 reflect the consolidated results of operations related to these entities.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recognition of an intangible asset related to the acquired asset in the underlying entities, a mandatorily redeemable financial liability of</w:t>
      </w:r>
    </w:p>
    <w:p>
      <w:pPr>
        <w:spacing w:after="0" w:line="3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$174.8 million was recognized as of December 31, 2016 to account for the fair value of the non-controlling interests, for which $33.7 million was recorded as other current liabilities. Refer to Note 9 for further information regarding our other current liabilities. Changes in the fair value of the financial liability are recorded as interest expense on the condensed consolidated statements of income. Refer to Note 18 for further information regarding the fair value measurement assumptions of the mandatorily redeemable financial liability and related changes in its fair value.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CONTINGENT LIABILITIES</w:t>
      </w:r>
    </w:p>
    <w:p>
      <w:pPr>
        <w:spacing w:after="0" w:line="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Contingent liabilities associated with guarantees—</w:t>
      </w:r>
      <w:r>
        <w:rPr>
          <w:rFonts w:ascii="Arial" w:cs="Arial" w:eastAsia="Arial" w:hAnsi="Arial"/>
          <w:sz w:val="18"/>
          <w:szCs w:val="18"/>
          <w:color w:val="auto"/>
        </w:rPr>
        <w:t>In the ordinary course of business, we enter into standby letters of credit, performance bonds, surety bonds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consolidated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70"/>
        </w:trPr>
        <w:tc>
          <w:tcPr>
            <w:tcW w:w="9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Financial guarantees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816.8</w:t>
            </w:r>
          </w:p>
        </w:tc>
        <w:tc>
          <w:tcPr>
            <w:tcW w:w="0" w:type="dxa"/>
            <w:vAlign w:val="bottom"/>
          </w:tcPr>
          <w:p>
            <w:pPr>
              <w:spacing w:after="0"/>
              <w:rPr>
                <w:sz w:val="1"/>
                <w:szCs w:val="1"/>
                <w:color w:val="auto"/>
              </w:rPr>
            </w:pPr>
          </w:p>
        </w:tc>
      </w:tr>
      <w:tr>
        <w:trPr>
          <w:trHeight w:val="270"/>
        </w:trPr>
        <w:tc>
          <w:tcPr>
            <w:tcW w:w="99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Performance guarantees </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3,882.6</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potential undiscounted payments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4,699.4</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00" w:right="20" w:hanging="492"/>
        <w:spacing w:after="0" w:line="255" w:lineRule="auto"/>
        <w:tabs>
          <w:tab w:leader="none" w:pos="50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 w:lineRule="exact"/>
        <w:rPr>
          <w:rFonts w:ascii="Arial" w:cs="Arial" w:eastAsia="Arial" w:hAnsi="Arial"/>
          <w:sz w:val="18"/>
          <w:szCs w:val="18"/>
          <w:color w:val="auto"/>
          <w:vertAlign w:val="superscript"/>
        </w:rPr>
      </w:pPr>
    </w:p>
    <w:p>
      <w:pPr>
        <w:ind w:left="500" w:right="240" w:hanging="492"/>
        <w:spacing w:after="0" w:line="221" w:lineRule="auto"/>
        <w:tabs>
          <w:tab w:leader="none" w:pos="50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Performance guarantees represent contracts that contingently require a guarantor to make payments to a guaranteed party based on another entity's failure to perform under a nonfinancial obligating agreement. Events that trigger payment are performance related, such as failure to ship a product or provide a service.</w:t>
      </w:r>
    </w:p>
    <w:p>
      <w:pPr>
        <w:spacing w:after="0" w:line="14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Contingent liabilities associated with legal matters—</w:t>
      </w:r>
      <w:r>
        <w:rPr>
          <w:rFonts w:ascii="Arial" w:cs="Arial" w:eastAsia="Arial" w:hAnsi="Arial"/>
          <w:sz w:val="17"/>
          <w:szCs w:val="17"/>
          <w:color w:val="auto"/>
        </w:rPr>
        <w:t>On March 29, 2016, Dong Energy (“Dong”) terminated, on the grounds of an alleged material breach, a</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signed on February 27, 2012 with a consortium of Technip France and Daewoo Shipping &amp; Marine Engineering Co., Ltd. This contract covered engineering, procurement, fabrication, hook-up and commissioning assistance for a fixed wellhead and process platform and associated facilities for the Hejre field offshore Denmark. Dong announced that it will not complete and does not intend to take possession of the platform. On May 4, 2017, the parties announced they had entered into a settlement agreement regarding the dispute, including the arbitral claims, related to the Hejre contract, and TechnipFMC will have no further responsibilities or liabilities with regard to the platform.</w:t>
      </w:r>
    </w:p>
    <w:p>
      <w:pPr>
        <w:spacing w:after="0" w:line="12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are involved in various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dividends declared during the six months ended June 30, 2017 and 2016.</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Dividends paid during the six months ended June 30, 2016 for dividends declared for the year ended December 31, 2015 were €236.6 million. The dividends were paid partially in cash and shares. Dividends paid in cash and shares was €100.8 million and €135.8 million, respectively.</w:t>
      </w:r>
    </w:p>
    <w:p>
      <w:pPr>
        <w:spacing w:after="0" w:line="3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U.S. GAAP reported amount (e.g. retained earnings). As of June 30, 2017 we had distributable reserves in excess of $10.1 billion.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capital stock activity for the six months ended June 30, 2017 and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Ordinary Shares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Ordinary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Held in</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 of shares in millions)</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Employee</w:t>
            </w:r>
          </w:p>
        </w:tc>
        <w:tc>
          <w:tcPr>
            <w:tcW w:w="120" w:type="dxa"/>
            <w:vAlign w:val="bottom"/>
          </w:tcPr>
          <w:p>
            <w:pPr>
              <w:spacing w:after="0"/>
              <w:rPr>
                <w:sz w:val="12"/>
                <w:szCs w:val="12"/>
                <w:color w:val="auto"/>
              </w:rPr>
            </w:pPr>
          </w:p>
        </w:tc>
        <w:tc>
          <w:tcPr>
            <w:tcW w:w="12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2"/>
              </w:rPr>
              <w:t>Treasury Stock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Shares Issued</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4"/>
              </w:rPr>
              <w:t>Benefit Trust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380"/>
              <w:spacing w:after="0"/>
              <w:rPr>
                <w:sz w:val="20"/>
                <w:szCs w:val="20"/>
                <w:color w:val="auto"/>
              </w:rPr>
            </w:pPr>
            <w:r>
              <w:rPr>
                <w:rFonts w:ascii="Arial" w:cs="Arial" w:eastAsia="Arial" w:hAnsi="Arial"/>
                <w:sz w:val="18"/>
                <w:szCs w:val="18"/>
                <w:color w:val="auto"/>
              </w:rPr>
              <w:t>Stock awards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June 30, 2016</w:t>
            </w:r>
          </w:p>
        </w:tc>
        <w:tc>
          <w:tcPr>
            <w:tcW w:w="1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gridSpan w:val="2"/>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3"/>
          </w:tcPr>
          <w:p>
            <w:pPr>
              <w:spacing w:after="0"/>
              <w:rPr>
                <w:sz w:val="2"/>
                <w:szCs w:val="2"/>
                <w:color w:val="auto"/>
              </w:rPr>
            </w:pPr>
          </w:p>
        </w:tc>
        <w:tc>
          <w:tcPr>
            <w:tcW w:w="1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w w:val="99"/>
              </w:rPr>
              <w:t>Net capital increases due to the merger of FMC Technologies and Technip</w:t>
            </w: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380"/>
              <w:spacing w:after="0"/>
              <w:rPr>
                <w:sz w:val="20"/>
                <w:szCs w:val="20"/>
                <w:color w:val="auto"/>
              </w:rPr>
            </w:pPr>
            <w:r>
              <w:rPr>
                <w:rFonts w:ascii="Arial" w:cs="Arial" w:eastAsia="Arial" w:hAnsi="Arial"/>
                <w:sz w:val="18"/>
                <w:szCs w:val="18"/>
                <w:color w:val="auto"/>
              </w:rPr>
              <w:t>Stock awards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3"/>
          </w:tcPr>
          <w:p>
            <w:pPr>
              <w:spacing w:after="0"/>
              <w:rPr>
                <w:sz w:val="2"/>
                <w:szCs w:val="2"/>
                <w:color w:val="auto"/>
              </w:rPr>
            </w:pPr>
          </w:p>
        </w:tc>
        <w:tc>
          <w:tcPr>
            <w:tcW w:w="1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Borders>
              <w:bottom w:val="single" w:sz="8" w:color="CCEEFF"/>
            </w:tcBorders>
            <w:gridSpan w:val="5"/>
            <w:shd w:val="clear" w:color="auto" w:fill="CCEEFF"/>
          </w:tcPr>
          <w:p>
            <w:pPr>
              <w:ind w:left="380"/>
              <w:spacing w:after="0"/>
              <w:rPr>
                <w:sz w:val="20"/>
                <w:szCs w:val="20"/>
                <w:color w:val="auto"/>
              </w:rPr>
            </w:pPr>
            <w:r>
              <w:rPr>
                <w:rFonts w:ascii="Arial" w:cs="Arial" w:eastAsia="Arial" w:hAnsi="Arial"/>
                <w:sz w:val="18"/>
                <w:szCs w:val="18"/>
                <w:color w:val="auto"/>
                <w:w w:val="92"/>
              </w:rPr>
              <w:t>Treasury stock cancellation due to the merger of FMC Technologies and Technip</w:t>
            </w:r>
          </w:p>
        </w:tc>
        <w:tc>
          <w:tcPr>
            <w:tcW w:w="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gridSpan w:val="4"/>
          </w:tcPr>
          <w:p>
            <w:pPr>
              <w:ind w:left="380"/>
              <w:spacing w:after="0"/>
              <w:rPr>
                <w:sz w:val="20"/>
                <w:szCs w:val="20"/>
                <w:color w:val="auto"/>
              </w:rPr>
            </w:pPr>
            <w:r>
              <w:rPr>
                <w:rFonts w:ascii="Arial" w:cs="Arial" w:eastAsia="Arial" w:hAnsi="Arial"/>
                <w:sz w:val="18"/>
                <w:szCs w:val="18"/>
                <w:color w:val="auto"/>
              </w:rPr>
              <w:t>Net stock purchased for (sold from) employee benefit trust</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2017</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gridSpan w:val="5"/>
            <w:vMerge w:val="restart"/>
          </w:tcPr>
          <w:p>
            <w:pPr>
              <w:spacing w:after="0"/>
              <w:rPr>
                <w:sz w:val="20"/>
                <w:szCs w:val="20"/>
                <w:color w:val="auto"/>
              </w:rPr>
            </w:pPr>
            <w:r>
              <w:rPr>
                <w:rFonts w:ascii="Arial" w:cs="Arial" w:eastAsia="Arial" w:hAnsi="Arial"/>
                <w:sz w:val="18"/>
                <w:szCs w:val="18"/>
                <w:color w:val="auto"/>
              </w:rPr>
              <w:t>Accumulated other comprehensive loss consisted of the following:</w:t>
            </w: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360" w:type="dxa"/>
            <w:vAlign w:val="bottom"/>
            <w:gridSpan w:val="5"/>
            <w:vMerge w:val="continue"/>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Foreign Currency</w:t>
            </w: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Available-For-Sale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Hedging</w:t>
            </w:r>
          </w:p>
        </w:tc>
        <w:tc>
          <w:tcPr>
            <w:tcW w:w="18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Defined Pension and Other</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Accumulated Other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7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Post-retirement Benefits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Comprehensive Loss</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reclassifications, net of tax</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Reclassification adjustment for net losses (gains)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included in net income,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477"/>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700" w:type="dxa"/>
            <w:vAlign w:val="bottom"/>
            <w:gridSpan w:val="6"/>
          </w:tcPr>
          <w:p>
            <w:pPr>
              <w:ind w:left="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June 30, 2017</w:t>
            </w: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June 30, 2016</w:t>
            </w: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June 30, 2017</w:t>
            </w: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June 30, 2016</w:t>
            </w:r>
          </w:p>
        </w:tc>
        <w:tc>
          <w:tcPr>
            <w:tcW w:w="1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45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9"/>
              </w:rPr>
              <w:t>Details about Accumulated Other Comprehensive Loss Components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3320" w:type="dxa"/>
            <w:vAlign w:val="bottom"/>
            <w:gridSpan w:val="9"/>
          </w:tcPr>
          <w:p>
            <w:pPr>
              <w:jc w:val="center"/>
              <w:ind w:left="232"/>
              <w:spacing w:after="0" w:line="153" w:lineRule="exact"/>
              <w:rPr>
                <w:sz w:val="20"/>
                <w:szCs w:val="20"/>
                <w:color w:val="auto"/>
              </w:rPr>
            </w:pPr>
            <w:r>
              <w:rPr>
                <w:rFonts w:ascii="Arial" w:cs="Arial" w:eastAsia="Arial" w:hAnsi="Arial"/>
                <w:sz w:val="14"/>
                <w:szCs w:val="14"/>
                <w:b w:val="1"/>
                <w:bCs w:val="1"/>
                <w:color w:val="auto"/>
                <w:w w:val="92"/>
              </w:rPr>
              <w:t>Amount Reclassified out of Accumulated Other</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gridSpan w:val="5"/>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0"/>
              </w:rPr>
              <w:t>Comprehensive Loss</w:t>
            </w:r>
          </w:p>
        </w:tc>
        <w:tc>
          <w:tcPr>
            <w:tcW w:w="3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Statements of Income</w:t>
            </w:r>
          </w:p>
        </w:tc>
        <w:tc>
          <w:tcPr>
            <w:tcW w:w="0" w:type="dxa"/>
            <w:vAlign w:val="bottom"/>
          </w:tcPr>
          <w:p>
            <w:pPr>
              <w:spacing w:after="0"/>
              <w:rPr>
                <w:sz w:val="1"/>
                <w:szCs w:val="1"/>
                <w:color w:val="auto"/>
              </w:rPr>
            </w:pPr>
          </w:p>
        </w:tc>
      </w:tr>
      <w:tr>
        <w:trPr>
          <w:trHeight w:val="250"/>
        </w:trPr>
        <w:tc>
          <w:tcPr>
            <w:tcW w:w="470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Gains (losses) on available-for-sale securities</w:t>
            </w:r>
          </w:p>
        </w:tc>
        <w:tc>
          <w:tcPr>
            <w:tcW w:w="2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0" w:type="dxa"/>
            <w:vAlign w:val="bottom"/>
          </w:tcPr>
          <w:p>
            <w:pPr>
              <w:spacing w:after="0"/>
              <w:rPr>
                <w:sz w:val="1"/>
                <w:szCs w:val="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5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Gains (losses) on hedging instruments</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6"/>
          </w:tcPr>
          <w:p>
            <w:pPr>
              <w:ind w:left="4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Revenue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administrative expense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(89.8)</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Provision (benefit) for income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(27.2)</w:t>
            </w:r>
          </w:p>
        </w:tc>
        <w:tc>
          <w:tcPr>
            <w:tcW w:w="10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(62.6)</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4700" w:type="dxa"/>
            <w:vAlign w:val="bottom"/>
            <w:gridSpan w:val="6"/>
            <w:vMerge w:val="restart"/>
          </w:tcPr>
          <w:p>
            <w:pPr>
              <w:ind w:left="40"/>
              <w:spacing w:after="0" w:line="202" w:lineRule="exact"/>
              <w:rPr>
                <w:sz w:val="20"/>
                <w:szCs w:val="20"/>
                <w:color w:val="auto"/>
              </w:rPr>
            </w:pPr>
            <w:r>
              <w:rPr>
                <w:rFonts w:ascii="Arial" w:cs="Arial" w:eastAsia="Arial" w:hAnsi="Arial"/>
                <w:sz w:val="18"/>
                <w:szCs w:val="18"/>
                <w:color w:val="auto"/>
              </w:rPr>
              <w:t>Defined pension and other post-retirement benefits</w:t>
            </w: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00" w:type="dxa"/>
            <w:vAlign w:val="bottom"/>
            <w:gridSpan w:val="6"/>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27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Amortization of actuarial gain (loss)</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43"/>
        </w:trPr>
        <w:tc>
          <w:tcPr>
            <w:tcW w:w="4700" w:type="dxa"/>
            <w:vAlign w:val="bottom"/>
            <w:gridSpan w:val="6"/>
          </w:tcPr>
          <w:p>
            <w:pPr>
              <w:ind w:left="40"/>
              <w:spacing w:after="0"/>
              <w:rPr>
                <w:sz w:val="20"/>
                <w:szCs w:val="20"/>
                <w:color w:val="auto"/>
              </w:rPr>
            </w:pPr>
            <w:r>
              <w:rPr>
                <w:rFonts w:ascii="Arial" w:cs="Arial" w:eastAsia="Arial" w:hAnsi="Arial"/>
                <w:sz w:val="18"/>
                <w:szCs w:val="18"/>
                <w:color w:val="auto"/>
              </w:rPr>
              <w:t>Amortization of prior service credit (cost)</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Provision (benefit) for income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5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right="160" w:hanging="322"/>
        <w:spacing w:after="0" w:line="232" w:lineRule="auto"/>
        <w:tabs>
          <w:tab w:leader="none" w:pos="50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These accumulated other comprehensive income components are included in the computation of net periodic pension cost (see Note 15 for additional details).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Merger described in Note 2, TechnipFMC plc is a public limited company incorporated under the laws of England and Wales. Therefore, our earnings are subject to the United Kingdom statutory rate of 19.3% beginning on the effective date of the Merger. Previously these earnings were subject to the French statutory rate of 34.4%. Our consolidated effective income tax rate information has been presented accordingly. The Merger transaction was generally a non-taxable event for the significant jurisdictions in which we operate.</w:t>
      </w:r>
    </w:p>
    <w:p>
      <w:pPr>
        <w:spacing w:after="0" w:line="133"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Our income tax provision (benefit) for the three months ended June 30, 2017 and 2016, reflected effective tax rates of 35.1% and 4.9%, respectively. Our income tax provision (benefit) for the six months ended June 30, 2017 and 2016, reflected effective tax rates of 48.9% and 18.6%, respectively. The year-over-year increases in the effective tax rate were primarily due to a change in the forecasted country mix of earnings and valuation allowances due to additional losses generated for which no tax benefit is expected to be realized. In addition, individual tax items, combined with lower profitability in the current period, had a greater impact on the effective rate in the three and six months ended June 30, 2017 as compared to the same periods in 2016.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was different from the statutory income tax rate due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152400</wp:posOffset>
            </wp:positionV>
            <wp:extent cx="38760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1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4"/>
          </w:tcPr>
          <w:p>
            <w:pPr>
              <w:jc w:val="center"/>
              <w:ind w:right="351"/>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w w:val="96"/>
              </w:rPr>
              <w:t>34.4 %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difference resulting from:</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earnings subject to different tax rates</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w w:val="88"/>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(23.4)%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Branch profits tax</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0"/>
              </w:rPr>
              <w:t>(4.7)%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6"/>
          </w:tcPr>
          <w:p>
            <w:pPr>
              <w:jc w:val="right"/>
              <w:ind w:right="4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Deemed dividends</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State, local and provincial tax</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4.7 %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7.1 %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to provision</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9.2 %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14.7 %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(0.5)%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rPr>
              <w:t>35.1 %</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48.9 %</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18.6 %</w:t>
            </w:r>
          </w:p>
        </w:tc>
      </w:tr>
      <w:tr>
        <w:trPr>
          <w:trHeight w:val="20"/>
        </w:trPr>
        <w:tc>
          <w:tcPr>
            <w:tcW w:w="47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46"/>
        </w:trPr>
        <w:tc>
          <w:tcPr>
            <w:tcW w:w="5880" w:type="dxa"/>
            <w:vAlign w:val="bottom"/>
            <w:gridSpan w:val="7"/>
          </w:tcPr>
          <w:p>
            <w:pPr>
              <w:spacing w:after="0"/>
              <w:rPr>
                <w:sz w:val="20"/>
                <w:szCs w:val="20"/>
                <w:color w:val="auto"/>
              </w:rPr>
            </w:pPr>
            <w:r>
              <w:rPr>
                <w:rFonts w:ascii="Arial" w:cs="Arial" w:eastAsia="Arial" w:hAnsi="Arial"/>
                <w:sz w:val="18"/>
                <w:szCs w:val="18"/>
                <w:b w:val="1"/>
                <w:bCs w:val="1"/>
                <w:color w:val="auto"/>
              </w:rPr>
              <w:t>NOTE 15. PENSION AND OTHER POST-RETIREMENT BENEFITS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97"/>
        </w:trPr>
        <w:tc>
          <w:tcPr>
            <w:tcW w:w="4460" w:type="dxa"/>
            <w:vAlign w:val="bottom"/>
            <w:gridSpan w:val="2"/>
          </w:tcPr>
          <w:p>
            <w:pPr>
              <w:spacing w:after="0"/>
              <w:rPr>
                <w:sz w:val="20"/>
                <w:szCs w:val="20"/>
                <w:color w:val="auto"/>
              </w:rPr>
            </w:pPr>
            <w:r>
              <w:rPr>
                <w:rFonts w:ascii="Arial" w:cs="Arial" w:eastAsia="Arial" w:hAnsi="Arial"/>
                <w:sz w:val="18"/>
                <w:szCs w:val="18"/>
                <w:color w:val="auto"/>
                <w:w w:val="92"/>
              </w:rPr>
              <w:t>The components of net periodic benefit cost were as follows:</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2"/>
        </w:trPr>
        <w:tc>
          <w:tcPr>
            <w:tcW w:w="4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4"/>
                <w:szCs w:val="14"/>
                <w:b w:val="1"/>
                <w:bCs w:val="1"/>
                <w:color w:val="auto"/>
                <w:w w:val="88"/>
              </w:rPr>
              <w:t>Pension Benefits</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14"/>
          </w:tcPr>
          <w:p>
            <w:pPr>
              <w:jc w:val="right"/>
              <w:ind w:right="160"/>
              <w:spacing w:after="0"/>
              <w:rPr>
                <w:sz w:val="20"/>
                <w:szCs w:val="20"/>
                <w:color w:val="auto"/>
              </w:rPr>
            </w:pPr>
            <w:r>
              <w:rPr>
                <w:rFonts w:ascii="Arial" w:cs="Arial" w:eastAsia="Arial" w:hAnsi="Arial"/>
                <w:sz w:val="14"/>
                <w:szCs w:val="14"/>
                <w:b w:val="1"/>
                <w:bCs w:val="1"/>
                <w:color w:val="auto"/>
                <w:w w:val="93"/>
              </w:rPr>
              <w:t>Three Months Ended June 30,</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22"/>
                <w:szCs w:val="22"/>
                <w:color w:val="auto"/>
              </w:rPr>
            </w:pPr>
          </w:p>
        </w:tc>
      </w:tr>
      <w:tr>
        <w:trPr>
          <w:trHeight w:val="264"/>
        </w:trPr>
        <w:tc>
          <w:tcPr>
            <w:tcW w:w="4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9"/>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2016</w:t>
            </w:r>
          </w:p>
        </w:tc>
        <w:tc>
          <w:tcPr>
            <w:tcW w:w="640" w:type="dxa"/>
            <w:vAlign w:val="bottom"/>
            <w:tcBorders>
              <w:bottom w:val="single" w:sz="8" w:color="auto"/>
            </w:tcBorders>
          </w:tcPr>
          <w:p>
            <w:pPr>
              <w:spacing w:after="0"/>
              <w:rPr>
                <w:sz w:val="22"/>
                <w:szCs w:val="22"/>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U.S.</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Int’l</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Int’l</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Int’l</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3"/>
            <w:shd w:val="clear" w:color="auto" w:fill="CCEEFF"/>
          </w:tcPr>
          <w:p>
            <w:pPr>
              <w:jc w:val="center"/>
              <w:ind w:left="12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loss (gain), net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Curtailment cost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3"/>
            <w:shd w:val="clear" w:color="auto" w:fill="CCEEFF"/>
          </w:tcPr>
          <w:p>
            <w:pPr>
              <w:jc w:val="center"/>
              <w:ind w:left="12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744"/>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2"/>
          </w:tcPr>
          <w:p>
            <w:pPr>
              <w:spacing w:after="0"/>
              <w:rPr>
                <w:sz w:val="20"/>
                <w:szCs w:val="20"/>
                <w:color w:val="auto"/>
              </w:rPr>
            </w:pPr>
            <w:r>
              <w:rPr>
                <w:rFonts w:ascii="Arial" w:cs="Arial" w:eastAsia="Arial" w:hAnsi="Arial"/>
                <w:sz w:val="14"/>
                <w:szCs w:val="14"/>
                <w:b w:val="1"/>
                <w:bCs w:val="1"/>
                <w:color w:val="auto"/>
              </w:rPr>
              <w:t>Other Post-retirement Benefits</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13"/>
          </w:tcPr>
          <w:p>
            <w:pPr>
              <w:jc w:val="right"/>
              <w:ind w:right="317"/>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4"/>
                <w:szCs w:val="14"/>
                <w:b w:val="1"/>
                <w:bCs w:val="1"/>
                <w:color w:val="auto"/>
                <w:w w:val="91"/>
              </w:rPr>
              <w:t>Six Months Ended June 30,</w:t>
            </w:r>
          </w:p>
        </w:tc>
        <w:tc>
          <w:tcPr>
            <w:tcW w:w="640" w:type="dxa"/>
            <w:vAlign w:val="bottom"/>
            <w:tcBorders>
              <w:bottom w:val="single" w:sz="8" w:color="auto"/>
            </w:tcBorders>
          </w:tcPr>
          <w:p>
            <w:pPr>
              <w:spacing w:after="0"/>
              <w:rPr>
                <w:sz w:val="22"/>
                <w:szCs w:val="22"/>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5"/>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4"/>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six months ended June 30, 2017, we contributed $0.9 million to our U.S. pension benefit plans and $18.3 million to our international pension benefit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STOCK-BASED COMPENSATION</w:t>
      </w:r>
    </w:p>
    <w:p>
      <w:pPr>
        <w:spacing w:after="0" w:line="17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On January 11, 2017, we adopted the TechnipFMC plc Incentive Award Plan (the “Plan”). The Plan provides certain incentives and awards to officers, employees, non-employee directors and consultants of TechnipFMC and its subsidiaries. The Plan allows our Board of Directors to make various types of awards to non-employee directors and the Compensation Committee (the “Committee”) of the Board of Directors to make various types of awards to other eligible individuals. Awards may include stock options, stock appreciation rights, performance units, restricted stock units, restricted stock or other awards authorized under the Plan. All awards are subject to the Plan’s provisions, including all stock-based grants previously issued by FMC Technologies and Technip prior to consummation of the Merger. Under the Plan, 24.1 million ordinary shares were authorized for awards.</w:t>
      </w:r>
    </w:p>
    <w:p>
      <w:pPr>
        <w:spacing w:after="0" w:line="1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recognize compensation expense and the corresponding tax benefits for awards under the Plan. Stock-based compensation expense for nonvested stock units was $13.3 million and $3.4 million for the three months ended June 30, 2017 and 2016, respectively, and $24.7 million and $9.4 million for the six months ended June 30, 2017 and 2016,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3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are reflected in earnings in the period such change occurs.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Foreign exchange rate forward contracts</w:t>
      </w:r>
      <w:r>
        <w:rPr>
          <w:rFonts w:ascii="Arial" w:cs="Arial" w:eastAsia="Arial" w:hAnsi="Arial"/>
          <w:sz w:val="18"/>
          <w:szCs w:val="18"/>
          <w:color w:val="auto"/>
        </w:rPr>
        <w:t>—The purpose of these instruments is to hedge the risk of changes in future cash flows of anticipated purchase or sale commitments denominated in foreign currencies and recorded assets and liabilities in our consolidated balance sheets. At June 30, 2017, we held the following material net positions: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Net Notional Amount</w:t>
            </w:r>
          </w:p>
        </w:tc>
      </w:tr>
      <w:tr>
        <w:trPr>
          <w:trHeight w:val="192"/>
        </w:trPr>
        <w:tc>
          <w:tcPr>
            <w:tcW w:w="34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760" w:type="dxa"/>
            <w:vAlign w:val="bottom"/>
            <w:tcBorders>
              <w:bottom w:val="single" w:sz="8" w:color="auto"/>
            </w:tcBorders>
            <w:gridSpan w:val="2"/>
          </w:tcPr>
          <w:p>
            <w:pPr>
              <w:jc w:val="center"/>
              <w:ind w:left="1628"/>
              <w:spacing w:after="0"/>
              <w:rPr>
                <w:sz w:val="20"/>
                <w:szCs w:val="20"/>
                <w:color w:val="auto"/>
              </w:rPr>
            </w:pPr>
            <w:r>
              <w:rPr>
                <w:rFonts w:ascii="Arial" w:cs="Arial" w:eastAsia="Arial" w:hAnsi="Arial"/>
                <w:sz w:val="14"/>
                <w:szCs w:val="14"/>
                <w:b w:val="1"/>
                <w:bCs w:val="1"/>
                <w:color w:val="auto"/>
                <w:w w:val="92"/>
              </w:rPr>
              <w:t>Bought (Sold)</w:t>
            </w:r>
          </w:p>
        </w:tc>
        <w:tc>
          <w:tcPr>
            <w:tcW w:w="1680" w:type="dxa"/>
            <w:vAlign w:val="bottom"/>
            <w:tcBorders>
              <w:bottom w:val="single" w:sz="8" w:color="auto"/>
            </w:tcBorders>
          </w:tcPr>
          <w:p>
            <w:pPr>
              <w:spacing w:after="0"/>
              <w:rPr>
                <w:sz w:val="16"/>
                <w:szCs w:val="16"/>
                <w:color w:val="auto"/>
              </w:rPr>
            </w:pPr>
          </w:p>
        </w:tc>
      </w:tr>
      <w:tr>
        <w:trPr>
          <w:trHeight w:val="264"/>
        </w:trPr>
        <w:tc>
          <w:tcPr>
            <w:tcW w:w="3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500" w:type="dxa"/>
            <w:vAlign w:val="bottom"/>
            <w:tcBorders>
              <w:bottom w:val="single" w:sz="8" w:color="CCEEFF"/>
            </w:tcBorders>
          </w:tcPr>
          <w:p>
            <w:pPr>
              <w:spacing w:after="0"/>
              <w:rPr>
                <w:sz w:val="22"/>
                <w:szCs w:val="22"/>
                <w:color w:val="auto"/>
              </w:rPr>
            </w:pPr>
          </w:p>
        </w:tc>
        <w:tc>
          <w:tcPr>
            <w:tcW w:w="22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USD Equivalent</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57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182.4</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138.2</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Brazilian real</w:t>
            </w:r>
          </w:p>
        </w:tc>
        <w:tc>
          <w:tcPr>
            <w:tcW w:w="5780" w:type="dxa"/>
            <w:vAlign w:val="bottom"/>
            <w:gridSpan w:val="2"/>
          </w:tcPr>
          <w:p>
            <w:pPr>
              <w:jc w:val="right"/>
              <w:ind w:right="148"/>
              <w:spacing w:after="0"/>
              <w:rPr>
                <w:sz w:val="20"/>
                <w:szCs w:val="20"/>
                <w:color w:val="auto"/>
              </w:rPr>
            </w:pPr>
            <w:r>
              <w:rPr>
                <w:rFonts w:ascii="Arial" w:cs="Arial" w:eastAsia="Arial" w:hAnsi="Arial"/>
                <w:sz w:val="18"/>
                <w:szCs w:val="18"/>
                <w:color w:val="auto"/>
              </w:rPr>
              <w:t>829.5</w:t>
            </w:r>
          </w:p>
        </w:tc>
        <w:tc>
          <w:tcPr>
            <w:tcW w:w="48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250.5</w:t>
            </w:r>
          </w:p>
        </w:tc>
      </w:tr>
      <w:tr>
        <w:trPr>
          <w:trHeight w:val="27"/>
        </w:trPr>
        <w:tc>
          <w:tcPr>
            <w:tcW w:w="34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57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243.6</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309.9</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Canadian dollar</w:t>
            </w:r>
          </w:p>
        </w:tc>
        <w:tc>
          <w:tcPr>
            <w:tcW w:w="5780" w:type="dxa"/>
            <w:vAlign w:val="bottom"/>
            <w:gridSpan w:val="2"/>
          </w:tcPr>
          <w:p>
            <w:pPr>
              <w:jc w:val="right"/>
              <w:ind w:right="88"/>
              <w:spacing w:after="0"/>
              <w:rPr>
                <w:sz w:val="20"/>
                <w:szCs w:val="20"/>
                <w:color w:val="auto"/>
              </w:rPr>
            </w:pPr>
            <w:r>
              <w:rPr>
                <w:rFonts w:ascii="Arial" w:cs="Arial" w:eastAsia="Arial" w:hAnsi="Arial"/>
                <w:sz w:val="18"/>
                <w:szCs w:val="18"/>
                <w:color w:val="auto"/>
              </w:rPr>
              <w:t>(181.3)</w:t>
            </w:r>
          </w:p>
        </w:tc>
        <w:tc>
          <w:tcPr>
            <w:tcW w:w="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(139.5)</w:t>
            </w:r>
          </w:p>
        </w:tc>
      </w:tr>
      <w:tr>
        <w:trPr>
          <w:trHeight w:val="27"/>
        </w:trPr>
        <w:tc>
          <w:tcPr>
            <w:tcW w:w="34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57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997.1</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1,115.7</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Malaysian ringgit</w:t>
            </w:r>
          </w:p>
        </w:tc>
        <w:tc>
          <w:tcPr>
            <w:tcW w:w="5780" w:type="dxa"/>
            <w:vAlign w:val="bottom"/>
            <w:gridSpan w:val="2"/>
          </w:tcPr>
          <w:p>
            <w:pPr>
              <w:jc w:val="right"/>
              <w:ind w:right="148"/>
              <w:spacing w:after="0"/>
              <w:rPr>
                <w:sz w:val="20"/>
                <w:szCs w:val="20"/>
                <w:color w:val="auto"/>
              </w:rPr>
            </w:pPr>
            <w:r>
              <w:rPr>
                <w:rFonts w:ascii="Arial" w:cs="Arial" w:eastAsia="Arial" w:hAnsi="Arial"/>
                <w:sz w:val="18"/>
                <w:szCs w:val="18"/>
                <w:color w:val="auto"/>
              </w:rPr>
              <w:t>118.4</w:t>
            </w:r>
          </w:p>
        </w:tc>
        <w:tc>
          <w:tcPr>
            <w:tcW w:w="48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27.6</w:t>
            </w:r>
          </w:p>
        </w:tc>
      </w:tr>
      <w:tr>
        <w:trPr>
          <w:trHeight w:val="27"/>
        </w:trPr>
        <w:tc>
          <w:tcPr>
            <w:tcW w:w="34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Nigerian naira</w:t>
            </w:r>
          </w:p>
        </w:tc>
        <w:tc>
          <w:tcPr>
            <w:tcW w:w="57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(5,566.3)</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Norwegian krone</w:t>
            </w:r>
          </w:p>
        </w:tc>
        <w:tc>
          <w:tcPr>
            <w:tcW w:w="5780" w:type="dxa"/>
            <w:vAlign w:val="bottom"/>
            <w:gridSpan w:val="2"/>
          </w:tcPr>
          <w:p>
            <w:pPr>
              <w:jc w:val="right"/>
              <w:ind w:right="88"/>
              <w:spacing w:after="0"/>
              <w:rPr>
                <w:sz w:val="20"/>
                <w:szCs w:val="20"/>
                <w:color w:val="auto"/>
              </w:rPr>
            </w:pPr>
            <w:r>
              <w:rPr>
                <w:rFonts w:ascii="Arial" w:cs="Arial" w:eastAsia="Arial" w:hAnsi="Arial"/>
                <w:sz w:val="18"/>
                <w:szCs w:val="18"/>
                <w:color w:val="auto"/>
              </w:rPr>
              <w:t>(420.6)</w:t>
            </w:r>
          </w:p>
        </w:tc>
        <w:tc>
          <w:tcPr>
            <w:tcW w:w="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7"/>
        </w:trPr>
        <w:tc>
          <w:tcPr>
            <w:tcW w:w="34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Russian ruble</w:t>
            </w:r>
          </w:p>
        </w:tc>
        <w:tc>
          <w:tcPr>
            <w:tcW w:w="57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1,152.7</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Singapore dollar</w:t>
            </w:r>
          </w:p>
        </w:tc>
        <w:tc>
          <w:tcPr>
            <w:tcW w:w="5780" w:type="dxa"/>
            <w:vAlign w:val="bottom"/>
            <w:gridSpan w:val="2"/>
          </w:tcPr>
          <w:p>
            <w:pPr>
              <w:jc w:val="right"/>
              <w:ind w:right="148"/>
              <w:spacing w:after="0"/>
              <w:rPr>
                <w:sz w:val="20"/>
                <w:szCs w:val="20"/>
                <w:color w:val="auto"/>
              </w:rPr>
            </w:pPr>
            <w:r>
              <w:rPr>
                <w:rFonts w:ascii="Arial" w:cs="Arial" w:eastAsia="Arial" w:hAnsi="Arial"/>
                <w:sz w:val="18"/>
                <w:szCs w:val="18"/>
                <w:color w:val="auto"/>
              </w:rPr>
              <w:t>93.1</w:t>
            </w:r>
          </w:p>
        </w:tc>
        <w:tc>
          <w:tcPr>
            <w:tcW w:w="48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67.7</w:t>
            </w:r>
          </w:p>
        </w:tc>
      </w:tr>
      <w:tr>
        <w:trPr>
          <w:trHeight w:val="27"/>
        </w:trPr>
        <w:tc>
          <w:tcPr>
            <w:tcW w:w="34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w:t>
            </w:r>
          </w:p>
        </w:tc>
        <w:tc>
          <w:tcPr>
            <w:tcW w:w="57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(1,736.7)</w:t>
            </w:r>
          </w:p>
        </w:tc>
        <w:tc>
          <w:tcPr>
            <w:tcW w:w="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(1,736.7)</w:t>
            </w:r>
          </w:p>
        </w:tc>
      </w:tr>
      <w:tr>
        <w:trPr>
          <w:trHeight w:val="459"/>
        </w:trPr>
        <w:tc>
          <w:tcPr>
            <w:tcW w:w="3460" w:type="dxa"/>
            <w:vAlign w:val="bottom"/>
          </w:tcPr>
          <w:p>
            <w:pPr>
              <w:spacing w:after="0"/>
              <w:rPr>
                <w:sz w:val="24"/>
                <w:szCs w:val="24"/>
                <w:color w:val="auto"/>
              </w:rPr>
            </w:pPr>
          </w:p>
        </w:tc>
        <w:tc>
          <w:tcPr>
            <w:tcW w:w="3500" w:type="dxa"/>
            <w:vAlign w:val="bottom"/>
          </w:tcPr>
          <w:p>
            <w:pPr>
              <w:jc w:val="right"/>
              <w:ind w:right="1070"/>
              <w:spacing w:after="0"/>
              <w:rPr>
                <w:sz w:val="20"/>
                <w:szCs w:val="20"/>
                <w:color w:val="auto"/>
              </w:rPr>
            </w:pPr>
            <w:r>
              <w:rPr>
                <w:rFonts w:ascii="Arial" w:cs="Arial" w:eastAsia="Arial" w:hAnsi="Arial"/>
                <w:sz w:val="18"/>
                <w:szCs w:val="18"/>
                <w:color w:val="auto"/>
              </w:rPr>
              <w:t>28</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u w:val="single" w:color="auto"/>
          <w:color w:val="auto"/>
        </w:rPr>
        <w:t>Foreign exchange rate instruments embedded in purchase and sale contracts</w:t>
      </w:r>
      <w:r>
        <w:rPr>
          <w:rFonts w:ascii="Arial" w:cs="Arial" w:eastAsia="Arial" w:hAnsi="Arial"/>
          <w:sz w:val="18"/>
          <w:szCs w:val="18"/>
          <w:color w:val="auto"/>
        </w:rPr>
        <w:t>—The purpose of these instruments is to match offsetting currency payments and receipts for particular projects, or comply with government restrictions on the currency used to purchase goods in certain countries. At June 30, 2017, our portfolio of these instruments included the following material net positions: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3900" w:type="dxa"/>
            <w:vAlign w:val="bottom"/>
            <w:gridSpan w:val="2"/>
          </w:tcPr>
          <w:p>
            <w:pPr>
              <w:jc w:val="center"/>
              <w:ind w:left="496"/>
              <w:spacing w:after="0"/>
              <w:rPr>
                <w:sz w:val="20"/>
                <w:szCs w:val="20"/>
                <w:color w:val="auto"/>
              </w:rPr>
            </w:pPr>
            <w:r>
              <w:rPr>
                <w:rFonts w:ascii="Arial" w:cs="Arial" w:eastAsia="Arial" w:hAnsi="Arial"/>
                <w:sz w:val="14"/>
                <w:szCs w:val="14"/>
                <w:b w:val="1"/>
                <w:bCs w:val="1"/>
                <w:color w:val="auto"/>
                <w:w w:val="94"/>
              </w:rPr>
              <w:t>Net Notional Amount</w:t>
            </w:r>
          </w:p>
        </w:tc>
        <w:tc>
          <w:tcPr>
            <w:tcW w:w="540" w:type="dxa"/>
            <w:vAlign w:val="bottom"/>
          </w:tcPr>
          <w:p>
            <w:pPr>
              <w:spacing w:after="0"/>
              <w:rPr>
                <w:sz w:val="14"/>
                <w:szCs w:val="14"/>
                <w:color w:val="auto"/>
              </w:rPr>
            </w:pPr>
          </w:p>
        </w:tc>
      </w:tr>
      <w:tr>
        <w:trPr>
          <w:trHeight w:val="192"/>
        </w:trPr>
        <w:tc>
          <w:tcPr>
            <w:tcW w:w="6960" w:type="dxa"/>
            <w:vAlign w:val="bottom"/>
          </w:tcPr>
          <w:p>
            <w:pPr>
              <w:spacing w:after="0"/>
              <w:rPr>
                <w:sz w:val="16"/>
                <w:szCs w:val="16"/>
                <w:color w:val="auto"/>
              </w:rPr>
            </w:pPr>
          </w:p>
        </w:tc>
        <w:tc>
          <w:tcPr>
            <w:tcW w:w="3900" w:type="dxa"/>
            <w:vAlign w:val="bottom"/>
            <w:tcBorders>
              <w:bottom w:val="single" w:sz="8" w:color="auto"/>
            </w:tcBorders>
            <w:gridSpan w:val="2"/>
          </w:tcPr>
          <w:p>
            <w:pPr>
              <w:jc w:val="center"/>
              <w:ind w:left="476"/>
              <w:spacing w:after="0"/>
              <w:rPr>
                <w:sz w:val="20"/>
                <w:szCs w:val="20"/>
                <w:color w:val="auto"/>
              </w:rPr>
            </w:pPr>
            <w:r>
              <w:rPr>
                <w:rFonts w:ascii="Arial" w:cs="Arial" w:eastAsia="Arial" w:hAnsi="Arial"/>
                <w:sz w:val="14"/>
                <w:szCs w:val="14"/>
                <w:b w:val="1"/>
                <w:bCs w:val="1"/>
                <w:color w:val="auto"/>
                <w:w w:val="92"/>
              </w:rPr>
              <w:t>Bought (Sold)</w:t>
            </w:r>
          </w:p>
        </w:tc>
        <w:tc>
          <w:tcPr>
            <w:tcW w:w="54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8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7"/>
              </w:rPr>
              <w:t>USD Equivalent</w:t>
            </w:r>
          </w:p>
        </w:tc>
        <w:tc>
          <w:tcPr>
            <w:tcW w:w="540" w:type="dxa"/>
            <w:vAlign w:val="bottom"/>
            <w:tcBorders>
              <w:bottom w:val="single" w:sz="8" w:color="auto"/>
            </w:tcBorders>
          </w:tcPr>
          <w:p>
            <w:pPr>
              <w:spacing w:after="0"/>
              <w:rPr>
                <w:sz w:val="22"/>
                <w:szCs w:val="2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Brazilian real</w:t>
            </w:r>
          </w:p>
        </w:tc>
        <w:tc>
          <w:tcPr>
            <w:tcW w:w="2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(47.3)</w:t>
            </w:r>
          </w:p>
        </w:tc>
        <w:tc>
          <w:tcPr>
            <w:tcW w:w="1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(14.3)</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Euro</w:t>
            </w:r>
          </w:p>
        </w:tc>
        <w:tc>
          <w:tcPr>
            <w:tcW w:w="2280" w:type="dxa"/>
            <w:vAlign w:val="bottom"/>
          </w:tcPr>
          <w:p>
            <w:pPr>
              <w:jc w:val="right"/>
              <w:ind w:right="76"/>
              <w:spacing w:after="0"/>
              <w:rPr>
                <w:sz w:val="20"/>
                <w:szCs w:val="20"/>
                <w:color w:val="auto"/>
              </w:rPr>
            </w:pPr>
            <w:r>
              <w:rPr>
                <w:rFonts w:ascii="Arial" w:cs="Arial" w:eastAsia="Arial" w:hAnsi="Arial"/>
                <w:sz w:val="18"/>
                <w:szCs w:val="18"/>
                <w:color w:val="auto"/>
              </w:rPr>
              <w:t>(25.5)</w:t>
            </w:r>
          </w:p>
        </w:tc>
        <w:tc>
          <w:tcPr>
            <w:tcW w:w="16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(29.1)</w:t>
            </w:r>
          </w:p>
        </w:tc>
      </w:tr>
      <w:tr>
        <w:trPr>
          <w:trHeight w:val="27"/>
        </w:trPr>
        <w:tc>
          <w:tcPr>
            <w:tcW w:w="6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Norwegian krone</w:t>
            </w:r>
          </w:p>
        </w:tc>
        <w:tc>
          <w:tcPr>
            <w:tcW w:w="2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(172.2)</w:t>
            </w:r>
          </w:p>
        </w:tc>
        <w:tc>
          <w:tcPr>
            <w:tcW w:w="1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(20.5)</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U.S. dollar</w:t>
            </w:r>
          </w:p>
        </w:tc>
        <w:tc>
          <w:tcPr>
            <w:tcW w:w="2280" w:type="dxa"/>
            <w:vAlign w:val="bottom"/>
          </w:tcPr>
          <w:p>
            <w:pPr>
              <w:jc w:val="right"/>
              <w:ind w:right="136"/>
              <w:spacing w:after="0"/>
              <w:rPr>
                <w:sz w:val="20"/>
                <w:szCs w:val="20"/>
                <w:color w:val="auto"/>
              </w:rPr>
            </w:pPr>
            <w:r>
              <w:rPr>
                <w:rFonts w:ascii="Arial" w:cs="Arial" w:eastAsia="Arial" w:hAnsi="Arial"/>
                <w:sz w:val="18"/>
                <w:szCs w:val="18"/>
                <w:color w:val="auto"/>
              </w:rPr>
              <w:t>60.0</w:t>
            </w:r>
          </w:p>
        </w:tc>
        <w:tc>
          <w:tcPr>
            <w:tcW w:w="16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60.0</w:t>
            </w:r>
          </w:p>
        </w:tc>
      </w:tr>
    </w:tbl>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Refer to Note 18 to these consolidated financial statements for further disclosures related to the fair value measurement process. Accordingly, the estimates presented may not be indicative of the amounts that we would realize in a current market exchange and may not be indicative of the gains or losses we may ultimately incur when these contracts are settled.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2"/>
                <w:szCs w:val="22"/>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Assets</w:t>
            </w:r>
          </w:p>
        </w:tc>
        <w:tc>
          <w:tcPr>
            <w:tcW w:w="400" w:type="dxa"/>
            <w:vAlign w:val="bottom"/>
          </w:tcPr>
          <w:p>
            <w:pPr>
              <w:spacing w:after="0"/>
              <w:rPr>
                <w:sz w:val="22"/>
                <w:szCs w:val="22"/>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34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22"/>
                <w:szCs w:val="22"/>
                <w:color w:val="auto"/>
              </w:rPr>
            </w:pPr>
          </w:p>
        </w:tc>
        <w:tc>
          <w:tcPr>
            <w:tcW w:w="1200" w:type="dxa"/>
            <w:vAlign w:val="bottom"/>
          </w:tcPr>
          <w:p>
            <w:pPr>
              <w:jc w:val="right"/>
              <w:ind w:right="352"/>
              <w:spacing w:after="0"/>
              <w:rPr>
                <w:sz w:val="20"/>
                <w:szCs w:val="20"/>
                <w:color w:val="auto"/>
              </w:rPr>
            </w:pPr>
            <w:r>
              <w:rPr>
                <w:rFonts w:ascii="Arial" w:cs="Arial" w:eastAsia="Arial" w:hAnsi="Arial"/>
                <w:sz w:val="14"/>
                <w:szCs w:val="14"/>
                <w:b w:val="1"/>
                <w:bCs w:val="1"/>
                <w:color w:val="auto"/>
              </w:rPr>
              <w:t>Liabilities</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 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183.0</w:t>
            </w: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47.6</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Current – Derivative financial instruments</w:t>
            </w:r>
          </w:p>
        </w:tc>
        <w:tc>
          <w:tcPr>
            <w:tcW w:w="3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Synthetic Bonds – Call Option Premium</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40" w:type="dxa"/>
            <w:vAlign w:val="bottom"/>
          </w:tcPr>
          <w:p>
            <w:pPr>
              <w:ind w:left="720"/>
              <w:spacing w:after="0"/>
              <w:rPr>
                <w:sz w:val="20"/>
                <w:szCs w:val="20"/>
                <w:color w:val="auto"/>
              </w:rPr>
            </w:pPr>
            <w:r>
              <w:rPr>
                <w:rFonts w:ascii="Arial" w:cs="Arial" w:eastAsia="Arial" w:hAnsi="Arial"/>
                <w:sz w:val="18"/>
                <w:szCs w:val="18"/>
                <w:color w:val="auto"/>
              </w:rPr>
              <w:t>– Synthetic Bonds – Embedded Derivatives</w:t>
            </w:r>
          </w:p>
        </w:tc>
        <w:tc>
          <w:tcPr>
            <w:tcW w:w="3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180.1</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recognized a gain of $18.9 million and a loss of $10.5 million for the three months ended June 30, 2017 and 2016, respectively, and a gain of $16.1 million and $0.2 million for the six months ended June 30, 2017 and 2016, respectively, due to hedge ineffectiveness as it was probable that the original forecasted transaction would not occur. Cash flow derivative hedges of forecasted transactions, net of tax, which qualify for hedge accounting, resulted in an accumulated other comprehensive loss of $29.9 million and $126.9 million at June 30, 2017, and December 31, 2016, respectively. We expect to transfer an approximate $26.2 million loss from accumulated OCI to earnings during the next 12 months when the anticipated transactions actually occur. All anticipated transactions currently being hedged are expected to occur by the first half of 2020.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designated as fair value hedges.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Location of Fair Value Hedge Gain (Loss) Recognized in Income</w:t>
            </w: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Gain (Loss) Recognized in</w:t>
            </w: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4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gridSpan w:val="3"/>
          </w:tcPr>
          <w:p>
            <w:pPr>
              <w:jc w:val="center"/>
              <w:ind w:left="19"/>
              <w:spacing w:after="0" w:line="158" w:lineRule="exact"/>
              <w:rPr>
                <w:sz w:val="20"/>
                <w:szCs w:val="20"/>
                <w:color w:val="auto"/>
              </w:rPr>
            </w:pPr>
            <w:r>
              <w:rPr>
                <w:rFonts w:ascii="Arial" w:cs="Arial" w:eastAsia="Arial" w:hAnsi="Arial"/>
                <w:sz w:val="14"/>
                <w:szCs w:val="14"/>
                <w:b w:val="1"/>
                <w:bCs w:val="1"/>
                <w:color w:val="auto"/>
                <w:w w:val="89"/>
              </w:rPr>
              <w:t>Income</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16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present the location of gains (losses) on the consolidated statements of other comprehensive income and/or the consolidated statements of income related to derivative instruments designated as cash flow hedges.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2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0"/>
              </w:rPr>
              <w:t>Gain (Loss) Recognized in</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OCI (Effective Portion)</w:t>
            </w: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60" w:type="dxa"/>
            <w:vAlign w:val="bottom"/>
            <w:tcBorders>
              <w:bottom w:val="single" w:sz="8" w:color="auto"/>
            </w:tcBorders>
            <w:gridSpan w:val="5"/>
          </w:tcPr>
          <w:p>
            <w:pPr>
              <w:jc w:val="right"/>
              <w:ind w:right="61"/>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20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120" w:type="dxa"/>
            <w:vAlign w:val="bottom"/>
            <w:tcBorders>
              <w:bottom w:val="single" w:sz="8" w:color="CCEEFF"/>
            </w:tcBorders>
            <w:shd w:val="clear" w:color="auto" w:fill="CCEEFF"/>
          </w:tcPr>
          <w:p>
            <w:pPr>
              <w:jc w:val="right"/>
              <w:ind w:right="9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0" w:type="dxa"/>
            <w:vAlign w:val="bottom"/>
            <w:gridSpan w:val="4"/>
          </w:tcPr>
          <w:p>
            <w:pPr>
              <w:spacing w:after="0"/>
              <w:rPr>
                <w:sz w:val="20"/>
                <w:szCs w:val="20"/>
                <w:color w:val="auto"/>
              </w:rPr>
            </w:pPr>
            <w:r>
              <w:rPr>
                <w:rFonts w:ascii="Arial" w:cs="Arial" w:eastAsia="Arial" w:hAnsi="Arial"/>
                <w:sz w:val="14"/>
                <w:szCs w:val="14"/>
                <w:b w:val="1"/>
                <w:bCs w:val="1"/>
                <w:color w:val="auto"/>
              </w:rPr>
              <w:t>Location of Cash Flow Hedge Gain (Loss) Reclassified from</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1"/>
              </w:rPr>
              <w:t>Gain (Loss) Reclassified from Accumulated</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7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Accumulated OCI into Income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20" w:type="dxa"/>
            <w:vAlign w:val="bottom"/>
            <w:gridSpan w:val="9"/>
          </w:tcPr>
          <w:p>
            <w:pPr>
              <w:jc w:val="center"/>
              <w:ind w:right="160"/>
              <w:spacing w:after="0" w:line="129" w:lineRule="exact"/>
              <w:rPr>
                <w:sz w:val="20"/>
                <w:szCs w:val="20"/>
                <w:color w:val="auto"/>
              </w:rPr>
            </w:pPr>
            <w:r>
              <w:rPr>
                <w:rFonts w:ascii="Arial" w:cs="Arial" w:eastAsia="Arial" w:hAnsi="Arial"/>
                <w:sz w:val="14"/>
                <w:szCs w:val="14"/>
                <w:b w:val="1"/>
                <w:bCs w:val="1"/>
                <w:color w:val="auto"/>
                <w:w w:val="95"/>
              </w:rPr>
              <w:t>OCI into Income (Effective Portion)</w:t>
            </w: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60" w:type="dxa"/>
            <w:vAlign w:val="bottom"/>
            <w:gridSpan w:val="5"/>
          </w:tcPr>
          <w:p>
            <w:pPr>
              <w:jc w:val="right"/>
              <w:ind w:right="61"/>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40" w:type="dxa"/>
            <w:vAlign w:val="bottom"/>
            <w:gridSpan w:val="7"/>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1120" w:type="dxa"/>
            <w:vAlign w:val="bottom"/>
          </w:tcPr>
          <w:p>
            <w:pPr>
              <w:jc w:val="right"/>
              <w:ind w:right="9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ind w:right="821"/>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Other (expense), net</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right w:val="single" w:sz="8" w:color="CCEEFF"/>
            </w:tcBorders>
          </w:tcPr>
          <w:p>
            <w:pPr>
              <w:spacing w:after="0"/>
              <w:rPr>
                <w:sz w:val="22"/>
                <w:szCs w:val="22"/>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tcBorders>
            <w:shd w:val="clear" w:color="auto" w:fill="CCEEFF"/>
          </w:tcPr>
          <w:p>
            <w:pPr>
              <w:jc w:val="right"/>
              <w:ind w:right="9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 w:type="dxa"/>
            <w:vAlign w:val="bottom"/>
          </w:tcPr>
          <w:p>
            <w:pPr>
              <w:spacing w:after="0"/>
              <w:rPr>
                <w:sz w:val="24"/>
                <w:szCs w:val="24"/>
                <w:color w:val="auto"/>
              </w:rPr>
            </w:pPr>
          </w:p>
        </w:tc>
        <w:tc>
          <w:tcPr>
            <w:tcW w:w="420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7"/>
              </w:rPr>
              <w:t>Location of Cash Flow Hedge Gain (Loss) Recognized in Income</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9"/>
          </w:tcPr>
          <w:p>
            <w:pPr>
              <w:ind w:left="40"/>
              <w:spacing w:after="0"/>
              <w:rPr>
                <w:sz w:val="20"/>
                <w:szCs w:val="20"/>
                <w:color w:val="auto"/>
              </w:rPr>
            </w:pPr>
            <w:r>
              <w:rPr>
                <w:rFonts w:ascii="Arial" w:cs="Arial" w:eastAsia="Arial" w:hAnsi="Arial"/>
                <w:sz w:val="14"/>
                <w:szCs w:val="14"/>
                <w:b w:val="1"/>
                <w:bCs w:val="1"/>
                <w:color w:val="auto"/>
                <w:w w:val="99"/>
              </w:rPr>
              <w:t>Gain (Loss) Recognized in Income (Ineffective Portion</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200" w:type="dxa"/>
            <w:vAlign w:val="bottom"/>
            <w:gridSpan w:val="4"/>
            <w:vMerge w:val="continue"/>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gridSpan w:val="9"/>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and Amount Excluded from Effectiveness Testing)</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60" w:type="dxa"/>
            <w:vAlign w:val="bottom"/>
            <w:gridSpan w:val="5"/>
          </w:tcPr>
          <w:p>
            <w:pPr>
              <w:jc w:val="right"/>
              <w:ind w:right="61"/>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40" w:type="dxa"/>
            <w:vAlign w:val="bottom"/>
            <w:gridSpan w:val="7"/>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42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bottom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28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Foreign exchange contracts:</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tcBorders>
              <w:bottom w:val="single" w:sz="8" w:color="CCEEFF"/>
            </w:tcBorders>
            <w:shd w:val="clear" w:color="auto" w:fill="CCEEFF"/>
          </w:tcPr>
          <w:p>
            <w:pPr>
              <w:jc w:val="right"/>
              <w:ind w:right="9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Cost of sales</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4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4"/>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tcBorders>
          </w:tcPr>
          <w:p>
            <w:pPr>
              <w:jc w:val="right"/>
              <w:ind w:right="9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82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not designated as hedging instruments.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Location of Gain (Loss) Recognized in Income</w:t>
            </w: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Gain (Loss) Recognized in Income on Derivatives</w:t>
            </w: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40" w:type="dxa"/>
            <w:vAlign w:val="bottom"/>
            <w:gridSpan w:val="3"/>
            <w:vMerge w:val="continue"/>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20" w:type="dxa"/>
            <w:vAlign w:val="bottom"/>
            <w:gridSpan w:val="6"/>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(Instruments Not Designated as Hedging Instruments)</w:t>
            </w: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4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02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Revenue</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Other income, net</w:t>
            </w:r>
          </w:p>
        </w:tc>
        <w:tc>
          <w:tcPr>
            <w:tcW w:w="1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Balance Sheet Offsetting</w:t>
      </w:r>
      <w:r>
        <w:rPr>
          <w:rFonts w:ascii="Arial" w:cs="Arial" w:eastAsia="Arial" w:hAnsi="Arial"/>
          <w:sz w:val="18"/>
          <w:szCs w:val="18"/>
          <w:color w:val="auto"/>
        </w:rPr>
        <w:t>—We execute derivative contracts only with counterparties that consent to a master netting agreement, which permits net settlement of the gross derivative assets against gross derivative liabilities. Each instrument is accounted for individually and assets and liabilities are not offset. As of June 30, 2017 and December 31, 2016, we had no collateralized derivative contracts. The following tables present both gross information and net information of recognized derivative instruments: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Gross Amount</w:t>
            </w: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Offset Permitted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Offset Permitted</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Under Master</w:t>
            </w:r>
          </w:p>
        </w:tc>
        <w:tc>
          <w:tcPr>
            <w:tcW w:w="20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 Amount</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Under Master</w:t>
            </w:r>
          </w:p>
        </w:tc>
        <w:tc>
          <w:tcPr>
            <w:tcW w:w="240" w:type="dxa"/>
            <w:vAlign w:val="bottom"/>
          </w:tcPr>
          <w:p>
            <w:pPr>
              <w:spacing w:after="0"/>
              <w:rPr>
                <w:sz w:val="12"/>
                <w:szCs w:val="12"/>
                <w:color w:val="auto"/>
              </w:rPr>
            </w:pPr>
          </w:p>
        </w:tc>
        <w:tc>
          <w:tcPr>
            <w:tcW w:w="12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Netting Agreements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Recognized</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Netting Agreements</w:t>
            </w: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160.9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399"/>
        </w:trPr>
        <w:tc>
          <w:tcPr>
            <w:tcW w:w="2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Gross Amount</w:t>
            </w: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Offset Permitted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Offset Permitted</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Under Master</w:t>
            </w:r>
          </w:p>
        </w:tc>
        <w:tc>
          <w:tcPr>
            <w:tcW w:w="20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 Amount</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Under Master</w:t>
            </w:r>
          </w:p>
        </w:tc>
        <w:tc>
          <w:tcPr>
            <w:tcW w:w="240" w:type="dxa"/>
            <w:vAlign w:val="bottom"/>
          </w:tcPr>
          <w:p>
            <w:pPr>
              <w:spacing w:after="0"/>
              <w:rPr>
                <w:sz w:val="12"/>
                <w:szCs w:val="12"/>
                <w:color w:val="auto"/>
              </w:rPr>
            </w:pPr>
          </w:p>
        </w:tc>
        <w:tc>
          <w:tcPr>
            <w:tcW w:w="12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Netting Agreements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Recognized</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Netting Agreements</w:t>
            </w: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207.5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200.7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410.7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Nonqualified Plan: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2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Traded securities </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2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Stable value fund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Synthetic bonds - call option premium</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financial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Synthetic bonds - embedded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b w:val="1"/>
          <w:bCs w:val="1"/>
          <w:color w:val="auto"/>
        </w:rPr>
        <w:t>_______________________</w:t>
      </w:r>
    </w:p>
    <w:p>
      <w:pPr>
        <w:spacing w:after="0" w:line="6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Includes equity securities, fixed income and other investments measured at fair value.</w:t>
      </w:r>
    </w:p>
    <w:p>
      <w:pPr>
        <w:spacing w:after="0" w:line="74" w:lineRule="exact"/>
        <w:rPr>
          <w:rFonts w:ascii="Arial" w:cs="Arial" w:eastAsia="Arial" w:hAnsi="Arial"/>
          <w:sz w:val="22"/>
          <w:szCs w:val="22"/>
          <w:color w:val="auto"/>
          <w:vertAlign w:val="superscript"/>
        </w:rPr>
      </w:pPr>
    </w:p>
    <w:p>
      <w:pPr>
        <w:ind w:left="500" w:hanging="492"/>
        <w:spacing w:after="0" w:line="211" w:lineRule="auto"/>
        <w:tabs>
          <w:tab w:leader="none" w:pos="50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Certain investments that are measured at fair value using net asset value per share (or its equivalent) have not been classified in the fair value hierarchy.</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Non-qualified plan—</w:t>
      </w:r>
      <w:r>
        <w:rPr>
          <w:rFonts w:ascii="Arial" w:cs="Arial" w:eastAsia="Arial" w:hAnsi="Arial"/>
          <w:sz w:val="18"/>
          <w:szCs w:val="18"/>
          <w:color w:val="auto"/>
        </w:rPr>
        <w:t>The fair value measurement of our traded securities is based on quoted prices that we have the ability to access in public markets. Our</w:t>
      </w:r>
      <w:r>
        <w:rPr>
          <w:rFonts w:ascii="Arial" w:cs="Arial" w:eastAsia="Arial" w:hAnsi="Arial"/>
          <w:sz w:val="18"/>
          <w:szCs w:val="18"/>
          <w:i w:val="1"/>
          <w:iCs w:val="1"/>
          <w:color w:val="auto"/>
        </w:rPr>
        <w:t xml:space="preserve"> </w:t>
      </w:r>
      <w:r>
        <w:rPr>
          <w:rFonts w:ascii="Arial" w:cs="Arial" w:eastAsia="Arial" w:hAnsi="Arial"/>
          <w:sz w:val="18"/>
          <w:szCs w:val="18"/>
          <w:color w:val="auto"/>
        </w:rPr>
        <w:t>stable value fund and money market fund are valued at the net asset value of the shares held at the end of the quarter, which is based on the fair value of the underlying investments using information reported by our investment advisor at quarter-end.</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Available-for-sale investments—</w:t>
      </w:r>
      <w:r>
        <w:rPr>
          <w:rFonts w:ascii="Arial" w:cs="Arial" w:eastAsia="Arial" w:hAnsi="Arial"/>
          <w:sz w:val="18"/>
          <w:szCs w:val="18"/>
          <w:color w:val="auto"/>
        </w:rPr>
        <w:t>The fair value measurement of our available-for-sale investments is based on quoted prices that we have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in public markets.</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Mandatorily redeemable financial liability—</w:t>
      </w:r>
      <w:r>
        <w:rPr>
          <w:rFonts w:ascii="Arial" w:cs="Arial" w:eastAsia="Arial" w:hAnsi="Arial"/>
          <w:sz w:val="16"/>
          <w:szCs w:val="16"/>
          <w:color w:val="auto"/>
        </w:rPr>
        <w:t>We determined the fair value of the mandatorily redeemable financial liability using a discounted 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model. Refer to Note 11 for further information related to this liability. The key assumption used in applying the income approach is the expected dividends to be distributed in the future to the noncontrolling interest holders. Expected dividends to be distributed is based on the noncontrolling interests’ share of the expected profitability of the underlying contract, the selected discount rate, and the overall timing of completion of the project. A decrease of one percentage point in the discount rate would have increased the liability by $5.3 million as of June 30, 2017. The fair value measurement is based upon significant unobservable inputs not observable in the market and is consequently classified as a Level 3 fair value measurement.</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Changes in the fair value of our Level 3 mandatorily redeemable financial liability is presented below. Since the liability was created during the three months ended December 31, 2016, no changes in fair value are presented for the prior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600" w:type="dxa"/>
            <w:vAlign w:val="bottom"/>
          </w:tcPr>
          <w:p>
            <w:pPr>
              <w:jc w:val="right"/>
              <w:ind w:right="25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96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Less: Gains (losses) recognized in profit and loss statement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Settlements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We use the income approach as the valuation technique to measure the fair value of foreign currency derivative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the present time, we have no credit-risk-related contingent features in our agreements with the financial institutions that would require us to post collateral for derivative positions in a liability position.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for additional disclosure related to derivative financial instruments.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Other fair value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r>
        <w:rPr>
          <w:rFonts w:ascii="Arial" w:cs="Arial" w:eastAsia="Arial" w:hAnsi="Arial"/>
          <w:sz w:val="18"/>
          <w:szCs w:val="18"/>
          <w:color w:val="auto"/>
        </w:rPr>
        <w:t>—The fair value of our Synthetic Bonds, Senior Notes and private placement notes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December 31, 2016</w:t>
            </w:r>
          </w:p>
        </w:tc>
      </w:tr>
      <w:tr>
        <w:trPr>
          <w:trHeight w:val="304"/>
        </w:trPr>
        <w:tc>
          <w:tcPr>
            <w:tcW w:w="44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8"/>
                <w:szCs w:val="8"/>
                <w:b w:val="1"/>
                <w:bCs w:val="1"/>
                <w:color w:val="auto"/>
              </w:rPr>
              <w:t>(1)</w:t>
            </w:r>
          </w:p>
        </w:tc>
        <w:tc>
          <w:tcPr>
            <w:tcW w:w="34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8"/>
                <w:szCs w:val="8"/>
                <w:b w:val="1"/>
                <w:bCs w:val="1"/>
                <w:color w:val="auto"/>
              </w:rPr>
              <w:t>(2)</w:t>
            </w: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8"/>
                <w:szCs w:val="8"/>
                <w:b w:val="1"/>
                <w:bCs w:val="1"/>
                <w:color w:val="auto"/>
              </w:rPr>
              <w:t>(1)</w:t>
            </w:r>
          </w:p>
        </w:tc>
        <w:tc>
          <w:tcPr>
            <w:tcW w:w="260" w:type="dxa"/>
            <w:vAlign w:val="bottom"/>
          </w:tcPr>
          <w:p>
            <w:pPr>
              <w:spacing w:after="0"/>
              <w:rPr>
                <w:sz w:val="24"/>
                <w:szCs w:val="24"/>
                <w:color w:val="auto"/>
              </w:rPr>
            </w:pPr>
          </w:p>
        </w:tc>
        <w:tc>
          <w:tcPr>
            <w:tcW w:w="1340" w:type="dxa"/>
            <w:vAlign w:val="bottom"/>
          </w:tcPr>
          <w:p>
            <w:pPr>
              <w:jc w:val="right"/>
              <w:ind w:right="312"/>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8"/>
                <w:szCs w:val="8"/>
                <w:b w:val="1"/>
                <w:bCs w:val="1"/>
                <w:color w:val="auto"/>
              </w:rPr>
              <w:t>(2)</w:t>
            </w:r>
          </w:p>
        </w:tc>
      </w:tr>
      <w:tr>
        <w:trPr>
          <w:trHeight w:val="250"/>
        </w:trPr>
        <w:tc>
          <w:tcPr>
            <w:tcW w:w="44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Synthetic bonds due 2021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663.2</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2.00%</w:t>
            </w:r>
          </w:p>
        </w:tc>
        <w:tc>
          <w:tcPr>
            <w:tcW w:w="394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3.45%</w:t>
            </w: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5.00%</w:t>
            </w:r>
          </w:p>
        </w:tc>
        <w:tc>
          <w:tcPr>
            <w:tcW w:w="3940" w:type="dxa"/>
            <w:vAlign w:val="bottom"/>
          </w:tcPr>
          <w:p>
            <w:pPr>
              <w:ind w:left="20"/>
              <w:spacing w:after="0"/>
              <w:rPr>
                <w:sz w:val="20"/>
                <w:szCs w:val="20"/>
                <w:color w:val="auto"/>
              </w:rPr>
            </w:pPr>
            <w:r>
              <w:rPr>
                <w:rFonts w:ascii="Arial" w:cs="Arial" w:eastAsia="Arial" w:hAnsi="Arial"/>
                <w:sz w:val="18"/>
                <w:szCs w:val="18"/>
                <w:color w:val="auto"/>
              </w:rPr>
              <w:t>Notes due 2020</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249.6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237.7</w:t>
            </w:r>
          </w:p>
        </w:tc>
      </w:tr>
      <w:tr>
        <w:trPr>
          <w:trHeight w:val="27"/>
        </w:trPr>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3.40%</w:t>
            </w: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2022</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3.15%</w:t>
            </w:r>
          </w:p>
        </w:tc>
        <w:tc>
          <w:tcPr>
            <w:tcW w:w="3940" w:type="dxa"/>
            <w:vAlign w:val="bottom"/>
          </w:tcPr>
          <w:p>
            <w:pPr>
              <w:ind w:left="20"/>
              <w:spacing w:after="0"/>
              <w:rPr>
                <w:sz w:val="20"/>
                <w:szCs w:val="20"/>
                <w:color w:val="auto"/>
              </w:rPr>
            </w:pPr>
            <w:r>
              <w:rPr>
                <w:rFonts w:ascii="Arial" w:cs="Arial" w:eastAsia="Arial" w:hAnsi="Arial"/>
                <w:sz w:val="18"/>
                <w:szCs w:val="18"/>
                <w:color w:val="auto"/>
              </w:rPr>
              <w:t>Notes due 2023</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152.0</w:t>
            </w:r>
          </w:p>
        </w:tc>
      </w:tr>
      <w:tr>
        <w:trPr>
          <w:trHeight w:val="27"/>
        </w:trPr>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3.15%</w:t>
            </w: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2023</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142.5</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4.00%</w:t>
            </w:r>
          </w:p>
        </w:tc>
        <w:tc>
          <w:tcPr>
            <w:tcW w:w="394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89.5</w:t>
            </w:r>
          </w:p>
        </w:tc>
      </w:tr>
      <w:tr>
        <w:trPr>
          <w:trHeight w:val="27"/>
        </w:trPr>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4.00%</w:t>
            </w: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2032</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122.9</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3.75%</w:t>
            </w:r>
          </w:p>
        </w:tc>
        <w:tc>
          <w:tcPr>
            <w:tcW w:w="3940" w:type="dxa"/>
            <w:vAlign w:val="bottom"/>
          </w:tcPr>
          <w:p>
            <w:pPr>
              <w:ind w:left="20"/>
              <w:spacing w:after="0"/>
              <w:rPr>
                <w:sz w:val="20"/>
                <w:szCs w:val="20"/>
                <w:color w:val="auto"/>
              </w:rPr>
            </w:pPr>
            <w:r>
              <w:rPr>
                <w:rFonts w:ascii="Arial" w:cs="Arial" w:eastAsia="Arial" w:hAnsi="Arial"/>
                <w:sz w:val="18"/>
                <w:szCs w:val="18"/>
                <w:color w:val="auto"/>
              </w:rPr>
              <w:t>Notes due 2033</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103.4</w:t>
            </w:r>
          </w:p>
        </w:tc>
      </w:tr>
    </w:tbl>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_______________________</w:t>
      </w:r>
    </w:p>
    <w:p>
      <w:pPr>
        <w:spacing w:after="0" w:line="79"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Carrying amounts are shown net of unamortized debt discounts and premiums and unamortized debt issuance costs.</w:t>
      </w:r>
    </w:p>
    <w:p>
      <w:pPr>
        <w:spacing w:after="0" w:line="90" w:lineRule="exact"/>
        <w:rPr>
          <w:rFonts w:ascii="Arial" w:cs="Arial" w:eastAsia="Arial" w:hAnsi="Arial"/>
          <w:sz w:val="22"/>
          <w:szCs w:val="22"/>
          <w:color w:val="auto"/>
          <w:vertAlign w:val="superscript"/>
        </w:rPr>
      </w:pPr>
    </w:p>
    <w:p>
      <w:pPr>
        <w:ind w:left="500" w:right="320" w:hanging="492"/>
        <w:spacing w:after="0" w:line="217" w:lineRule="auto"/>
        <w:tabs>
          <w:tab w:leader="none" w:pos="50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Fair values are based on Level 1 quoted market rates, except for the 4.00% Notes due 2027 and 3.15% Notes Due 2023, which are based on Level 2, quoted market rates on similar liabilities with an appropriate credit spread applied.</w:t>
      </w:r>
    </w:p>
    <w:p>
      <w:pPr>
        <w:spacing w:after="0" w:line="14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Other fair value disclosures—</w:t>
      </w:r>
      <w:r>
        <w:rPr>
          <w:rFonts w:ascii="Arial" w:cs="Arial" w:eastAsia="Arial" w:hAnsi="Arial"/>
          <w:sz w:val="18"/>
          <w:szCs w:val="18"/>
          <w:color w:val="auto"/>
        </w:rPr>
        <w:t>The carrying amounts of cash and cash equivalents, trade receivables, accounts payable, short-term debt,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debt associated with our bank borrowings, credit facilities, convertible bonds, as well as amounts included in other current assets and other current liabilities that meet the definition of financial instruments, approximate fair value.</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Credit risk—</w:t>
      </w:r>
      <w:r>
        <w:rPr>
          <w:rFonts w:ascii="Arial" w:cs="Arial" w:eastAsia="Arial" w:hAnsi="Arial"/>
          <w:sz w:val="18"/>
          <w:szCs w:val="18"/>
          <w:color w:val="auto"/>
        </w:rPr>
        <w:t>By their nature, financial instruments involve risk, including credit risk, for non-performance by counterparties. Financial instruments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collectability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BUSINESS SEGMENTS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chief operating decision maker reviews and evaluates operating performance to make decisions about resources to be allocated to the segment.</w:t>
      </w:r>
    </w:p>
    <w:p>
      <w:pPr>
        <w:spacing w:after="0" w:line="12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Upon completion of the Merger, we reorganized our reporting structure and aligned our segments and the underlying businesses to execute the strategy of TechnipFMC. As a result, we report the results of operations in the following segments: Subsea, Onshore/Offshore and Surface Technologies.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w:t>
      </w:r>
    </w:p>
    <w:p>
      <w:pPr>
        <w:spacing w:after="0" w:line="90"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Subsea</w:t>
      </w:r>
      <w:r>
        <w:rPr>
          <w:rFonts w:ascii="Arial" w:cs="Arial" w:eastAsia="Arial" w:hAnsi="Arial"/>
          <w:sz w:val="18"/>
          <w:szCs w:val="18"/>
          <w:i w:val="1"/>
          <w:iCs w:val="1"/>
          <w:color w:val="auto"/>
        </w:rPr>
        <w:t>—</w:t>
      </w:r>
      <w:r>
        <w:rPr>
          <w:rFonts w:ascii="Arial" w:cs="Arial" w:eastAsia="Arial" w:hAnsi="Arial"/>
          <w:sz w:val="18"/>
          <w:szCs w:val="18"/>
          <w:color w:val="auto"/>
        </w:rPr>
        <w:t>manufactures and designs products and systems, performs engineering, procurement and project management and provides services used by oil and gas companies involved in deepwater exploration and production of crude oil and natural gas.</w:t>
      </w:r>
    </w:p>
    <w:p>
      <w:pPr>
        <w:spacing w:after="0" w:line="35" w:lineRule="exact"/>
        <w:rPr>
          <w:rFonts w:ascii="Arial" w:cs="Arial" w:eastAsia="Arial" w:hAnsi="Arial"/>
          <w:sz w:val="18"/>
          <w:szCs w:val="18"/>
          <w:color w:val="auto"/>
        </w:rPr>
      </w:pPr>
    </w:p>
    <w:p>
      <w:pPr>
        <w:ind w:left="660" w:right="420" w:hanging="328"/>
        <w:spacing w:after="0" w:line="264"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Onshore/Offshore</w:t>
      </w:r>
      <w:r>
        <w:rPr>
          <w:rFonts w:ascii="Arial" w:cs="Arial" w:eastAsia="Arial" w:hAnsi="Arial"/>
          <w:sz w:val="18"/>
          <w:szCs w:val="18"/>
          <w:i w:val="1"/>
          <w:iCs w:val="1"/>
          <w:color w:val="auto"/>
        </w:rPr>
        <w:t>—</w:t>
      </w:r>
      <w:r>
        <w:rPr>
          <w:rFonts w:ascii="Arial" w:cs="Arial" w:eastAsia="Arial" w:hAnsi="Arial"/>
          <w:sz w:val="18"/>
          <w:szCs w:val="18"/>
          <w:color w:val="auto"/>
        </w:rPr>
        <w:t>designs and builds onshore facilities related to the production, treatment and transportation of oil and gas; and designs, manufactures and installs fixed and floating platforms for the production and processing of oil and gas reserves for companies in the oil and gas industry.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60" w:right="300" w:hanging="328"/>
        <w:spacing w:after="0" w:line="312" w:lineRule="auto"/>
        <w:tabs>
          <w:tab w:leader="none" w:pos="660" w:val="left"/>
        </w:tabs>
        <w:numPr>
          <w:ilvl w:val="0"/>
          <w:numId w:val="15"/>
        </w:numPr>
        <w:rPr>
          <w:rFonts w:ascii="Arial" w:cs="Arial" w:eastAsia="Arial" w:hAnsi="Arial"/>
          <w:sz w:val="16"/>
          <w:szCs w:val="16"/>
          <w:i w:val="1"/>
          <w:iCs w:val="1"/>
          <w:color w:val="auto"/>
        </w:rPr>
      </w:pPr>
      <w:r>
        <w:rPr>
          <w:rFonts w:ascii="Arial" w:cs="Arial" w:eastAsia="Arial" w:hAnsi="Arial"/>
          <w:sz w:val="16"/>
          <w:szCs w:val="16"/>
          <w:color w:val="auto"/>
        </w:rPr>
        <w:t>Surface Technologies</w:t>
      </w:r>
      <w:r>
        <w:rPr>
          <w:rFonts w:ascii="Arial" w:cs="Arial" w:eastAsia="Arial" w:hAnsi="Arial"/>
          <w:sz w:val="16"/>
          <w:szCs w:val="16"/>
          <w:i w:val="1"/>
          <w:iCs w:val="1"/>
          <w:color w:val="auto"/>
        </w:rPr>
        <w:t>—</w:t>
      </w:r>
      <w:r>
        <w:rPr>
          <w:rFonts w:ascii="Arial" w:cs="Arial" w:eastAsia="Arial" w:hAnsi="Arial"/>
          <w:sz w:val="16"/>
          <w:szCs w:val="16"/>
          <w:color w:val="auto"/>
        </w:rPr>
        <w:t>designs and manufactures systems and provides services used by oil and gas companies involved in land and offshore exploration and production of crude oil and natural gas; designs, manufactures and supplies technologically advanced high pressure valves and fittings for oilfield service companies; and also provides flowback and well testing services for exploration companies in the oil and gas industry.</w:t>
      </w:r>
    </w:p>
    <w:p>
      <w:pPr>
        <w:spacing w:after="0" w:line="9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Total revenue by segment includes intersegment sales, which are made at prices approximating those that the selling entity is able to obtain on external sales. Segment operating profit is defined as total segment revenue less segment operating expenses. Income (loss) from equity method investments is included in computing segment operating profit. Refer to Note 8 for additional information. The following items have been excluded in computing segment operating profit: corporate staff expense, net interest income (expense) associated with corporate debt facilities, income taxes, and other revenue and other expense, net.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segment operating profit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Segment revenue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Subsea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1,730.3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1,547.2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3,107.0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3,064.4</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Onshore/Offshore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1,711.8</w:t>
            </w: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Surface Technologies</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548.4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revenue and intercompany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3,845.0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2,370.5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7,233.0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4,776.2</w:t>
            </w:r>
          </w:p>
        </w:tc>
      </w:tr>
      <w:tr>
        <w:trPr>
          <w:trHeight w:val="67"/>
        </w:trPr>
        <w:tc>
          <w:tcPr>
            <w:tcW w:w="4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24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03"/>
        </w:trPr>
        <w:tc>
          <w:tcPr>
            <w:tcW w:w="47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Segment operating profit (loss):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387.9</w:t>
            </w: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Onshore/Offshore</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68.9</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Total segment operating profit</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456.8</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3"/>
        </w:trPr>
        <w:tc>
          <w:tcPr>
            <w:tcW w:w="47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Corporate items: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auto"/>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r>
      <w:tr>
        <w:trPr>
          <w:trHeight w:val="270"/>
        </w:trPr>
        <w:tc>
          <w:tcPr>
            <w:tcW w:w="470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Corporate expense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(160.1)</w:t>
            </w: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Total corporate items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(181.1)</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gridSpan w:val="4"/>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Income before income taxes </w:t>
            </w:r>
            <w:r>
              <w:rPr>
                <w:rFonts w:ascii="Arial" w:cs="Arial" w:eastAsia="Arial" w:hAnsi="Arial"/>
                <w:sz w:val="25"/>
                <w:szCs w:val="25"/>
                <w:color w:val="auto"/>
                <w:vertAlign w:val="superscript"/>
              </w:rPr>
              <w:t>(2)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275.7</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b w:val="1"/>
          <w:bCs w:val="1"/>
          <w:color w:val="auto"/>
        </w:rPr>
        <w:t>_______________________</w:t>
      </w:r>
    </w:p>
    <w:p>
      <w:pPr>
        <w:spacing w:after="0" w:line="107" w:lineRule="exact"/>
        <w:rPr>
          <w:sz w:val="20"/>
          <w:szCs w:val="20"/>
          <w:color w:val="auto"/>
        </w:rPr>
      </w:pPr>
    </w:p>
    <w:p>
      <w:pPr>
        <w:ind w:left="500" w:right="20" w:hanging="492"/>
        <w:spacing w:after="0" w:line="217" w:lineRule="auto"/>
        <w:tabs>
          <w:tab w:leader="none" w:pos="50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Corporate expense primarily includes corporate staff expenses, stock-based compensation expenses, other employee benefits, certain foreign exchange gains and losses, and merger-related transaction expenses.</w:t>
      </w:r>
    </w:p>
    <w:p>
      <w:pPr>
        <w:spacing w:after="0" w:line="44"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Subsea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13,364.4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7,823.1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Onshore/Offshore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3,229.3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Surface Technologies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2,363.7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20,980.9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11,052.4</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8,543.6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7,637.3</w:t>
            </w: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29,524.5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18,689.7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21012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-127635</wp:posOffset>
            </wp:positionV>
            <wp:extent cx="21012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6" w:lineRule="exact"/>
        <w:rPr>
          <w:sz w:val="20"/>
          <w:szCs w:val="20"/>
          <w:color w:val="auto"/>
        </w:rPr>
      </w:pPr>
    </w:p>
    <w:p>
      <w:pPr>
        <w:ind w:left="500" w:right="80" w:hanging="492"/>
        <w:spacing w:after="0" w:line="217" w:lineRule="auto"/>
        <w:tabs>
          <w:tab w:leader="none" w:pos="50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Corporate includes cash, LIFO adjustments, deferred income tax balances, property, plant and equipment not associated with a specific segment, pension assets and the fair value of derivative financial instruments.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38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BUSINESS OUTLOOK</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Overall Outlook </w:t>
      </w:r>
      <w:r>
        <w:rPr>
          <w:rFonts w:ascii="Arial" w:cs="Arial" w:eastAsia="Arial" w:hAnsi="Arial"/>
          <w:sz w:val="17"/>
          <w:szCs w:val="17"/>
          <w:color w:val="auto"/>
        </w:rPr>
        <w:t>—Although the price of crude oil recovered in 2016 when compared to the prior year, the oil and gas industry continues to experience the</w:t>
      </w:r>
      <w:r>
        <w:rPr>
          <w:rFonts w:ascii="Arial" w:cs="Arial" w:eastAsia="Arial" w:hAnsi="Arial"/>
          <w:sz w:val="17"/>
          <w:szCs w:val="17"/>
          <w:i w:val="1"/>
          <w:iCs w:val="1"/>
          <w:color w:val="auto"/>
        </w:rPr>
        <w:t xml:space="preserve"> </w:t>
      </w:r>
      <w:r>
        <w:rPr>
          <w:rFonts w:ascii="Arial" w:cs="Arial" w:eastAsia="Arial" w:hAnsi="Arial"/>
          <w:sz w:val="17"/>
          <w:szCs w:val="17"/>
          <w:color w:val="auto"/>
        </w:rPr>
        <w:t>overall impacts of the low crude oil price environment and some lingering uncertainties in the crude oil price outlook. Despite OPEC’s implementation of a cap on OPEC crude oil production in 2017, uncertainty in the crude oil price outlook remains as to the effectiveness and duration of both concurrent OPEC and non-OPEC production cuts. After experiencing slight improvements in crude prices and inventory levels early in 2017, there continues to be some continued uncertainty in the crude oil price outlook which could have an ongoing negative effect on our businesses in 2017. The timing of any sustainable recovery of crude oil prices and business activity is dependent on a number of variables, but many analysts continue to believe the market corrections necessary to address the oversupply of crude oil are in place and will ultimately result in sustainable industry improvement. As long-term demand rises and production naturally declines, we believe commodity prices should continue to recover, improving the cash flows and confidence of our customers to increase their investments in new sources of oil production.</w:t>
      </w:r>
    </w:p>
    <w:p>
      <w:pPr>
        <w:spacing w:after="0" w:line="12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Subsea</w:t>
      </w:r>
      <w:r>
        <w:rPr>
          <w:rFonts w:ascii="Arial" w:cs="Arial" w:eastAsia="Arial" w:hAnsi="Arial"/>
          <w:sz w:val="16"/>
          <w:szCs w:val="16"/>
          <w:color w:val="auto"/>
        </w:rPr>
        <w:t>—The low crude oil price environment over the last two years led many of our customers to reduce their capital spending plans or defer new</w:t>
      </w:r>
      <w:r>
        <w:rPr>
          <w:rFonts w:ascii="Arial" w:cs="Arial" w:eastAsia="Arial" w:hAnsi="Arial"/>
          <w:sz w:val="16"/>
          <w:szCs w:val="16"/>
          <w:i w:val="1"/>
          <w:iCs w:val="1"/>
          <w:color w:val="auto"/>
        </w:rPr>
        <w:t xml:space="preserve"> </w:t>
      </w:r>
      <w:r>
        <w:rPr>
          <w:rFonts w:ascii="Arial" w:cs="Arial" w:eastAsia="Arial" w:hAnsi="Arial"/>
          <w:sz w:val="16"/>
          <w:szCs w:val="16"/>
          <w:color w:val="auto"/>
        </w:rPr>
        <w:t>deepwater projects. We began to reduce our workforce and adjust manufacturing capacity to align our operations with the anticipated decreases in activity in 2016 due to delayed Subsea project inbound and to mitigate the impact to operating margins. We have benefited from these restructuring actions by attaining more cost-effective manufacturing as we exited 2016 and during the first half of 2017. Looking ahead, we expect Subsea revenue to decrease a third consecutive year in 2017. However, even with lower Subsea revenue expectations, we believe the operational improvements and cost reductions made in the prior year will protect operating margins and provide us with the capability to respond to the eventual market recovery. We also recognize the need to invest in our people to ensure that we preserve the core competencies and capabilities that delivered the strong results in the second quarter of 2017 and will be needed to respond to the market recovery. We believe the operational improvements made will help mitigate the anticipated decline in operating margins. We remain confident that we can deliver double digit operating margins for the full-year 2017. Our customers are taking aggressive actions to improve their project economics and we continue to monitor customer activity in the context of weaker oil prices. We recognize that the risk of project sanctioning delays has increased in the current environment, however, project economics have improved considerably since the market peak and that many offshore discoveries could be developed economically at today’s crude oil prices. We continue to work closely with our customers and believe that with our unique business model we can further reduce their project break-even levels by offering cost-effective approaches to our their project developments, including customer acceptance of integrated business models to help achieve the cost-reduction goals and accelerate achievement of first oil. In the long term, we continue to believe deep-water development will remain a significant part of our customers’ portfolio.</w:t>
      </w:r>
    </w:p>
    <w:p>
      <w:pPr>
        <w:spacing w:after="0" w:line="11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Onshore/Offshore</w:t>
      </w:r>
      <w:r>
        <w:rPr>
          <w:rFonts w:ascii="Arial" w:cs="Arial" w:eastAsia="Arial" w:hAnsi="Arial"/>
          <w:sz w:val="16"/>
          <w:szCs w:val="16"/>
          <w:color w:val="auto"/>
        </w:rPr>
        <w:t>—The Offshore market faces many of the same constraints as the Subsea business due to industry challenges to improve project</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economics. In response, we are continuing our cost reduction efforts in this business to align capacity and capabilities with market demands. Meanwhile, Onshore market activity continues to provide a tangible set of opportunities, including natural gas, refining and petrochemical projects. Activity in both LNG and petrochemicals is fueled by the potential for sustained modest natural gas prices, representing an important opportunity set for our business. We remain confident that the industry will make further LNG investments in the near to intermediate term. As Onshore market activity levels remain stable, it provides our business the opportunity to remain actively engaged in and pursuing front-end engineering studies which provide the platform for early engagement with clients which can significantly de-risk project execution. Market opportunities for downstream front-end engineering studies and full engineering, procurement and construction projects are most prevalent in the Middle East, Africa and Asia markets in both LNG and refining.</w:t>
      </w:r>
    </w:p>
    <w:p>
      <w:pPr>
        <w:spacing w:after="0" w:line="1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Surface Technologies</w:t>
      </w:r>
      <w:r>
        <w:rPr>
          <w:rFonts w:ascii="Arial" w:cs="Arial" w:eastAsia="Arial" w:hAnsi="Arial"/>
          <w:sz w:val="18"/>
          <w:szCs w:val="18"/>
          <w:color w:val="auto"/>
        </w:rPr>
        <w:t>—Our Surface Technologies segment continues to operate in a challenging environment as a result of lower global activity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pricing. While North America rig count and operating activity have been steadily improving, the recovery has been constrained to certain oil and gas producing basins that have the ability to earn an acceptable return. The market recovery began in late 2016 in North America and has continued through the first half of 2017. To our benefit, we have experienced stronger demand for pressure control equipment driven by this increased activity. Our restructuring actions taken in 2016 have reduced costs, and accordingly we are capturing the economic benefits of the higher activity levels. Our international surface business experienced competitive pricing pressure throughout 2016 in all of the markets we serve. Pricing has stabilized in most international markets, with limited improvement in a few select markets. We expect this competitive pricing environment to continue and to have some negative impact on operating margins throughout 2017.</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Unaudited supplemental pro forma results of operations for the three months and six months ended June 30, 2016 present consolidated information as if (i) the Merger and (ii) the consolidation of legal onshore/offshore contract entities which own and account for the design, engineering and construction of the Yamal LNG plant (“Yamal”) had been completed as of January 1, 2016. The pro forma results do not include any potential synergies, cost savings or other expected benefits of these transactions. Accordingly, the pro forma results should not be considered indicative of the results that would have occurred if the transactions had been consummated as of January 1, 2016, nor are they indicative of future results. In order to provide comparability to the prior year pro forma results, the impact of purchase price accounting adjustments have been reflected on an equal basis.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 for further information related to the Merger and refer to Note 11 for further information related to Yamal.</w:t>
      </w:r>
    </w:p>
    <w:p>
      <w:pPr>
        <w:spacing w:after="0" w:line="17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Due to the size of the aforementioned transactions relative to the size of historical results of operations and for purposes of comparability, management’s discussion of the consolidated and segment results of operations are provided on the basis of comparing actual results of operations for the three and six months ended June 30, 2017 to pro forma results of operations for the three and six months ended June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121"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2017 AND 2016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6"/>
            <w:vMerge w:val="restart"/>
          </w:tcPr>
          <w:p>
            <w:pPr>
              <w:jc w:val="center"/>
              <w:ind w:left="452"/>
              <w:spacing w:after="0"/>
              <w:rPr>
                <w:sz w:val="20"/>
                <w:szCs w:val="20"/>
                <w:color w:val="auto"/>
              </w:rPr>
            </w:pPr>
            <w:r>
              <w:rPr>
                <w:rFonts w:ascii="Arial" w:cs="Arial" w:eastAsia="Arial" w:hAnsi="Arial"/>
                <w:sz w:val="14"/>
                <w:szCs w:val="14"/>
                <w:b w:val="1"/>
                <w:bCs w:val="1"/>
                <w:color w:val="auto"/>
                <w:w w:val="93"/>
              </w:rPr>
              <w:t>Three Months Ended June 30,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ind w:left="96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5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0" w:type="dxa"/>
            <w:vAlign w:val="bottom"/>
            <w:gridSpan w:val="6"/>
            <w:vMerge w:val="continue"/>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4"/>
            <w:vMerge w:val="restart"/>
          </w:tcPr>
          <w:p>
            <w:pPr>
              <w:jc w:val="right"/>
              <w:ind w:right="271"/>
              <w:spacing w:after="0"/>
              <w:rPr>
                <w:sz w:val="20"/>
                <w:szCs w:val="20"/>
                <w:color w:val="auto"/>
              </w:rPr>
            </w:pPr>
            <w:r>
              <w:rPr>
                <w:rFonts w:ascii="Arial" w:cs="Arial" w:eastAsia="Arial" w:hAnsi="Arial"/>
                <w:sz w:val="14"/>
                <w:szCs w:val="14"/>
                <w:b w:val="1"/>
                <w:bCs w:val="1"/>
                <w:color w:val="auto"/>
              </w:rPr>
              <w:t>(2017 vs. 2016 Pro Forma)</w:t>
            </w:r>
          </w:p>
        </w:tc>
        <w:tc>
          <w:tcPr>
            <w:tcW w:w="0" w:type="dxa"/>
            <w:vAlign w:val="bottom"/>
          </w:tcPr>
          <w:p>
            <w:pPr>
              <w:spacing w:after="0"/>
              <w:rPr>
                <w:sz w:val="1"/>
                <w:szCs w:val="1"/>
                <w:color w:val="auto"/>
              </w:rPr>
            </w:pPr>
          </w:p>
        </w:tc>
      </w:tr>
      <w:tr>
        <w:trPr>
          <w:trHeight w:val="87"/>
        </w:trPr>
        <w:tc>
          <w:tcPr>
            <w:tcW w:w="52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tcBorders>
              <w:bottom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8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 Forma**</w:t>
            </w:r>
          </w:p>
        </w:tc>
        <w:tc>
          <w:tcPr>
            <w:tcW w:w="3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1,927.0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Impairment, restructuring and other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Merger transaction and integration costs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3,490.1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4,750.8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2,176.4</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equity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Net income attributable to TechnipFMC plc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hanging="465"/>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63" w:lineRule="exact"/>
        <w:rPr>
          <w:sz w:val="20"/>
          <w:szCs w:val="20"/>
          <w:color w:val="auto"/>
        </w:rPr>
      </w:pPr>
    </w:p>
    <w:p>
      <w:pPr>
        <w:ind w:left="500" w:right="160" w:hanging="465"/>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Refer to “Pro Forma Results of Operations” above for further information related to the presentation of and transactions included in pro forma results for the three months ended June 30,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17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Revenue decreased $1,114.3 million in the second quarter of 2017 compared to the prior-year quarter on a pro forma basis, primarily resulting from a sharp decline in Subsea activities in the Europe and Africa region due to lower order activity during 2015 and 2016, leading to a lower backlog of business coming into the current year. Partially offsetting were the benefits of increased project execution activities in the Asia Pacific region, which is reflective of a larger portfolio of projects in backlog. Revenue also decreased across all Onshore/Offshore businesses year-over-year on a pro forma basis, primarily driven by lower levels of project backlog coming into the year impacting our Middle East, North America and South America businesses.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Gross profit (revenue less cost of sales) increased as a percentage of sales to 17.8% in the second quarter of 2017, from 14.1% in the prior-year quarter on a pro forma basis. The improvement in gross profit as a percentage of sales was primarily due to the reduction of cost of sales year-over-year on a pro forma basis as a result of the realization of cost reduction opportunities on certain projects.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Selling, general and administrative expense decreased $73.3 million year-over-year on a pro forma basis, resulting from lower headcount across all reporting segments and decreased sales commissions.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restructuring and other expense</w:t>
      </w:r>
    </w:p>
    <w:p>
      <w:pPr>
        <w:spacing w:after="0" w:line="171"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Impairment, restructuring and other expense decreased by $87.3 million year-over-year on a pro forma basis. In recent years, we have implemented restructuring plans across our businesses to reduce costs and better align our workforce with anticipated activity levels. Thus, we previously incurred significant restructuring expenses in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 transaction and integration costs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Merger transaction and integration costs of $23.3 million were incurred in the second quarter of 2017 due to the Merger. A significant portion of the expenses recorded in the period are related to facility lease termination charges, with a substantially lower portion related to integration activities pertaining to combining the two legacy companies. Refer to Note 2 to our condensed consolidated financial statements included in Part I, Item 1 of this Quarterly Report on Form 10-Q.</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second quarter of 2017, we recognized $62.0 million of net foreign exchange losses.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(benefit) for income taxes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income tax provision (benefit) for the second quarter of 2017 and the second quarter of 2016 on a historical basis reflected effective tax rates of 35.1% and 4.9%, respectively. The year-over-year increase in the effective tax rate was primarily due to a change in the forecasted country mix of earnings and valuation allowances due to additional losses generated during the year for which no tax benefit is expected to be realized. In addition, individual tax items, combined with lower profitability in the current period, had a greater impact on the effective rate in the three months ended June 30, 2017 as compared to the same period in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1"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SIX MONTHS ENDED JUNE 30, 2017 AND 2016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vMerge w:val="restart"/>
          </w:tcPr>
          <w:p>
            <w:pPr>
              <w:jc w:val="center"/>
              <w:ind w:left="532"/>
              <w:spacing w:after="0"/>
              <w:rPr>
                <w:sz w:val="20"/>
                <w:szCs w:val="20"/>
                <w:color w:val="auto"/>
              </w:rPr>
            </w:pPr>
            <w:r>
              <w:rPr>
                <w:rFonts w:ascii="Arial" w:cs="Arial" w:eastAsia="Arial" w:hAnsi="Arial"/>
                <w:sz w:val="14"/>
                <w:szCs w:val="14"/>
                <w:b w:val="1"/>
                <w:bCs w:val="1"/>
                <w:color w:val="auto"/>
                <w:w w:val="92"/>
              </w:rPr>
              <w:t>Six Months Ended June 30,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(2017 vs. 2016 Pro Forma)</w:t>
            </w: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8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 Forma**</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6,142.3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8,353.7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522.1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Impairment, restructuring and other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Merger transaction and integration costs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37"/>
        </w:trPr>
        <w:tc>
          <w:tcPr>
            <w:tcW w:w="526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6,832.3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9,285.5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4,385.7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equity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281.8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Net income attributable to TechnipFMC plc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hanging="465"/>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63" w:lineRule="exact"/>
        <w:rPr>
          <w:sz w:val="20"/>
          <w:szCs w:val="20"/>
          <w:color w:val="auto"/>
        </w:rPr>
      </w:pPr>
    </w:p>
    <w:p>
      <w:pPr>
        <w:ind w:left="500" w:right="160" w:hanging="465"/>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Refer to “Pro Forma Results of Operations” above for further information related to the presentation of and transactions included in pro forma results for the six months ended June 30,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17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Revenue decreased $2,417.9 million in the first six months of 2017 compared to the prior-year period on a pro forma basis, primarily resulting from a sharp decline in Subsea activities in the Europe and Africa region due to lower order activity during 2015 and 2016, leading to a lower backlog of business coming into the current year. Partially offsetting were increased project execution activities in the Asia Pacific region, which continues to benefit from a larger portfolio of projects in backlog. Revenue also decreased across all Onshore/Offshore businesses year-over-year on a pro forma basis, primarily driven by lower levels of project backlog coming into the year impacting our Middle East, North America and South America businesses.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Gross profit (revenue less cost of sales) increased as a percentage of sales to 15.1% in the first six months of 2017, from 13.4% in the prior-year on a pro forma basis. The improvement in gross profit as a percentage of sales was primarily due to the reduction of cost of sales year-over-year on a pro forma basis as a result of the realization of cost reduction opportunities on certain projects.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Selling, general and administrative expense decreased $130.0 million year-over-year on a pro forma basis, resulting from lower headcount across all reporting segments and decreased sales commissions.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restructuring and other expense</w:t>
      </w:r>
    </w:p>
    <w:p>
      <w:pPr>
        <w:spacing w:after="0" w:line="171"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Impairment, restructuring and other expense decreased by $153.6 million year-over-year on a pro forma basis. In recent years, we have implemented restructuring plans across our businesses to reduce costs and better align our workforce with anticipated activity levels. Thus, we previously incurred significant restructuring expenses in 2016.</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1"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 transaction and integration costs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incurred Merger transaction and integration costs of $78.0 million during the first six months of 2017 due to the Merger. A significant portion of the expenses recorded in the period are related to transaction and leased facility termination fees, with a substantially lower portion related to integration activities pertaining to combining the two legacy companies. Refer to Note 2 to our condensed consolidated financial statements included in Part I, Item 1 of this Quarterly Report on Form 10-Q.</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first six months of 2017, we recognized $19.0 million of net foreign exchange losses.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18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income tax provisions for the first six months of 2017 and 2016 on a historical basis reflected effective tax rates of 48.9% and 18.6%, respectively. The year-over-year increase in the effective tax rate was primarily due to a change in the forecasted country mix of earnings and valuation allowances due to additional losses generated during the year for which no tax benefit is expected to be realized. In addition, individual tax items, combined with lower profitability in the current period, had a greater impact on the effective rate in the six months ended June 30, 2017 as compared to the same period in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THREE MONTHS ENDED JUNE 30, 2017 AND 2016</w:t>
      </w:r>
    </w:p>
    <w:p>
      <w:pPr>
        <w:spacing w:after="0" w:line="15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Refer to Note 19 to our condensed consolidated financial statements included in Part I, Item 1 of this Quarterly Report on Form 10-Q for further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5"/>
            <w:vMerge w:val="restart"/>
          </w:tcPr>
          <w:p>
            <w:pPr>
              <w:jc w:val="center"/>
              <w:ind w:left="517"/>
              <w:spacing w:after="0"/>
              <w:rPr>
                <w:sz w:val="20"/>
                <w:szCs w:val="20"/>
                <w:color w:val="auto"/>
              </w:rPr>
            </w:pPr>
            <w:r>
              <w:rPr>
                <w:rFonts w:ascii="Arial" w:cs="Arial" w:eastAsia="Arial" w:hAnsi="Arial"/>
                <w:sz w:val="14"/>
                <w:szCs w:val="14"/>
                <w:b w:val="1"/>
                <w:bCs w:val="1"/>
                <w:color w:val="auto"/>
                <w:w w:val="93"/>
              </w:rPr>
              <w:t>Three Months Ended June 30,</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8"/>
              </w:rPr>
              <w:t>Favorable/(Unfavorable) (2017 vs.</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4"/>
              </w:rPr>
              <w:t>2016 Pro Forma)</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Pr>
          <w:p>
            <w:pPr>
              <w:spacing w:after="0"/>
              <w:rPr>
                <w:sz w:val="13"/>
                <w:szCs w:val="13"/>
                <w:color w:val="auto"/>
              </w:rPr>
            </w:pPr>
          </w:p>
        </w:tc>
        <w:tc>
          <w:tcPr>
            <w:tcW w:w="92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89"/>
              </w:rPr>
              <w:t>2016</w:t>
            </w:r>
          </w:p>
        </w:tc>
        <w:tc>
          <w:tcPr>
            <w:tcW w:w="400" w:type="dxa"/>
            <w:vAlign w:val="bottom"/>
          </w:tcPr>
          <w:p>
            <w:pPr>
              <w:spacing w:after="0"/>
              <w:rPr>
                <w:sz w:val="13"/>
                <w:szCs w:val="13"/>
                <w:color w:val="auto"/>
              </w:rPr>
            </w:pPr>
          </w:p>
        </w:tc>
        <w:tc>
          <w:tcPr>
            <w:tcW w:w="8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10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7"/>
              </w:rPr>
              <w:t>Pro Forma</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1,730.3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2,401.8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1,547.2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7"/>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7"/>
              <w:spacing w:after="0"/>
              <w:rPr>
                <w:sz w:val="20"/>
                <w:szCs w:val="20"/>
                <w:color w:val="auto"/>
              </w:rPr>
            </w:pPr>
            <w:r>
              <w:rPr>
                <w:rFonts w:ascii="Arial" w:cs="Arial" w:eastAsia="Arial" w:hAnsi="Arial"/>
                <w:sz w:val="18"/>
                <w:szCs w:val="18"/>
                <w:color w:val="auto"/>
              </w:rPr>
              <w:t>261.7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191.5</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Operating profit as a percentage of revenue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w w:val="84"/>
              </w:rPr>
              <w:t>2.7 pts.</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Subsea revenue decreased $671.5 million year-over-year on a pro forma basis, primarily due to lower project activity in the Europe and Africa region and lower activity in our Africa and North America Subsea services business, partially offset by increased project activity in the Asia Pacific region. The lower activity was substantially due to the reduced backlog levels at the beginning of the period as a result of slower project awards in 2015 and 2016. Additionally, the decrease in revenue was attributable to the completion of several projects during the second quarter of 2017.</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Subsea operating profit as a percent of revenue increased year-over-year on a pro forma basis and was driven primarily by a $18.6 million decrease in impairment, restructuring and other severance charges and the benefit of better project execution.</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profit in the second quarter of 2017 included $6.0 million of impairment, restructuring and other severance charges compared to $24.6 million in the second quarter of 2016 on a pro forma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20" w:type="dxa"/>
            <w:vAlign w:val="bottom"/>
            <w:gridSpan w:val="5"/>
            <w:vMerge w:val="restart"/>
          </w:tcPr>
          <w:p>
            <w:pPr>
              <w:jc w:val="center"/>
              <w:ind w:left="637"/>
              <w:spacing w:after="0"/>
              <w:rPr>
                <w:sz w:val="20"/>
                <w:szCs w:val="20"/>
                <w:color w:val="auto"/>
              </w:rPr>
            </w:pPr>
            <w:r>
              <w:rPr>
                <w:rFonts w:ascii="Arial" w:cs="Arial" w:eastAsia="Arial" w:hAnsi="Arial"/>
                <w:sz w:val="14"/>
                <w:szCs w:val="14"/>
                <w:b w:val="1"/>
                <w:bCs w:val="1"/>
                <w:color w:val="auto"/>
                <w:w w:val="93"/>
              </w:rPr>
              <w:t>Three Months Ended June 30,</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Favorable/(Unfavorable) (2017 vs.</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94"/>
              </w:rPr>
              <w:t>2016 Pro Forma)</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40" w:type="dxa"/>
            <w:vAlign w:val="bottom"/>
          </w:tcPr>
          <w:p>
            <w:pPr>
              <w:spacing w:after="0"/>
              <w:rPr>
                <w:sz w:val="13"/>
                <w:szCs w:val="13"/>
                <w:color w:val="auto"/>
              </w:rPr>
            </w:pPr>
          </w:p>
        </w:tc>
        <w:tc>
          <w:tcPr>
            <w:tcW w:w="106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97"/>
              <w:spacing w:after="0" w:line="153" w:lineRule="exact"/>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3"/>
                <w:szCs w:val="13"/>
                <w:color w:val="auto"/>
              </w:rPr>
            </w:pPr>
          </w:p>
        </w:tc>
        <w:tc>
          <w:tcPr>
            <w:tcW w:w="10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0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7"/>
              </w:rPr>
              <w:t>Pro Forma</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1,812.9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2,261.4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823.3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7"/>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7"/>
              <w:spacing w:after="0"/>
              <w:rPr>
                <w:sz w:val="20"/>
                <w:szCs w:val="20"/>
                <w:color w:val="auto"/>
              </w:rPr>
            </w:pPr>
            <w:r>
              <w:rPr>
                <w:rFonts w:ascii="Arial" w:cs="Arial" w:eastAsia="Arial" w:hAnsi="Arial"/>
                <w:sz w:val="18"/>
                <w:szCs w:val="18"/>
                <w:color w:val="auto"/>
              </w:rPr>
              <w:t>62.5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profit as a percentage of revenue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w w:val="87"/>
              </w:rPr>
              <w:t>8.5 pts.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Onshore/Offshore revenue decreased $448.5 million year-over-year on a pro forma basis. In December 2016, we increased our stake in the Yamal joint venture and became the controlling shareholder, resulting in full consolidation of the joint venture into the consolidated financial statements. Revenues were lower due to reduced project activity across all geographical regions. Additionally, the decrease in revenue was attributable to lower activity in the Middle East, North America and South America due to the delivery of several projects in 2016.</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Onshore/Offshore operating profit as a percentage of revenue increased year-over-year on a pro forma basis due to a favorable mix of project margins and the successful resolution of contract disputes totaling approximately $36.0 million favorable impact to operating profit.</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profit in the second quarter of 2017 compared to the second quarter of 2016 on a pro forma basis was favorably impacted by the non-recurrence of a 2016 quarterly charge of $29.2 million related to impairment, restructuring and other severance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1"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gridSpan w:val="6"/>
            <w:vMerge w:val="restart"/>
          </w:tcPr>
          <w:p>
            <w:pPr>
              <w:jc w:val="right"/>
              <w:ind w:right="170"/>
              <w:spacing w:after="0"/>
              <w:rPr>
                <w:sz w:val="20"/>
                <w:szCs w:val="20"/>
                <w:color w:val="auto"/>
              </w:rPr>
            </w:pPr>
            <w:r>
              <w:rPr>
                <w:rFonts w:ascii="Arial" w:cs="Arial" w:eastAsia="Arial" w:hAnsi="Arial"/>
                <w:sz w:val="14"/>
                <w:szCs w:val="14"/>
                <w:b w:val="1"/>
                <w:bCs w:val="1"/>
                <w:color w:val="auto"/>
              </w:rPr>
              <w:t>Three Months Ended June 30,</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Favorable/(Unfavorable) (2017 vs. 2016</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14"/>
                <w:szCs w:val="14"/>
                <w:b w:val="1"/>
                <w:bCs w:val="1"/>
                <w:color w:val="auto"/>
                <w:w w:val="96"/>
              </w:rPr>
              <w:t>Pro Forma)</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60" w:type="dxa"/>
            <w:vAlign w:val="bottom"/>
          </w:tcPr>
          <w:p>
            <w:pPr>
              <w:spacing w:after="0"/>
              <w:rPr>
                <w:sz w:val="13"/>
                <w:szCs w:val="13"/>
                <w:color w:val="auto"/>
              </w:rPr>
            </w:pPr>
          </w:p>
        </w:tc>
        <w:tc>
          <w:tcPr>
            <w:tcW w:w="110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497"/>
              <w:spacing w:after="0" w:line="153"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300" w:type="dxa"/>
            <w:vAlign w:val="bottom"/>
            <w:vMerge w:val="restart"/>
          </w:tcPr>
          <w:p>
            <w:pPr>
              <w:jc w:val="right"/>
              <w:ind w:right="54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Pro Forma</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Operating profit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7"/>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Operating profit (loss) as a percentage of revenue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7.7 pts.</w:t>
            </w:r>
          </w:p>
        </w:tc>
        <w:tc>
          <w:tcPr>
            <w:tcW w:w="0" w:type="dxa"/>
            <w:vAlign w:val="bottom"/>
          </w:tcPr>
          <w:p>
            <w:pPr>
              <w:spacing w:after="0"/>
              <w:rPr>
                <w:sz w:val="1"/>
                <w:szCs w:val="1"/>
                <w:color w:val="auto"/>
              </w:rPr>
            </w:pPr>
          </w:p>
        </w:tc>
      </w:tr>
      <w:tr>
        <w:trPr>
          <w:trHeight w:val="243"/>
        </w:trPr>
        <w:tc>
          <w:tcPr>
            <w:tcW w:w="408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Not meaningful</w:t>
      </w:r>
    </w:p>
    <w:p>
      <w:pPr>
        <w:spacing w:after="0" w:line="16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Surface Technologies revenue decreased $3.8 million year-over-year on a pro forma basis. Revenue decreased in our surface international, measurement solutions and loading systems businesses year-over-year on a pro forma basis, partially offset by an increase in revenue in our surface Americas businesses. The decrease was driven primarily by the flow-through of more competitive pricing in international markets and lower activity in our measurement solutions businesses, partially offset by higher activity in North America due to improved rig count and completion intensity.</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Surface Technologies operating loss as a percent of revenue decreased year-over-year on a pro forma basis and was driven primarily by increased volume in flowline and well service pump products in our surface Americas business and a $2.7 million decrease in impairment, restructuring and other severance charges, partially offset by nonrecurring charges from inventory obsolescence.</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loss in the second quarter of 2017 included $2.8 million of impairment, restructuring and other severance charges compared to $5.5 million in 2016 on a pro forma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6"/>
            <w:vMerge w:val="restart"/>
          </w:tcPr>
          <w:p>
            <w:pPr>
              <w:jc w:val="center"/>
              <w:ind w:left="542"/>
              <w:spacing w:after="0"/>
              <w:rPr>
                <w:sz w:val="20"/>
                <w:szCs w:val="20"/>
                <w:color w:val="auto"/>
              </w:rPr>
            </w:pPr>
            <w:r>
              <w:rPr>
                <w:rFonts w:ascii="Arial" w:cs="Arial" w:eastAsia="Arial" w:hAnsi="Arial"/>
                <w:sz w:val="14"/>
                <w:szCs w:val="14"/>
                <w:b w:val="1"/>
                <w:bCs w:val="1"/>
                <w:color w:val="auto"/>
                <w:w w:val="93"/>
              </w:rPr>
              <w:t>Three Months Ended June 30,</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Favorable/(Unfavorable) (2017 vs. 2016</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04"/>
              <w:spacing w:after="0"/>
              <w:rPr>
                <w:sz w:val="20"/>
                <w:szCs w:val="20"/>
                <w:color w:val="auto"/>
              </w:rPr>
            </w:pPr>
            <w:r>
              <w:rPr>
                <w:rFonts w:ascii="Arial" w:cs="Arial" w:eastAsia="Arial" w:hAnsi="Arial"/>
                <w:sz w:val="14"/>
                <w:szCs w:val="14"/>
                <w:b w:val="1"/>
                <w:bCs w:val="1"/>
                <w:color w:val="auto"/>
                <w:w w:val="96"/>
              </w:rPr>
              <w:t>Pro Forma)</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Pr>
          <w:p>
            <w:pPr>
              <w:spacing w:after="0"/>
              <w:rPr>
                <w:sz w:val="13"/>
                <w:szCs w:val="13"/>
                <w:color w:val="auto"/>
              </w:rPr>
            </w:pPr>
          </w:p>
        </w:tc>
        <w:tc>
          <w:tcPr>
            <w:tcW w:w="96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40" w:type="dxa"/>
            <w:vAlign w:val="bottom"/>
            <w:vMerge w:val="restart"/>
          </w:tcPr>
          <w:p>
            <w:pPr>
              <w:jc w:val="right"/>
              <w:ind w:right="50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3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75.0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90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Not meaningful</w:t>
      </w:r>
    </w:p>
    <w:p>
      <w:pPr>
        <w:spacing w:after="0" w:line="2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Corporate expense decreased year-over-year on a proforma basis. Corporate expense in the second quarter of 2017 primarily reflected $6.6 million of impairment, restructuring and other severance charges, $21.6 million of business combination transaction and integration costs related to the Merger, with the remainder attributable to foreign exchanges losses.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SIX MONTHS ENDED JUNE 30, 2017 AND 2016</w:t>
      </w:r>
    </w:p>
    <w:p>
      <w:pPr>
        <w:spacing w:after="0" w:line="15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Refer to Note 19 to our condensed consolidated financial statements included in Part I, Item 1 of this Quarterly Report on Form 10-Q for further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6"/>
            <w:vMerge w:val="restart"/>
          </w:tcPr>
          <w:p>
            <w:pPr>
              <w:jc w:val="center"/>
              <w:ind w:left="677"/>
              <w:spacing w:after="0"/>
              <w:rPr>
                <w:sz w:val="20"/>
                <w:szCs w:val="20"/>
                <w:color w:val="auto"/>
              </w:rPr>
            </w:pPr>
            <w:r>
              <w:rPr>
                <w:rFonts w:ascii="Arial" w:cs="Arial" w:eastAsia="Arial" w:hAnsi="Arial"/>
                <w:sz w:val="14"/>
                <w:szCs w:val="14"/>
                <w:b w:val="1"/>
                <w:bCs w:val="1"/>
                <w:color w:val="auto"/>
                <w:w w:val="92"/>
              </w:rPr>
              <w:t>Six Months Ended June 30,</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Favorable/(Unfavorable) (2017 vs. 2016</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781"/>
              <w:spacing w:after="0"/>
              <w:rPr>
                <w:sz w:val="20"/>
                <w:szCs w:val="20"/>
                <w:color w:val="auto"/>
              </w:rPr>
            </w:pPr>
            <w:r>
              <w:rPr>
                <w:rFonts w:ascii="Arial" w:cs="Arial" w:eastAsia="Arial" w:hAnsi="Arial"/>
                <w:sz w:val="14"/>
                <w:szCs w:val="14"/>
                <w:b w:val="1"/>
                <w:bCs w:val="1"/>
                <w:color w:val="auto"/>
                <w:w w:val="96"/>
              </w:rPr>
              <w:t>Pro Forma)</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80" w:type="dxa"/>
            <w:vAlign w:val="bottom"/>
          </w:tcPr>
          <w:p>
            <w:pPr>
              <w:spacing w:after="0"/>
              <w:rPr>
                <w:sz w:val="13"/>
                <w:szCs w:val="13"/>
                <w:color w:val="auto"/>
              </w:rPr>
            </w:pPr>
          </w:p>
        </w:tc>
        <w:tc>
          <w:tcPr>
            <w:tcW w:w="104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4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Pro Forma</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3,107.0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4,779.8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3,064.4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7"/>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7"/>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Operating profit as a percent of revenue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w w:val="95"/>
              </w:rPr>
              <w:t>(0.7) pts.</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b w:val="1"/>
                <w:bCs w:val="1"/>
                <w:color w:val="auto"/>
              </w:rPr>
              <w:t>_______________________</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00" w:right="60" w:hanging="492"/>
        <w:spacing w:after="0" w:line="217" w:lineRule="auto"/>
        <w:tabs>
          <w:tab w:leader="none" w:pos="50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Due to the Merger, there were 5.5 months included in the first six months of 2017 for legacy FMC Technologies, compared with six months in 2016. Refer to Note 2 to our condensed consolidated financial statements included in Part I, Item 1 of this Quarterly Report on Form 10-Q.</w:t>
      </w:r>
    </w:p>
    <w:p>
      <w:pPr>
        <w:spacing w:after="0" w:line="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Subsea revenue decreased $1,672.8 million year-over-year on a pro forma basis primarily due to lower project activity in the Europe and Africa region and lower activity in our Subsea services business, partially offset by increased project activity in the Asia Pacific region. The lower activity was substantially due to the reduced backlog levels at the beginning of the period as a result of slower project awards in 2015 and 2016. Additionally, the decrease in revenue was attributable to the completion of several projects during the first six months of 2017 and lower vessel utilization year-over-year on a pro forma basis primarily due to high vessel campaigns in Africa and Asia in the prior year.</w:t>
      </w:r>
    </w:p>
    <w:p>
      <w:pPr>
        <w:spacing w:after="0" w:line="13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Subsea operating profit as a percent of revenue decreased year-over-year on a pro forma basis due to lower revenue in our Subsea projects business across most Subsea regions. Excluding impairment, restructuring and other severance charges, on a comparable basis, operating profit as a percentage of revenue improved slightly year-over-year on a pro forma basis due to a better project mix and execution.</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Subsea operating profit for the first six months of 2017 included $12.7 million in restructuring, impairment and other severance charges compared to $25.0 million in the prior year on a pro forma basis.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6"/>
            <w:vMerge w:val="restart"/>
          </w:tcPr>
          <w:p>
            <w:pPr>
              <w:jc w:val="center"/>
              <w:ind w:left="637"/>
              <w:spacing w:after="0"/>
              <w:rPr>
                <w:sz w:val="20"/>
                <w:szCs w:val="20"/>
                <w:color w:val="auto"/>
              </w:rPr>
            </w:pPr>
            <w:r>
              <w:rPr>
                <w:rFonts w:ascii="Arial" w:cs="Arial" w:eastAsia="Arial" w:hAnsi="Arial"/>
                <w:sz w:val="14"/>
                <w:szCs w:val="14"/>
                <w:b w:val="1"/>
                <w:bCs w:val="1"/>
                <w:color w:val="auto"/>
                <w:w w:val="92"/>
              </w:rPr>
              <w:t>Six Months Ended June 30,</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Favorable/(Unfavorable) (2017 vs. 2016</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14"/>
                <w:szCs w:val="14"/>
                <w:b w:val="1"/>
                <w:bCs w:val="1"/>
                <w:color w:val="auto"/>
                <w:w w:val="96"/>
              </w:rPr>
              <w:t>Pro Forma)</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Pr>
          <w:p>
            <w:pPr>
              <w:spacing w:after="0"/>
              <w:rPr>
                <w:sz w:val="13"/>
                <w:szCs w:val="13"/>
                <w:color w:val="auto"/>
              </w:rPr>
            </w:pPr>
          </w:p>
        </w:tc>
        <w:tc>
          <w:tcPr>
            <w:tcW w:w="100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4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6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Pro Forma</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3,576.9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4,230.3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Operating profit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7"/>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1240" w:type="dxa"/>
            <w:vAlign w:val="bottom"/>
          </w:tcPr>
          <w:p>
            <w:pPr>
              <w:jc w:val="right"/>
              <w:ind w:right="21"/>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6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Operating profit (loss) as a percent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rPr>
              <w:t>6.8 pts.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Onshore/Offshore revenue decreased $653.4 million year-over-year. In December 2016, we increased our stake in the Yamal joint venture and became the controlling shareholder, resulting in full consolidation of the joint venture into the consolidated financial statements. Revenues were lower due to reduced project activity across all geographical regions. Additionally, the decrease in revenue was attributable to lower activity in the Middle East, North America and South America due to the delivery of several projects in 2016.</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Onshore/Offshore operating profit as a percentage of revenue increased year-over-year on a pro forma basis due to a favorable mix of project margins and the successful resolution of contract disputes.</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profit in the first six months of 2017 compared to the first six months of 2016 on a pro forma basis was favorably impacted by the non-recurrence of $64.6 million related to impairment, restructuring and other severance charges in the prior year.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vMerge w:val="restart"/>
          </w:tcPr>
          <w:p>
            <w:pPr>
              <w:ind w:left="940"/>
              <w:spacing w:after="0"/>
              <w:rPr>
                <w:sz w:val="20"/>
                <w:szCs w:val="20"/>
                <w:color w:val="auto"/>
              </w:rPr>
            </w:pPr>
            <w:r>
              <w:rPr>
                <w:rFonts w:ascii="Arial" w:cs="Arial" w:eastAsia="Arial" w:hAnsi="Arial"/>
                <w:sz w:val="14"/>
                <w:szCs w:val="14"/>
                <w:b w:val="1"/>
                <w:bCs w:val="1"/>
                <w:color w:val="auto"/>
                <w:w w:val="91"/>
              </w:rPr>
              <w:t>Six Months Ended June 30,</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w w:val="99"/>
              </w:rPr>
              <w:t>Favorable/(Unfavorable) (2017 vs.</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2016 Pro Forma)</w:t>
            </w:r>
          </w:p>
        </w:tc>
        <w:tc>
          <w:tcPr>
            <w:tcW w:w="0" w:type="dxa"/>
            <w:vAlign w:val="bottom"/>
          </w:tcPr>
          <w:p>
            <w:pPr>
              <w:spacing w:after="0"/>
              <w:rPr>
                <w:sz w:val="1"/>
                <w:szCs w:val="1"/>
                <w:color w:val="auto"/>
              </w:rPr>
            </w:pPr>
          </w:p>
        </w:tc>
      </w:tr>
      <w:tr>
        <w:trPr>
          <w:trHeight w:val="152"/>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Pr>
          <w:p>
            <w:pPr>
              <w:spacing w:after="0"/>
              <w:rPr>
                <w:sz w:val="13"/>
                <w:szCs w:val="13"/>
                <w:color w:val="auto"/>
              </w:rPr>
            </w:pPr>
          </w:p>
        </w:tc>
        <w:tc>
          <w:tcPr>
            <w:tcW w:w="104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4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Pro Forma</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548.4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653.4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7"/>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1"/>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6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Operating profit as a percent of revenue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11.6 pts.</w:t>
            </w:r>
          </w:p>
        </w:tc>
        <w:tc>
          <w:tcPr>
            <w:tcW w:w="0" w:type="dxa"/>
            <w:vAlign w:val="bottom"/>
          </w:tcPr>
          <w:p>
            <w:pPr>
              <w:spacing w:after="0"/>
              <w:rPr>
                <w:sz w:val="1"/>
                <w:szCs w:val="1"/>
                <w:color w:val="auto"/>
              </w:rPr>
            </w:pPr>
          </w:p>
        </w:tc>
      </w:tr>
      <w:tr>
        <w:trPr>
          <w:trHeight w:val="243"/>
        </w:trPr>
        <w:tc>
          <w:tcPr>
            <w:tcW w:w="468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Not meaningful</w:t>
      </w:r>
    </w:p>
    <w:p>
      <w:pPr>
        <w:spacing w:after="0" w:line="8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Surface Technologies revenue decreased $105.0 million year-over-year. Revenue decreased in our surface international, measurement solutions and loading systems businesses year-over-year on a pro forma basis, partially offset by an increase in revenue in our surface Americas businesses. The decrease was driven primarily by the flow-through of more competitive pricing in international markets and lower activity in our measurement solutions and loading systems businesses.</w:t>
      </w:r>
    </w:p>
    <w:p>
      <w:pPr>
        <w:spacing w:after="0" w:line="13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Surface Technologies operating loss as a percent of revenue decreased year-over-year on a pro forma basis and was driven primarily by increased volume in flowline and well service pump products in our surface Americas business and a $41.5 million decrease in impairment, restructuring and other severance charges.</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Operating loss in the first six months of 2017 included $4.2 million of impairment, restructuring and other severance charges compared to $45.7 million in 2016 on a pro forma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6"/>
            <w:vMerge w:val="restart"/>
          </w:tcPr>
          <w:p>
            <w:pPr>
              <w:jc w:val="center"/>
              <w:ind w:left="602"/>
              <w:spacing w:after="0"/>
              <w:rPr>
                <w:sz w:val="20"/>
                <w:szCs w:val="20"/>
                <w:color w:val="auto"/>
              </w:rPr>
            </w:pPr>
            <w:r>
              <w:rPr>
                <w:rFonts w:ascii="Arial" w:cs="Arial" w:eastAsia="Arial" w:hAnsi="Arial"/>
                <w:sz w:val="14"/>
                <w:szCs w:val="14"/>
                <w:b w:val="1"/>
                <w:bCs w:val="1"/>
                <w:color w:val="auto"/>
                <w:w w:val="92"/>
              </w:rPr>
              <w:t>Six Months Ended June 30,</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Favorable/(Unfavorable) (2017 vs. 2016</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04"/>
              <w:spacing w:after="0"/>
              <w:rPr>
                <w:sz w:val="20"/>
                <w:szCs w:val="20"/>
                <w:color w:val="auto"/>
              </w:rPr>
            </w:pPr>
            <w:r>
              <w:rPr>
                <w:rFonts w:ascii="Arial" w:cs="Arial" w:eastAsia="Arial" w:hAnsi="Arial"/>
                <w:sz w:val="14"/>
                <w:szCs w:val="14"/>
                <w:b w:val="1"/>
                <w:bCs w:val="1"/>
                <w:color w:val="auto"/>
                <w:w w:val="96"/>
              </w:rPr>
              <w:t>Pro Forma)</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Pr>
          <w:p>
            <w:pPr>
              <w:spacing w:after="0"/>
              <w:rPr>
                <w:sz w:val="13"/>
                <w:szCs w:val="13"/>
                <w:color w:val="auto"/>
              </w:rPr>
            </w:pPr>
          </w:p>
        </w:tc>
        <w:tc>
          <w:tcPr>
            <w:tcW w:w="98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6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Pro Forma</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80.3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80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Not meaningful</w:t>
      </w:r>
    </w:p>
    <w:p>
      <w:pPr>
        <w:spacing w:after="0" w:line="21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Corporate expense decreased year-over-year on a proforma basis. Corporate expense in the first six months of 2017 primarily reflected $8.5 million of impairment, restructuring and other severance charges and $74.0 million of business combination transaction and integration costs related to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Inbound orders—</w:t>
      </w:r>
      <w:r>
        <w:rPr>
          <w:rFonts w:ascii="Arial" w:cs="Arial" w:eastAsia="Arial" w:hAnsi="Arial"/>
          <w:sz w:val="18"/>
          <w:szCs w:val="18"/>
          <w:color w:val="auto"/>
        </w:rPr>
        <w:t>Inbound orders represent the estimated sales value of confirmed customer orders received during the reporting period.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Inbound Orders</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22"/>
                <w:szCs w:val="22"/>
                <w:color w:val="auto"/>
              </w:rPr>
            </w:pPr>
          </w:p>
        </w:tc>
        <w:tc>
          <w:tcPr>
            <w:tcW w:w="254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1,773.0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1,103.7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811.3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1,785.7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1,342.0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276.3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inbound orders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3,153.0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1,651.4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4,742.5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2,672.5</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Order backlog—</w:t>
      </w:r>
      <w:r>
        <w:rPr>
          <w:rFonts w:ascii="Arial" w:cs="Arial" w:eastAsia="Arial" w:hAnsi="Arial"/>
          <w:sz w:val="18"/>
          <w:szCs w:val="18"/>
          <w:color w:val="auto"/>
        </w:rPr>
        <w:t>Order backlog is calculated as the estimated sales value of unfilled, confirmed customer orders at the reporting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Order Backlog</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22"/>
                <w:szCs w:val="22"/>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2016</w:t>
            </w:r>
          </w:p>
        </w:tc>
        <w:tc>
          <w:tcPr>
            <w:tcW w:w="280" w:type="dxa"/>
            <w:vAlign w:val="bottom"/>
          </w:tcPr>
          <w:p>
            <w:pPr>
              <w:spacing w:after="0"/>
              <w:rPr>
                <w:sz w:val="22"/>
                <w:szCs w:val="22"/>
                <w:color w:val="auto"/>
              </w:rPr>
            </w:pPr>
          </w:p>
        </w:tc>
        <w:tc>
          <w:tcPr>
            <w:tcW w:w="142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30, 2016</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6,186.8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6,547.8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8,582.0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11,834.9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8,528.2</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order backlog</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15,182.9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16,743.9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15,076.0</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320"/>
        <w:spacing w:after="0" w:line="311" w:lineRule="auto"/>
        <w:rPr>
          <w:sz w:val="20"/>
          <w:szCs w:val="20"/>
          <w:color w:val="auto"/>
        </w:rPr>
      </w:pPr>
      <w:r>
        <w:rPr>
          <w:rFonts w:ascii="Arial" w:cs="Arial" w:eastAsia="Arial" w:hAnsi="Arial"/>
          <w:sz w:val="18"/>
          <w:szCs w:val="18"/>
          <w:i w:val="1"/>
          <w:iCs w:val="1"/>
          <w:color w:val="auto"/>
        </w:rPr>
        <w:t xml:space="preserve">Subsea. </w:t>
      </w:r>
      <w:r>
        <w:rPr>
          <w:rFonts w:ascii="Arial" w:cs="Arial" w:eastAsia="Arial" w:hAnsi="Arial"/>
          <w:sz w:val="18"/>
          <w:szCs w:val="18"/>
          <w:color w:val="auto"/>
        </w:rPr>
        <w:t>Order backlog for Subsea at June 30, 2017, increased by $1,277.8 million compared to December 31, 2016. Subsea backlog of $6.2 billion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2017, was composed of various subsea projects, including Total’s Kaombo; Petrobras’ pipelay support vessel and pre-salt tree awards; Mellitah’s Bahr Essalam; Shell’s Appomattox; Eni’s Coral; Woodside’s Greater Enfield; and BP’s Shah Deniz.</w:t>
      </w:r>
    </w:p>
    <w:p>
      <w:pPr>
        <w:spacing w:after="0" w:line="141" w:lineRule="exact"/>
        <w:rPr>
          <w:sz w:val="20"/>
          <w:szCs w:val="20"/>
          <w:color w:val="auto"/>
        </w:rPr>
      </w:pPr>
    </w:p>
    <w:p>
      <w:pPr>
        <w:ind w:right="180"/>
        <w:spacing w:after="0" w:line="306" w:lineRule="auto"/>
        <w:rPr>
          <w:sz w:val="20"/>
          <w:szCs w:val="20"/>
          <w:color w:val="auto"/>
        </w:rPr>
      </w:pPr>
      <w:r>
        <w:rPr>
          <w:rFonts w:ascii="Arial" w:cs="Arial" w:eastAsia="Arial" w:hAnsi="Arial"/>
          <w:sz w:val="18"/>
          <w:szCs w:val="18"/>
          <w:i w:val="1"/>
          <w:iCs w:val="1"/>
          <w:color w:val="auto"/>
        </w:rPr>
        <w:t xml:space="preserve">Onshore/Offshore. </w:t>
      </w:r>
      <w:r>
        <w:rPr>
          <w:rFonts w:ascii="Arial" w:cs="Arial" w:eastAsia="Arial" w:hAnsi="Arial"/>
          <w:sz w:val="18"/>
          <w:szCs w:val="18"/>
          <w:color w:val="auto"/>
        </w:rPr>
        <w:t>Onshore/Offshore order backlog at June 30, 2017, decreased by $3.3 billion compared to December 31, 2016, primarily due to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adjustments related to revenue generated on Yamal. Onshore/Offshore backlog of $8.6 billion was composed of various projects, including Yamal LNG; Enoc’s Jebel Ali refinery expansion; Sibur’s Zapsib-2; Total’s Martin Linge; Adma Opco’s Umm Lulu Phase 2; Shell’s Prelude FLNG; and Eni’s Ghana onshore receiving gas terminal.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Most of our cash is held in the treasury centralizing companies of TechnipFMC and in foreign jurisdictions to best meet the liquidity needs of our global operations. Cash held by subsidiaries of our U.S. domiciled companies could be repatriated to the United States, but under current law, any such repatriation would be subject to U.S. federal income tax, as adjusted for applicable foreign tax credits. We have provided for U.S. federal income taxes on earnings not distributed to the U.S. parent companies where we have determined that such earnings are not indefinitely reinvested.</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expect to meet the continuing funding requirements of our global operations with cash generated by such operations, cash from earnings of operations that are not indefinitely reinvested in the jurisdictions where generated and our existing revolving credit facility. We would make a provision for additional U.S. tax due to repatriated cash required to fund U.S. operations not previously provided, which may be material to our cash flows and results of operations.</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Net (Debt) Cash</w:t>
      </w:r>
      <w:r>
        <w:rPr>
          <w:rFonts w:ascii="Arial" w:cs="Arial" w:eastAsia="Arial" w:hAnsi="Arial"/>
          <w:sz w:val="18"/>
          <w:szCs w:val="18"/>
          <w:color w:val="auto"/>
        </w:rPr>
        <w:t>—Net (debt) cash, is a non-GAAP financial measure reflecting cash and cash equivalents, net of debt. Management uses this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13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provides a reconciliation of our cash and cash equivalents to net (debt) cash, utilizing details of classifications from our condensed 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6,269.3</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Less: Short-term debt and current portion of long-term debt</w:t>
            </w: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683.6</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Long-term debt, less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3,301.3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1,869.3</w:t>
            </w:r>
          </w:p>
        </w:tc>
      </w:tr>
      <w:tr>
        <w:trPr>
          <w:trHeight w:val="237"/>
        </w:trPr>
        <w:tc>
          <w:tcPr>
            <w:tcW w:w="8100" w:type="dxa"/>
            <w:vAlign w:val="bottom"/>
          </w:tcPr>
          <w:p>
            <w:pPr>
              <w:ind w:left="380"/>
              <w:spacing w:after="0"/>
              <w:rPr>
                <w:sz w:val="20"/>
                <w:szCs w:val="20"/>
                <w:color w:val="auto"/>
              </w:rPr>
            </w:pPr>
            <w:r>
              <w:rPr>
                <w:rFonts w:ascii="Arial" w:cs="Arial" w:eastAsia="Arial" w:hAnsi="Arial"/>
                <w:sz w:val="18"/>
                <w:szCs w:val="18"/>
                <w:color w:val="auto"/>
              </w:rPr>
              <w:t>Net (debt) cash</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3,406.6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3,716.4</w:t>
            </w:r>
          </w:p>
        </w:tc>
      </w:tr>
      <w:tr>
        <w:trPr>
          <w:trHeight w:val="27"/>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gross change in the debt and cash components of our net (debt) cash position was primarily due to the Merger. Refer to Note 2 to our condensed consolidated financial statements included in Part I, Item 1 of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generated $294.3 million and $426.2 million in cash flows from operating activities during the six months ended June 30, 2017 and 2016, respectively. The decrease in cash provided by operating activities was due to the payment of accounts payable and the decrease in advance payments and billing in excess of costs. Our working capital balances can vary significantly depending on the payment and delivery terms on key contracts in our portfolio of projects.</w:t>
      </w:r>
    </w:p>
    <w:p>
      <w:pPr>
        <w:spacing w:after="0" w:line="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Investing activities provided $1,386.8 million and used $148.2 million in cash flows during the six months ended June 30, 2017 and 2016, respectively. The increase in cash provided by investing activities was due to the Merger. Refer to Note 2 to our condensed consolidated financial statements included in Part I, Item 1 of this Quarterly Report on Form 10-Q.</w:t>
      </w:r>
    </w:p>
    <w:p>
      <w:pPr>
        <w:spacing w:after="0" w:line="12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Financing activities used $785.2 million and $403.0 million in cash flows during the six months ended June 30, 2017 and 2016, respectively. The decrease in cash flows from financing activities was due to the repayment of long-term debt and a decrease in our commercial paper position during the six months ended June 30,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r>
        <w:rPr>
          <w:rFonts w:ascii="Arial" w:cs="Arial" w:eastAsia="Arial" w:hAnsi="Arial"/>
          <w:sz w:val="18"/>
          <w:szCs w:val="18"/>
          <w:color w:val="auto"/>
        </w:rPr>
        <w:t>—The following is a summary of our revolving credit facility at June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89"/>
              </w:rPr>
              <w:t>Debt</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Commercial</w:t>
            </w:r>
          </w:p>
        </w:tc>
        <w:tc>
          <w:tcPr>
            <w:tcW w:w="260" w:type="dxa"/>
            <w:vAlign w:val="bottom"/>
          </w:tcPr>
          <w:p>
            <w:pPr>
              <w:spacing w:after="0"/>
              <w:rPr>
                <w:sz w:val="14"/>
                <w:szCs w:val="14"/>
                <w:color w:val="auto"/>
              </w:rPr>
            </w:pPr>
          </w:p>
        </w:tc>
        <w:tc>
          <w:tcPr>
            <w:tcW w:w="13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Letters</w:t>
            </w: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Unused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Paper</w:t>
            </w:r>
          </w:p>
        </w:tc>
        <w:tc>
          <w:tcPr>
            <w:tcW w:w="260" w:type="dxa"/>
            <w:vAlign w:val="bottom"/>
          </w:tcPr>
          <w:p>
            <w:pPr>
              <w:spacing w:after="0"/>
              <w:rPr>
                <w:sz w:val="12"/>
                <w:szCs w:val="12"/>
                <w:color w:val="auto"/>
              </w:rPr>
            </w:pPr>
          </w:p>
        </w:tc>
        <w:tc>
          <w:tcPr>
            <w:tcW w:w="13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of</w:t>
            </w:r>
          </w:p>
        </w:tc>
        <w:tc>
          <w:tcPr>
            <w:tcW w:w="1120" w:type="dxa"/>
            <w:vAlign w:val="bottom"/>
            <w:gridSpan w:val="2"/>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 xml:space="preserve">Outstanding </w:t>
            </w:r>
            <w:r>
              <w:rPr>
                <w:rFonts w:ascii="Arial" w:cs="Arial" w:eastAsia="Arial" w:hAnsi="Arial"/>
                <w:sz w:val="8"/>
                <w:szCs w:val="8"/>
                <w:b w:val="1"/>
                <w:bCs w:val="1"/>
                <w:color w:val="auto"/>
                <w:w w:val="95"/>
              </w:rPr>
              <w:t>(a)</w:t>
            </w:r>
          </w:p>
        </w:tc>
        <w:tc>
          <w:tcPr>
            <w:tcW w:w="260" w:type="dxa"/>
            <w:vAlign w:val="bottom"/>
          </w:tcPr>
          <w:p>
            <w:pPr>
              <w:spacing w:after="0"/>
              <w:rPr>
                <w:sz w:val="13"/>
                <w:szCs w:val="13"/>
                <w:color w:val="auto"/>
              </w:rPr>
            </w:pPr>
          </w:p>
        </w:tc>
        <w:tc>
          <w:tcPr>
            <w:tcW w:w="1340" w:type="dxa"/>
            <w:vAlign w:val="bottom"/>
            <w:gridSpan w:val="3"/>
          </w:tcPr>
          <w:p>
            <w:pPr>
              <w:jc w:val="center"/>
              <w:ind w:right="600"/>
              <w:spacing w:after="0" w:line="158" w:lineRule="exact"/>
              <w:rPr>
                <w:sz w:val="20"/>
                <w:szCs w:val="20"/>
                <w:color w:val="auto"/>
              </w:rPr>
            </w:pPr>
            <w:r>
              <w:rPr>
                <w:rFonts w:ascii="Arial" w:cs="Arial" w:eastAsia="Arial" w:hAnsi="Arial"/>
                <w:sz w:val="14"/>
                <w:szCs w:val="14"/>
                <w:b w:val="1"/>
                <w:bCs w:val="1"/>
                <w:color w:val="auto"/>
                <w:w w:val="93"/>
              </w:rPr>
              <w:t>Credit</w:t>
            </w: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Capacity</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Five-year revolving credit facility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1,074.9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1,425.1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3"/>
          </w:tcPr>
          <w:p>
            <w:pPr>
              <w:jc w:val="right"/>
              <w:ind w:right="1120"/>
              <w:spacing w:after="0"/>
              <w:rPr>
                <w:sz w:val="20"/>
                <w:szCs w:val="20"/>
                <w:color w:val="auto"/>
              </w:rPr>
            </w:pPr>
            <w:r>
              <w:rPr>
                <w:rFonts w:ascii="Arial" w:cs="Arial" w:eastAsia="Arial" w:hAnsi="Arial"/>
                <w:sz w:val="18"/>
                <w:szCs w:val="18"/>
                <w:b w:val="1"/>
                <w:bCs w:val="1"/>
                <w:color w:val="auto"/>
                <w:w w:val="88"/>
              </w:rPr>
              <w:t>_______________________</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500" w:right="440" w:hanging="492"/>
        <w:spacing w:after="0" w:line="227" w:lineRule="auto"/>
        <w:tabs>
          <w:tab w:leader="none" w:pos="50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Under our commercial paper program, we have the ability to access up to $1.0 billion and €1.0 billion of financing through our commercial paper dealers. Our available capacity under our revolving credit facility is reduced by any outstanding commercial paper.</w:t>
      </w:r>
    </w:p>
    <w:p>
      <w:pPr>
        <w:spacing w:after="0" w:line="1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Committed credit available under our revolving credit facility provides the ability to issue our commercial paper obligations on a long-term basis. We had $1,074.9 million of commercial paper issued under our facility at June 30, 2017. As we had both the ability and intent to refinance these obligations on a long-term basis, our commercial paper borrowings were classified as long-term debt in the accompanying condensed consolidated balance sheets at June 30,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we were in compliance with all restrictive covenants under our revolving credit facility.</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Refer to Note 10 to our condensed consolidated financial statements included in Part I, Item 1 of this Quarterly Report on Form 10-Q for further information related to our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Valuations of derivative assets and liabilities reflect the value of the instruments, including the values associated with counterparty risk. These values must also take into account our credit standing, thus including in the valuation of the derivative instrument the value of the net credit differential between the counterparties to the derivative contract. Our methodology includes the impact of both counterparty and our own credit standing. Adjustments to our derivative assets and liabilities related to credit risk were not material for any period presented.</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 information about credit risk is incorporated herein by reference to Note 18 to our condensed consolidated financial statements included in Part I, Item 1 of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Historically, we have generated our liquidity and capital resources primarily through operations and, when needed, through our credit facility. We have</w:t>
      </w:r>
    </w:p>
    <w:p>
      <w:pPr>
        <w:spacing w:after="0" w:line="3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$1,425.1 million of capacity available under our revolving credit facility that we expect to utilize if working capital needs temporarily increase. The volatility in credit, equity and commodity markets creates some uncertainty for our businesses. However, management believes, based on our current financial condition, existing backlog levels and current expectations for future market conditions, that we will continue to meet our short- and long-term liquidity needs with a combination of cash on hand, cash generated from operations and access to capital markets. While we will continue to reach payment milestones on our projects, we expect our consolidated operating cash flow in 2017 to slightly decrease as a result of the negative impact the decline in commodity prices and the corresponding impact the industry downturn is having on our overall business in terms of the number of new projects awarded and the payment terms and conditions of such project awards. Given the protracted downturn in the oilfield services industry, some key customers have requested the possibility of deferred payments. Additionally, our primary customer in Brazil has requested some re-scheduling of backlog deliveries in order to better match equipment deliveries with their operating schedule requirements and to better align cash flow capabilities. Consequently, any payment deferrals, discounts on pricing, or material product delivery delays that may ultimately be mutually agreed to with our key customers may adversely affect our results of operations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We project spending approximately $300 million in 2017 for capital expenditures, largely towards maintenance expenditures in our subsea service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projected capital expenditures for 2017 do not include any contingent capital that may be needed to respond to a contract award.</w:t>
      </w:r>
    </w:p>
    <w:p>
      <w:pPr>
        <w:spacing w:after="0" w:line="15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board of directors has authorized $500 million for repurchase of shares to be executed over the remainder of 2017 and 2018. Also, we intend to distribute quarterly dividends beginning after our third quarter at a rate to be determined. We implemented a court-approved reduction of our capital, which completed on June 29, 2017, in order to create distributable profits to support the payment of possible future dividends or future share repurchases.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remainder of 2017, we expect to make contributions of approximately $7.0 million to our international pension plans. Actual contribution amounts are dependent upon plan investment returns, changes in pension obligations, regulatory environments and other economic factors. We update our pension estimates annually during the fourth quarter or more frequently upon the occurrence of significant events. Additionally, we expect to make payments of approximately $2.2 million to our U.S. Non-Qualified Defined Benefit Pension Plan during the remainder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1"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certain estimates, judgments and assumptions about future events that affect the reported amounts of assets and liabilities at the date of the financial statements, the reported amounts of revenue and expenses during the periods presented and the related disclosures in the accompanying notes to the financial statements. Management has reviewed these critical accounting estimates with the Audit Committee of our Board of Directors. We believe the following critical accounting estimates used in preparing our financial statements address all important accounting areas where the nature of the estimates or assumptions is material due to the levels of subjectivity and judgment necessary to account for highly uncertain matters or the susceptibility of such matters to change. See Note 1 to our consolidated financial statements included in Part I, Item I of this Quarterly Report on Form 10-Q for a description of our significant accounting policies.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of Completion Method of Accounting</w:t>
      </w:r>
    </w:p>
    <w:p>
      <w:pPr>
        <w:spacing w:after="0" w:line="17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recognize revenue on construction-type manufacturing projects using the percentage of completion method of accounting whereby revenue is recognized as work progresses on each contract. There are several acceptable methods under GAAP of measuring progress toward completion. Most frequently, we use the ratio of costs incurred to date to total estimated contract costs at completion to measure progress toward completion.</w:t>
      </w:r>
    </w:p>
    <w:p>
      <w:pPr>
        <w:spacing w:after="0" w:line="1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execute contracts with our customers that clearly describe the equipment, systems and/or services that we will provide and the amount of consideration we will receive. After analyzing the drawings and specifications of the contract requirements, our project engineers estimate total contract costs based on their experience with similar projects and then adjust these estimates for specific risks associated with each project, such as technical risks associated with a new design. Costs associated with specific risks are estimated by assessing the probability that conditions arising from these specific risks will affect our total cost to complete the project. After work on a project begins, assumptions that form the basis for our calculation of total project cost are examined on a regular basis and our estimates are updated to reflect the most current information and management’s best judgment.</w:t>
      </w:r>
    </w:p>
    <w:p>
      <w:pPr>
        <w:spacing w:after="0" w:line="12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 significant portion of our total revenue recognized under the percentage of completion method of accounting relates to our Subsea segment, primarily for subsea exploration and production equipment projects that involve the design, engineering, manufacturing and assembly of complex, customer-specific systems. The systems are not entirely built from standard bills of material and typically require extended periods of time to design and construct.</w:t>
      </w:r>
    </w:p>
    <w:p>
      <w:pPr>
        <w:spacing w:after="0" w:line="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Total estimated contract cost affects both the revenue recognized in a period as well as the reported profit or loss on a project. The determination of profit or loss on a contract requires consideration of contract revenue, change orders and claims, less costs incurred to date and estimated costs to complete. Profits are recognized based on the estimated project profit multiplied by the percentage complete. 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contracts under the percentage of completion method of accounting is such that refinements of the estimating process for changing conditions and new developments are continuous and characteristic of the process. Consequently, the amount of revenue recognized using the percentage of completion method of accounting is sensitive to changes in our estimates of total contract costs.</w:t>
      </w:r>
    </w:p>
    <w:p>
      <w:pPr>
        <w:spacing w:after="0" w:line="11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total estimated contract cost in the percentage of completion method of accounting is a critical accounting estimate because it can materially affect revenue and profit and requires us to make judgments about matters that are uncertain. There are many factors, including, but not limited to, the ability to properly execute the engineering and design phases consistent with our customers’ expectations, the availability and costs of labor and material resources, productivity and weather, that can affect the accuracy of our cost estimates, and ultimately, our future profitability.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income tax expense, deferred tax assets and liabilities, and reserves for uncertain tax positions reflect management’s best assessment of estimated future taxes to be paid. We are subject to income taxes in the United Kingdom and numerous foreign jurisdictions. Significant judgments and estimates are required in determining our consolidated income tax expense.</w:t>
      </w:r>
    </w:p>
    <w:p>
      <w:pPr>
        <w:spacing w:after="0" w:line="1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determining our current income tax provision, we assess temporary differences resulting from differing treatments of items for tax and accounting purposes. These differences result in deferred tax assets and liabilities, which are recorded in our consolidated balance sheets. When we maintain deferred tax assets, we must assess the likelihood that these assets will be recovered through adjustments to future taxable income. To the extent we believe recovery is not likely, we establish a valuation allowance. We record an allowance reducing the asset to a value we believe will be recoverable based on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expectation of future taxable income. We believe the accounting estimate related to the valuation allowance is a critical accounting estimate because it is highly susceptible to change from period to period, requires management to make assumptions about our future income over the lives of the deferred tax assets, and finally, the impact of increasing or decreasing the valuation allowance is potentially material to our results of operations.</w:t>
      </w:r>
    </w:p>
    <w:p>
      <w:pPr>
        <w:spacing w:after="0" w:line="9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Forecasting future income requires us to use a significant amount of judgment. In estimating future income, we use our internal operating budgets and long-range planning projections. We develop our budgets and long-range projections based on recent results, trends, economic and industry forecasts influencing our segments’ performance, our backlog, planned timing of new product launches and customer sales commitments. Significant changes in the expected realizability of a deferred tax asset would require that we adjust the valuation allowance applied against the gross value of our total deferred tax assets, resulting in a change to net income.</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30, 2017, we believe that it is not more likely than not that we will generate future taxable income in certain jurisdictions in which we have cumulative net operating losses and, therefore, we have provided a valuation allowance against the related deferred tax assets. We evaluate the realizability of deferred tax assets and record valuation allowances against such deferred tax assets in cases where we believe it is not more likely than not such assets will be realized.</w:t>
      </w:r>
    </w:p>
    <w:p>
      <w:pPr>
        <w:spacing w:after="0" w:line="13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calculation of our income tax expense involves dealing with uncertainties in the application of complex tax laws and regulations in numerous jurisdictions in which we operate. We recognize tax benefits related to uncertain tax positions when, in our judgment, it is more likely than not that such positions will be sustained on examination, including resolutions of any related appeals or litigation, based on the technical merits. We adjust our liabilities for uncertain tax positions when our judgment changes as a result of new information previously unavailable. Due to the complexity of some of these uncertainties, their ultimate resolution may result in payments that are materially different from our current estimates. Any such differences will be reflected as adjustments to income tax expense in the periods in which they are determined.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Pension and Other Post-retirement Benefit Plans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pension and other post-retirement (health care and life insurance) obligations are described in Note 15 to our consolidated financial statements included in Part I, Item I of this Quarterly Report on Form 10-Q.</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determination of the projected benefit obligations of our pension and other post-retirement benefit plans are important to the recorded amounts of such obligations on our consolidated balance sheet and to the amount of pension expense in our consolidated statements of income. In order to measure the obligations and expense associated with our pension benefits, management must make a variety of estimates, including discount rates used to value certain liabilities, expected return on plan assets set aside to fund these costs, rate of compensation increase, employee turnover rates, retirement rates, mortality rates and other factors. We update these estimates on an annual basis or more frequently upon the occurrence of significant events. These accounting estimates bear the risk of change due to the uncertainty and difficulty in estimating these measures. Different estimates used by management could result in our recognition of different amounts of expense over different periods of time.</w:t>
      </w:r>
    </w:p>
    <w:p>
      <w:pPr>
        <w:spacing w:after="0" w:line="12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Due to the specialized and statistical nature of these calculations which attempt to anticipate future events, we engage third-party specialists to assist management in evaluating our assumptions as well as appropriately measuring the costs and obligations associated with these pension benefits. The discount rate and expected long-term rate of return on plan assets are primarily based on investment yields available and the historical performance of our plan assets, respectively. These measures are critical accounting estimates because they are subject to management’s judgment and can materially affect net income.</w:t>
      </w:r>
    </w:p>
    <w:p>
      <w:pPr>
        <w:spacing w:after="0" w:line="10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discount rate affects the interest cost component of net periodic pension cost and the calculation of the projected benefit obligation. The discount rate is based on rates at which the pension benefit obligation could be effectively settled on a present value basis. Discount rates are derived by identifying a theoretical settlement portfolio of long-term, high quality (“AA” rated) corporate bonds at our determination date that is sufficient to provide for the projected pension benefit payments. A single discount rate is determined that results in a discounted value of the pension benefit payments that equate to the market value of the selected bonds. The resulting discount rate is reflective of both the current interest rate environment and the pension’s distinct liability characteristics. Significant changes in the discount rate, such as those caused by changes in the yield curve, the mix of bonds available in the market, the duration of selected bonds and the timing of expected benefit payments, may result in volatility in our pension expense and pension liabilities.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expected long-term rate of return on plan assets is a component of net periodic pension cost. Our estimate of the expected long-term rate of return on plan assets is primarily based on the historical performance of plan assets, current market conditions, our asset allocation and long-term growth expectations. The difference between the expected return and the actual return on plan assets is amortized over the expected remaining service life of employees, resulting in a lag time between the market’s performance and its impact on plan results.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Holding other assumptions constant, the following table illustrates the sensitivity of changes in the discount rate and expected long-term return on plan assets on pension expense and the projected benefit obligation: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960" w:type="dxa"/>
            <w:vAlign w:val="bottom"/>
            <w:gridSpan w:val="2"/>
            <w:vMerge w:val="restart"/>
          </w:tcPr>
          <w:p>
            <w:pPr>
              <w:jc w:val="center"/>
              <w:ind w:left="1318"/>
              <w:spacing w:after="0"/>
              <w:rPr>
                <w:sz w:val="20"/>
                <w:szCs w:val="20"/>
                <w:color w:val="auto"/>
              </w:rPr>
            </w:pPr>
            <w:r>
              <w:rPr>
                <w:rFonts w:ascii="Arial" w:cs="Arial" w:eastAsia="Arial" w:hAnsi="Arial"/>
                <w:sz w:val="14"/>
                <w:szCs w:val="14"/>
                <w:b w:val="1"/>
                <w:bCs w:val="1"/>
                <w:color w:val="auto"/>
                <w:w w:val="91"/>
              </w:rPr>
              <w:t>Increase (Decrease) in</w:t>
            </w:r>
          </w:p>
        </w:tc>
        <w:tc>
          <w:tcPr>
            <w:tcW w:w="180" w:type="dxa"/>
            <w:vAlign w:val="bottom"/>
          </w:tcPr>
          <w:p>
            <w:pPr>
              <w:spacing w:after="0"/>
              <w:rPr>
                <w:sz w:val="14"/>
                <w:szCs w:val="14"/>
                <w:color w:val="auto"/>
              </w:rPr>
            </w:pPr>
          </w:p>
        </w:tc>
        <w:tc>
          <w:tcPr>
            <w:tcW w:w="14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Increase (Decrease) in</w:t>
            </w:r>
          </w:p>
        </w:tc>
        <w:tc>
          <w:tcPr>
            <w:tcW w:w="0" w:type="dxa"/>
            <w:vAlign w:val="bottom"/>
          </w:tcPr>
          <w:p>
            <w:pPr>
              <w:spacing w:after="0"/>
              <w:rPr>
                <w:sz w:val="1"/>
                <w:szCs w:val="1"/>
                <w:color w:val="auto"/>
              </w:rPr>
            </w:pPr>
          </w:p>
        </w:tc>
      </w:tr>
      <w:tr>
        <w:trPr>
          <w:trHeight w:val="149"/>
        </w:trPr>
        <w:tc>
          <w:tcPr>
            <w:tcW w:w="6800" w:type="dxa"/>
            <w:vAlign w:val="bottom"/>
          </w:tcPr>
          <w:p>
            <w:pPr>
              <w:spacing w:after="0"/>
              <w:rPr>
                <w:sz w:val="12"/>
                <w:szCs w:val="12"/>
                <w:color w:val="auto"/>
              </w:rPr>
            </w:pPr>
          </w:p>
        </w:tc>
        <w:tc>
          <w:tcPr>
            <w:tcW w:w="2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Projected Benefit</w:t>
            </w:r>
          </w:p>
        </w:tc>
        <w:tc>
          <w:tcPr>
            <w:tcW w:w="0" w:type="dxa"/>
            <w:vAlign w:val="bottom"/>
          </w:tcPr>
          <w:p>
            <w:pPr>
              <w:spacing w:after="0"/>
              <w:rPr>
                <w:sz w:val="1"/>
                <w:szCs w:val="1"/>
                <w:color w:val="auto"/>
              </w:rPr>
            </w:pPr>
          </w:p>
        </w:tc>
      </w:tr>
      <w:tr>
        <w:trPr>
          <w:trHeight w:val="149"/>
        </w:trPr>
        <w:tc>
          <w:tcPr>
            <w:tcW w:w="6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basis points)</w:t>
            </w:r>
          </w:p>
        </w:tc>
        <w:tc>
          <w:tcPr>
            <w:tcW w:w="2960" w:type="dxa"/>
            <w:vAlign w:val="bottom"/>
            <w:gridSpan w:val="2"/>
          </w:tcPr>
          <w:p>
            <w:pPr>
              <w:jc w:val="center"/>
              <w:ind w:left="1318"/>
              <w:spacing w:after="0" w:line="149" w:lineRule="exact"/>
              <w:rPr>
                <w:sz w:val="20"/>
                <w:szCs w:val="20"/>
                <w:color w:val="auto"/>
              </w:rPr>
            </w:pPr>
            <w:r>
              <w:rPr>
                <w:rFonts w:ascii="Arial" w:cs="Arial" w:eastAsia="Arial" w:hAnsi="Arial"/>
                <w:sz w:val="14"/>
                <w:szCs w:val="14"/>
                <w:b w:val="1"/>
                <w:bCs w:val="1"/>
                <w:color w:val="auto"/>
                <w:w w:val="90"/>
              </w:rPr>
              <w:t>2016 Pension Expense</w:t>
            </w: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Obligation at December</w:t>
            </w:r>
          </w:p>
        </w:tc>
        <w:tc>
          <w:tcPr>
            <w:tcW w:w="0" w:type="dxa"/>
            <w:vAlign w:val="bottom"/>
          </w:tcPr>
          <w:p>
            <w:pPr>
              <w:spacing w:after="0"/>
              <w:rPr>
                <w:sz w:val="1"/>
                <w:szCs w:val="1"/>
                <w:color w:val="auto"/>
              </w:rPr>
            </w:pPr>
          </w:p>
        </w:tc>
      </w:tr>
      <w:tr>
        <w:trPr>
          <w:trHeight w:val="192"/>
        </w:trPr>
        <w:tc>
          <w:tcPr>
            <w:tcW w:w="6800" w:type="dxa"/>
            <w:vAlign w:val="bottom"/>
            <w:vMerge w:val="continue"/>
          </w:tcPr>
          <w:p>
            <w:pPr>
              <w:spacing w:after="0"/>
              <w:rPr>
                <w:sz w:val="16"/>
                <w:szCs w:val="16"/>
                <w:color w:val="auto"/>
              </w:rPr>
            </w:pPr>
          </w:p>
        </w:tc>
        <w:tc>
          <w:tcPr>
            <w:tcW w:w="2960" w:type="dxa"/>
            <w:vAlign w:val="bottom"/>
            <w:gridSpan w:val="2"/>
          </w:tcPr>
          <w:p>
            <w:pPr>
              <w:jc w:val="center"/>
              <w:ind w:left="1318"/>
              <w:spacing w:after="0"/>
              <w:rPr>
                <w:sz w:val="20"/>
                <w:szCs w:val="20"/>
                <w:color w:val="auto"/>
              </w:rPr>
            </w:pPr>
            <w:r>
              <w:rPr>
                <w:rFonts w:ascii="Arial" w:cs="Arial" w:eastAsia="Arial" w:hAnsi="Arial"/>
                <w:sz w:val="14"/>
                <w:szCs w:val="14"/>
                <w:b w:val="1"/>
                <w:bCs w:val="1"/>
                <w:color w:val="auto"/>
                <w:w w:val="90"/>
              </w:rPr>
              <w:t>Before Income Taxes</w:t>
            </w:r>
          </w:p>
        </w:tc>
        <w:tc>
          <w:tcPr>
            <w:tcW w:w="180" w:type="dxa"/>
            <w:vAlign w:val="bottom"/>
          </w:tcPr>
          <w:p>
            <w:pPr>
              <w:spacing w:after="0"/>
              <w:rPr>
                <w:sz w:val="16"/>
                <w:szCs w:val="16"/>
                <w:color w:val="auto"/>
              </w:rPr>
            </w:pPr>
          </w:p>
        </w:tc>
        <w:tc>
          <w:tcPr>
            <w:tcW w:w="148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31, 2016</w:t>
            </w:r>
          </w:p>
        </w:tc>
        <w:tc>
          <w:tcPr>
            <w:tcW w:w="0" w:type="dxa"/>
            <w:vAlign w:val="bottom"/>
          </w:tcPr>
          <w:p>
            <w:pPr>
              <w:spacing w:after="0"/>
              <w:rPr>
                <w:sz w:val="1"/>
                <w:szCs w:val="1"/>
                <w:color w:val="auto"/>
              </w:rPr>
            </w:pPr>
          </w:p>
        </w:tc>
      </w:tr>
      <w:tr>
        <w:trPr>
          <w:trHeight w:val="256"/>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basis point decrease in discount rate</w:t>
            </w:r>
          </w:p>
        </w:tc>
        <w:tc>
          <w:tcPr>
            <w:tcW w:w="204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50 basis point increase in discount rate</w:t>
            </w:r>
          </w:p>
        </w:tc>
        <w:tc>
          <w:tcPr>
            <w:tcW w:w="204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basis point decrease in expected long-term rate of return on plan assets</w:t>
            </w:r>
          </w:p>
        </w:tc>
        <w:tc>
          <w:tcPr>
            <w:tcW w:w="204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50 basis point increase in expected long-term rate of return on plan assets</w:t>
            </w:r>
          </w:p>
        </w:tc>
        <w:tc>
          <w:tcPr>
            <w:tcW w:w="204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actuarial assumptions and estimates made by management in determining our pension benefit obligations may materially differ from actual results as a result of changing market and economic conditions and changes in plan participant assumptions. While we believe the assumptions and estimates used are appropriate, differences in actual experience or changes in plan participant assumptions may materially affect our financial position or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Goodwill is not subject to amortization but is tested for impairment on an annual basis, or more frequently if impairment indicators arise. We have established October 31 as the date of our annual test for impairment of goodwill. Reporting units with goodwill are tested for impairment by first assessing qualitative factors to determine whether the existence of events or circumstances leads to a determination that it is more likely than not that the fair value of the reporting unit is less than its carrying amount. If after assessing the totality of events or circumstances, or based on management’s judgment, we determine it is more likely than not that the fair value of a reporting unit is less than its carrying amount, a two-step quantitative impairment test is performed.</w:t>
      </w:r>
    </w:p>
    <w:p>
      <w:pPr>
        <w:spacing w:after="0" w:line="10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When using the two-step quantitative impairment test, determining the fair value of a reporting unit is judgmental in nature and involves the use of significant estimates and assumptions. We estimate the fair value of our reporting units using a discounted future cash flow model. The majority of the estimates and assumptions used in a discounted future cash flow model involve unobservable inputs reflecting management’s own assumptions about the assumptions market participants would use in estimating the fair value of a business. These estimates and assumptions include revenue growth rates and operating margins used to calculate projected future cash flows, discount rates and future economic and market conditions. Our estimates are based upon assumptions believed to be reasonable, but which are inherently uncertain and unpredictable and do not reflect unanticipated events and circumstances that may occur.</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 in Business Combinations</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Accounting for the acquisition of a business requires the allocation of the purchase price to the various assets acquired and liabilities assumed at their respective fair values. The determination of fair value requires the use of significant estimates and assumptions, and in making these determinations, management uses all available information. If necessary, we have up to one year after the acquisition closing date to finalize these fair value determinations. For tangible and identifiable intangible assets acquired in a business combination, the determination of fair value utilizes several valuation methodologies including discounted cash flows which has assumptions with respect to the timing and amount of future revenue and expenses associated with an asset. The assumptions made in performing these valuations include, but are not limited to, discount rates, future revenues and operating costs, projections of capital costs, and other assumptions believed to be consistent with those used by principal market participants. Due to the specialized nature of these calculations, we engage third-party specialists to assist management in evaluating our assumptions as well as appropriately measuring the fair value of assets acquired and liabilities assumed. Any significant change in key assumptions may cause the acquisition accounting to be revised. Business combinations are described in Note 2 to our consolidated financial statements included in Part I, Item I of this Quarterly Report on Form 10-Q.</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related to guarantees is incorporated herein by reference from Note 12 to our condensed consolidated financial statements included in Part I, Item 1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We are cooperating with the DOJ’s and U.S. Securities and Exchange Commission’s inquiries. On March 29, 2016 Technip S.A. also received an inquiry from the DOJ related to Unaoil. We are cooperating with the DOJ’s inquiry.</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late 2016, Technip S.A. was contacted by the DOJ, regarding offshore platform projects awarded between 2003 and 2007, performed in Brazil by a joint venture company in which Technip S.A. was a minority participant. The DOJ has also inquired about projects in Ghana and Equatorial Guinea that were awarded to Technip S.A. subsidiaries in 2008 and 2009, respectively. We are cooperating with the DOJ in its inquiry into potential violations of the FCPA in connection with these projects.</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are involved in various pending or potential legal actions or disputes in the ordinary course of our business, and management is unable to predict the ultimate outcome of these actions because of their inherent uncertainty. However, management believes that the most probable, ultimate resolution of these matters will not have a material adverse effect on our consolidation financial position, results of operations or cash flows.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to our condensed consolidated financial statements included in Part I, Item 1 of this Quarterly Report on Form 10-Q.</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1"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are subject to financial market risks, including fluctuations in foreign currency exchange rates and interest rates. In order to manage and mitigate our exposure to these risks, we may use derivative financial instruments in accordance with established policies and procedures. We do not use derivative financial instruments where the objective is to generate profits solely from trading activities. At June 30, 2017 and December 31, 2016, substantially all of our derivative holdings consisted of foreign currency forward contracts and foreign currency instruments embedded in purchase and sale contracts.</w:t>
      </w:r>
    </w:p>
    <w:p>
      <w:pPr>
        <w:spacing w:after="0" w:line="10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These forward-looking disclosures only address potential impacts from market risks as they affect our financial instruments and do not include other potential effects that could impact our business as a result of changes in foreign currency exchange rates, interest rates, commodity prices or equity prices.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71"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We conduct operations around the world in a number of different currencies. Many of our significant foreign subsidiaries have designated the local currency as their functional currency. Our earnings are therefore subject to change due to fluctuations in foreign currency exchange rates when the earnings in foreign currencies are translated into U.S. dollars. We do not hedge this translation impact on earnings. A 10% increase or decrease in the average exchange rates of all foreign currencies at June 30, 2017, would have changed our revenue and income before income taxes attributable to TechnipFMC by approximately 3% and 9%, respectively.</w:t>
      </w:r>
    </w:p>
    <w:p>
      <w:pPr>
        <w:spacing w:after="0" w:line="13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When transactions are denominated in currencies other than our subsidiaries’ respective functional currencies, we manage these exposures through the use of derivative instruments. We primarily use foreign currency forward contracts to hedge the foreign currency fluctuation associated with firmly committed and forecasted foreign currency denominated payments and receipts. The derivative instruments associated with these anticipated transactions are usually designated and qualify as cash flow hedges, and as such the gains and losses associated with these instruments are recorded in other comprehensive income until such time that the underlying transactions are recognized. Unless these cash flow contracts are deemed to be ineffective or are not designated as cash flow hedges at inception, changes in the derivative fair value will not have an immediate impact on our results of operations since the gains and losses associated with these instruments are recorded in other comprehensive income. When the anticipated transactions occur, these changes in value of derivative instrument positions will be offset against changes in the value of the underlying transaction. When an anticipated transaction in a currency other than the functional currency of an entity is recognized as an asset or liability on the balance sheet, we also hedge the foreign currency fluctuation of these assets and liabilities with derivative instruments after netting our exposures worldwide. These derivative instruments do not qualify as cash flow hedges.</w:t>
      </w:r>
    </w:p>
    <w:p>
      <w:pPr>
        <w:spacing w:after="0" w:line="11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Occasionally, we enter into contracts or other arrangements containing terms and conditions that qualify as embedded derivative instruments and are subject to fluctuations in foreign exchange rates. In those situations, we enter into derivative foreign exchange contracts that hedge the price or cost fluctuations due to movements in the foreign exchange rates. These derivative instruments are not designated as cash flow hedges.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assess effectiveness of forward foreign currency contracts designated as cash flow hedges based on changes in fair value attributable to changes in spot rates. We exclude the impact attributable to changes in the difference between the spot rate and the forward rate for the assessment of hedge effectiveness and recognize the change in fair value of this component immediately in earnings. Considering that the difference between the spot rate and the forward rate is proportional to the differences in the interest rates of the countries of the currencies being traded, we have exposure in the unrealized valuation of our forward foreign currency contracts to relative changes in interest rates between countries in our results of operations. Based on our portfolio as of June 30, 2017, we have material positions with exposure to interest rates in the United States, Canada, Australia, Brazil, the United Kingdom, Singapore, the European Community and Norway.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1"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30, 2017, and under the direction of our principal executive officer and principal financial officer, we have evaluated the effectiveness of our disclosure controls and procedures, as defined in Rules 13a-15(e) and 15d-15(e) under the Exchange Act. Based upon this evaluation, our principal executive officer and principal financial officer have concluded as of June 30, 2017, that our disclosure controls and procedures were not effective because of the material weakness in our internal control over financial reporting described below.</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previously reported, the Company did not maintain effective controls relating to the calculation of temporary gains and losses from natural hedges on certain of its projects and related foreign exchange adjustments, and this control deficiency resulted in the restatement of the Company’s interim Condensed Consolidated Financial Statements as of, and for, the three month period ended March 31, 2017. Management determined that this control deficiency constituted a material weakness in the Company’s internal control over financial reporting and, as a result, has concluded that our internal control over financial reporting was not effective as of June 30, 2017. Additionally, this control deficiency could result in misstatements of the consolidated financial statements that would result in a material misstatement that would not be prevented or detected.</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has taken corrective actions to address the material weakness, including the implementation of controls to ensure the accurate remeasurement of gains and losses due to foreign currency impact for the purpose of external reporting. Management has also revised the internal system for recording and tracking foreign currency gains and losses and for recording asset/liability project positions to ensure that proper remeasurement procedures are performed. With successful operation of these modifications, the Company expects to test these modifications to determine timing of full remediation in subsequent quarters.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Other than the changes in the Company’s internal control over financial reporting implemented after March 31, 2017 to address the material weakness noted above, there were no changes in our internal control over financial reporting during the three months ended June 30, 2017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121"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29, 2016, Dong Energy (“Dong”) terminated, on the grounds of an alleged material breach, a contract signed on February 27, 2012 with a consortium of Technip France and Daewoo Shipping &amp; Marine Engineering Co., Ltd. This contract covered engineering, procurement, fabrication, hook-up and commissioning assistance for a fixed wellhead and process platform and associated facilities for the Hejre field offshore Denmark. Dong announced that it will not complete and does not intend to take possession of the platform. On May 4, 2017, the parties announced they had entered into a settlement agreement regarding the dispute, including the arbitral claims, related to the Hejre contract, and TechnipFMC will have no further responsibilities or liabilities with regard to the platform.</w:t>
      </w:r>
    </w:p>
    <w:p>
      <w:pPr>
        <w:spacing w:after="0" w:line="13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are involved in other various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The Company has identified a material weakness in its disclosure controls and procedures and internal control over financial reporting. If our remedial measures are insufficient to address the material weakness, or if one or more additional material weaknesses or significant deficiencies in our disclosure controls and procedures or internal control over financial reporting are discovered or occur in the future, our consolidated financial statements may contain material misstatements and we could be required to further restate our financial results, which could have a material adverse effect on our financial condition, results of operations and cash flows.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identified a material weakness in the Company’s disclosure controls and procedures and internal control over financial reporting as of March 31, 2017 relating to the rates used in calculations of foreign currency effects on certain of the Company’s engineering and construction projects and related ownership interests. We did not have sufficient controls in place to provide reasonable assurance that a material error would be prevented or detected related to the rates used in calculations of foreign currency effects on certain of the Company’s engineering and construction projects and related foreign exchange adjustments. This deficiency in the design of our controls resulted in a material error in our financial statements.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As a result of this material weakness, our chief executive officer and chief financial officer have concluded that, as of June 30, 2017, our disclosure controls and procedures were not effective at a reasonable assurance level. As a result of the material weakness, management has concluded that our internal control over financial reporting was not effective as of June 30, 2017.</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has reviewed the process to calculate the foreign currency remeasurement effect and has implemented revisions and additional controls designed to ensure that similar computational errors will not recur. To remediate the material weakness in our internal control over financial reporting, the Company will establish policies and procedures for the review, approval and application of US GAAP to, and disclosure with respect to, calculations of foreign currency effects.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our remedial measures are insufficient to address the material weakness, or if one or more additional material weaknesses or significant deficiencies in our disclosure controls and procedures or internal control over financial reporting are discovered or occur in the future, our consolidated financial statements may contain material misstatements and we could be required to further restate our financial results, which could have a material adverse effect on our financial condition, results of operations and cash flows, restrict our ability to access the capital markets, require significant resources to correct the weaknesses or deficiencies, subject us to fines, penalties or judgments, harm the our reputation or otherwise cause a decline in investor confidence and cause a decline in the market price of our stock.</w:t>
      </w:r>
    </w:p>
    <w:p>
      <w:pPr>
        <w:spacing w:after="0" w:line="193"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We cannot provide absolute assurance that additional material weaknesses or significant deficiencies in our disclosure controls and procedures or internal control over financial reporting will not be identified in the future. Any failure to maintain or implement required new or improved controls, or any difficulties we encounter in their implementation, could result in additional significant deficiencies or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reporting required under Section 404 of the Sarbanes-Oxley Act of 2002 and the rules promulgated under Section 404. The existence of a material weakness could result in errors in our financial statements that could result in a restatement of financial statements, cause us to fail to meet our reporting obligations and cause investors to lose confidence in our reported financial information, leading to a decline in our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Unanticipated changes relating to competitive factors in our industry, including ongoing industry consolidation, may impact our results of operations.</w:t>
      </w:r>
    </w:p>
    <w:p>
      <w:pPr>
        <w:spacing w:after="0" w:line="26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Our industry, including our customers and competitors, has experienced unanticipated changes in recent years. Moreover, the industry is undergoing consolidation, which may affect demand for our products and services as a result of price concessions or decreased customer capital spending. This consolidation activity could have a significant negative impact on our results of operations, financial condition or cash flows. We are unable to predict what effect consolidations and other competitive factors in the industry may have on prices, capital spending by our customers, our selling strategies, our competitive position, our ability to retain customers or our ability to negotiate favorable agreements with our customers.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depends on oil and gas industry activity and expenditure levels, which are directly affected by trends in the demand for and price of crude oil and natural gas.</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substantially dependent on conditions in the oil and gas industry, including (i) the level of exploration, development and production activity, (ii) capital spending, and (iii) the processing of oil and natural gas in refining units, petrochemical sites and natural gas liquefaction plants by energy companies. Any substantial or extended decline in these expenditures may result in the reduced pace of discovery and development of new reserves of oil and gas and the reduced exploration of existing wells, which could adversely affect demand for our products and services and, in certain instances, result in the cancellation, modification, or re-scheduling of existing orders in our backlog. These factors could have an adverse effect on our revenue and profitability. The level of exploration, development and production activity is directly affected by trends in oil and natural gas prices, which historically have been volatile.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prices of oil and natural gas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demand for hydrocarbons, which is affected by worldwide population growth, economic growth rates and general economic and business conditions;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exploring for, producing and delivering oil and natural gas;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available excess production capacity within the Organization of Petroleum Exporting Countries (“OPEC”) and the level of oil production by non-OPEC countries;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oil refining capacity and shifts in end-customer preferences toward fuel efficiency and the use of natural gas;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acceleration of the development of alternative fuels;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access to capital and credit markets, which may affect our customers’ activity levels and spending for our products and services;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oilfield services and downward pressure on the prices we charge. The current downturn in the oil and gas industry has resulted in a reduction in demand for oilfield services and could further adversely affect our financial condition,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implement new technologies and services.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depends on the ongoing development and implementation of new product designs, including the processes used by us to produce or market our products, and on our ability to protect and maintain critical intellectual property assets related to these developments. If we are not able to obtain patent or other protection of our intellectual property rights, we may not be able to continue to develop our services, products and related technologies to meet evolving industry requirements, and if so, at prices acceptable to our customers.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industries in which we operate or have operated expose us to potential liabilities, including the installation or use of our products.</w:t>
      </w:r>
    </w:p>
    <w:p>
      <w:pPr>
        <w:spacing w:after="0" w:line="2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potential liabilities arising from equipment malfunctions, equipment misuse, personal injuries and natural disasters, the occurrence of which may result in uncontrollable flows of gas or well fluids, fires and explosions. Although we have obtained insurance against many of these risks, our insurance may not be adequate to cover our liabilities. Further, the insurance may not generally be available in the future or, if available, premiums may not be commercially justifiable. If we incur substantial liability and the damages are not covered by insurance or are in excess of policy limits, or if we were to incur liability at a time when we are not able to obtain liability insurance, such potential liabilities could have a material adverse effect on our business, results of operations, financial condition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money on fixed-price contracts.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customary for the types of businesses in which we operate, we often agree to provide products and services under fixed-price contracts. We are subject to material risks in connection with such fixed-price contracts. Actual expenses incurred in executing a fixed-price contract can vary substantially from those originally anticipated for several reasons including, but not limited to, the following:</w:t>
      </w:r>
    </w:p>
    <w:p>
      <w:pPr>
        <w:spacing w:after="0" w:line="1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additional costs related to the purchase of substantial equipment necessary for contract fulfillment;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mechanical failure of our production equipment and machinery;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caused by local weather conditions and/or natural disasters (including earthquakes and floods);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failure of suppliers or subcontractors to perform their contractual obligations.</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realization of any material risks and unforeseen circumstances could also lead to delays in the execution schedule of a project. We may be held liable to a customer should we fail to meet project milestones or deadlines or to comply with other contractual provisions. Additionally, delays in certain projects could lead to delays in subsequent projects for which production equipment and machinery currently being utilized on a project were intended.</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terms of fixed-price contracts, we are not always able to increase the price of the contract to reflect factors that were unforeseen at the time its bid was submitted. As a result, it is not possible to estimate with complete certainty the final cost or margin of a project at the time of bidding or during the early phases of its execution. Depending on the size of a project, variations from estimated contract performance could have a significant impact on our financial condition, results of operations or cash flows.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New capital asset construction projects for vessels and plants are subject to risks, including delays and cost overruns, which could have a material adverse effect on our financial condition or results of operations.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seek to continuously upgrade and develop our asset base. Such projects are subject to risks of delay and cost overruns which are inherent to any large construction project and which are the result of numerous factors including, but not limited to, the following:</w:t>
      </w:r>
    </w:p>
    <w:p>
      <w:pPr>
        <w:spacing w:after="0" w:line="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shortages of key equipment, materials or skilled labor;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unscheduled delays in the delivery or ordered materials and equipment;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issues regarding the design and engineering;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shipyard delays and performance issues.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Failure to complete construction in time, or the inability to complete construction in accordance with its design specifications, may result in loss of revenue. Additionally, capital expenditures for construction projects could materially exceed the initially planned investments or can result in delays in putting such assets into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the timely delivery of our backlog could affect our future sales, profitability, and our relationships with our customers.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Many of the contracts we enter into with our customers require long manufacturing lead times due to complex technical and logistical requirements. These contracts may contain clauses related to liquidated damages or financial incentives regarding on-time delivery, and a failure by us to deliver in accordance with customer expectations could subject us to liquidated damages or loss of financial incentives, reduce our margins on these contracts or result in damage to existing customer relationships. The ability to meet customer delivery schedules for this backlog is dependent on a number of factors, including, but not limited to, access to the raw materials required for production, an adequately trained and capable workforce, subcontractor performance, project engineering expertise and execution, sufficient manufacturing plant capacity and appropriate planning and scheduling of</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manufacturing resources. Failure to deliver backlog in accordance with expectations could negatively impact our financial performance, particularly in light of the current industry environment where customers may seek to improve their returns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relating to subcontractors, suppliers and our joint venture partners.</w:t>
      </w:r>
    </w:p>
    <w:p>
      <w:pPr>
        <w:spacing w:after="0" w:line="225"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We generally rely on subcontractors, suppliers and our joint venture partners for the performance of our contracts. Although we are not dependent upon any single supplier, certain geographic areas of our business or a project or group of projects may heavily depend on certain suppliers for raw materials or semi-finished goods. Any difficulty faced by us in hiring suitable subcontractors or acquiring equipment and materials could compromise our ability to generate a significant margin on a project or to complete such project within the allocated timeframe.</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delay on the part of subcontractors, suppliers or joint venture partners in the completion of work, any failure on the part of a subcontractor, supplier or joint venture partner to meet its obligations, or any other event attributable to a subcontractor, supplier or joint venture partner that is beyond our control or not foreseeable by us could lead to delays in the overall progress of the project and/or generate significant extra costs. We are exposed to risks presented by the activities of our subcontractors, suppliers and joint venture partners in connection with the performance of their obligations for a project. If subcontractors, suppliers or joint venture partners refuse to adhere to their contractual obligations with us or are unable to do so due to a deterioration of their financial condition, we may be unable to find a suitable replacement at a comparable price, or at all.</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Based on these potential issues, we could be required to compensate our customers. Moreover, the failure of one of our joint venture partners to perform their obligations in a timely and satisfactory manner could lead to additional obligations and costs being imposed on us as we would be potentially obligated to assume our defaulting partner’s obligations, Even if we were entitled to make a claim for these extra costs against the defaulting supplier, subcontractor or joint venture partner, we could be unable to recover the entirety of these costs and this could materially adversely affect our business,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businesses are dependent on the continuing services of certain of our key managers and employees.</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depend on key personnel. The loss of any key personnel could adversely impact our business if we are unable to implement key strategies or transactions in their absence. The loss of qualified employees or an inability to retain and motivate additional highly-skilled employees required for the operation and expansion of our business could hinder our ability to successfully conduct research activities and develop marketable products and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Pirates endanger our maritime employees and assets.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face material piracy risks in the Gulf of Guinea, the Somali Basin and the Gulf of Aden, and, to a lesser extent, in Southeast Asia, Malacca and the Singapore Straits. Piracy represents a risk for both our projects and our vessels which operate and transmit through sensitive maritime areas. Such risks have the potential to significant harm crews and to negatively impact the execution schedule for our projects. If our maritime employees or assets are endangered, additional time may be required to find an alternative solution, which may delay project realization and negatively impact our business, financial condition or results of operations.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Due to the types of contracts we enter into and the markets in which we operate, the cumulative loss of several major contracts, customers or alliances may have an adverse effect on our results of operations.</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often enter into large, long-term contracts that, collectively, represent a significant portion of our revenue. These agreements, if terminated or breached, may have a larger impact on our operating results or our financial condition that shorter-term contracts due to the value at risk. Moreover, the global market for the production, transportation and transformation of hydrocarbons and by-products, as well as the other industrial markets in which we operate, is dominated by a small number of companies. As a result, our business relies on a limited number of customers. If we were to lose several key contracts, customers or alliances over a relative short period of time, we could experience a significant adverse impact on our financial condition, results of operations or cash flows.</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operations require us to comply with numerous regulations, violations of which could have a material adverse effect on our financial condition, results of operations or cash flows.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operations and manufacturing activities are governed by international, regional transnational and national laws and regulations in every place where we operate relating to matters such as environmental, health and safety, labor and employment, import/export control, currency exchange, bribery and corruption and taxation. These laws and regulations are complex, frequently change and have tended to become more stringent over time. In the event the scope of these laws and regulations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expand in the future, the incremental cost of compliance could adversely impact our financial condition, results of operations or cash flows.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international operations are subject to anti-corruption laws and regulations, such as the FCPA, the U.K. Bribery Act of 2010 (the “Bribery Act”), the Brazilian Anti-Bribery Act (also known as the Brazilian Clean Company Act) and economic and trade sanctions, including those administered by the United Nations, the European Union, the Office of Foreign Assets Control of the U.S. Department of the Treasury (“OFAC”) and the U.S. Department of State. The FCPA prohibits providing anything of value to foreign officials for the purposes of obtaining or retaining business or securing any improper business advantage. We may deal with both governments and state-owned business enterprises, the employees of which are considered foreign officials for purposes of the FCPA. The provisions of the Bribery Act extend beyond bribery of foreign public officials and are more onerous than the FCPA in a number of other respects, including jurisdiction, non-exemption of facilitation payments and penalties. Economic and trade sanctions restrict our transactions or dealings with certain sanctioned countries, territories and designated persons.</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a result of doing business in foreign countries, including through partners and agents, we will be exposed to a risk of violating anti-corruption laws and sanctions regulations. Some of the international locations in which we will operate have developing legal systems and may have higher levels of corruption than more developed nations. Our continued expansion and worldwide operations, including in developing countries, our development of joint venture relationships worldwide and the employment of local agents in the countries in which we operate increases the risk of violations of anti-corruption laws and economic and trade sanctions. Violations of anti-corruption laws and economic and trade sanctions are punishable by civil penalties, including fines, denial of export privileges, injunctions, asset seizures, debarment from government contracts (and termination of existing contracts) and revocations or restrictions of licenses, as well as criminal fines and imprisonment. In addition, any major violations could have a significant impact on our reputation and consequently on our ability to win future business.</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While we believe we have a strong compliance program, including procedures to minimize and detect fraud in a timely manner, and continue efforts to improve our systems of internal controls, we can provide no assurance that the policies and procedures will be followed at all times or will effectively detect and prevent violations of the applicable laws by one or more of our employees, consultants, agents or partners, and, as a result, we could be subject to penalties and material adverse consequences on our business, financial condition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environmental laws and regulations may adversely affect our business and results of operations.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Environmental laws and regulations in various countries affect the equipment, systems and services we design, market and sell, as well as the facilities where we manufacture our equipment and systems. We are required to invest financial and managerial resources to comply with environmental laws and regulations and believe that we will continue to be required to do so in the future. Failure to comply with these laws and regulations may result in the assessment of administrative, civil and criminal penalties, the imposition of remedial obligations, or the issuance of orders enjoining operations. These laws and regulations, as well as the adoption of new legal requirements or other laws and regulations affecting exploration and development of drilling for crude oil and natural gas, could adversely affect our business and operating results by increasing our costs, limiting the demand for our products and services or restricting our operations.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Disruptions in the political, regulatory, economic and social conditions of the countries in which we conduct business could adversely affect our business or results of operations.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operate in various countries across the world. Instability and unforeseen changes in any of the markets in which we conduct business, including economically and politically volatile areas such as North Africa, West Africa, the Middle East, and the Commonwealth of Independent States, could have an adverse effect on the demand for our services and products, our financial condition or our results of operations. These factors include, but are not limited to, the following:</w:t>
      </w:r>
    </w:p>
    <w:p>
      <w:pPr>
        <w:spacing w:after="0" w:line="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nationalization and expropriation;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potentially burdensome taxation;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inflationary and recessionary markets, including capital and equity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civil unrest, labor issues, political instability, terrorist attacks, cyber-terrorism, military activity and wars;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supply disruptions in key oil producing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ability of OPEC to set and maintain production levels and pricing;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trade restrictions, trade protection measures or price controls;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restrictions on operations, trade practices, trade partners and investment decisions resulting from domestic and foreign laws and regulations;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and the administration of, laws and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repatriate income or capital;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reductions in the availability of qualified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fluctuations or currency restrictions;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interest rate component of forward foreign currency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DTC and Euroclear Paris may cease to act as depository and clearing agencies for our shares.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shares were issued into the facilities of The Depository Trust Company (“DTC”) with respect to shares listed on the New York Stock Exchange (“NYSE”) and Euroclear with respect to shares listed on Euronext Paris (DTC and Euroclear being referred to as the “Clearance Services”). The Clearance Services are widely used mechanisms that allow for rapid electronic transfers of securities between the participants in their respective systems, which include many large banks and brokerage firms. The Clearance Services have general discretion to cease to act as a depository and clearing agencies for our shares. If the Clearance Services determine at any time that our shares are not eligible for continued deposit and clearance within their facilities, then we believe that our shares would not be eligible for continued listing on the NYSE or Euronext Paris and trading in our shares would be disrupted. While we would pursue alternative arrangements to preserve the listing and maintain trading, any such disruption could have a material adverse effect on the trading price of our shares.</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European Union may have a negative effect on global economic conditions, financial markets and our business.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based in the United Kingdom and have operational headquarters in Paris, France; Houston, Texas, USA; and in London, United Kingdom, with worldwide operations, including material business operations in Europe. In June 2016, a majority of voters in the United Kingdom elected to withdraw from the European Union in a national referendum (“Brexit”). The referendum was advisory, and the terms of any withdrawal are subject to a negotiation period that could last at least two years after the government of the United Kingdom formally initiated its withdrawal process in the first quarter of 2017. Nevertheless, Brexit has created significant uncertainty about the future relationship between the United Kingdom and the European Union and has given rise to calls for certain regions within the United Kingdom to preserve their place in the European Union by separating from the United Kingdom as well as for the governments of other E.U. member states to consider withdrawal.</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These developments, or the perception that any of them could occur, could have a material adverse effect on global economic conditions and the stability of the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Lack of clarity about applicable future laws, regulations or treaties as the United Kingdom negotiates the terms of a withdrawal, as well as the operation of any such rules pursuant to any withdrawal terms, including financial laws and regulations, tax and free trade agreements, intellectual property rights, supply chain logistics, environmental, health and safety laws and regulations, immigration laws, employment laws and other rules that would apply to us and our subsidiaries, could increase our costs, restrict our access to capital within the United Kingdom and the European Union, depress economic activity and decrease foreign direct investment in the United Kingdom. For example, withdrawal from the European Union could, depending on the negotiated terms of withdrawal, eliminate the benefit of certain tax-related E.U. directives currently applicable to U.K. companies such as us, including the Parent-Subsidiary Directive and the Interest and Royalties Directive, which could, subject to any relief under an available tax treaty, raise our tax costs.</w:t>
      </w:r>
    </w:p>
    <w:p>
      <w:pPr>
        <w:spacing w:after="0" w:line="169"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If the United Kingdom and the European Union are unable to negotiate acceptable withdrawal terms or if other E.U. member states pursue withdrawal, barrier-free access between the United Kingdom and other E.U. member states or among the European Economic Area overall could be diminished or eliminated. Any of these factors could have a material adverse effect on our business, financial condition and results of operations.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may require stockholder approval which may limit our flexibility to manage our capital structure.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English law, we will only be able to declare dividends, make distributions or repurchase shares (other than out of the proceeds of a new issuance of shares for that purpose) out of “distributable profits.” Distributable profits are a company’s accumulated, realized profits, to the extent that they have not been previously utilized by distribution or capitalization, less its accumulated, realized losses, to the extent that they have not been previously written off in a reduction or reorganization of</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1"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capital duly made. In addition, as a public limited company organized under the laws of England and Wales, we may only make a distribution if the amount of our net assets is not less than the aggregate of our called-up share capital and non-distributable reserves and if, to the extent that, the distribution does not reduce the amount of those assets to less that that aggregate.</w:t>
      </w:r>
    </w:p>
    <w:p>
      <w:pPr>
        <w:spacing w:after="0" w:line="18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Following the merger, we capitalized our reserves arising out of the merger by the allotment and issuance by TechnipFMC of a bonus share, which was paid up using such reserves, such that the amount of such reserves so applied, less the nominal value of the bonus share, applied as share premium and accrued to our share premium account. We implemented a court-approved reduction of our capital by way of a cancellation of the bonus share and share premium account in the amount of $10,177,554,182, which completed on June 29, 2017, in order to create distributable profits to support the payment of possible future dividends or future share repurchases. Our articles of association permit us by ordinary resolution of the stockholders to declare dividends, provided that the directors have made a recommendation as to its amount. The dividend shall not exceed the amount recommended by the directors. The directors may also decide to pay interim dividends if it appears to them that the profits available for distribution justify the payment. When recommending or declaring payment of a dividend, the directors are required under English law to comply with their duties, including considering our future financial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English law requires that we meet certain additional financial requirements before we may declare dividends or repurchase shares.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English law, we will only be able to declare dividends, make distributions or repurchase shares (other than out of the proceeds of a new issuance of shares for that purpose) out of “distributable profits.” Distributable profits are a company’s accumulated, realized profits, to the extent that they have not been previously utilized by distribution or capitalization, less its accumulated, realized losses, to the extent that they have not been previously written off in a reduction or reorganization of capital duly made. In addition, as a public limited company organized under the laws of England and Wales, we may only make a distribution if the amount of our net assets is not less than the aggregate of our called-up share capital and non-distributable reserves and if, to the extent that, the distribution does not reduce the amount of those assets to less that that aggregate.</w:t>
      </w:r>
    </w:p>
    <w:p>
      <w:pPr>
        <w:spacing w:after="0" w:line="17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Following the merger, we capitalized our reserves arising out of the merger by the allotment and issuance by TechnipFMC of a bonus share, which was paid up using such reserves, such that the amount of such reserves so applied, less the nominal value of the bonus share, applied as share premium and accrued to our share premium account. We implemented a court-approved reduction of our capital by way of a cancellation of the bonus share and share premium account in the amount of $10,177,554,182, which was completed on June 29, 2017, in order to create distributable profits to support the payment of possible future dividends or future share repurchases. Our articles of association permit us by ordinary resolution of the stockholders to declare dividends, provided that the directors have made a recommendation as to its amount. The dividend shall not exceed the amount recommended by the directors. The directors may also decide to pay interim dividends if it appears to them that the profits available for distribution justify the payment. When recommending or declaring payment of a dividend, the directors are required under English law to comply with their duties, including considering our future financial requirements.</w:t>
      </w:r>
    </w:p>
    <w:p>
      <w:pPr>
        <w:spacing w:after="0" w:line="16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existing and future debt may limit cash flow available to invest in the ongoing needs of our business and could prevent us from fulfilling our obligations under our outstanding debt.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substantial existing debt. As of June 30, 2017, after giving effect to the Merger, our total debt would have been $3.8 billion. We also have the capacity under our $2.5 billion credit facility and bilateral facilities to incur substantial additional debt. Our level of debt could have important consequences. For example, it could:</w:t>
      </w:r>
    </w:p>
    <w:p>
      <w:pPr>
        <w:spacing w:after="0" w:line="1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debt service, reducing the availability of our cash flow to fund working capital, capital expenditures, acquisitions, distributions and other general partnership purposes;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enable us to react to changes in our business;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any failure to meet required payments on our debt, or failure to comply with any covenants in the instruments governing our debt, could result in an event of default under the terms of those instruments. In the event of such default, the holders of such debt could elect to declare all the amounts outstanding under such instruments to be due and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debt rating could restrict our ability to access the capital markets.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terms of our financing are, in part, dependent on the credit ratings assigned to our debt by independent credit rating agencies. We cannot provide assurance that any of our current credit ratings will remain in effect for any given period of time or that a rating will not be lowered or withdrawn entirely by a rating agency. Factors that may impact our credit ratings include debt levels, capital structure, planned asset purchases or sales, near- and long-term production growth opportunities, market position, liquidity, asset quality, cost structure, product mix, customer and geographic diversification and commodity price levels. A downgrade in our credit ratings, particularly to non-investment grade levels, could limit our ability to access the debt capital markets, refinance our existing debt or cause us to refinance or issue debt with less favorable terms and conditions. Moreover, our revolving credit agreement includes an increase in interest rates if the ratings for our debt are downgraded, which could have an adverse effect on our results of operations. An increase in the level of our indebtedness and related interest costs may increase our vulnerability to adverse general economic and industry conditions and may affect our ability to obtain additional financing.</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Uninsured claims and litigation against us, including intellectual property litigation, could adversely impact our financial condition, results of operations or cash flows.</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could be impacted by the outcome of pending litigation, as well as unexpected litigation or proceedings. We have insurance coverage against operating hazards, including product liability claims and personal injury claims related to our products or operating environments in which our employees operate, to the extent deemed prudent by our management and to the extent insurance is available. However, no assurance can be given that the nature and amount of that insurance will be sufficient to fully indemnify us against liabilities arising out of pending and future claims and litigation. Additionally, in individual circumstances, certain proceedings or cases may also lead to our formal or informal exclusion from tenders or the revocation or loss of business licenses or permits. Our financial condition, results of operations or cash flows could be adversely affected by unexpected claims not covered by insurance.</w:t>
      </w:r>
    </w:p>
    <w:p>
      <w:pPr>
        <w:spacing w:after="0" w:line="16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addition, the tools, techniques, methodologies, programs and components we use to provide our services may infringe upon the intellectual property rights of others. Infringement claims generally result in significant legal and other costs. Royalty payments under licenses from third parties, if available, would increase our costs. If a license were not available, we might not be able to continue providing a particular service or product, which could adversely affect our financial condition, results of operations or cash flows. Additionally, developing non-infringing technologies would increase our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fluctuations could adversely affect our financial condition, results of operations or cash flows.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conduct operations around the world in a number of different currencies. Because a significant portion of our revenue is denominated in currencies other than our reporting currency, the U.S. dollar, changes in exchange rates will produce fluctuations in our revenue, costs and earnings and may also affect the book value of our assets and liabilities and related equity. We do not hedge translation impacts on earnings, and our efforts to engage in hedging transactions to minimize our current exchange rate exposure for transaction impacts may not be successful. Moreover, certain currencies, specifically currencies in countries such as Angola and Nigeria, do not actively trade in the global foreign exchange markets and may subject us to increased foreign currency exposures. As a result, fluctuations in foreign currency exchange rates may adversely affect our financial condition, results of operations or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cost savings, synergies and other benefits expected from the merger of FMC Technologies and Technip.</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combination of two independent companies is a complex, costly and time-consuming process. As a result, we will be required to devote significant management attention and resources to integrating the business practices and operations of Technip and FMC Technologies. The integration process may disrupt our businesses and, if ineffectively implemented, could preclude realization of the full benefits expected from the merger. Our failure to meet the challenges involved in successfully integrating the operations of Technip and FMC Technologies or otherwise to realize the anticipated benefits of the merger could cause an interruption of our operations and could seriously harm our results of operations. In addition, the overall integration of Technip and FMC Technologies may result in material unanticipated problems, expenses, liabilities, competitive responses, loss of client relationships and diversion of management’s attention, and may cause our stock prices to decline. The difficulties of combining the operations of Technip and FMC Technologies include, but is not limited to, the following:</w:t>
      </w:r>
    </w:p>
    <w:p>
      <w:pPr>
        <w:spacing w:after="0" w:line="3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managing a significantly larger company;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diversion of management focus and resources from other strategic opportunities and from operational matters;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aligning and executing our strategy;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integrating two unique business cultures, which may prove to be incompatible;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coordinating distribution and marketing efforts;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integrating IT, communications and other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our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merger;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taking actions that may be required in connection with obtaining regulatory approvals.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Many of these factors will be outside our control and any one of them could result in increased costs, decreased revenue and diversion of management’s time and energy, which could materially impact our business, financial condition and results of operations. In addition, even if the operations of Technip and FMC Technologies are successfully integrated, we may not realize the full benefits of the merger, including the synergies, cost savings or sales or growth opportunities that we expect. These benefits may not be achieved within the anticipated time frame, or at all. As a result, we cannot assure that the combination of Technip and FMC Technologies will result in the realization of the full benefits expected from the merger.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merger-related costs.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incurred and expect to incur a number of non-recurring direct and indirect costs associated with the merger. In addition to the cost and expenses associated with the consummation of the merger, there are also processes, policies, procedures, operations, technologies and systems that must be integrated in connection with the merger and the integration of Technip and FMC Technologies. While both Technip and FMC Technologies have assumed that a certain level of expenses would be incurred in connection with the merger and continue to assess the magnitude of these costs, there are many factors beyond our control that could affect the total amount or the timing of the integration and implementation expenses. There may also be additional unanticipated significant costs in connection with the merger that we may not recoup. These costs and expenses could reduce the realization of efficiencies and strategic benefits we expect to achieve from the merger. Although we expect that these benefits will offset the transaction expenses and implementation costs over time, this net benefit may not be achieved in the near term or at all.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of our IT infrastructure could adversely impact our business and results of operations.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efficient operation of our business is dependent on our IT systems. Accordingly, we rely upon the capacity, reliability and security of our IT hardware and software infrastructure and our ability to expand and update this infrastructure in response to changing needs. Despite our implementation of security measures, our systems are vulnerable to damages from computer viruses, natural disasters, incursions by intruders or hackers, failures in hardware or software, power fluctuations, cyber terrorists and other similar disruptions. Additionally, we rely on third parties to support the operation of our IT hardware and software infrastructure, and in certain instances, utilize web-based applications. Although no such material incidents have occurred to date, the failure of our IT systems or those of our vendors to perform as anticipated for any reason or any significant breach of security could disrupt our business and result in numerous adverse consequences, including reduced effectiveness and efficiency of operations, inappropriate disclosure of confidential and proprietary information, reputational harm, increased overhead costs and loss of important information, which could have a material adverse effect on our business and results of operations. In addition, we may be required to incur significant costs to protect against damage caused by these disruptions or security breaches in the future.</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IRS may not agree that we should be treated as a foreign corporation for U.S. federal tax purposes and may seek to impose an excise tax on gains recognized by certain individuals.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Although we are incorporated in the United Kingdom, the U.S. Internal revenue Service (the “IRS”) may assert that we should be treated as a U.S. “domestic” corporation (and, therefore, a U.S. tax resident) for U.S. federal income tax purposes pursuant to Section 7874 of the U.S. Internal Revenue Code of 1986, as amended (the “Code”). For U.S. federal income tax purposes, a corporation is generally considered a U.S. “domestic” corporation (or U.S. tax resident) if it is organized in the United States, and a corporation is generally considered a “foreign” corporation (or non-U.S. tax resident) if it is not a U.S. domestic corporation. Because we are an entity incorporated in England and Wales, we would generally be classified as a foreign</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corporation (or non-U.S. tax resident) under these rules. Section 7874 provides an exception under which a foreign incorporated entity may, in certain circumstances, be treated as a U.S. domestic corporation for U.S. federal income tax purposes.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Unless we have satisfied the substantial business activities exception, as defined in Section 7874 and described in more detail below (the “Substantial Business Activities Exception”), we will be treated as a U.S. domestic corporation (that is, as a U.S. tax resident) for U.S. federal income tax purposes under Section 7874 if the percentage (by vote or value) of our shares considered to be held by former holders of FMCTI Shares after the merger by reason of holding FMCTI Shares for purposes of Section 7874 (the “Section 7874 Percentage”) is (i) 60% or more (if, as expected, the Third Country Rule (defined below) applies) or (ii) 80% or more (if the Third Country Rule does not apply). In order for us to satisfy the Substantial Business Exception, at least 25% of the employees (by headcount and compensation), real and tangible assets and gross income of our expanded affiliated group must be based, located and derived, respectively, in the United Kingdom. The Substantial Business Activities Exception is not expected to be satisfied. In addition, the IRS and the U.S. Department of the Treasury have issued a rule that generally provides that if (i) there is an acquisition of a domestic company by a foreign company in which the Section 7874 Percentage is at least 60%, and (ii) in a related acquisition, such foreign acquiring company acquires another foreign corporation and the foreign acquiring company is not subject to tax as a resident in the foreign country in which the acquired foreign corporation was subject to tax as a resident prior to the transactions, then the foreign acquiring company will be treated as a U.S. domestic company for U.S. federal income tax purposes (the “Third Country Rule”). Because we are a tax resident in the United Kingdom and not a tax resident in France as Technip was, we expect that we would be treated as a U.S. domestic corporation for U.S. federal income tax purposes under the Third Country Rule if the Section 7874 Percentage were at least 60%.</w:t>
      </w:r>
    </w:p>
    <w:p>
      <w:pPr>
        <w:spacing w:after="0" w:line="17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addition, if the Section 7874 Percentage is calculated to be at least 60%, Section 7874 and the rules related thereto may impose an excise tax under Section 4985 of the Code (the “Section 4985 Excise Tax”) on the gain recognized by certain “disqualified individuals” (including officers and directors of a U.S. company) on certain stock-based compensation held thereby at a rate equal to 15%, even if the Third Country Rule were to apply such that we were treated as a U.S. domestic corporation for U.S. federal income tax purposes. We may, if we determine that it is appropriate, provide disqualified individuals with a payment with respect to the excise tax, so that, on a net after-tax basis, they would be in the same position as if no such excise tax had been applied.</w:t>
      </w:r>
    </w:p>
    <w:p>
      <w:pPr>
        <w:spacing w:after="0" w:line="15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believe that the Section 7874 Percentage was less than 60% such that the Third Country Rule is not expected to apply to us and the Section 4985 Excise Tax is not expected to apply to any such “disqualified individuals.” However, the calculation of the Section 7874 Percentage is complex and is subject to detailed Treasury regulations (the application of which is uncertain in various respects and would be impacted by changes in such Treasury regulations). In addition, there can be no assurance that there will not be a change in law, including with retroactive effect, which might cause us to be treated as a U.S. domestic corporation for U.S. federal income tax purposes. Accordingly, we cannot assure you that the IRS will agree with our position and/or would not successfully challenge our status as a foreign corporation.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tax laws and/or IRS guidance could affect our ability to engage in certain acquisition strategies and certain internal restructurings.</w:t>
      </w:r>
    </w:p>
    <w:p>
      <w:pPr>
        <w:spacing w:after="0" w:line="23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Even if we are treated as a foreign corporation for U.S. federal income tax purposes, Section 7874 and U.S. Treasury regulations promulgated thereunder may adversely affect our ability to engage in certain future acquisitions of U.S. businesses in exchange for our equity or to otherwise restructure the non-U.S. members of our group, which may affect the tax efficiencies that otherwise might be achieved in such potential future transactions or restructurings.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the IRS and the U.S. Treasury have issued final and temporary regulations providing that, even if we are treated as a foreign corporation for U.S. federal income tax purposes, certain intercompany debt instruments issued on or after April 4, 2016 will be treated as equity for U.S. federal income tax purposes, therefore limiting U.S. tax benefits and resulting in possible U.S. withholding taxes. These regulations may adversely affect our future effective tax rate and could also impact our ability to engage in future restructurings if such transactions cause an existing intercompany debt instrument to be treated as reissued for U.S. federal income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tax laws of numerous jurisdictions, and challenges to the interpretations of, or future changes to, such laws could adversely affect us.</w:t>
      </w:r>
    </w:p>
    <w:p>
      <w:pPr>
        <w:spacing w:after="0" w:line="26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and our subsidiaries are subject to tax laws and regulations in the United Kingdom, the United States, France and numerous other jurisdictions in which we and our subsidiaries operate. These laws and regulations are inherently complex, and we will be obligated to make judgments and interpretations about the application of these laws and regulations to our operations and businesses. The interpretation and application of these laws and regulations could be challenged by the relevant governmental authorities, which could result in administrative or judicial procedures, actions or sanctions, which could be material.</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the U.S. Congress, the U.K. Government, the Organization for Economic Co-operation and Development, and other government agencies in jurisdictions where we and our affiliates do business have had an extended focus on issues related to the taxation of multinational corporations. One example is in the area of “base erosion and profit shifting” where payments are made between affiliates from a jurisdiction with high tax rates to a jurisdiction with lower tax rates. Additionally, recent legislative proposals would treat us as a U.S. domestic corporation if our management and control of TechnipFMC and its affiliates were determined to be located primarily in the United States and/or would reduce the Section 7874 Percentage threshold at or above which we would be treated as a U.S. domestic corporation. Thus, the tax laws in the United States, the United Kingdom and other countries in which we and our affiliates do business could change on a retroactive basis and any such changes could adversely affect us. Furthermore, the interpretation and application of domestic or international tax laws made by us and by our subsidiaries could differ from that of the relevant governmental authority, which could result in administrative or judicial procedures, actions or sanctions, which could be material.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qualify for benefits under the tax treaties entered into between the United Kingdom and other countries.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operate in a manner such that we believe we are eligible for benefits under the tax treaties between the United Kingdom and other countries, notably the United States. However, our ability to qualify for such benefits will depend on whether we are treated as a U.K. tax resident and upon the requirements contained in each treaty and the applicable domestic laws, as the case may be, on the facts and circumstances surrounding our operations and management, and on the relevant interpretation of the tax authorities and courts. The failure by us or our subsidiaries to qualify for benefits under the tax treaties entered into between the United Kingdom and other countries could result in adverse tax consequences to us and could result in certain tax consequences of owning and disposing of our shares.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intend to operate so as to be treated exclusively as a resident of the United Kingdom for tax purposes, but French or other tax authorities may seek to treat us as a tax resident of another jurisdiction.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incorporated in England and Wales. English law currently provides that we will be regarded as being a U.K. resident for tax purposes from incorporation and shall remain so unless (i) we are concurrently a resident in another jurisdiction (applying the tax residence rules of that jurisdiction) that has a double tax treaty with the United Kingdom and (ii) there is a tiebreaker provision in that tax treaty which allocates exclusive residence to that other jurisdiction.</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this regard, we have a permanent establishment in France to satisfy certain French tax requirements imposed by the French Tax Code with respect to the Technip Merger. Although it is intended that we will be treated as having our exclusive place of tax residence in the United Kingdom, the French tax authorities may claim that we are a tax resident of France if we were to fail to maintain our “place of effective management” in the United Kingdom due to the French tax authorities having deemed that certain strategic decisions of TechnipFMC have been taken at the level of our French permanent establishment rather than in the United Kingdom. Any such claim would need to be settled between the French and the U.K. tax authorities pursuant to the mutual assistance procedure provided for by the tax treaty dated June 19, 2008 concluded between France and the U.K. (the “France-U.K. Treaty”), and there is no assurance that these authorities would reach an agreement that we will remain exclusively a U.K. tax resident, which could materially and adversely affect our business, financial condition, results of operations and future prospects. A failure to maintain exclusive tax residency in the United Kingdom could result in adverse tax consequences to us and our subsidiaries and could result in different tax consequences of owning and disposing of 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three months ended June 30,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ordinary shares during the three months ended June 30,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Shares That May</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 per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 xml:space="preserve">Purchased </w:t>
            </w:r>
            <w:r>
              <w:rPr>
                <w:rFonts w:ascii="Arial" w:cs="Arial" w:eastAsia="Arial" w:hAnsi="Arial"/>
                <w:sz w:val="8"/>
                <w:szCs w:val="8"/>
                <w:b w:val="1"/>
                <w:bCs w:val="1"/>
                <w:color w:val="auto"/>
                <w:w w:val="91"/>
              </w:rPr>
              <w:t>(a)</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Share</w:t>
            </w:r>
          </w:p>
        </w:tc>
        <w:tc>
          <w:tcPr>
            <w:tcW w:w="1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Programs</w:t>
            </w:r>
          </w:p>
        </w:tc>
        <w:tc>
          <w:tcPr>
            <w:tcW w:w="100" w:type="dxa"/>
            <w:vAlign w:val="bottom"/>
          </w:tcPr>
          <w:p>
            <w:pPr>
              <w:spacing w:after="0"/>
              <w:rPr>
                <w:sz w:val="13"/>
                <w:szCs w:val="13"/>
                <w:color w:val="auto"/>
              </w:rPr>
            </w:pPr>
          </w:p>
        </w:tc>
        <w:tc>
          <w:tcPr>
            <w:tcW w:w="1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April 1, 2017—April 30, 2017</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30.12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May 1, 2017—May 31, 2017</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200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21"/>
                <w:szCs w:val="21"/>
                <w:color w:val="auto"/>
              </w:rPr>
            </w:pPr>
          </w:p>
        </w:tc>
        <w:tc>
          <w:tcPr>
            <w:tcW w:w="1820" w:type="dxa"/>
            <w:vAlign w:val="bottom"/>
          </w:tcPr>
          <w:p>
            <w:pPr>
              <w:ind w:left="1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2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June 1, 2017—June 30, 2017</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29.08</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2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_______________________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3"/>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00" w:right="60" w:hanging="492"/>
        <w:spacing w:after="0" w:line="261"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6"/>
          <w:szCs w:val="16"/>
          <w:color w:val="auto"/>
        </w:rPr>
        <w:t>Represents ordinary shares purchased and held in an employee benefit trust established for the FMC Technologies, Inc. Non-Qualified Savings and Investment Plan. In addition to these shares purchased on the open market, we sold 4,460 shares of registered ordinary shares held in this trust, as directed by the beneficiaries during the three months ended June 30, 2017.</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pursuant to Section 13(r) of the Securities Exchange Act</w:t>
      </w:r>
    </w:p>
    <w:p>
      <w:pPr>
        <w:spacing w:after="0" w:line="185"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Pursuant to section 13(r) of the Securities Exchange Act, two of our non-U.S. subsidiaries have contracts with entities in Iran. We are preparing a feasibility study related to improvements to an olefins plant in Iran that we expect to complete by the end of the year. We are also providing engineering and design services for the construction of an ethylene plant in Iran, which is expected to be completed by the end of 2018. All activities were conducted, and will be conducted, outside the United States by non-U.S. entities in compliance with applicable law. We received no revenue under either contract for the three and six months ended June 30, 2017. The expected gross revenue from the olefins plant and the ethylene plant is 250,000 Euros and 8,000,000 Euros, respectively, which is less than 0.18% of our pro forma revenues for the fiscal year ended December 31, 2016. Net profit from the two contracts is unknown at this time.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Executive Severance Agreements</w:t>
      </w:r>
    </w:p>
    <w:p>
      <w:pPr>
        <w:spacing w:after="0" w:line="16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August 1, 2017, the Compensation Committee of our Board of Directors approved entering into Executive Severance Agreements with our executive officers other than our Executive Chairman. The Executive Severance Agreements provide for “double trigger” severance benefits if an executive officer’s employment is terminated without cause or constructively terminated within the twenty-four months following a change in control. The severance benefits are equal to (i) a multiple of each executive’s base salary (multiple of three for our Chief Executive Officer and Chief Financial Officer; multiple of two for all other executive officers); (ii) a multiple of the greater of the executive’s annual target cash bonus or the executive’s prior three-year average annual cash bonus (multiple of three for our Chief Executive Officer and Chief Financial Officer; multiple of two for all other executive officers); (iii) accrued but unpaid base salary and unused paid time off pay; (iv) a pro-rated payment equal to the amount of the executive’s annual target cash bonus for the year the executive is terminated; and (v) an amount equal to the monthly premium payable for the executive under the Company’s health care, life, accidental death and dismemberment insurance and long-term disability insurance coverage for twenty-four months, or in the case of our Chief Executive Officer and Chief Financial Officer, for thirty-six months. However, if the executive is party to a similar agreement with Technip or FMC Technologies entered into prior to the Merger (a “legacy agreement”), then the executive’s severance benefits will not be less than the severance benefits he or she would have received under his or her legacy agreement until July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1"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16, 2018 for officers who had agreements with Technip and January 16, 2019 for officers who had agreements with FMC Technologies, at which time the legacy agreements will terminate. Receipt of the severance benefits under the Executive Severance Agreements is subject to the executive signing a release of claims. The severance benefits may also be reduced to the extent payment of such benefits would not be deductible by reason of Section 280G of the U.S. Internal Revenue Code. Following termination, the executive would also no longer be subject to any stock ownership or retention requirements.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this item is incorporated herein by reference from the section entitled “Index of Exhibits” of this Quarterly Report on Form 10-Q for the period ended June 30, 2017.</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20"/>
          </w:cols>
          <w:pgMar w:left="24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584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Maryann T. Mannen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 (Principal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 and a Duly Authorized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121"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Exhibit No.</w:t>
            </w:r>
          </w:p>
        </w:tc>
        <w:tc>
          <w:tcPr>
            <w:tcW w:w="10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Exhibit Description</w:t>
            </w:r>
          </w:p>
        </w:tc>
      </w:tr>
      <w:tr>
        <w:trPr>
          <w:trHeight w:val="157"/>
        </w:trPr>
        <w:tc>
          <w:tcPr>
            <w:tcW w:w="1120" w:type="dxa"/>
            <w:vAlign w:val="bottom"/>
          </w:tcPr>
          <w:p>
            <w:pPr>
              <w:spacing w:after="0"/>
              <w:rPr>
                <w:sz w:val="13"/>
                <w:szCs w:val="13"/>
                <w:color w:val="auto"/>
              </w:rPr>
            </w:pPr>
          </w:p>
        </w:tc>
        <w:tc>
          <w:tcPr>
            <w:tcW w:w="10280" w:type="dxa"/>
            <w:vAlign w:val="bottom"/>
          </w:tcPr>
          <w:p>
            <w:pPr>
              <w:ind w:left="300"/>
              <w:spacing w:after="0" w:line="157" w:lineRule="exact"/>
              <w:rPr>
                <w:sz w:val="20"/>
                <w:szCs w:val="20"/>
                <w:color w:val="auto"/>
              </w:rPr>
            </w:pPr>
            <w:r>
              <w:rPr>
                <w:rFonts w:ascii="Arial" w:cs="Arial" w:eastAsia="Arial" w:hAnsi="Arial"/>
                <w:sz w:val="14"/>
                <w:szCs w:val="14"/>
                <w:color w:val="auto"/>
                <w:w w:val="94"/>
              </w:rPr>
              <w:t>Business Combination Agreement, dated as of June 14, 2016, by and among FMC Technologies, Inc., TechnipFMC plc (f/k/a FMC Technologies SIS Limited) and Technip</w:t>
            </w:r>
          </w:p>
        </w:tc>
      </w:tr>
      <w:tr>
        <w:trPr>
          <w:trHeight w:val="188"/>
        </w:trPr>
        <w:tc>
          <w:tcPr>
            <w:tcW w:w="1120" w:type="dxa"/>
            <w:vAlign w:val="bottom"/>
          </w:tcPr>
          <w:p>
            <w:pPr>
              <w:ind w:left="40"/>
              <w:spacing w:after="0"/>
              <w:rPr>
                <w:sz w:val="20"/>
                <w:szCs w:val="20"/>
                <w:color w:val="auto"/>
              </w:rPr>
            </w:pPr>
            <w:r>
              <w:rPr>
                <w:rFonts w:ascii="Arial" w:cs="Arial" w:eastAsia="Arial" w:hAnsi="Arial"/>
                <w:sz w:val="14"/>
                <w:szCs w:val="14"/>
                <w:color w:val="auto"/>
              </w:rPr>
              <w:t>2.1</w:t>
            </w:r>
          </w:p>
        </w:tc>
        <w:tc>
          <w:tcPr>
            <w:tcW w:w="10280" w:type="dxa"/>
            <w:vAlign w:val="bottom"/>
          </w:tcPr>
          <w:p>
            <w:pPr>
              <w:ind w:left="300"/>
              <w:spacing w:after="0"/>
              <w:rPr>
                <w:sz w:val="20"/>
                <w:szCs w:val="20"/>
                <w:color w:val="auto"/>
              </w:rPr>
            </w:pPr>
            <w:r>
              <w:rPr>
                <w:rFonts w:ascii="Arial" w:cs="Arial" w:eastAsia="Arial" w:hAnsi="Arial"/>
                <w:sz w:val="14"/>
                <w:szCs w:val="14"/>
                <w:color w:val="auto"/>
              </w:rPr>
              <w:t>S.A. (incorporated by reference from Annex A-1 to the Registration Statement on Form S-4, as amended, filed on October 21, 2016) (File No. 333-213067)</w:t>
            </w:r>
          </w:p>
        </w:tc>
      </w:tr>
      <w:tr>
        <w:trPr>
          <w:trHeight w:val="163"/>
        </w:trPr>
        <w:tc>
          <w:tcPr>
            <w:tcW w:w="1120" w:type="dxa"/>
            <w:vAlign w:val="bottom"/>
            <w:shd w:val="clear" w:color="auto" w:fill="CCEEFF"/>
          </w:tcPr>
          <w:p>
            <w:pPr>
              <w:spacing w:after="0"/>
              <w:rPr>
                <w:sz w:val="14"/>
                <w:szCs w:val="14"/>
                <w:color w:val="auto"/>
              </w:rPr>
            </w:pPr>
          </w:p>
        </w:tc>
        <w:tc>
          <w:tcPr>
            <w:tcW w:w="1028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9"/>
              </w:rPr>
              <w:t>Articles of Association of TechnipFMC plc (incorporated by reference from Exhibit 3.1 to the Current Report on Form 8-K filed on January 17, 2017) (File No. 001-</w:t>
            </w:r>
          </w:p>
        </w:tc>
      </w:tr>
      <w:tr>
        <w:trPr>
          <w:trHeight w:val="194"/>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w:t>
            </w:r>
          </w:p>
        </w:tc>
        <w:tc>
          <w:tcPr>
            <w:tcW w:w="10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37983/Film No. 17529076)</w:t>
            </w:r>
          </w:p>
        </w:tc>
      </w:tr>
      <w:tr>
        <w:trPr>
          <w:trHeight w:val="157"/>
        </w:trPr>
        <w:tc>
          <w:tcPr>
            <w:tcW w:w="1120" w:type="dxa"/>
            <w:vAlign w:val="bottom"/>
          </w:tcPr>
          <w:p>
            <w:pPr>
              <w:spacing w:after="0"/>
              <w:rPr>
                <w:sz w:val="13"/>
                <w:szCs w:val="13"/>
                <w:color w:val="auto"/>
              </w:rPr>
            </w:pPr>
          </w:p>
        </w:tc>
        <w:tc>
          <w:tcPr>
            <w:tcW w:w="10280" w:type="dxa"/>
            <w:vAlign w:val="bottom"/>
          </w:tcPr>
          <w:p>
            <w:pPr>
              <w:ind w:left="300"/>
              <w:spacing w:after="0" w:line="157" w:lineRule="exact"/>
              <w:rPr>
                <w:sz w:val="20"/>
                <w:szCs w:val="20"/>
                <w:color w:val="auto"/>
              </w:rPr>
            </w:pPr>
            <w:r>
              <w:rPr>
                <w:rFonts w:ascii="Arial" w:cs="Arial" w:eastAsia="Arial" w:hAnsi="Arial"/>
                <w:sz w:val="14"/>
                <w:szCs w:val="14"/>
                <w:color w:val="auto"/>
                <w:w w:val="94"/>
              </w:rPr>
              <w:t>Indenture, dated March 29, 2017, between TechnipFMC plc and U.S. Bank National Association (incorporated by reference from Exhibit 4.1 to the Current Report on Form</w:t>
            </w:r>
          </w:p>
        </w:tc>
      </w:tr>
      <w:tr>
        <w:trPr>
          <w:trHeight w:val="188"/>
        </w:trPr>
        <w:tc>
          <w:tcPr>
            <w:tcW w:w="1120" w:type="dxa"/>
            <w:vAlign w:val="bottom"/>
          </w:tcPr>
          <w:p>
            <w:pPr>
              <w:ind w:left="40"/>
              <w:spacing w:after="0"/>
              <w:rPr>
                <w:sz w:val="20"/>
                <w:szCs w:val="20"/>
                <w:color w:val="auto"/>
              </w:rPr>
            </w:pPr>
            <w:r>
              <w:rPr>
                <w:rFonts w:ascii="Arial" w:cs="Arial" w:eastAsia="Arial" w:hAnsi="Arial"/>
                <w:sz w:val="14"/>
                <w:szCs w:val="14"/>
                <w:color w:val="auto"/>
              </w:rPr>
              <w:t>4.1</w:t>
            </w:r>
          </w:p>
        </w:tc>
        <w:tc>
          <w:tcPr>
            <w:tcW w:w="10280" w:type="dxa"/>
            <w:vAlign w:val="bottom"/>
          </w:tcPr>
          <w:p>
            <w:pPr>
              <w:ind w:left="300"/>
              <w:spacing w:after="0"/>
              <w:rPr>
                <w:sz w:val="20"/>
                <w:szCs w:val="20"/>
                <w:color w:val="auto"/>
              </w:rPr>
            </w:pPr>
            <w:r>
              <w:rPr>
                <w:rFonts w:ascii="Arial" w:cs="Arial" w:eastAsia="Arial" w:hAnsi="Arial"/>
                <w:sz w:val="14"/>
                <w:szCs w:val="14"/>
                <w:color w:val="auto"/>
              </w:rPr>
              <w:t>8-K filed on March 30, 2017) (File No. 001-37983)</w:t>
            </w:r>
          </w:p>
        </w:tc>
      </w:tr>
      <w:tr>
        <w:trPr>
          <w:trHeight w:val="163"/>
        </w:trPr>
        <w:tc>
          <w:tcPr>
            <w:tcW w:w="1120" w:type="dxa"/>
            <w:vAlign w:val="bottom"/>
            <w:shd w:val="clear" w:color="auto" w:fill="CCEEFF"/>
          </w:tcPr>
          <w:p>
            <w:pPr>
              <w:spacing w:after="0"/>
              <w:rPr>
                <w:sz w:val="14"/>
                <w:szCs w:val="14"/>
                <w:color w:val="auto"/>
              </w:rPr>
            </w:pPr>
          </w:p>
        </w:tc>
        <w:tc>
          <w:tcPr>
            <w:tcW w:w="1028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5"/>
              </w:rPr>
              <w:t>First Supplemental Indenture, dated March 29, 2017, between TechnipFMC plc and U.S. Bank National Association, as trustee (including the form of 2.00% Senior Notes</w:t>
            </w:r>
          </w:p>
        </w:tc>
      </w:tr>
      <w:tr>
        <w:trPr>
          <w:trHeight w:val="194"/>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4.2</w:t>
            </w:r>
          </w:p>
        </w:tc>
        <w:tc>
          <w:tcPr>
            <w:tcW w:w="10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due 2017) (incorporated by reference from Exhibit 4.2 to the Current Report on Form 8-K filed on March 30, 2017) (File No. 001-37983)</w:t>
            </w:r>
          </w:p>
        </w:tc>
      </w:tr>
      <w:tr>
        <w:trPr>
          <w:trHeight w:val="157"/>
        </w:trPr>
        <w:tc>
          <w:tcPr>
            <w:tcW w:w="1120" w:type="dxa"/>
            <w:vAlign w:val="bottom"/>
          </w:tcPr>
          <w:p>
            <w:pPr>
              <w:spacing w:after="0"/>
              <w:rPr>
                <w:sz w:val="13"/>
                <w:szCs w:val="13"/>
                <w:color w:val="auto"/>
              </w:rPr>
            </w:pPr>
          </w:p>
        </w:tc>
        <w:tc>
          <w:tcPr>
            <w:tcW w:w="10280" w:type="dxa"/>
            <w:vAlign w:val="bottom"/>
          </w:tcPr>
          <w:p>
            <w:pPr>
              <w:ind w:left="300"/>
              <w:spacing w:after="0" w:line="157" w:lineRule="exact"/>
              <w:rPr>
                <w:sz w:val="20"/>
                <w:szCs w:val="20"/>
                <w:color w:val="auto"/>
              </w:rPr>
            </w:pPr>
            <w:r>
              <w:rPr>
                <w:rFonts w:ascii="Arial" w:cs="Arial" w:eastAsia="Arial" w:hAnsi="Arial"/>
                <w:sz w:val="14"/>
                <w:szCs w:val="14"/>
                <w:color w:val="auto"/>
                <w:w w:val="96"/>
              </w:rPr>
              <w:t>Second Supplemental Indenture, dated March 29, 2017, between TechnipFMC plc and U.S. Bank National Association, as trustee (including the form of 3.45% Senior</w:t>
            </w:r>
          </w:p>
        </w:tc>
      </w:tr>
      <w:tr>
        <w:trPr>
          <w:trHeight w:val="188"/>
        </w:trPr>
        <w:tc>
          <w:tcPr>
            <w:tcW w:w="1120" w:type="dxa"/>
            <w:vAlign w:val="bottom"/>
          </w:tcPr>
          <w:p>
            <w:pPr>
              <w:ind w:left="40"/>
              <w:spacing w:after="0"/>
              <w:rPr>
                <w:sz w:val="20"/>
                <w:szCs w:val="20"/>
                <w:color w:val="auto"/>
              </w:rPr>
            </w:pPr>
            <w:r>
              <w:rPr>
                <w:rFonts w:ascii="Arial" w:cs="Arial" w:eastAsia="Arial" w:hAnsi="Arial"/>
                <w:sz w:val="14"/>
                <w:szCs w:val="14"/>
                <w:color w:val="auto"/>
              </w:rPr>
              <w:t>4.3</w:t>
            </w:r>
          </w:p>
        </w:tc>
        <w:tc>
          <w:tcPr>
            <w:tcW w:w="10280" w:type="dxa"/>
            <w:vAlign w:val="bottom"/>
          </w:tcPr>
          <w:p>
            <w:pPr>
              <w:ind w:left="300"/>
              <w:spacing w:after="0"/>
              <w:rPr>
                <w:sz w:val="20"/>
                <w:szCs w:val="20"/>
                <w:color w:val="auto"/>
              </w:rPr>
            </w:pPr>
            <w:r>
              <w:rPr>
                <w:rFonts w:ascii="Arial" w:cs="Arial" w:eastAsia="Arial" w:hAnsi="Arial"/>
                <w:sz w:val="14"/>
                <w:szCs w:val="14"/>
                <w:color w:val="auto"/>
              </w:rPr>
              <w:t>Notes due 2022) (incorporated by reference from Exhibit 4.3 to the Current Report on Form 8-K filed on March 30, 2017) (File No. 001-37983)</w:t>
            </w:r>
          </w:p>
        </w:tc>
      </w:tr>
      <w:tr>
        <w:trPr>
          <w:trHeight w:val="163"/>
        </w:trPr>
        <w:tc>
          <w:tcPr>
            <w:tcW w:w="1120" w:type="dxa"/>
            <w:vAlign w:val="bottom"/>
            <w:shd w:val="clear" w:color="auto" w:fill="CCEEFF"/>
          </w:tcPr>
          <w:p>
            <w:pPr>
              <w:spacing w:after="0"/>
              <w:rPr>
                <w:sz w:val="14"/>
                <w:szCs w:val="14"/>
                <w:color w:val="auto"/>
              </w:rPr>
            </w:pPr>
          </w:p>
        </w:tc>
        <w:tc>
          <w:tcPr>
            <w:tcW w:w="1028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8"/>
              </w:rPr>
              <w:t>Registration Rights Agreement, dated March 29, 2017, between TechnipFMC plc, and each of Merrill Lynch, Pierce, Fenner &amp; Smith Incorporated and Wells Fargo</w:t>
            </w:r>
          </w:p>
        </w:tc>
      </w:tr>
      <w:tr>
        <w:trPr>
          <w:trHeight w:val="194"/>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4.4</w:t>
            </w:r>
          </w:p>
        </w:tc>
        <w:tc>
          <w:tcPr>
            <w:tcW w:w="1028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9"/>
              </w:rPr>
              <w:t>Securities, LLC, as dealer managers (incorporated by reference from Exhibit 4.4 to the Current Report on Form 8-K filed on March 30, 2017) (File No. 001-37983)</w:t>
            </w:r>
          </w:p>
        </w:tc>
      </w:tr>
      <w:tr>
        <w:trPr>
          <w:trHeight w:val="197"/>
        </w:trPr>
        <w:tc>
          <w:tcPr>
            <w:tcW w:w="1120" w:type="dxa"/>
            <w:vAlign w:val="bottom"/>
          </w:tcPr>
          <w:p>
            <w:pPr>
              <w:ind w:left="40"/>
              <w:spacing w:after="0"/>
              <w:rPr>
                <w:sz w:val="20"/>
                <w:szCs w:val="20"/>
                <w:color w:val="auto"/>
              </w:rPr>
            </w:pPr>
            <w:r>
              <w:rPr>
                <w:rFonts w:ascii="Arial" w:cs="Arial" w:eastAsia="Arial" w:hAnsi="Arial"/>
                <w:sz w:val="14"/>
                <w:szCs w:val="14"/>
                <w:color w:val="auto"/>
              </w:rPr>
              <w:t>10.1</w:t>
            </w:r>
          </w:p>
        </w:tc>
        <w:tc>
          <w:tcPr>
            <w:tcW w:w="10280" w:type="dxa"/>
            <w:vAlign w:val="bottom"/>
          </w:tcPr>
          <w:p>
            <w:pPr>
              <w:ind w:left="300"/>
              <w:spacing w:after="0"/>
              <w:rPr>
                <w:sz w:val="20"/>
                <w:szCs w:val="20"/>
                <w:color w:val="auto"/>
              </w:rPr>
            </w:pPr>
            <w:r>
              <w:rPr>
                <w:rFonts w:ascii="Arial" w:cs="Arial" w:eastAsia="Arial" w:hAnsi="Arial"/>
                <w:sz w:val="14"/>
                <w:szCs w:val="14"/>
                <w:color w:val="auto"/>
              </w:rPr>
              <w:t>Form of Restricted Stock Unit Grant Agreement pursuant to the TechnipFMC plc Incentive Award (Employee)</w:t>
            </w:r>
          </w:p>
        </w:tc>
      </w:tr>
      <w:tr>
        <w:trPr>
          <w:trHeight w:val="209"/>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10.2</w:t>
            </w:r>
          </w:p>
        </w:tc>
        <w:tc>
          <w:tcPr>
            <w:tcW w:w="10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Form of Restricted Stock Unit Grant Agreement pursuant to the TechnipFMC plc Incentive Award (Non-Employee Director)</w:t>
            </w:r>
          </w:p>
        </w:tc>
      </w:tr>
      <w:tr>
        <w:trPr>
          <w:trHeight w:val="197"/>
        </w:trPr>
        <w:tc>
          <w:tcPr>
            <w:tcW w:w="1120" w:type="dxa"/>
            <w:vAlign w:val="bottom"/>
          </w:tcPr>
          <w:p>
            <w:pPr>
              <w:ind w:left="40"/>
              <w:spacing w:after="0"/>
              <w:rPr>
                <w:sz w:val="20"/>
                <w:szCs w:val="20"/>
                <w:color w:val="auto"/>
              </w:rPr>
            </w:pPr>
            <w:r>
              <w:rPr>
                <w:rFonts w:ascii="Arial" w:cs="Arial" w:eastAsia="Arial" w:hAnsi="Arial"/>
                <w:sz w:val="14"/>
                <w:szCs w:val="14"/>
                <w:color w:val="auto"/>
              </w:rPr>
              <w:t>10.3</w:t>
            </w:r>
          </w:p>
        </w:tc>
        <w:tc>
          <w:tcPr>
            <w:tcW w:w="10280" w:type="dxa"/>
            <w:vAlign w:val="bottom"/>
          </w:tcPr>
          <w:p>
            <w:pPr>
              <w:ind w:left="300"/>
              <w:spacing w:after="0"/>
              <w:rPr>
                <w:sz w:val="20"/>
                <w:szCs w:val="20"/>
                <w:color w:val="auto"/>
              </w:rPr>
            </w:pPr>
            <w:r>
              <w:rPr>
                <w:rFonts w:ascii="Arial" w:cs="Arial" w:eastAsia="Arial" w:hAnsi="Arial"/>
                <w:sz w:val="14"/>
                <w:szCs w:val="14"/>
                <w:color w:val="auto"/>
              </w:rPr>
              <w:t>Form of Performance Stock Unit Grant Agreement pursuant to the TechnipFMC plc Incentive Award (Employee)</w:t>
            </w:r>
          </w:p>
        </w:tc>
      </w:tr>
      <w:tr>
        <w:trPr>
          <w:trHeight w:val="209"/>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10.4</w:t>
            </w:r>
          </w:p>
        </w:tc>
        <w:tc>
          <w:tcPr>
            <w:tcW w:w="10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Form of NonQualified Stock Option Grant Agreement pursuant to the TechnipFMC plc Incentive Award (Employee)</w:t>
            </w:r>
          </w:p>
        </w:tc>
      </w:tr>
      <w:tr>
        <w:trPr>
          <w:trHeight w:val="197"/>
        </w:trPr>
        <w:tc>
          <w:tcPr>
            <w:tcW w:w="1120" w:type="dxa"/>
            <w:vAlign w:val="bottom"/>
          </w:tcPr>
          <w:p>
            <w:pPr>
              <w:ind w:left="40"/>
              <w:spacing w:after="0"/>
              <w:rPr>
                <w:sz w:val="20"/>
                <w:szCs w:val="20"/>
                <w:color w:val="auto"/>
              </w:rPr>
            </w:pPr>
            <w:r>
              <w:rPr>
                <w:rFonts w:ascii="Arial" w:cs="Arial" w:eastAsia="Arial" w:hAnsi="Arial"/>
                <w:sz w:val="14"/>
                <w:szCs w:val="14"/>
                <w:color w:val="auto"/>
              </w:rPr>
              <w:t>10.5</w:t>
            </w:r>
          </w:p>
        </w:tc>
        <w:tc>
          <w:tcPr>
            <w:tcW w:w="10280" w:type="dxa"/>
            <w:vAlign w:val="bottom"/>
          </w:tcPr>
          <w:p>
            <w:pPr>
              <w:ind w:left="300"/>
              <w:spacing w:after="0"/>
              <w:rPr>
                <w:sz w:val="20"/>
                <w:szCs w:val="20"/>
                <w:color w:val="auto"/>
              </w:rPr>
            </w:pPr>
            <w:r>
              <w:rPr>
                <w:rFonts w:ascii="Arial" w:cs="Arial" w:eastAsia="Arial" w:hAnsi="Arial"/>
                <w:sz w:val="14"/>
                <w:szCs w:val="14"/>
                <w:color w:val="auto"/>
              </w:rPr>
              <w:t>Form of TechnipFMC plc Executive Severance Agreement</w:t>
            </w:r>
          </w:p>
        </w:tc>
      </w:tr>
      <w:tr>
        <w:trPr>
          <w:trHeight w:val="209"/>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31.1</w:t>
            </w:r>
          </w:p>
        </w:tc>
        <w:tc>
          <w:tcPr>
            <w:tcW w:w="10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Certification of Chief Executive Officer Pursuant to Rule 13a-14(a) and Rule 15d-14(a)</w:t>
            </w:r>
          </w:p>
        </w:tc>
      </w:tr>
      <w:tr>
        <w:trPr>
          <w:trHeight w:val="197"/>
        </w:trPr>
        <w:tc>
          <w:tcPr>
            <w:tcW w:w="1120" w:type="dxa"/>
            <w:vAlign w:val="bottom"/>
          </w:tcPr>
          <w:p>
            <w:pPr>
              <w:ind w:left="40"/>
              <w:spacing w:after="0"/>
              <w:rPr>
                <w:sz w:val="20"/>
                <w:szCs w:val="20"/>
                <w:color w:val="auto"/>
              </w:rPr>
            </w:pPr>
            <w:r>
              <w:rPr>
                <w:rFonts w:ascii="Arial" w:cs="Arial" w:eastAsia="Arial" w:hAnsi="Arial"/>
                <w:sz w:val="14"/>
                <w:szCs w:val="14"/>
                <w:color w:val="auto"/>
              </w:rPr>
              <w:t>31.2</w:t>
            </w:r>
          </w:p>
        </w:tc>
        <w:tc>
          <w:tcPr>
            <w:tcW w:w="10280" w:type="dxa"/>
            <w:vAlign w:val="bottom"/>
          </w:tcPr>
          <w:p>
            <w:pPr>
              <w:ind w:left="300"/>
              <w:spacing w:after="0"/>
              <w:rPr>
                <w:sz w:val="20"/>
                <w:szCs w:val="20"/>
                <w:color w:val="auto"/>
              </w:rPr>
            </w:pPr>
            <w:r>
              <w:rPr>
                <w:rFonts w:ascii="Arial" w:cs="Arial" w:eastAsia="Arial" w:hAnsi="Arial"/>
                <w:sz w:val="14"/>
                <w:szCs w:val="14"/>
                <w:color w:val="auto"/>
              </w:rPr>
              <w:t>Certification of Chief Financial Officer Pursuant to Rule 13a-14(a) and Rule 15d-14(a)</w:t>
            </w:r>
          </w:p>
        </w:tc>
      </w:tr>
      <w:tr>
        <w:trPr>
          <w:trHeight w:val="209"/>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32.1*</w:t>
            </w:r>
          </w:p>
        </w:tc>
        <w:tc>
          <w:tcPr>
            <w:tcW w:w="10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Certification of Chief Executive Officer Under Section 906 of the Sarbanes-Oxley Act of 2002, 18 U.S.C. 1350</w:t>
            </w:r>
          </w:p>
        </w:tc>
      </w:tr>
      <w:tr>
        <w:trPr>
          <w:trHeight w:val="197"/>
        </w:trPr>
        <w:tc>
          <w:tcPr>
            <w:tcW w:w="1120" w:type="dxa"/>
            <w:vAlign w:val="bottom"/>
          </w:tcPr>
          <w:p>
            <w:pPr>
              <w:ind w:left="40"/>
              <w:spacing w:after="0"/>
              <w:rPr>
                <w:sz w:val="20"/>
                <w:szCs w:val="20"/>
                <w:color w:val="auto"/>
              </w:rPr>
            </w:pPr>
            <w:r>
              <w:rPr>
                <w:rFonts w:ascii="Arial" w:cs="Arial" w:eastAsia="Arial" w:hAnsi="Arial"/>
                <w:sz w:val="14"/>
                <w:szCs w:val="14"/>
                <w:color w:val="auto"/>
              </w:rPr>
              <w:t>32.2*</w:t>
            </w:r>
          </w:p>
        </w:tc>
        <w:tc>
          <w:tcPr>
            <w:tcW w:w="10280" w:type="dxa"/>
            <w:vAlign w:val="bottom"/>
          </w:tcPr>
          <w:p>
            <w:pPr>
              <w:ind w:left="300"/>
              <w:spacing w:after="0"/>
              <w:rPr>
                <w:sz w:val="20"/>
                <w:szCs w:val="20"/>
                <w:color w:val="auto"/>
              </w:rPr>
            </w:pPr>
            <w:r>
              <w:rPr>
                <w:rFonts w:ascii="Arial" w:cs="Arial" w:eastAsia="Arial" w:hAnsi="Arial"/>
                <w:sz w:val="14"/>
                <w:szCs w:val="14"/>
                <w:color w:val="auto"/>
              </w:rPr>
              <w:t>Certification of Chief Financial Officer Under Section 906 of the Sarbanes-Oxley Act of 2002, 18 U.S.C. 1350</w:t>
            </w:r>
          </w:p>
        </w:tc>
      </w:tr>
      <w:tr>
        <w:trPr>
          <w:trHeight w:val="209"/>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101.INS</w:t>
            </w:r>
          </w:p>
        </w:tc>
        <w:tc>
          <w:tcPr>
            <w:tcW w:w="10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XBRL Instance Document</w:t>
            </w:r>
          </w:p>
        </w:tc>
      </w:tr>
      <w:tr>
        <w:trPr>
          <w:trHeight w:val="197"/>
        </w:trPr>
        <w:tc>
          <w:tcPr>
            <w:tcW w:w="1120" w:type="dxa"/>
            <w:vAlign w:val="bottom"/>
          </w:tcPr>
          <w:p>
            <w:pPr>
              <w:ind w:left="40"/>
              <w:spacing w:after="0"/>
              <w:rPr>
                <w:sz w:val="20"/>
                <w:szCs w:val="20"/>
                <w:color w:val="auto"/>
              </w:rPr>
            </w:pPr>
            <w:r>
              <w:rPr>
                <w:rFonts w:ascii="Arial" w:cs="Arial" w:eastAsia="Arial" w:hAnsi="Arial"/>
                <w:sz w:val="14"/>
                <w:szCs w:val="14"/>
                <w:color w:val="auto"/>
              </w:rPr>
              <w:t>101.SCH</w:t>
            </w:r>
          </w:p>
        </w:tc>
        <w:tc>
          <w:tcPr>
            <w:tcW w:w="10280" w:type="dxa"/>
            <w:vAlign w:val="bottom"/>
          </w:tcPr>
          <w:p>
            <w:pPr>
              <w:ind w:left="300"/>
              <w:spacing w:after="0"/>
              <w:rPr>
                <w:sz w:val="20"/>
                <w:szCs w:val="20"/>
                <w:color w:val="auto"/>
              </w:rPr>
            </w:pPr>
            <w:r>
              <w:rPr>
                <w:rFonts w:ascii="Arial" w:cs="Arial" w:eastAsia="Arial" w:hAnsi="Arial"/>
                <w:sz w:val="14"/>
                <w:szCs w:val="14"/>
                <w:color w:val="auto"/>
              </w:rPr>
              <w:t>XBRL Schema Document</w:t>
            </w:r>
          </w:p>
        </w:tc>
      </w:tr>
      <w:tr>
        <w:trPr>
          <w:trHeight w:val="209"/>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101.CAL</w:t>
            </w:r>
          </w:p>
        </w:tc>
        <w:tc>
          <w:tcPr>
            <w:tcW w:w="10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XBRL Calculation Linkbase Document</w:t>
            </w:r>
          </w:p>
        </w:tc>
      </w:tr>
      <w:tr>
        <w:trPr>
          <w:trHeight w:val="197"/>
        </w:trPr>
        <w:tc>
          <w:tcPr>
            <w:tcW w:w="1120" w:type="dxa"/>
            <w:vAlign w:val="bottom"/>
          </w:tcPr>
          <w:p>
            <w:pPr>
              <w:ind w:left="40"/>
              <w:spacing w:after="0"/>
              <w:rPr>
                <w:sz w:val="20"/>
                <w:szCs w:val="20"/>
                <w:color w:val="auto"/>
              </w:rPr>
            </w:pPr>
            <w:r>
              <w:rPr>
                <w:rFonts w:ascii="Arial" w:cs="Arial" w:eastAsia="Arial" w:hAnsi="Arial"/>
                <w:sz w:val="14"/>
                <w:szCs w:val="14"/>
                <w:color w:val="auto"/>
              </w:rPr>
              <w:t>101.DEF</w:t>
            </w:r>
          </w:p>
        </w:tc>
        <w:tc>
          <w:tcPr>
            <w:tcW w:w="10280" w:type="dxa"/>
            <w:vAlign w:val="bottom"/>
          </w:tcPr>
          <w:p>
            <w:pPr>
              <w:ind w:left="300"/>
              <w:spacing w:after="0"/>
              <w:rPr>
                <w:sz w:val="20"/>
                <w:szCs w:val="20"/>
                <w:color w:val="auto"/>
              </w:rPr>
            </w:pPr>
            <w:r>
              <w:rPr>
                <w:rFonts w:ascii="Arial" w:cs="Arial" w:eastAsia="Arial" w:hAnsi="Arial"/>
                <w:sz w:val="14"/>
                <w:szCs w:val="14"/>
                <w:color w:val="auto"/>
              </w:rPr>
              <w:t>XBRL Definition Linkbase Document</w:t>
            </w:r>
          </w:p>
        </w:tc>
      </w:tr>
      <w:tr>
        <w:trPr>
          <w:trHeight w:val="209"/>
        </w:trPr>
        <w:tc>
          <w:tcPr>
            <w:tcW w:w="1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101.LAB</w:t>
            </w:r>
          </w:p>
        </w:tc>
        <w:tc>
          <w:tcPr>
            <w:tcW w:w="10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XBRL Label Linkbase Document</w:t>
            </w:r>
          </w:p>
        </w:tc>
      </w:tr>
      <w:tr>
        <w:trPr>
          <w:trHeight w:val="191"/>
        </w:trPr>
        <w:tc>
          <w:tcPr>
            <w:tcW w:w="1120" w:type="dxa"/>
            <w:vAlign w:val="bottom"/>
          </w:tcPr>
          <w:p>
            <w:pPr>
              <w:ind w:left="40"/>
              <w:spacing w:after="0"/>
              <w:rPr>
                <w:sz w:val="20"/>
                <w:szCs w:val="20"/>
                <w:color w:val="auto"/>
              </w:rPr>
            </w:pPr>
            <w:r>
              <w:rPr>
                <w:rFonts w:ascii="Arial" w:cs="Arial" w:eastAsia="Arial" w:hAnsi="Arial"/>
                <w:sz w:val="14"/>
                <w:szCs w:val="14"/>
                <w:color w:val="auto"/>
              </w:rPr>
              <w:t>101.PRE</w:t>
            </w:r>
          </w:p>
        </w:tc>
        <w:tc>
          <w:tcPr>
            <w:tcW w:w="10280" w:type="dxa"/>
            <w:vAlign w:val="bottom"/>
          </w:tcPr>
          <w:p>
            <w:pPr>
              <w:ind w:left="300"/>
              <w:spacing w:after="0"/>
              <w:rPr>
                <w:sz w:val="20"/>
                <w:szCs w:val="20"/>
                <w:color w:val="auto"/>
              </w:rPr>
            </w:pPr>
            <w:r>
              <w:rPr>
                <w:rFonts w:ascii="Arial" w:cs="Arial" w:eastAsia="Arial" w:hAnsi="Arial"/>
                <w:sz w:val="14"/>
                <w:szCs w:val="14"/>
                <w:color w:val="auto"/>
              </w:rPr>
              <w:t>XBRL Presentation Linkbase Document</w:t>
            </w:r>
          </w:p>
        </w:tc>
      </w:tr>
    </w:tbl>
    <w:p>
      <w:pPr>
        <w:spacing w:after="0" w:line="155" w:lineRule="exact"/>
        <w:rPr>
          <w:sz w:val="20"/>
          <w:szCs w:val="20"/>
          <w:color w:val="auto"/>
        </w:rPr>
      </w:pPr>
    </w:p>
    <w:p>
      <w:pPr>
        <w:ind w:left="380" w:hanging="345"/>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Furnished with this Form 10-Q</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1" w:right="259" w:bottom="1440" w:gutter="0" w:footer="0" w:header="0"/>
        </w:sectPr>
      </w:pPr>
    </w:p>
    <w:bookmarkStart w:id="71" w:name="page72"/>
    <w:bookmarkEnd w:id="71"/>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THE</w:t>
      </w:r>
    </w:p>
    <w:p>
      <w:pPr>
        <w:jc w:val="center"/>
        <w:spacing w:after="0"/>
        <w:rPr>
          <w:sz w:val="20"/>
          <w:szCs w:val="20"/>
          <w:color w:val="auto"/>
        </w:rPr>
      </w:pPr>
      <w:r>
        <w:rPr>
          <w:rFonts w:ascii="Arial" w:cs="Arial" w:eastAsia="Arial" w:hAnsi="Arial"/>
          <w:sz w:val="20"/>
          <w:szCs w:val="20"/>
          <w:b w:val="1"/>
          <w:bCs w:val="1"/>
          <w:color w:val="auto"/>
        </w:rPr>
        <w:t>TECHNIPFMC PLC INCENTIVE AWARD PLAN</w:t>
      </w:r>
    </w:p>
    <w:p>
      <w:pPr>
        <w:spacing w:after="0" w:line="21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This Restricted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the [Grant Date] (the “</w:t>
      </w:r>
      <w:r>
        <w:rPr>
          <w:rFonts w:ascii="Arial" w:cs="Arial" w:eastAsia="Arial" w:hAnsi="Arial"/>
          <w:sz w:val="18"/>
          <w:szCs w:val="18"/>
          <w:u w:val="single" w:color="auto"/>
          <w:color w:val="auto"/>
        </w:rPr>
        <w:t>Grant Date</w:t>
      </w:r>
      <w:r>
        <w:rPr>
          <w:rFonts w:ascii="Arial" w:cs="Arial" w:eastAsia="Arial" w:hAnsi="Arial"/>
          <w:sz w:val="18"/>
          <w:szCs w:val="18"/>
          <w:color w:val="auto"/>
        </w:rPr>
        <w:t>”) by TechnipFMC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and [NAME]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1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TechnipFMC plc Incentive Award Plan (the “</w:t>
      </w:r>
      <w:r>
        <w:rPr>
          <w:rFonts w:ascii="Arial" w:cs="Arial" w:eastAsia="Arial" w:hAnsi="Arial"/>
          <w:sz w:val="18"/>
          <w:szCs w:val="18"/>
          <w:u w:val="single" w:color="auto"/>
          <w:color w:val="auto"/>
        </w:rPr>
        <w:t>Plan</w:t>
      </w:r>
      <w:r>
        <w:rPr>
          <w:rFonts w:ascii="Arial" w:cs="Arial" w:eastAsia="Arial" w:hAnsi="Arial"/>
          <w:sz w:val="18"/>
          <w:szCs w:val="18"/>
          <w:color w:val="auto"/>
        </w:rPr>
        <w:t>”), as it may be amended or restated from time to time, is incorporated by reference and made a part of this Agreement and will control the rights and obligations of the Company and the Participant under this Agreement. Except as otherwise expressly provided herein, all capitalized terms have the meanings provided in the Plan. To the extent there is a conflict between the Plan and this Agreement, the provisions of the Plan will prevail.</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The provisions of this Agreement are replaced, superseded and/or supplemented, as applicable, by the provisions of the Country Schedules applicable to the Participant as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Compensation Committee of the Company’s Board of Directors (the “</w:t>
      </w:r>
      <w:r>
        <w:rPr>
          <w:rFonts w:ascii="Arial" w:cs="Arial" w:eastAsia="Arial" w:hAnsi="Arial"/>
          <w:sz w:val="19"/>
          <w:szCs w:val="19"/>
          <w:u w:val="single" w:color="auto"/>
          <w:color w:val="auto"/>
        </w:rPr>
        <w:t>Committee</w:t>
      </w:r>
      <w:r>
        <w:rPr>
          <w:rFonts w:ascii="Arial" w:cs="Arial" w:eastAsia="Arial" w:hAnsi="Arial"/>
          <w:sz w:val="19"/>
          <w:szCs w:val="19"/>
          <w:color w:val="auto"/>
        </w:rPr>
        <w:t>”) determined that it would be to the competitive advantage and interest of the Company and its stockholders to grant an award of restricted stock units to the Participant as an inducement to remain in the service of the Company or one of its affiliates (collectively, the “</w:t>
      </w:r>
      <w:r>
        <w:rPr>
          <w:rFonts w:ascii="Arial" w:cs="Arial" w:eastAsia="Arial" w:hAnsi="Arial"/>
          <w:sz w:val="19"/>
          <w:szCs w:val="19"/>
          <w:u w:val="single" w:color="auto"/>
          <w:color w:val="auto"/>
        </w:rPr>
        <w:t>Employer</w:t>
      </w:r>
      <w:r>
        <w:rPr>
          <w:rFonts w:ascii="Arial" w:cs="Arial" w:eastAsia="Arial" w:hAnsi="Arial"/>
          <w:sz w:val="19"/>
          <w:szCs w:val="19"/>
          <w:color w:val="auto"/>
        </w:rPr>
        <w:t>”).</w:t>
      </w:r>
    </w:p>
    <w:p>
      <w:pPr>
        <w:spacing w:after="0" w:line="17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Committee, on behalf of the Company, grants to the Participant an award of [# OF SHARES GRANTED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of the Company’s ordinary shares (the “</w:t>
      </w:r>
      <w:r>
        <w:rPr>
          <w:rFonts w:ascii="Arial" w:cs="Arial" w:eastAsia="Arial" w:hAnsi="Arial"/>
          <w:sz w:val="18"/>
          <w:szCs w:val="18"/>
          <w:u w:val="single" w:color="auto"/>
          <w:color w:val="auto"/>
        </w:rPr>
        <w:t>Shares</w:t>
      </w:r>
      <w:r>
        <w:rPr>
          <w:rFonts w:ascii="Arial" w:cs="Arial" w:eastAsia="Arial" w:hAnsi="Arial"/>
          <w:sz w:val="18"/>
          <w:szCs w:val="18"/>
          <w:color w:val="auto"/>
        </w:rPr>
        <w:t>”). The award is made upon the following terms and conditions:</w:t>
      </w:r>
    </w:p>
    <w:p>
      <w:pPr>
        <w:spacing w:after="0" w:line="144" w:lineRule="exact"/>
        <w:rPr>
          <w:sz w:val="20"/>
          <w:szCs w:val="20"/>
          <w:color w:val="auto"/>
        </w:rPr>
      </w:pPr>
    </w:p>
    <w:p>
      <w:pPr>
        <w:jc w:val="both"/>
        <w:ind w:firstLine="645"/>
        <w:spacing w:after="0" w:line="332" w:lineRule="auto"/>
        <w:tabs>
          <w:tab w:leader="none" w:pos="1431" w:val="left"/>
        </w:tabs>
        <w:numPr>
          <w:ilvl w:val="0"/>
          <w:numId w:val="38"/>
        </w:numPr>
        <w:rPr>
          <w:rFonts w:ascii="Arial" w:cs="Arial" w:eastAsia="Arial" w:hAnsi="Arial"/>
          <w:sz w:val="15"/>
          <w:szCs w:val="15"/>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The RSUs will vest and be immediately transferable on the third anniversary of the Grant Date (the “</w:t>
      </w: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subject to the Participant’s continued employment, appointment or service through the Vesting Date. All RSUs will be forfeited upon Participant’s Termination of Service before the Vesting Date other than as provided in </w:t>
      </w:r>
      <w:r>
        <w:rPr>
          <w:rFonts w:ascii="Arial" w:cs="Arial" w:eastAsia="Arial" w:hAnsi="Arial"/>
          <w:sz w:val="16"/>
          <w:szCs w:val="16"/>
          <w:u w:val="single" w:color="auto"/>
          <w:color w:val="auto"/>
        </w:rPr>
        <w:t>Sections 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w:t>
      </w:r>
      <w:r>
        <w:rPr>
          <w:rFonts w:ascii="Arial" w:cs="Arial" w:eastAsia="Arial" w:hAnsi="Arial"/>
          <w:sz w:val="16"/>
          <w:szCs w:val="16"/>
          <w:color w:val="auto"/>
        </w:rPr>
        <w:t xml:space="preserve"> below. </w:t>
      </w:r>
      <w:r>
        <w:rPr>
          <w:rFonts w:ascii="Arial" w:cs="Arial" w:eastAsia="Arial" w:hAnsi="Arial"/>
          <w:sz w:val="16"/>
          <w:szCs w:val="16"/>
          <w:b w:val="1"/>
          <w:bCs w:val="1"/>
          <w:color w:val="auto"/>
        </w:rPr>
        <w:t>Prior to the Vesting</w:t>
      </w:r>
    </w:p>
    <w:p>
      <w:pPr>
        <w:spacing w:after="0"/>
        <w:rPr>
          <w:rFonts w:ascii="Arial" w:cs="Arial" w:eastAsia="Arial" w:hAnsi="Arial"/>
          <w:sz w:val="15"/>
          <w:szCs w:val="15"/>
          <w:color w:val="auto"/>
        </w:rPr>
      </w:pPr>
      <w:r>
        <w:rPr>
          <w:rFonts w:ascii="Arial" w:cs="Arial" w:eastAsia="Arial" w:hAnsi="Arial"/>
          <w:sz w:val="20"/>
          <w:szCs w:val="20"/>
          <w:b w:val="1"/>
          <w:bCs w:val="1"/>
          <w:color w:val="auto"/>
        </w:rPr>
        <w:t>Date, an Award remains subject to substantial risk of forfeiture.</w:t>
      </w:r>
    </w:p>
    <w:p>
      <w:pPr>
        <w:spacing w:after="0" w:line="262" w:lineRule="exact"/>
        <w:rPr>
          <w:rFonts w:ascii="Arial" w:cs="Arial" w:eastAsia="Arial" w:hAnsi="Arial"/>
          <w:sz w:val="15"/>
          <w:szCs w:val="15"/>
          <w:color w:val="auto"/>
        </w:rPr>
      </w:pPr>
    </w:p>
    <w:p>
      <w:pPr>
        <w:ind w:left="1420" w:hanging="775"/>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20"/>
          <w:szCs w:val="20"/>
          <w:u w:val="single" w:color="auto"/>
          <w:color w:val="auto"/>
        </w:rPr>
        <w:t>Death, Disability or Retirement</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ind w:firstLine="1293"/>
        <w:spacing w:after="0" w:line="281" w:lineRule="auto"/>
        <w:tabs>
          <w:tab w:leader="none" w:pos="2144" w:val="left"/>
        </w:tabs>
        <w:numPr>
          <w:ilvl w:val="1"/>
          <w:numId w:val="38"/>
        </w:numPr>
        <w:rPr>
          <w:rFonts w:ascii="Arial" w:cs="Arial" w:eastAsia="Arial" w:hAnsi="Arial"/>
          <w:sz w:val="17"/>
          <w:szCs w:val="17"/>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hereof, in the event of Participant’s death or Disability (as defined below) prior to the Vesting Date, the RSUs will vest and be immediately transferable as of the date of such death or Disability.</w:t>
      </w:r>
    </w:p>
    <w:p>
      <w:pPr>
        <w:spacing w:after="0" w:line="1" w:lineRule="exact"/>
        <w:rPr>
          <w:rFonts w:ascii="Arial" w:cs="Arial" w:eastAsia="Arial" w:hAnsi="Arial"/>
          <w:sz w:val="17"/>
          <w:szCs w:val="17"/>
          <w:color w:val="auto"/>
        </w:rPr>
      </w:pPr>
    </w:p>
    <w:p>
      <w:pPr>
        <w:ind w:firstLine="1293"/>
        <w:spacing w:after="0" w:line="289" w:lineRule="auto"/>
        <w:tabs>
          <w:tab w:leader="none" w:pos="2175" w:val="left"/>
        </w:tabs>
        <w:numPr>
          <w:ilvl w:val="1"/>
          <w:numId w:val="38"/>
        </w:numPr>
        <w:rPr>
          <w:rFonts w:ascii="Arial" w:cs="Arial" w:eastAsia="Arial" w:hAnsi="Arial"/>
          <w:sz w:val="20"/>
          <w:szCs w:val="20"/>
          <w:color w:val="auto"/>
        </w:rPr>
      </w:pPr>
      <w:r>
        <w:rPr>
          <w:rFonts w:ascii="Arial" w:cs="Arial" w:eastAsia="Arial" w:hAnsi="Arial"/>
          <w:sz w:val="20"/>
          <w:szCs w:val="20"/>
          <w:color w:val="auto"/>
        </w:rPr>
        <w:t xml:space="preserve">Notwithstanding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 in the event of Participant’s Retirement (as defined below) prior to the Vesting Date, the Participant will retain the right to receive vested RSUs on the Vesting Date.</w:t>
      </w:r>
    </w:p>
    <w:p>
      <w:pPr>
        <w:spacing w:after="0" w:line="175" w:lineRule="exact"/>
        <w:rPr>
          <w:rFonts w:ascii="Arial" w:cs="Arial" w:eastAsia="Arial" w:hAnsi="Arial"/>
          <w:sz w:val="20"/>
          <w:szCs w:val="20"/>
          <w:color w:val="auto"/>
        </w:rPr>
      </w:pPr>
    </w:p>
    <w:p>
      <w:pPr>
        <w:ind w:firstLine="645"/>
        <w:spacing w:after="0" w:line="289" w:lineRule="auto"/>
        <w:tabs>
          <w:tab w:leader="none" w:pos="1431" w:val="left"/>
        </w:tabs>
        <w:numPr>
          <w:ilvl w:val="0"/>
          <w:numId w:val="38"/>
        </w:numPr>
        <w:rPr>
          <w:rFonts w:ascii="Arial" w:cs="Arial" w:eastAsia="Arial" w:hAnsi="Arial"/>
          <w:sz w:val="18"/>
          <w:szCs w:val="18"/>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the foregoing, upon a Change in Control where the surviving corporation or any parent corporation thereof:</w:t>
      </w:r>
    </w:p>
    <w:p>
      <w:pPr>
        <w:spacing w:after="0" w:line="188" w:lineRule="exact"/>
        <w:rPr>
          <w:rFonts w:ascii="Arial" w:cs="Arial" w:eastAsia="Arial" w:hAnsi="Arial"/>
          <w:sz w:val="18"/>
          <w:szCs w:val="18"/>
          <w:color w:val="auto"/>
        </w:rPr>
      </w:pPr>
    </w:p>
    <w:p>
      <w:pPr>
        <w:jc w:val="both"/>
        <w:ind w:firstLine="1293"/>
        <w:spacing w:after="0" w:line="273" w:lineRule="auto"/>
        <w:tabs>
          <w:tab w:leader="none" w:pos="2144" w:val="left"/>
        </w:tabs>
        <w:numPr>
          <w:ilvl w:val="1"/>
          <w:numId w:val="38"/>
        </w:numPr>
        <w:rPr>
          <w:rFonts w:ascii="Arial" w:cs="Arial" w:eastAsia="Arial" w:hAnsi="Arial"/>
          <w:sz w:val="18"/>
          <w:szCs w:val="18"/>
          <w:color w:val="auto"/>
        </w:rPr>
      </w:pPr>
      <w:r>
        <w:rPr>
          <w:rFonts w:ascii="Arial" w:cs="Arial" w:eastAsia="Arial" w:hAnsi="Arial"/>
          <w:sz w:val="20"/>
          <w:szCs w:val="20"/>
          <w:color w:val="auto"/>
        </w:rPr>
        <w:t xml:space="preserve">assumes or continues the Award, the RSUs shall continue to be subject to vesting and forfeiture as provided in </w:t>
      </w:r>
      <w:r>
        <w:rPr>
          <w:rFonts w:ascii="Arial" w:cs="Arial" w:eastAsia="Arial" w:hAnsi="Arial"/>
          <w:sz w:val="20"/>
          <w:szCs w:val="20"/>
          <w:u w:val="single" w:color="auto"/>
          <w:color w:val="auto"/>
        </w:rPr>
        <w:t>Sections 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w:t>
      </w:r>
      <w:r>
        <w:rPr>
          <w:rFonts w:ascii="Arial" w:cs="Arial" w:eastAsia="Arial" w:hAnsi="Arial"/>
          <w:sz w:val="20"/>
          <w:szCs w:val="20"/>
          <w:color w:val="auto"/>
        </w:rPr>
        <w:t>, payable on the Vesting Date; provided, however, in the event of the Participant’s Termination of Service prior to the Vesting Date without Cause or for Good Reason (as defined below) and within the twenty-four month period following the consummation of a Change in Control (the “</w:t>
      </w:r>
      <w:r>
        <w:rPr>
          <w:rFonts w:ascii="Arial" w:cs="Arial" w:eastAsia="Arial" w:hAnsi="Arial"/>
          <w:sz w:val="20"/>
          <w:szCs w:val="20"/>
          <w:u w:val="single" w:color="auto"/>
          <w:color w:val="auto"/>
        </w:rPr>
        <w:t>Protection Period</w:t>
      </w:r>
      <w:r>
        <w:rPr>
          <w:rFonts w:ascii="Arial" w:cs="Arial" w:eastAsia="Arial" w:hAnsi="Arial"/>
          <w:sz w:val="20"/>
          <w:szCs w:val="20"/>
          <w:color w:val="auto"/>
        </w:rPr>
        <w:t>”), such RSUs shall be payable upon the date of Participant’s Termination of Service; or</w:t>
      </w:r>
    </w:p>
    <w:p>
      <w:pPr>
        <w:sectPr>
          <w:pgSz w:w="11900" w:h="16838" w:orient="portrait"/>
          <w:cols w:equalWidth="0" w:num="1">
            <w:col w:w="10760"/>
          </w:cols>
          <w:pgMar w:left="900" w:top="576" w:right="239" w:bottom="1440" w:gutter="0" w:footer="0" w:header="0"/>
        </w:sectPr>
      </w:pPr>
    </w:p>
    <w:bookmarkStart w:id="72" w:name="page73"/>
    <w:bookmarkEnd w:id="72"/>
    <w:p>
      <w:pPr>
        <w:ind w:left="2160" w:hanging="867"/>
        <w:spacing w:after="0"/>
        <w:tabs>
          <w:tab w:leader="none" w:pos="2160" w:val="left"/>
        </w:tabs>
        <w:numPr>
          <w:ilvl w:val="1"/>
          <w:numId w:val="39"/>
        </w:numPr>
        <w:rPr>
          <w:rFonts w:ascii="Arial" w:cs="Arial" w:eastAsia="Arial" w:hAnsi="Arial"/>
          <w:sz w:val="15"/>
          <w:szCs w:val="15"/>
          <w:color w:val="auto"/>
        </w:rPr>
      </w:pPr>
      <w:r>
        <w:rPr>
          <w:rFonts w:ascii="Arial" w:cs="Arial" w:eastAsia="Arial" w:hAnsi="Arial"/>
          <w:sz w:val="16"/>
          <w:szCs w:val="16"/>
          <w:color w:val="auto"/>
        </w:rPr>
        <w:t>does not assume or continue the Award, such RSUs shall vest in full and be payable on the consummation of</w:t>
      </w:r>
    </w:p>
    <w:p>
      <w:pPr>
        <w:spacing w:after="0" w:line="7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20"/>
          <w:szCs w:val="20"/>
          <w:color w:val="auto"/>
        </w:rPr>
        <w:t>the Change in Control</w:t>
      </w:r>
      <w:r>
        <w:rPr>
          <w:rFonts w:ascii="Arial" w:cs="Arial" w:eastAsia="Arial" w:hAnsi="Arial"/>
          <w:sz w:val="20"/>
          <w:szCs w:val="20"/>
          <w:color w:val="1F497D"/>
        </w:rPr>
        <w:t>.</w:t>
      </w:r>
    </w:p>
    <w:p>
      <w:pPr>
        <w:spacing w:after="0" w:line="256" w:lineRule="exact"/>
        <w:rPr>
          <w:rFonts w:ascii="Arial" w:cs="Arial" w:eastAsia="Arial" w:hAnsi="Arial"/>
          <w:sz w:val="15"/>
          <w:szCs w:val="15"/>
          <w:color w:val="auto"/>
        </w:rPr>
      </w:pPr>
    </w:p>
    <w:p>
      <w:pPr>
        <w:ind w:left="1420" w:hanging="775"/>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20"/>
          <w:szCs w:val="20"/>
          <w:u w:val="single" w:color="auto"/>
          <w:color w:val="auto"/>
        </w:rPr>
        <w:t>Rights and Obligations as Stockholder</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firstLine="1293"/>
        <w:spacing w:after="0" w:line="274" w:lineRule="auto"/>
        <w:tabs>
          <w:tab w:leader="none" w:pos="2144" w:val="left"/>
        </w:tabs>
        <w:numPr>
          <w:ilvl w:val="1"/>
          <w:numId w:val="40"/>
        </w:numPr>
        <w:rPr>
          <w:rFonts w:ascii="Arial" w:cs="Arial" w:eastAsia="Arial" w:hAnsi="Arial"/>
          <w:sz w:val="18"/>
          <w:szCs w:val="18"/>
          <w:color w:val="auto"/>
        </w:rPr>
      </w:pPr>
      <w:r>
        <w:rPr>
          <w:rFonts w:ascii="Arial" w:cs="Arial" w:eastAsia="Arial" w:hAnsi="Arial"/>
          <w:sz w:val="20"/>
          <w:szCs w:val="20"/>
          <w:color w:val="auto"/>
        </w:rPr>
        <w:t>Prior to the Vesting Date, the Participant may not vote, sell, exchange, transfer, pledge, hypothecate or otherwise dispose of any of the RSUs. The Participant will receive Dividend Equivalents on the RSUs, provided, however, that no Dividend Equivalents shall be payable prior to the Vesting Date on any unvested RSUs. All Dividend Equivalents paid on unvested RSUs shall be held by the Company until such RSUs become vested RSUs.</w:t>
      </w:r>
    </w:p>
    <w:p>
      <w:pPr>
        <w:spacing w:after="0" w:line="205" w:lineRule="exact"/>
        <w:rPr>
          <w:rFonts w:ascii="Arial" w:cs="Arial" w:eastAsia="Arial" w:hAnsi="Arial"/>
          <w:sz w:val="18"/>
          <w:szCs w:val="18"/>
          <w:color w:val="auto"/>
        </w:rPr>
      </w:pPr>
    </w:p>
    <w:p>
      <w:pPr>
        <w:jc w:val="both"/>
        <w:ind w:firstLine="1293"/>
        <w:spacing w:after="0" w:line="278" w:lineRule="auto"/>
        <w:tabs>
          <w:tab w:leader="none" w:pos="2155" w:val="left"/>
        </w:tabs>
        <w:numPr>
          <w:ilvl w:val="1"/>
          <w:numId w:val="40"/>
        </w:numPr>
        <w:rPr>
          <w:rFonts w:ascii="Arial" w:cs="Arial" w:eastAsia="Arial" w:hAnsi="Arial"/>
          <w:sz w:val="18"/>
          <w:szCs w:val="18"/>
          <w:color w:val="auto"/>
        </w:rPr>
      </w:pPr>
      <w:r>
        <w:rPr>
          <w:rFonts w:ascii="Arial" w:cs="Arial" w:eastAsia="Arial" w:hAnsi="Arial"/>
          <w:sz w:val="20"/>
          <w:szCs w:val="20"/>
          <w:color w:val="auto"/>
        </w:rPr>
        <w:t xml:space="preserve">After the Vesting Date, the Participant agrees to comply with any and all of the Company’s policies and procedures related to trading in the Company’s Shares, including, but not limited to, the Company’s </w:t>
      </w:r>
      <w:r>
        <w:rPr>
          <w:rFonts w:ascii="Arial" w:cs="Arial" w:eastAsia="Arial" w:hAnsi="Arial"/>
          <w:sz w:val="20"/>
          <w:szCs w:val="20"/>
          <w:i w:val="1"/>
          <w:iCs w:val="1"/>
          <w:color w:val="auto"/>
        </w:rPr>
        <w:t>Code of Business Conduct</w:t>
      </w:r>
      <w:r>
        <w:rPr>
          <w:rFonts w:ascii="Arial" w:cs="Arial" w:eastAsia="Arial" w:hAnsi="Arial"/>
          <w:sz w:val="20"/>
          <w:szCs w:val="20"/>
          <w:color w:val="auto"/>
        </w:rPr>
        <w:t xml:space="preserve"> and the </w:t>
      </w:r>
      <w:r>
        <w:rPr>
          <w:rFonts w:ascii="Arial" w:cs="Arial" w:eastAsia="Arial" w:hAnsi="Arial"/>
          <w:sz w:val="20"/>
          <w:szCs w:val="20"/>
          <w:i w:val="1"/>
          <w:iCs w:val="1"/>
          <w:color w:val="auto"/>
        </w:rPr>
        <w:t>Insider Trading Policy</w:t>
      </w:r>
      <w:r>
        <w:rPr>
          <w:rFonts w:ascii="Arial" w:cs="Arial" w:eastAsia="Arial" w:hAnsi="Arial"/>
          <w:sz w:val="20"/>
          <w:szCs w:val="20"/>
          <w:color w:val="auto"/>
        </w:rPr>
        <w:t>.</w:t>
      </w:r>
    </w:p>
    <w:p>
      <w:pPr>
        <w:spacing w:after="0" w:line="200" w:lineRule="exact"/>
        <w:rPr>
          <w:rFonts w:ascii="Arial" w:cs="Arial" w:eastAsia="Arial" w:hAnsi="Arial"/>
          <w:sz w:val="18"/>
          <w:szCs w:val="18"/>
          <w:color w:val="auto"/>
        </w:rPr>
      </w:pPr>
    </w:p>
    <w:p>
      <w:pPr>
        <w:jc w:val="both"/>
        <w:ind w:firstLine="645"/>
        <w:spacing w:after="0" w:line="278" w:lineRule="auto"/>
        <w:tabs>
          <w:tab w:leader="none" w:pos="1431" w:val="left"/>
        </w:tabs>
        <w:numPr>
          <w:ilvl w:val="0"/>
          <w:numId w:val="40"/>
        </w:numPr>
        <w:rPr>
          <w:rFonts w:ascii="Arial" w:cs="Arial" w:eastAsia="Arial" w:hAnsi="Arial"/>
          <w:sz w:val="18"/>
          <w:szCs w:val="18"/>
          <w:color w:val="auto"/>
        </w:rPr>
      </w:pPr>
      <w:r>
        <w:rPr>
          <w:rFonts w:ascii="Arial" w:cs="Arial" w:eastAsia="Arial" w:hAnsi="Arial"/>
          <w:sz w:val="20"/>
          <w:szCs w:val="20"/>
          <w:u w:val="single" w:color="auto"/>
          <w:color w:val="auto"/>
        </w:rPr>
        <w:t>No Limitation on Rights of the Company</w:t>
      </w:r>
      <w:r>
        <w:rPr>
          <w:rFonts w:ascii="Arial" w:cs="Arial" w:eastAsia="Arial" w:hAnsi="Arial"/>
          <w:sz w:val="20"/>
          <w:szCs w:val="20"/>
          <w:color w:val="auto"/>
        </w:rPr>
        <w:t>. The granting of RSUs will not in any way affect the right or power of the Company to make adjustments, reclassifications or changes in its capital or business structure or to merge, consolidate, reincorporate, dissolve, liquidate or sell or transfer all or any part of its business or assets.</w:t>
      </w:r>
    </w:p>
    <w:p>
      <w:pPr>
        <w:spacing w:after="0" w:line="200" w:lineRule="exact"/>
        <w:rPr>
          <w:rFonts w:ascii="Arial" w:cs="Arial" w:eastAsia="Arial" w:hAnsi="Arial"/>
          <w:sz w:val="18"/>
          <w:szCs w:val="18"/>
          <w:color w:val="auto"/>
        </w:rPr>
      </w:pPr>
    </w:p>
    <w:p>
      <w:pPr>
        <w:jc w:val="both"/>
        <w:ind w:firstLine="645"/>
        <w:spacing w:after="0" w:line="322" w:lineRule="auto"/>
        <w:tabs>
          <w:tab w:leader="none" w:pos="1431" w:val="left"/>
        </w:tabs>
        <w:numPr>
          <w:ilvl w:val="0"/>
          <w:numId w:val="40"/>
        </w:numPr>
        <w:rPr>
          <w:rFonts w:ascii="Arial" w:cs="Arial" w:eastAsia="Arial" w:hAnsi="Arial"/>
          <w:sz w:val="16"/>
          <w:szCs w:val="16"/>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Nothing in this Agreement or in the Plan will be construed as constituting a commitment, guarantee, agreement or understanding of any kind or nature that the Employer will continue to employ, work with or appoint the Participant, or as affecting in any way the right of the Employer to terminate the employment, service or appointment of the Participant at any time.</w:t>
      </w:r>
    </w:p>
    <w:p>
      <w:pPr>
        <w:spacing w:after="0" w:line="166" w:lineRule="exact"/>
        <w:rPr>
          <w:rFonts w:ascii="Arial" w:cs="Arial" w:eastAsia="Arial" w:hAnsi="Arial"/>
          <w:sz w:val="16"/>
          <w:szCs w:val="16"/>
          <w:color w:val="auto"/>
        </w:rPr>
      </w:pPr>
    </w:p>
    <w:p>
      <w:pPr>
        <w:jc w:val="both"/>
        <w:ind w:firstLine="645"/>
        <w:spacing w:after="0" w:line="278" w:lineRule="auto"/>
        <w:tabs>
          <w:tab w:leader="none" w:pos="1431" w:val="left"/>
        </w:tabs>
        <w:numPr>
          <w:ilvl w:val="0"/>
          <w:numId w:val="40"/>
        </w:numPr>
        <w:rPr>
          <w:rFonts w:ascii="Arial" w:cs="Arial" w:eastAsia="Arial" w:hAnsi="Arial"/>
          <w:sz w:val="18"/>
          <w:szCs w:val="18"/>
          <w:color w:val="auto"/>
        </w:rPr>
      </w:pPr>
      <w:r>
        <w:rPr>
          <w:rFonts w:ascii="Arial" w:cs="Arial" w:eastAsia="Arial" w:hAnsi="Arial"/>
          <w:sz w:val="20"/>
          <w:szCs w:val="20"/>
          <w:u w:val="single" w:color="auto"/>
          <w:color w:val="auto"/>
        </w:rPr>
        <w:t>Government Regulation</w:t>
      </w:r>
      <w:r>
        <w:rPr>
          <w:rFonts w:ascii="Arial" w:cs="Arial" w:eastAsia="Arial" w:hAnsi="Arial"/>
          <w:sz w:val="20"/>
          <w:szCs w:val="20"/>
          <w:color w:val="auto"/>
        </w:rPr>
        <w:t>. The Company’s obligation to deliver Shares following the Vesting Date will be subject to all applicable laws, rules and regulations and to such approvals by any governmental agencies or national securities exchanges as may be required.</w:t>
      </w:r>
    </w:p>
    <w:p>
      <w:pPr>
        <w:spacing w:after="0" w:line="200" w:lineRule="exact"/>
        <w:rPr>
          <w:rFonts w:ascii="Arial" w:cs="Arial" w:eastAsia="Arial" w:hAnsi="Arial"/>
          <w:sz w:val="18"/>
          <w:szCs w:val="18"/>
          <w:color w:val="auto"/>
        </w:rPr>
      </w:pPr>
    </w:p>
    <w:p>
      <w:pPr>
        <w:jc w:val="both"/>
        <w:ind w:firstLine="645"/>
        <w:spacing w:after="0" w:line="288" w:lineRule="auto"/>
        <w:tabs>
          <w:tab w:leader="none" w:pos="1431" w:val="left"/>
        </w:tabs>
        <w:numPr>
          <w:ilvl w:val="0"/>
          <w:numId w:val="40"/>
        </w:numPr>
        <w:rPr>
          <w:rFonts w:ascii="Arial" w:cs="Arial" w:eastAsia="Arial" w:hAnsi="Arial"/>
          <w:sz w:val="17"/>
          <w:szCs w:val="17"/>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Employer, in accordance with the terms of the Plan, will comply with all applicable withholding tax laws, and will be entitled to take any action necessary to effectuate such compliance. The Company may withhold a portion of the Shares to which the Participant or beneficiary otherwise would be entitled equivalent in value to the taxes required to be withheld, determined based upon the Fair Market Value of the Shares. For purposes of withholding, Fair Market Value shall be equal to the closing price (as reported on the New York Stock Exchange) of the Shares on the Vesting Date, or, if the Vesting Date is not a business day, the next business day immediately following the Vesting Date.</w:t>
      </w:r>
    </w:p>
    <w:p>
      <w:pPr>
        <w:spacing w:after="0" w:line="196" w:lineRule="exact"/>
        <w:rPr>
          <w:rFonts w:ascii="Arial" w:cs="Arial" w:eastAsia="Arial" w:hAnsi="Arial"/>
          <w:sz w:val="17"/>
          <w:szCs w:val="17"/>
          <w:color w:val="auto"/>
        </w:rPr>
      </w:pPr>
    </w:p>
    <w:p>
      <w:pPr>
        <w:jc w:val="both"/>
        <w:ind w:firstLine="645"/>
        <w:spacing w:after="0" w:line="272" w:lineRule="auto"/>
        <w:tabs>
          <w:tab w:leader="none" w:pos="1431" w:val="left"/>
        </w:tabs>
        <w:numPr>
          <w:ilvl w:val="0"/>
          <w:numId w:val="40"/>
        </w:numPr>
        <w:rPr>
          <w:rFonts w:ascii="Arial" w:cs="Arial" w:eastAsia="Arial" w:hAnsi="Arial"/>
          <w:sz w:val="18"/>
          <w:szCs w:val="18"/>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Any notice to the Company provided for in this Agreement will be addressed to it in care of its Secretary, TechnipFMC plc, 11740 Katy Freeway, Houston, Texas 77079, and any notice to the Participant (or other person entitled to receive the RSUs) will be addressed to such person at the Participant’s address now on file with the Company, or to such other address as either may designate to the other in writing. Any notice will be deemed to be duly given when sent via email or when sent by certified mail (return receipt requested) and deposited (with postage prepaid) in a post office or branch post office regularly maintained by the United States Postal Service.</w:t>
      </w:r>
    </w:p>
    <w:p>
      <w:pPr>
        <w:spacing w:after="0" w:line="205" w:lineRule="exact"/>
        <w:rPr>
          <w:rFonts w:ascii="Arial" w:cs="Arial" w:eastAsia="Arial" w:hAnsi="Arial"/>
          <w:sz w:val="18"/>
          <w:szCs w:val="18"/>
          <w:color w:val="auto"/>
        </w:rPr>
      </w:pPr>
    </w:p>
    <w:p>
      <w:pPr>
        <w:jc w:val="both"/>
        <w:ind w:right="20" w:firstLine="645"/>
        <w:spacing w:after="0" w:line="322" w:lineRule="auto"/>
        <w:tabs>
          <w:tab w:leader="none" w:pos="1522" w:val="left"/>
        </w:tabs>
        <w:numPr>
          <w:ilvl w:val="0"/>
          <w:numId w:val="40"/>
        </w:numPr>
        <w:rPr>
          <w:rFonts w:ascii="Arial" w:cs="Arial" w:eastAsia="Arial" w:hAnsi="Arial"/>
          <w:sz w:val="16"/>
          <w:szCs w:val="16"/>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Committee administers the Plan and delegates certain administrative authority in accordance with the Equity Plan Committee Grant Policy adopted by the Committee. The Participant’s rights under this Agreement are expressly subject to the terms and conditions of the Plan and the Sub-Plans, if any, a copy of which has been made available to the Participant.</w:t>
      </w:r>
    </w:p>
    <w:p>
      <w:pPr>
        <w:sectPr>
          <w:pgSz w:w="11900" w:h="16838" w:orient="portrait"/>
          <w:cols w:equalWidth="0" w:num="1">
            <w:col w:w="10760"/>
          </w:cols>
          <w:pgMar w:left="900" w:top="595" w:right="239" w:bottom="1440" w:gutter="0" w:footer="0" w:header="0"/>
        </w:sectPr>
      </w:pPr>
    </w:p>
    <w:bookmarkStart w:id="73" w:name="page74"/>
    <w:bookmarkEnd w:id="73"/>
    <w:p>
      <w:pPr>
        <w:ind w:left="-540" w:firstLine="645"/>
        <w:spacing w:after="0" w:line="289"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will inure to the benefit of and be binding upon the parties hereto and their respective heirs, executors, administrators, successors and permitted assigns.</w:t>
      </w:r>
    </w:p>
    <w:p>
      <w:pPr>
        <w:spacing w:after="0" w:line="188" w:lineRule="exact"/>
        <w:rPr>
          <w:rFonts w:ascii="Arial" w:cs="Arial" w:eastAsia="Arial" w:hAnsi="Arial"/>
          <w:sz w:val="18"/>
          <w:szCs w:val="18"/>
          <w:color w:val="auto"/>
        </w:rPr>
      </w:pPr>
    </w:p>
    <w:p>
      <w:pPr>
        <w:jc w:val="both"/>
        <w:ind w:left="-540" w:firstLine="645"/>
        <w:spacing w:after="0" w:line="267" w:lineRule="auto"/>
        <w:tabs>
          <w:tab w:leader="none" w:pos="982" w:val="left"/>
        </w:tabs>
        <w:numPr>
          <w:ilvl w:val="0"/>
          <w:numId w:val="41"/>
        </w:numPr>
        <w:rPr>
          <w:rFonts w:ascii="Arial" w:cs="Arial" w:eastAsia="Arial" w:hAnsi="Arial"/>
          <w:sz w:val="18"/>
          <w:szCs w:val="18"/>
          <w:color w:val="auto"/>
        </w:rPr>
      </w:pPr>
      <w:r>
        <w:rPr>
          <w:rFonts w:ascii="Arial" w:cs="Arial" w:eastAsia="Arial" w:hAnsi="Arial"/>
          <w:sz w:val="20"/>
          <w:szCs w:val="20"/>
          <w:u w:val="single" w:color="auto"/>
          <w:color w:val="auto"/>
        </w:rPr>
        <w:t>Sole Agreement</w:t>
      </w:r>
      <w:r>
        <w:rPr>
          <w:rFonts w:ascii="Arial" w:cs="Arial" w:eastAsia="Arial" w:hAnsi="Arial"/>
          <w:sz w:val="20"/>
          <w:szCs w:val="20"/>
          <w:color w:val="auto"/>
        </w:rPr>
        <w:t>. This Agreement constitutes the entire agreement between the parties to it relating to the RSUs and supersedes any and all prior oral and written representations. This Agreement may only be amended by written agreement between the Company and the Participant.</w:t>
      </w:r>
    </w:p>
    <w:p>
      <w:pPr>
        <w:spacing w:after="0" w:line="2" w:lineRule="exact"/>
        <w:rPr>
          <w:rFonts w:ascii="Arial" w:cs="Arial" w:eastAsia="Arial" w:hAnsi="Arial"/>
          <w:sz w:val="18"/>
          <w:szCs w:val="18"/>
          <w:color w:val="auto"/>
        </w:rPr>
      </w:pPr>
    </w:p>
    <w:p>
      <w:pPr>
        <w:jc w:val="both"/>
        <w:ind w:left="-540" w:firstLine="645"/>
        <w:spacing w:after="0" w:line="271" w:lineRule="auto"/>
        <w:tabs>
          <w:tab w:leader="none" w:pos="982" w:val="left"/>
        </w:tabs>
        <w:numPr>
          <w:ilvl w:val="0"/>
          <w:numId w:val="41"/>
        </w:numPr>
        <w:rPr>
          <w:rFonts w:ascii="Arial" w:cs="Arial" w:eastAsia="Arial" w:hAnsi="Arial"/>
          <w:sz w:val="18"/>
          <w:szCs w:val="18"/>
          <w:color w:val="auto"/>
        </w:rPr>
      </w:pPr>
      <w:r>
        <w:rPr>
          <w:rFonts w:ascii="Arial" w:cs="Arial" w:eastAsia="Arial" w:hAnsi="Arial"/>
          <w:sz w:val="20"/>
          <w:szCs w:val="20"/>
          <w:u w:val="single" w:color="auto"/>
          <w:color w:val="auto"/>
        </w:rPr>
        <w:t>Delivery of Documents</w:t>
      </w:r>
      <w:r>
        <w:rPr>
          <w:rFonts w:ascii="Arial" w:cs="Arial" w:eastAsia="Arial" w:hAnsi="Arial"/>
          <w:sz w:val="20"/>
          <w:szCs w:val="20"/>
          <w:color w:val="auto"/>
        </w:rPr>
        <w:t>.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a government sponsored postal service, by registered or certified mail, or with an internationally recognized overnight courier service, with postage and fees prepaid, addressed to the other party at the address shown below that party’s signature hereto or at such other address as such party may designate in writing from time to time to the other party.</w:t>
      </w:r>
    </w:p>
    <w:p>
      <w:pPr>
        <w:spacing w:after="0" w:line="207" w:lineRule="exact"/>
        <w:rPr>
          <w:rFonts w:ascii="Arial" w:cs="Arial" w:eastAsia="Arial" w:hAnsi="Arial"/>
          <w:sz w:val="18"/>
          <w:szCs w:val="18"/>
          <w:color w:val="auto"/>
        </w:rPr>
      </w:pPr>
    </w:p>
    <w:p>
      <w:pPr>
        <w:jc w:val="both"/>
        <w:ind w:left="-540" w:firstLine="1293"/>
        <w:spacing w:after="0" w:line="297" w:lineRule="auto"/>
        <w:tabs>
          <w:tab w:leader="none" w:pos="1604" w:val="left"/>
        </w:tabs>
        <w:numPr>
          <w:ilvl w:val="1"/>
          <w:numId w:val="41"/>
        </w:numPr>
        <w:rPr>
          <w:rFonts w:ascii="Arial" w:cs="Arial" w:eastAsia="Arial" w:hAnsi="Arial"/>
          <w:sz w:val="16"/>
          <w:szCs w:val="16"/>
          <w:color w:val="auto"/>
        </w:rPr>
      </w:pPr>
      <w:r>
        <w:rPr>
          <w:rFonts w:ascii="Arial" w:cs="Arial" w:eastAsia="Arial" w:hAnsi="Arial"/>
          <w:sz w:val="18"/>
          <w:szCs w:val="18"/>
          <w:u w:val="single" w:color="auto"/>
          <w:color w:val="auto"/>
        </w:rPr>
        <w:t>Description of Electronic Delivery</w:t>
      </w:r>
      <w:r>
        <w:rPr>
          <w:rFonts w:ascii="Arial" w:cs="Arial" w:eastAsia="Arial" w:hAnsi="Arial"/>
          <w:sz w:val="18"/>
          <w:szCs w:val="18"/>
          <w:color w:val="auto"/>
        </w:rPr>
        <w:t>. The Plan documents, which may include but do not necessarily include: the Plan, this Agreement, the Plan’s prospectus, and any reports of the Company provided generally to the Company’s stockholders, may be delivered to the Participant electronically. In addition, the Participant may deliver electronically the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The Participant may revoke his or her consent to the electronic delivery of documents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herein. Electronic execution of this Agreement shall have the same binding effect as a written or hard copy signature and accordingly, shall bind the Participant and the Company to all of the terms and conditions set forth in the Plan and this Agreement.</w:t>
      </w:r>
    </w:p>
    <w:p>
      <w:pPr>
        <w:spacing w:after="0" w:line="5" w:lineRule="exact"/>
        <w:rPr>
          <w:rFonts w:ascii="Arial" w:cs="Arial" w:eastAsia="Arial" w:hAnsi="Arial"/>
          <w:sz w:val="16"/>
          <w:szCs w:val="16"/>
          <w:color w:val="auto"/>
        </w:rPr>
      </w:pPr>
    </w:p>
    <w:p>
      <w:pPr>
        <w:jc w:val="both"/>
        <w:ind w:left="-540" w:firstLine="1293"/>
        <w:spacing w:after="0" w:line="310" w:lineRule="auto"/>
        <w:tabs>
          <w:tab w:leader="none" w:pos="1635"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Paper Copies</w:t>
      </w:r>
      <w:r>
        <w:rPr>
          <w:rFonts w:ascii="Arial" w:cs="Arial" w:eastAsia="Arial" w:hAnsi="Arial"/>
          <w:sz w:val="18"/>
          <w:szCs w:val="18"/>
          <w:color w:val="auto"/>
        </w:rPr>
        <w:t>. Participant acknowledges that he or she may receive form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 fails.</w:t>
      </w:r>
    </w:p>
    <w:p>
      <w:pPr>
        <w:spacing w:after="0" w:line="175" w:lineRule="exact"/>
        <w:rPr>
          <w:rFonts w:ascii="Arial" w:cs="Arial" w:eastAsia="Arial" w:hAnsi="Arial"/>
          <w:sz w:val="18"/>
          <w:szCs w:val="18"/>
          <w:color w:val="auto"/>
        </w:rPr>
      </w:pPr>
    </w:p>
    <w:p>
      <w:pPr>
        <w:jc w:val="both"/>
        <w:ind w:left="-540" w:firstLine="645"/>
        <w:spacing w:after="0" w:line="286" w:lineRule="auto"/>
        <w:tabs>
          <w:tab w:leader="none" w:pos="982" w:val="left"/>
        </w:tabs>
        <w:numPr>
          <w:ilvl w:val="0"/>
          <w:numId w:val="41"/>
        </w:numPr>
        <w:rPr>
          <w:rFonts w:ascii="Arial" w:cs="Arial" w:eastAsia="Arial" w:hAnsi="Arial"/>
          <w:sz w:val="17"/>
          <w:szCs w:val="17"/>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9"/>
          <w:szCs w:val="19"/>
          <w:u w:val="single" w:color="auto"/>
          <w:color w:val="auto"/>
        </w:rPr>
        <w:t>Section 409A</w:t>
      </w:r>
      <w:r>
        <w:rPr>
          <w:rFonts w:ascii="Arial" w:cs="Arial" w:eastAsia="Arial" w:hAnsi="Arial"/>
          <w:sz w:val="19"/>
          <w:szCs w:val="19"/>
          <w:color w:val="auto"/>
        </w:rPr>
        <w:t>”). However, notwithstanding any other provision of the Plan or this Agreement, if at any time the Administrator determines that this Award (or any portion thereof) may be subject to Section 409A, the Administrator shall have the right in its sole discretion (without any obligation to do so or to indemnify the Participant or any other person for failure to do so) to adopt such amendments to the Plan or this Agreement, or adopt other policies and procedures (including amendments, policies and procedures with retroactive effect), or take any other actions, as the Administrator determines are</w:t>
      </w:r>
    </w:p>
    <w:p>
      <w:pPr>
        <w:sectPr>
          <w:pgSz w:w="11900" w:h="16838" w:orient="portrait"/>
          <w:cols w:equalWidth="0" w:num="1">
            <w:col w:w="10220"/>
          </w:cols>
          <w:pgMar w:left="1440" w:top="595" w:right="239" w:bottom="1440" w:gutter="0" w:footer="0" w:header="0"/>
        </w:sectPr>
      </w:pPr>
    </w:p>
    <w:bookmarkStart w:id="74" w:name="page75"/>
    <w:bookmarkEnd w:id="74"/>
    <w:p>
      <w:pPr>
        <w:spacing w:after="0" w:line="289" w:lineRule="auto"/>
        <w:rPr>
          <w:sz w:val="20"/>
          <w:szCs w:val="20"/>
          <w:color w:val="auto"/>
        </w:rPr>
      </w:pPr>
      <w:r>
        <w:rPr>
          <w:rFonts w:ascii="Arial" w:cs="Arial" w:eastAsia="Arial" w:hAnsi="Arial"/>
          <w:sz w:val="20"/>
          <w:szCs w:val="20"/>
          <w:color w:val="auto"/>
        </w:rPr>
        <w:t>necessary or appropriate for this Award either to be exempt from the application of Section 409A or to comply with the requirements of Section 409A.</w:t>
      </w:r>
    </w:p>
    <w:p>
      <w:pPr>
        <w:spacing w:after="0" w:line="189" w:lineRule="exact"/>
        <w:rPr>
          <w:sz w:val="20"/>
          <w:szCs w:val="20"/>
          <w:color w:val="auto"/>
        </w:rPr>
      </w:pPr>
    </w:p>
    <w:p>
      <w:pPr>
        <w:jc w:val="both"/>
        <w:ind w:firstLine="645"/>
        <w:spacing w:after="0" w:line="288" w:lineRule="auto"/>
        <w:tabs>
          <w:tab w:leader="none" w:pos="1522" w:val="left"/>
        </w:tabs>
        <w:numPr>
          <w:ilvl w:val="0"/>
          <w:numId w:val="42"/>
        </w:numPr>
        <w:rPr>
          <w:rFonts w:ascii="Arial" w:cs="Arial" w:eastAsia="Arial" w:hAnsi="Arial"/>
          <w:sz w:val="17"/>
          <w:szCs w:val="17"/>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This Award (including any proceeds, gains or other economic benefit actually or constructively received by Participant upon receipt or exercise of this Award or upon the receipt or resale of any Shares underlying this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the time of grant of this Award, to the extent set forth in such claw-back policy.</w:t>
      </w:r>
    </w:p>
    <w:p>
      <w:pPr>
        <w:spacing w:after="0" w:line="196" w:lineRule="exact"/>
        <w:rPr>
          <w:rFonts w:ascii="Arial" w:cs="Arial" w:eastAsia="Arial" w:hAnsi="Arial"/>
          <w:sz w:val="17"/>
          <w:szCs w:val="17"/>
          <w:color w:val="auto"/>
        </w:rPr>
      </w:pPr>
    </w:p>
    <w:p>
      <w:pPr>
        <w:ind w:firstLine="645"/>
        <w:spacing w:after="0" w:line="289" w:lineRule="auto"/>
        <w:tabs>
          <w:tab w:leader="none" w:pos="1522" w:val="left"/>
        </w:tabs>
        <w:numPr>
          <w:ilvl w:val="0"/>
          <w:numId w:val="42"/>
        </w:numPr>
        <w:rPr>
          <w:rFonts w:ascii="Arial" w:cs="Arial" w:eastAsia="Arial" w:hAnsi="Arial"/>
          <w:sz w:val="18"/>
          <w:szCs w:val="18"/>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The interpretation, performance and enforcement of this Agreement will be governed by the laws of the State of Delaware.</w:t>
      </w:r>
    </w:p>
    <w:p>
      <w:pPr>
        <w:spacing w:after="0" w:line="188" w:lineRule="exact"/>
        <w:rPr>
          <w:rFonts w:ascii="Arial" w:cs="Arial" w:eastAsia="Arial" w:hAnsi="Arial"/>
          <w:sz w:val="18"/>
          <w:szCs w:val="18"/>
          <w:color w:val="auto"/>
        </w:rPr>
      </w:pPr>
    </w:p>
    <w:p>
      <w:pPr>
        <w:jc w:val="both"/>
        <w:ind w:firstLine="645"/>
        <w:spacing w:after="0" w:line="307" w:lineRule="auto"/>
        <w:tabs>
          <w:tab w:leader="none" w:pos="1522" w:val="left"/>
        </w:tabs>
        <w:numPr>
          <w:ilvl w:val="0"/>
          <w:numId w:val="42"/>
        </w:numPr>
        <w:rPr>
          <w:rFonts w:ascii="Arial" w:cs="Arial" w:eastAsia="Arial" w:hAnsi="Arial"/>
          <w:sz w:val="16"/>
          <w:szCs w:val="16"/>
          <w:color w:val="auto"/>
        </w:rPr>
      </w:pPr>
      <w:r>
        <w:rPr>
          <w:rFonts w:ascii="Arial" w:cs="Arial" w:eastAsia="Arial" w:hAnsi="Arial"/>
          <w:sz w:val="18"/>
          <w:szCs w:val="18"/>
          <w:u w:val="single" w:color="auto"/>
          <w:color w:val="auto"/>
        </w:rPr>
        <w:t>Privacy</w:t>
      </w:r>
      <w:r>
        <w:rPr>
          <w:rFonts w:ascii="Arial" w:cs="Arial" w:eastAsia="Arial" w:hAnsi="Arial"/>
          <w:sz w:val="18"/>
          <w:szCs w:val="18"/>
          <w:color w:val="auto"/>
        </w:rPr>
        <w:t>. Participant acknowledges, agrees and consents, as a condition to receipt of this Award and in accordance with Section 11.8 of the Plan, to Employer’s collection, use and transfer, in electronic or other form, of personal data of the Participant as described in Section 11.8 of the Plan by and among the Company and its Subsidiaries for the exclusive purpose of implementing, performing or administering the Plan or any related benefit. Participant expressly gives his or her consent to the Employer and the Company to receive, possess, use, retain and transfer such personal data as may be required to a broker or other third party with whom the Company or any of its Subsidiaries or the Participant may elect to deposit any Shares.</w:t>
      </w:r>
    </w:p>
    <w:p>
      <w:pPr>
        <w:spacing w:after="0" w:line="180" w:lineRule="exact"/>
        <w:rPr>
          <w:rFonts w:ascii="Arial" w:cs="Arial" w:eastAsia="Arial" w:hAnsi="Arial"/>
          <w:sz w:val="16"/>
          <w:szCs w:val="16"/>
          <w:color w:val="auto"/>
        </w:rPr>
      </w:pPr>
    </w:p>
    <w:p>
      <w:pPr>
        <w:jc w:val="both"/>
        <w:ind w:firstLine="645"/>
        <w:spacing w:after="0" w:line="273" w:lineRule="auto"/>
        <w:tabs>
          <w:tab w:leader="none" w:pos="1522" w:val="left"/>
        </w:tabs>
        <w:numPr>
          <w:ilvl w:val="0"/>
          <w:numId w:val="42"/>
        </w:numPr>
        <w:rPr>
          <w:rFonts w:ascii="Arial" w:cs="Arial" w:eastAsia="Arial" w:hAnsi="Arial"/>
          <w:sz w:val="18"/>
          <w:szCs w:val="18"/>
          <w:color w:val="auto"/>
        </w:rPr>
      </w:pPr>
      <w:r>
        <w:rPr>
          <w:rFonts w:ascii="Arial" w:cs="Arial" w:eastAsia="Arial" w:hAnsi="Arial"/>
          <w:sz w:val="20"/>
          <w:szCs w:val="20"/>
          <w:u w:val="single" w:color="auto"/>
          <w:color w:val="auto"/>
        </w:rPr>
        <w:t>Funding</w:t>
      </w:r>
      <w:r>
        <w:rPr>
          <w:rFonts w:ascii="Arial" w:cs="Arial" w:eastAsia="Arial" w:hAnsi="Arial"/>
          <w:sz w:val="20"/>
          <w:szCs w:val="20"/>
          <w:color w:val="auto"/>
        </w:rPr>
        <w:t>. The RSUs represent an unfunded promise to pay and deliver Shares in the future. The Company may settle the RSUs through newly issued Shares, treasury Shares or Shares held in an employee benefit trust (EBT) established for the administrative convenience of the Company for the purpose of issuing Shares in settlement of Awards under the Plan, in its sole discretion and not for the purposes of funding the Plan. The Participant has no right to any Shares held in any EBT, or to have the RSUs settled in any Shares held by an EBT.</w:t>
      </w:r>
    </w:p>
    <w:p>
      <w:pPr>
        <w:spacing w:after="0" w:line="204" w:lineRule="exact"/>
        <w:rPr>
          <w:rFonts w:ascii="Arial" w:cs="Arial" w:eastAsia="Arial" w:hAnsi="Arial"/>
          <w:sz w:val="18"/>
          <w:szCs w:val="18"/>
          <w:color w:val="auto"/>
        </w:rPr>
      </w:pPr>
    </w:p>
    <w:p>
      <w:pPr>
        <w:ind w:left="1520" w:hanging="875"/>
        <w:spacing w:after="0"/>
        <w:tabs>
          <w:tab w:leader="none" w:pos="1520" w:val="left"/>
        </w:tabs>
        <w:numPr>
          <w:ilvl w:val="0"/>
          <w:numId w:val="42"/>
        </w:numPr>
        <w:rPr>
          <w:rFonts w:ascii="Arial" w:cs="Arial" w:eastAsia="Arial" w:hAnsi="Arial"/>
          <w:sz w:val="18"/>
          <w:szCs w:val="18"/>
          <w:color w:val="auto"/>
        </w:rPr>
      </w:pPr>
      <w:r>
        <w:rPr>
          <w:rFonts w:ascii="Arial" w:cs="Arial" w:eastAsia="Arial" w:hAnsi="Arial"/>
          <w:sz w:val="20"/>
          <w:szCs w:val="20"/>
          <w:u w:val="single" w:color="auto"/>
          <w:color w:val="auto"/>
        </w:rPr>
        <w:t>Definitions.</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Unless otherwise provided on </w:t>
      </w:r>
      <w:r>
        <w:rPr>
          <w:rFonts w:ascii="Arial" w:cs="Arial" w:eastAsia="Arial" w:hAnsi="Arial"/>
          <w:sz w:val="20"/>
          <w:szCs w:val="20"/>
          <w:u w:val="single" w:color="auto"/>
          <w:color w:val="auto"/>
        </w:rPr>
        <w:t>Schedule A</w:t>
      </w:r>
      <w:r>
        <w:rPr>
          <w:rFonts w:ascii="Arial" w:cs="Arial" w:eastAsia="Arial" w:hAnsi="Arial"/>
          <w:sz w:val="20"/>
          <w:szCs w:val="20"/>
          <w:color w:val="auto"/>
        </w:rPr>
        <w:t>:</w:t>
      </w:r>
    </w:p>
    <w:p>
      <w:pPr>
        <w:spacing w:after="0" w:line="229" w:lineRule="exact"/>
        <w:rPr>
          <w:sz w:val="20"/>
          <w:szCs w:val="20"/>
          <w:color w:val="auto"/>
        </w:rPr>
      </w:pPr>
    </w:p>
    <w:p>
      <w:pPr>
        <w:ind w:left="2140" w:hanging="847"/>
        <w:spacing w:after="0"/>
        <w:tabs>
          <w:tab w:leader="none" w:pos="2140" w:val="left"/>
        </w:tabs>
        <w:numPr>
          <w:ilvl w:val="0"/>
          <w:numId w:val="4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means</w:t>
      </w:r>
    </w:p>
    <w:p>
      <w:pPr>
        <w:spacing w:after="0" w:line="256" w:lineRule="exact"/>
        <w:rPr>
          <w:rFonts w:ascii="Arial" w:cs="Arial" w:eastAsia="Arial" w:hAnsi="Arial"/>
          <w:sz w:val="18"/>
          <w:szCs w:val="18"/>
          <w:color w:val="auto"/>
        </w:rPr>
      </w:pPr>
    </w:p>
    <w:p>
      <w:pPr>
        <w:jc w:val="both"/>
        <w:ind w:firstLine="1941"/>
        <w:spacing w:after="0" w:line="290" w:lineRule="auto"/>
        <w:tabs>
          <w:tab w:leader="none" w:pos="2763" w:val="left"/>
        </w:tabs>
        <w:numPr>
          <w:ilvl w:val="1"/>
          <w:numId w:val="43"/>
        </w:numPr>
        <w:rPr>
          <w:rFonts w:ascii="Arial" w:cs="Arial" w:eastAsia="Arial" w:hAnsi="Arial"/>
          <w:sz w:val="17"/>
          <w:szCs w:val="17"/>
          <w:color w:val="auto"/>
        </w:rPr>
      </w:pPr>
      <w:r>
        <w:rPr>
          <w:rFonts w:ascii="Arial" w:cs="Arial" w:eastAsia="Arial" w:hAnsi="Arial"/>
          <w:sz w:val="19"/>
          <w:szCs w:val="19"/>
          <w:color w:val="auto"/>
        </w:rPr>
        <w:t>the Participant’s willful and continued failure to substantially perform the Participant’s employment duties in any material respect (other than any such failure resulting from Disability), after a written demand for substantial performance is delivered to the Participant that specifically identifies the manner in which the Company believes the Participant has failed to perform the Participant’s duties, and after the Participant has failed to resume substantial performance of the Participant’s duties on a continuous basis within thirty (30) calendar days of receiving such demand;</w:t>
      </w:r>
    </w:p>
    <w:p>
      <w:pPr>
        <w:spacing w:after="0" w:line="192" w:lineRule="exact"/>
        <w:rPr>
          <w:rFonts w:ascii="Arial" w:cs="Arial" w:eastAsia="Arial" w:hAnsi="Arial"/>
          <w:sz w:val="17"/>
          <w:szCs w:val="17"/>
          <w:color w:val="auto"/>
        </w:rPr>
      </w:pPr>
    </w:p>
    <w:p>
      <w:pPr>
        <w:ind w:left="2800" w:hanging="859"/>
        <w:spacing w:after="0"/>
        <w:tabs>
          <w:tab w:leader="none" w:pos="2800" w:val="left"/>
        </w:tabs>
        <w:numPr>
          <w:ilvl w:val="1"/>
          <w:numId w:val="43"/>
        </w:numPr>
        <w:rPr>
          <w:rFonts w:ascii="Arial" w:cs="Arial" w:eastAsia="Arial" w:hAnsi="Arial"/>
          <w:sz w:val="16"/>
          <w:szCs w:val="16"/>
          <w:color w:val="auto"/>
        </w:rPr>
      </w:pPr>
      <w:r>
        <w:rPr>
          <w:rFonts w:ascii="Arial" w:cs="Arial" w:eastAsia="Arial" w:hAnsi="Arial"/>
          <w:sz w:val="18"/>
          <w:szCs w:val="18"/>
          <w:color w:val="auto"/>
        </w:rPr>
        <w:t>the Participant’s willfully engaging in other conduct which is demonstrably and materially injurious</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to the Company or an affiliate; or</w:t>
      </w:r>
    </w:p>
    <w:p>
      <w:pPr>
        <w:spacing w:after="0" w:line="256" w:lineRule="exact"/>
        <w:rPr>
          <w:rFonts w:ascii="Arial" w:cs="Arial" w:eastAsia="Arial" w:hAnsi="Arial"/>
          <w:sz w:val="16"/>
          <w:szCs w:val="16"/>
          <w:color w:val="auto"/>
        </w:rPr>
      </w:pPr>
    </w:p>
    <w:p>
      <w:pPr>
        <w:ind w:left="2860" w:hanging="919"/>
        <w:spacing w:after="0"/>
        <w:tabs>
          <w:tab w:leader="none" w:pos="2860" w:val="left"/>
        </w:tabs>
        <w:numPr>
          <w:ilvl w:val="1"/>
          <w:numId w:val="43"/>
        </w:numPr>
        <w:rPr>
          <w:rFonts w:ascii="Arial" w:cs="Arial" w:eastAsia="Arial" w:hAnsi="Arial"/>
          <w:sz w:val="16"/>
          <w:szCs w:val="16"/>
          <w:color w:val="auto"/>
        </w:rPr>
      </w:pPr>
      <w:r>
        <w:rPr>
          <w:rFonts w:ascii="Arial" w:cs="Arial" w:eastAsia="Arial" w:hAnsi="Arial"/>
          <w:sz w:val="18"/>
          <w:szCs w:val="18"/>
          <w:color w:val="auto"/>
        </w:rPr>
        <w:t>the Participant’s having been convicted of, or pleading guilty or nolo contendere to, a felony under</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federal or state law.</w:t>
      </w:r>
    </w:p>
    <w:p>
      <w:pPr>
        <w:spacing w:after="0" w:line="256" w:lineRule="exact"/>
        <w:rPr>
          <w:rFonts w:ascii="Arial" w:cs="Arial" w:eastAsia="Arial" w:hAnsi="Arial"/>
          <w:sz w:val="16"/>
          <w:szCs w:val="16"/>
          <w:color w:val="auto"/>
        </w:rPr>
      </w:pPr>
    </w:p>
    <w:p>
      <w:pPr>
        <w:ind w:right="20" w:firstLine="1293"/>
        <w:spacing w:after="0" w:line="289" w:lineRule="auto"/>
        <w:tabs>
          <w:tab w:leader="none" w:pos="2155" w:val="left"/>
        </w:tabs>
        <w:numPr>
          <w:ilvl w:val="0"/>
          <w:numId w:val="4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Participant’s inability to engage in any substantial gainful activity by reason of any medically determinable physical or mental impairment that can be</w:t>
      </w:r>
    </w:p>
    <w:p>
      <w:pPr>
        <w:sectPr>
          <w:pgSz w:w="11900" w:h="16838" w:orient="portrait"/>
          <w:cols w:equalWidth="0" w:num="1">
            <w:col w:w="10760"/>
          </w:cols>
          <w:pgMar w:left="900" w:top="595" w:right="239" w:bottom="1440" w:gutter="0" w:footer="0" w:header="0"/>
        </w:sectPr>
      </w:pPr>
    </w:p>
    <w:bookmarkStart w:id="75" w:name="page76"/>
    <w:bookmarkEnd w:id="75"/>
    <w:p>
      <w:pPr>
        <w:ind w:left="4"/>
        <w:spacing w:after="0"/>
        <w:rPr>
          <w:sz w:val="20"/>
          <w:szCs w:val="20"/>
          <w:color w:val="auto"/>
        </w:rPr>
      </w:pPr>
      <w:r>
        <w:rPr>
          <w:rFonts w:ascii="Arial" w:cs="Arial" w:eastAsia="Arial" w:hAnsi="Arial"/>
          <w:sz w:val="20"/>
          <w:szCs w:val="20"/>
          <w:color w:val="auto"/>
        </w:rPr>
        <w:t>expected to result in death or that can be expected to last for a continuous period of not less than twelve (12) months.</w:t>
      </w:r>
    </w:p>
    <w:p>
      <w:pPr>
        <w:spacing w:after="0" w:line="256" w:lineRule="exact"/>
        <w:rPr>
          <w:sz w:val="20"/>
          <w:szCs w:val="20"/>
          <w:color w:val="auto"/>
        </w:rPr>
      </w:pPr>
    </w:p>
    <w:p>
      <w:pPr>
        <w:ind w:left="4" w:firstLine="1293"/>
        <w:spacing w:after="0" w:line="289" w:lineRule="auto"/>
        <w:tabs>
          <w:tab w:leader="none" w:pos="2148" w:val="left"/>
        </w:tabs>
        <w:numPr>
          <w:ilvl w:val="1"/>
          <w:numId w:val="4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without the Participant’s express written consent, the occurrence of any one or more of the following during the Protection Period:</w:t>
      </w:r>
    </w:p>
    <w:p>
      <w:pPr>
        <w:spacing w:after="0" w:line="188" w:lineRule="exact"/>
        <w:rPr>
          <w:rFonts w:ascii="Arial" w:cs="Arial" w:eastAsia="Arial" w:hAnsi="Arial"/>
          <w:sz w:val="18"/>
          <w:szCs w:val="18"/>
          <w:color w:val="auto"/>
        </w:rPr>
      </w:pPr>
    </w:p>
    <w:p>
      <w:pPr>
        <w:jc w:val="both"/>
        <w:ind w:left="4" w:firstLine="1941"/>
        <w:spacing w:after="0" w:line="286" w:lineRule="auto"/>
        <w:tabs>
          <w:tab w:leader="none" w:pos="2767" w:val="left"/>
        </w:tabs>
        <w:numPr>
          <w:ilvl w:val="2"/>
          <w:numId w:val="44"/>
        </w:numPr>
        <w:rPr>
          <w:rFonts w:ascii="Arial" w:cs="Arial" w:eastAsia="Arial" w:hAnsi="Arial"/>
          <w:sz w:val="17"/>
          <w:szCs w:val="17"/>
          <w:color w:val="auto"/>
        </w:rPr>
      </w:pPr>
      <w:r>
        <w:rPr>
          <w:rFonts w:ascii="Arial" w:cs="Arial" w:eastAsia="Arial" w:hAnsi="Arial"/>
          <w:sz w:val="19"/>
          <w:szCs w:val="19"/>
          <w:color w:val="auto"/>
        </w:rPr>
        <w:t>the assignment of the Participant to duties materially inconsistent with the Participant’s authorities, duties, responsibilities, and status (including, without limitation, offices, titles and reporting requirements) as an employee of the Company (including, without limitation, any material adverse change in duties or status as a result of the stock of the Company ceasing to be publicly traded or of the Company becoming a subsidiary of another entity, or any material adverse change in the Participant’s reporting relationship, such as the chairman or chief executive officer ceasing to report to the Board of Directors of a publicly traded company), or a reduction or alteration in the nature or status of the Participant’s authorities, duties, or responsibilities from the greatest of those in effect (x) on the Grant Date, (y) during the fiscal year immediately preceding the year of the Change in Control, and (z) on the date immediately preceding the Change in Control;</w:t>
      </w:r>
    </w:p>
    <w:p>
      <w:pPr>
        <w:spacing w:after="0" w:line="199" w:lineRule="exact"/>
        <w:rPr>
          <w:rFonts w:ascii="Arial" w:cs="Arial" w:eastAsia="Arial" w:hAnsi="Arial"/>
          <w:sz w:val="17"/>
          <w:szCs w:val="17"/>
          <w:color w:val="auto"/>
        </w:rPr>
      </w:pPr>
    </w:p>
    <w:p>
      <w:pPr>
        <w:ind w:left="2804" w:hanging="859"/>
        <w:spacing w:after="0"/>
        <w:tabs>
          <w:tab w:leader="none" w:pos="2804" w:val="left"/>
        </w:tabs>
        <w:numPr>
          <w:ilvl w:val="2"/>
          <w:numId w:val="44"/>
        </w:numPr>
        <w:rPr>
          <w:rFonts w:ascii="Arial" w:cs="Arial" w:eastAsia="Arial" w:hAnsi="Arial"/>
          <w:sz w:val="16"/>
          <w:szCs w:val="16"/>
          <w:color w:val="auto"/>
        </w:rPr>
      </w:pPr>
      <w:r>
        <w:rPr>
          <w:rFonts w:ascii="Arial" w:cs="Arial" w:eastAsia="Arial" w:hAnsi="Arial"/>
          <w:sz w:val="18"/>
          <w:szCs w:val="18"/>
          <w:color w:val="auto"/>
        </w:rPr>
        <w:t>the Company’s requiring the Participant to be based at a location which is at least one hundred</w:t>
      </w:r>
    </w:p>
    <w:p>
      <w:pPr>
        <w:spacing w:after="0" w:line="49" w:lineRule="exact"/>
        <w:rPr>
          <w:rFonts w:ascii="Arial" w:cs="Arial" w:eastAsia="Arial" w:hAnsi="Arial"/>
          <w:sz w:val="16"/>
          <w:szCs w:val="16"/>
          <w:color w:val="auto"/>
        </w:rPr>
      </w:pPr>
    </w:p>
    <w:p>
      <w:pPr>
        <w:jc w:val="both"/>
        <w:ind w:left="4" w:hanging="4"/>
        <w:spacing w:after="0" w:line="274" w:lineRule="auto"/>
        <w:tabs>
          <w:tab w:leader="none" w:pos="487" w:val="left"/>
        </w:tabs>
        <w:numPr>
          <w:ilvl w:val="0"/>
          <w:numId w:val="45"/>
        </w:numPr>
        <w:rPr>
          <w:rFonts w:ascii="Arial" w:cs="Arial" w:eastAsia="Arial" w:hAnsi="Arial"/>
          <w:sz w:val="20"/>
          <w:szCs w:val="20"/>
          <w:color w:val="auto"/>
        </w:rPr>
      </w:pPr>
      <w:r>
        <w:rPr>
          <w:rFonts w:ascii="Arial" w:cs="Arial" w:eastAsia="Arial" w:hAnsi="Arial"/>
          <w:sz w:val="20"/>
          <w:szCs w:val="20"/>
          <w:color w:val="auto"/>
        </w:rPr>
        <w:t>miles further from the Participant’s then current primary residence than is such residence from the office where the Participant is located at the time of the Change in Control, except for required travel on the Company’s business to an extent substantially consistent with the Participant’s business obligations as of the Grant Date or as the same may be changed from time to time prior to a Change in Control;</w:t>
      </w:r>
    </w:p>
    <w:p>
      <w:pPr>
        <w:spacing w:after="0" w:line="205" w:lineRule="exact"/>
        <w:rPr>
          <w:rFonts w:ascii="Arial" w:cs="Arial" w:eastAsia="Arial" w:hAnsi="Arial"/>
          <w:sz w:val="20"/>
          <w:szCs w:val="20"/>
          <w:color w:val="auto"/>
        </w:rPr>
      </w:pPr>
    </w:p>
    <w:p>
      <w:pPr>
        <w:jc w:val="both"/>
        <w:ind w:left="4" w:firstLine="1941"/>
        <w:spacing w:after="0" w:line="278" w:lineRule="auto"/>
        <w:tabs>
          <w:tab w:leader="none" w:pos="2867" w:val="left"/>
        </w:tabs>
        <w:numPr>
          <w:ilvl w:val="2"/>
          <w:numId w:val="45"/>
        </w:numPr>
        <w:rPr>
          <w:rFonts w:ascii="Arial" w:cs="Arial" w:eastAsia="Arial" w:hAnsi="Arial"/>
          <w:sz w:val="18"/>
          <w:szCs w:val="18"/>
          <w:color w:val="auto"/>
        </w:rPr>
      </w:pPr>
      <w:r>
        <w:rPr>
          <w:rFonts w:ascii="Arial" w:cs="Arial" w:eastAsia="Arial" w:hAnsi="Arial"/>
          <w:sz w:val="20"/>
          <w:szCs w:val="20"/>
          <w:color w:val="auto"/>
        </w:rPr>
        <w:t>a material reduction by the Company in the Participant’s then current salary of record paid as annual salary (excluding amounts received under incentive or other bonus plans), as in effect on the Grant Date or as the same may be increased during the Protection Period;</w:t>
      </w:r>
    </w:p>
    <w:p>
      <w:pPr>
        <w:spacing w:after="0" w:line="200" w:lineRule="exact"/>
        <w:rPr>
          <w:rFonts w:ascii="Arial" w:cs="Arial" w:eastAsia="Arial" w:hAnsi="Arial"/>
          <w:sz w:val="18"/>
          <w:szCs w:val="18"/>
          <w:color w:val="auto"/>
        </w:rPr>
      </w:pPr>
    </w:p>
    <w:p>
      <w:pPr>
        <w:jc w:val="both"/>
        <w:ind w:left="4" w:firstLine="1941"/>
        <w:spacing w:after="0" w:line="293" w:lineRule="auto"/>
        <w:tabs>
          <w:tab w:leader="none" w:pos="2857" w:val="left"/>
        </w:tabs>
        <w:numPr>
          <w:ilvl w:val="2"/>
          <w:numId w:val="45"/>
        </w:numPr>
        <w:rPr>
          <w:rFonts w:ascii="Arial" w:cs="Arial" w:eastAsia="Arial" w:hAnsi="Arial"/>
          <w:sz w:val="17"/>
          <w:szCs w:val="17"/>
          <w:color w:val="auto"/>
        </w:rPr>
      </w:pPr>
      <w:r>
        <w:rPr>
          <w:rFonts w:ascii="Arial" w:cs="Arial" w:eastAsia="Arial" w:hAnsi="Arial"/>
          <w:sz w:val="19"/>
          <w:szCs w:val="19"/>
          <w:color w:val="auto"/>
        </w:rPr>
        <w:t>a material reduction in the Participant’s level of participation in any of the Company’s short- and/or long-term incentive compensation plans, or employee benefit or retirement plans, policies, practices, or arrangements in which the Participant participates from the greatest of the levels in place (a) on the Grant Date, (b) during the fiscal year immediately preceding the year of the Change in Control and (c) on the date immediately preceding the Change in Control; or</w:t>
      </w:r>
    </w:p>
    <w:p>
      <w:pPr>
        <w:spacing w:after="0" w:line="189" w:lineRule="exact"/>
        <w:rPr>
          <w:rFonts w:ascii="Arial" w:cs="Arial" w:eastAsia="Arial" w:hAnsi="Arial"/>
          <w:sz w:val="17"/>
          <w:szCs w:val="17"/>
          <w:color w:val="auto"/>
        </w:rPr>
      </w:pPr>
    </w:p>
    <w:p>
      <w:pPr>
        <w:jc w:val="both"/>
        <w:ind w:left="4" w:firstLine="1941"/>
        <w:spacing w:after="0" w:line="278" w:lineRule="auto"/>
        <w:tabs>
          <w:tab w:leader="none" w:pos="2807" w:val="left"/>
        </w:tabs>
        <w:numPr>
          <w:ilvl w:val="2"/>
          <w:numId w:val="45"/>
        </w:numPr>
        <w:rPr>
          <w:rFonts w:ascii="Arial" w:cs="Arial" w:eastAsia="Arial" w:hAnsi="Arial"/>
          <w:sz w:val="18"/>
          <w:szCs w:val="18"/>
          <w:color w:val="auto"/>
        </w:rPr>
      </w:pPr>
      <w:r>
        <w:rPr>
          <w:rFonts w:ascii="Arial" w:cs="Arial" w:eastAsia="Arial" w:hAnsi="Arial"/>
          <w:sz w:val="20"/>
          <w:szCs w:val="20"/>
          <w:color w:val="auto"/>
        </w:rPr>
        <w:t>any termination of Participant’s employment by the Company that is not effected pursuant to a written notice of termination which sets forth in reasonable detail the facts and circumstances claimed to provide a basis for termination of the Participant’s employment.</w:t>
      </w:r>
    </w:p>
    <w:p>
      <w:pPr>
        <w:spacing w:after="0" w:line="187" w:lineRule="exact"/>
        <w:rPr>
          <w:sz w:val="20"/>
          <w:szCs w:val="20"/>
          <w:color w:val="auto"/>
        </w:rPr>
      </w:pPr>
    </w:p>
    <w:p>
      <w:pPr>
        <w:jc w:val="both"/>
        <w:ind w:left="4" w:firstLine="648"/>
        <w:spacing w:after="0" w:line="242" w:lineRule="auto"/>
        <w:rPr>
          <w:sz w:val="20"/>
          <w:szCs w:val="20"/>
          <w:color w:val="auto"/>
        </w:rPr>
      </w:pPr>
      <w:r>
        <w:rPr>
          <w:rFonts w:ascii="Arial" w:cs="Arial" w:eastAsia="Arial" w:hAnsi="Arial"/>
          <w:sz w:val="20"/>
          <w:szCs w:val="20"/>
          <w:color w:val="auto"/>
        </w:rPr>
        <w:t>The existence of Good Reason will not be affected by the Participant’s temporary incapacity due to physical or mental illness not constituting a Disability. The Participant’s continued employment will not constitute a waiver of the Participant’s rights with respect to any circumstance constituting Good Reason; however, “Good Reason” for Participant’s separation from employment will exist only if: the Participant provides written notice to the Company within ninety (90) days of the occurrence of any of the above listed events; the Company fails to cure the event within thirty (30) days following the Company’s receipt of Participant’s written notice; and the Participant separates from employment with the Company effective not later than twenty four (24) months after the original occurrence of the “Good Reason” event. For sake of clarity, the event giving rise to a Good Reason termination must occur during the Protection Period, but Participant’s actual termination of employment for Good Reason may occur after the end of the Protection Period, and</w:t>
      </w:r>
    </w:p>
    <w:p>
      <w:pPr>
        <w:sectPr>
          <w:pgSz w:w="11900" w:h="16838" w:orient="portrait"/>
          <w:cols w:equalWidth="0" w:num="1">
            <w:col w:w="10764"/>
          </w:cols>
          <w:pgMar w:left="896" w:top="595" w:right="239" w:bottom="1440" w:gutter="0" w:footer="0" w:header="0"/>
        </w:sectPr>
      </w:pPr>
    </w:p>
    <w:bookmarkStart w:id="76" w:name="page77"/>
    <w:bookmarkEnd w:id="76"/>
    <w:p>
      <w:pPr>
        <w:spacing w:after="0"/>
        <w:rPr>
          <w:sz w:val="20"/>
          <w:szCs w:val="20"/>
          <w:color w:val="auto"/>
        </w:rPr>
      </w:pPr>
      <w:r>
        <w:rPr>
          <w:rFonts w:ascii="Arial" w:cs="Arial" w:eastAsia="Arial" w:hAnsi="Arial"/>
          <w:sz w:val="20"/>
          <w:szCs w:val="20"/>
          <w:color w:val="auto"/>
        </w:rPr>
        <w:t xml:space="preserve">such termination will be treated as if it occurred during the Protection Period for purposes of </w:t>
      </w:r>
      <w:r>
        <w:rPr>
          <w:rFonts w:ascii="Arial" w:cs="Arial" w:eastAsia="Arial" w:hAnsi="Arial"/>
          <w:sz w:val="20"/>
          <w:szCs w:val="20"/>
          <w:u w:val="single" w:color="auto"/>
          <w:color w:val="auto"/>
        </w:rPr>
        <w:t>Section 3(a)</w:t>
      </w:r>
      <w:r>
        <w:rPr>
          <w:rFonts w:ascii="Arial" w:cs="Arial" w:eastAsia="Arial" w:hAnsi="Arial"/>
          <w:sz w:val="20"/>
          <w:szCs w:val="20"/>
          <w:color w:val="auto"/>
        </w:rPr>
        <w:t>.</w:t>
      </w:r>
    </w:p>
    <w:p>
      <w:pPr>
        <w:spacing w:after="0" w:line="229" w:lineRule="exact"/>
        <w:rPr>
          <w:sz w:val="20"/>
          <w:szCs w:val="20"/>
          <w:color w:val="auto"/>
        </w:rPr>
      </w:pPr>
    </w:p>
    <w:p>
      <w:pPr>
        <w:jc w:val="both"/>
        <w:ind w:firstLine="1293"/>
        <w:spacing w:after="0" w:line="278" w:lineRule="auto"/>
        <w:tabs>
          <w:tab w:leader="none" w:pos="2155" w:val="left"/>
        </w:tabs>
        <w:numPr>
          <w:ilvl w:val="0"/>
          <w:numId w:val="46"/>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means [the termination of Participant’s employment on or after the date Participant reaches the age of 62.] [the termination of the Participant’s employment (i) on or after the date the Participant reaches the age of 62, or (ii) by the Company without Cause, regardless of the Participant’s age.]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Executed as of the Grant Date.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TechnipFMC plc</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20"/>
          <w:szCs w:val="20"/>
          <w:u w:val="single" w:color="auto"/>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27305</wp:posOffset>
            </wp:positionV>
            <wp:extent cx="57975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document constitutes part of a prospectus covering securities that have been registered under the Securities Act of 1933.</w:t>
      </w:r>
    </w:p>
    <w:p>
      <w:pPr>
        <w:sectPr>
          <w:pgSz w:w="11900" w:h="16838" w:orient="portrait"/>
          <w:cols w:equalWidth="0" w:num="1">
            <w:col w:w="10760"/>
          </w:cols>
          <w:pgMar w:left="900" w:top="582" w:right="239" w:bottom="1440" w:gutter="0" w:footer="0" w:header="0"/>
        </w:sectPr>
      </w:pPr>
    </w:p>
    <w:bookmarkStart w:id="77" w:name="page78"/>
    <w:bookmarkEnd w:id="77"/>
    <w:p>
      <w:pPr>
        <w:jc w:val="center"/>
        <w:ind w:right="-3"/>
        <w:spacing w:after="0"/>
        <w:rPr>
          <w:sz w:val="20"/>
          <w:szCs w:val="20"/>
          <w:color w:val="auto"/>
        </w:rPr>
      </w:pPr>
      <w:r>
        <w:rPr>
          <w:rFonts w:ascii="Arial" w:cs="Arial" w:eastAsia="Arial" w:hAnsi="Arial"/>
          <w:sz w:val="20"/>
          <w:szCs w:val="20"/>
          <w:b w:val="1"/>
          <w:bCs w:val="1"/>
          <w:u w:val="single" w:color="auto"/>
          <w:color w:val="auto"/>
        </w:rPr>
        <w:t>SCHEDULE A</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u w:val="single" w:color="auto"/>
          <w:color w:val="auto"/>
        </w:rPr>
        <w:t>TO TECHNIPFMC PLC INCENTIVE AWARD PLAN</w:t>
      </w:r>
    </w:p>
    <w:p>
      <w:pPr>
        <w:jc w:val="center"/>
        <w:ind w:right="-3"/>
        <w:spacing w:after="0"/>
        <w:rPr>
          <w:sz w:val="20"/>
          <w:szCs w:val="20"/>
          <w:color w:val="auto"/>
        </w:rPr>
      </w:pPr>
      <w:r>
        <w:rPr>
          <w:rFonts w:ascii="Arial" w:cs="Arial" w:eastAsia="Arial" w:hAnsi="Arial"/>
          <w:sz w:val="20"/>
          <w:szCs w:val="20"/>
          <w:b w:val="1"/>
          <w:bCs w:val="1"/>
          <w:u w:val="single" w:color="auto"/>
          <w:color w:val="auto"/>
        </w:rPr>
        <w:t>RESTRICTED STOCK UNIT AWARD AGREEMENT</w:t>
      </w:r>
    </w:p>
    <w:p>
      <w:pPr>
        <w:spacing w:after="0" w:line="194"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COUNTRY SCHEDULE</w:t>
      </w:r>
    </w:p>
    <w:p>
      <w:pPr>
        <w:spacing w:after="0" w:line="222" w:lineRule="exact"/>
        <w:rPr>
          <w:sz w:val="20"/>
          <w:szCs w:val="20"/>
          <w:color w:val="auto"/>
        </w:rPr>
      </w:pPr>
    </w:p>
    <w:p>
      <w:pPr>
        <w:jc w:val="both"/>
        <w:ind w:left="4"/>
        <w:spacing w:after="0" w:line="24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includes (i) additional terms and conditions applicable to all Participants providing services to the Company outside the United States, and (ii) additional terms applicable to Participants providing services to the Company in the countries identified below. These terms and conditions are in addition to those set forth in the Agreement, unless otherwise noted, and to the extent there are any inconsistencies between these terms and conditions and those set forth in the Agreement, these terms and conditions shall prevail. Any capitalized term used in this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without definition shall have the meaning ascribed to such term in the Plan or the Agreement, as applicable.</w:t>
      </w:r>
    </w:p>
    <w:p>
      <w:pPr>
        <w:spacing w:after="0" w:line="191"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b w:val="1"/>
          <w:bCs w:val="1"/>
          <w:color w:val="auto"/>
        </w:rPr>
        <w:t>Participants are advised to seek appropriate professional advice as to how the relevant exchange control and tax laws in the country of residence may apply to Awards.</w:t>
      </w:r>
    </w:p>
    <w:p>
      <w:pPr>
        <w:spacing w:after="0" w:line="177" w:lineRule="exact"/>
        <w:rPr>
          <w:sz w:val="20"/>
          <w:szCs w:val="20"/>
          <w:color w:val="auto"/>
        </w:rPr>
      </w:pPr>
    </w:p>
    <w:p>
      <w:pPr>
        <w:ind w:left="764" w:hanging="764"/>
        <w:spacing w:after="0"/>
        <w:tabs>
          <w:tab w:leader="none" w:pos="764" w:val="left"/>
        </w:tabs>
        <w:numPr>
          <w:ilvl w:val="0"/>
          <w:numId w:val="47"/>
        </w:numPr>
        <w:rPr>
          <w:rFonts w:ascii="Arial" w:cs="Arial" w:eastAsia="Arial" w:hAnsi="Arial"/>
          <w:sz w:val="18"/>
          <w:szCs w:val="18"/>
          <w:b w:val="1"/>
          <w:bCs w:val="1"/>
          <w:color w:val="auto"/>
        </w:rPr>
      </w:pPr>
      <w:r>
        <w:rPr>
          <w:rFonts w:ascii="Arial" w:cs="Arial" w:eastAsia="Arial" w:hAnsi="Arial"/>
          <w:sz w:val="20"/>
          <w:szCs w:val="20"/>
          <w:b w:val="1"/>
          <w:bCs w:val="1"/>
          <w:color w:val="auto"/>
        </w:rPr>
        <w:t>GLOBAL PROVISIONS APPLICABLE TO PARTICIPANTS IN ALL COUNTRIES OTHER THAN THE UNITED</w:t>
      </w:r>
    </w:p>
    <w:p>
      <w:pPr>
        <w:spacing w:after="0" w:line="26"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20"/>
          <w:szCs w:val="20"/>
          <w:b w:val="1"/>
          <w:bCs w:val="1"/>
          <w:color w:val="auto"/>
        </w:rPr>
        <w:t>STATES</w:t>
      </w:r>
    </w:p>
    <w:p>
      <w:pPr>
        <w:spacing w:after="0" w:line="100" w:lineRule="exact"/>
        <w:rPr>
          <w:sz w:val="20"/>
          <w:szCs w:val="20"/>
          <w:color w:val="auto"/>
        </w:rPr>
      </w:pPr>
    </w:p>
    <w:p>
      <w:pPr>
        <w:ind w:left="324" w:hanging="324"/>
        <w:spacing w:after="0"/>
        <w:tabs>
          <w:tab w:leader="none" w:pos="324" w:val="left"/>
        </w:tabs>
        <w:numPr>
          <w:ilvl w:val="0"/>
          <w:numId w:val="48"/>
        </w:numPr>
        <w:rPr>
          <w:rFonts w:ascii="Arial" w:cs="Arial" w:eastAsia="Arial" w:hAnsi="Arial"/>
          <w:sz w:val="19"/>
          <w:szCs w:val="19"/>
          <w:color w:val="auto"/>
        </w:rPr>
      </w:pPr>
      <w:r>
        <w:rPr>
          <w:rFonts w:ascii="Arial" w:cs="Arial" w:eastAsia="Arial" w:hAnsi="Arial"/>
          <w:sz w:val="19"/>
          <w:szCs w:val="19"/>
          <w:color w:val="auto"/>
        </w:rPr>
        <w:t>General Acknowledgements and Agreements: By acceptance of the Award, the Participant acknowledges and agrees that:</w:t>
      </w:r>
    </w:p>
    <w:p>
      <w:pPr>
        <w:spacing w:after="0" w:line="173" w:lineRule="exact"/>
        <w:rPr>
          <w:rFonts w:ascii="Arial" w:cs="Arial" w:eastAsia="Arial" w:hAnsi="Arial"/>
          <w:sz w:val="19"/>
          <w:szCs w:val="19"/>
          <w:color w:val="auto"/>
        </w:rPr>
      </w:pPr>
    </w:p>
    <w:p>
      <w:pPr>
        <w:jc w:val="both"/>
        <w:ind w:left="4" w:firstLine="645"/>
        <w:spacing w:after="0" w:line="241" w:lineRule="auto"/>
        <w:tabs>
          <w:tab w:leader="none" w:pos="1169" w:val="left"/>
        </w:tabs>
        <w:numPr>
          <w:ilvl w:val="1"/>
          <w:numId w:val="48"/>
        </w:numPr>
        <w:rPr>
          <w:rFonts w:ascii="Arial" w:cs="Arial" w:eastAsia="Arial" w:hAnsi="Arial"/>
          <w:sz w:val="20"/>
          <w:szCs w:val="20"/>
          <w:color w:val="auto"/>
        </w:rPr>
      </w:pPr>
      <w:r>
        <w:rPr>
          <w:rFonts w:ascii="Arial" w:cs="Arial" w:eastAsia="Arial" w:hAnsi="Arial"/>
          <w:sz w:val="20"/>
          <w:szCs w:val="20"/>
          <w:color w:val="auto"/>
        </w:rPr>
        <w:t>No Guarantee of Continued Service. THE VESTING OF THE RESTRICTED STOCK UNITS PURSUANT TO THE VESTING SCHEDULE WILL OCCUR ONLY IF THE PARTICIPANT CONTINUES AS A DIRECTOR, CONSULTANT OR EMPLOYEE (AS APPLICABLE) OF THE COMPANY OR A SUBSIDIARY THROUGH THE APPLICABLE VESTING DATE. THE TRANSACTIONS CONTEMPLATED HEREUNDER AND THE VESTING SCHEDULE DO NOT CONSTITUTE AN EXPRESS OR IMPLIED PROMISE OF CONTINUED ENGAGEMENT AS A DIRECTOR, CONSULTANT OR EMPLOYEE FOR THE VESTING PERIOD, FOR ANY PERIOD, OR AT ALL, AND WILL NOT INTERFERE IN ANY WAY WITH THE RIGHT OF THE COMPANY OR ANY SUBSIDIARY TO EFFECT A TERMINATION OF SERVICES AT ANY TIME, WITH OR WITHOUT CAUSE, NOR SHALL IT BE CONSTRUED TO AMEND OR MODIFY THE TERMS OF ANY CONSULTANCY, DIRECTORSHIP, EMPLOYMENT OR OTHER SERVICE AGREEMENT BETWEEN A PARTICIPANT AND THE COMPANY OR ANY SUBSIDIARY.</w:t>
      </w:r>
    </w:p>
    <w:p>
      <w:pPr>
        <w:spacing w:after="0" w:line="148" w:lineRule="exact"/>
        <w:rPr>
          <w:rFonts w:ascii="Arial" w:cs="Arial" w:eastAsia="Arial" w:hAnsi="Arial"/>
          <w:sz w:val="20"/>
          <w:szCs w:val="20"/>
          <w:color w:val="auto"/>
        </w:rPr>
      </w:pPr>
    </w:p>
    <w:p>
      <w:pPr>
        <w:ind w:left="4" w:firstLine="645"/>
        <w:spacing w:after="0" w:line="260" w:lineRule="auto"/>
        <w:tabs>
          <w:tab w:leader="none" w:pos="1063"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Plan is discretionary in nature and that, subject to the terms of the Plan, the Company can amend, cancel or terminate the Plan at any time.</w:t>
      </w:r>
    </w:p>
    <w:p>
      <w:pPr>
        <w:spacing w:after="0" w:line="122" w:lineRule="exact"/>
        <w:rPr>
          <w:rFonts w:ascii="Arial" w:cs="Arial" w:eastAsia="Arial" w:hAnsi="Arial"/>
          <w:sz w:val="20"/>
          <w:szCs w:val="20"/>
          <w:color w:val="auto"/>
        </w:rPr>
      </w:pPr>
    </w:p>
    <w:p>
      <w:pPr>
        <w:ind w:left="4" w:right="20" w:firstLine="645"/>
        <w:spacing w:after="0" w:line="316" w:lineRule="auto"/>
        <w:tabs>
          <w:tab w:leader="none" w:pos="1128"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grant of the RSUs under the Plan is voluntary and occasional and does not give Participant any contractual or other right to receive RSUs or benefits in lieu of RSUs in the future, even if a Participant has received RSUs repeatedly in the past.</w:t>
      </w:r>
    </w:p>
    <w:p>
      <w:pPr>
        <w:spacing w:after="0" w:line="76" w:lineRule="exact"/>
        <w:rPr>
          <w:rFonts w:ascii="Arial" w:cs="Arial" w:eastAsia="Arial" w:hAnsi="Arial"/>
          <w:sz w:val="18"/>
          <w:szCs w:val="18"/>
          <w:color w:val="auto"/>
        </w:rPr>
      </w:pPr>
    </w:p>
    <w:p>
      <w:pPr>
        <w:jc w:val="both"/>
        <w:ind w:left="4" w:firstLine="645"/>
        <w:spacing w:after="0" w:line="250" w:lineRule="auto"/>
        <w:tabs>
          <w:tab w:leader="none" w:pos="1076" w:val="left"/>
        </w:tabs>
        <w:numPr>
          <w:ilvl w:val="1"/>
          <w:numId w:val="48"/>
        </w:numPr>
        <w:rPr>
          <w:rFonts w:ascii="Arial" w:cs="Arial" w:eastAsia="Arial" w:hAnsi="Arial"/>
          <w:sz w:val="20"/>
          <w:szCs w:val="20"/>
          <w:color w:val="auto"/>
        </w:rPr>
      </w:pPr>
      <w:r>
        <w:rPr>
          <w:rFonts w:ascii="Arial" w:cs="Arial" w:eastAsia="Arial" w:hAnsi="Arial"/>
          <w:sz w:val="20"/>
          <w:szCs w:val="20"/>
          <w:color w:val="auto"/>
        </w:rPr>
        <w:t>All determinations with respect to any future awards, including, but not limited to, the times when awards under the Plan shall be granted and the terms thereof, including the time or times when any RSUs may vest, will be at the sole discretion of the Administrator.</w:t>
      </w:r>
    </w:p>
    <w:p>
      <w:pPr>
        <w:spacing w:after="0" w:line="132" w:lineRule="exact"/>
        <w:rPr>
          <w:rFonts w:ascii="Arial" w:cs="Arial" w:eastAsia="Arial" w:hAnsi="Arial"/>
          <w:sz w:val="20"/>
          <w:szCs w:val="20"/>
          <w:color w:val="auto"/>
        </w:rPr>
      </w:pPr>
    </w:p>
    <w:p>
      <w:pPr>
        <w:ind w:left="1044" w:hanging="395"/>
        <w:spacing w:after="0"/>
        <w:tabs>
          <w:tab w:leader="none" w:pos="1044" w:val="left"/>
        </w:tabs>
        <w:numPr>
          <w:ilvl w:val="1"/>
          <w:numId w:val="48"/>
        </w:numPr>
        <w:rPr>
          <w:rFonts w:ascii="Arial" w:cs="Arial" w:eastAsia="Arial" w:hAnsi="Arial"/>
          <w:sz w:val="20"/>
          <w:szCs w:val="20"/>
          <w:color w:val="auto"/>
        </w:rPr>
      </w:pPr>
      <w:r>
        <w:rPr>
          <w:rFonts w:ascii="Arial" w:cs="Arial" w:eastAsia="Arial" w:hAnsi="Arial"/>
          <w:sz w:val="20"/>
          <w:szCs w:val="20"/>
          <w:color w:val="auto"/>
        </w:rPr>
        <w:t>Participation in the Plan is voluntary.</w:t>
      </w:r>
    </w:p>
    <w:p>
      <w:pPr>
        <w:spacing w:after="0" w:line="161" w:lineRule="exact"/>
        <w:rPr>
          <w:rFonts w:ascii="Arial" w:cs="Arial" w:eastAsia="Arial" w:hAnsi="Arial"/>
          <w:sz w:val="20"/>
          <w:szCs w:val="20"/>
          <w:color w:val="auto"/>
        </w:rPr>
      </w:pPr>
    </w:p>
    <w:p>
      <w:pPr>
        <w:ind w:left="4" w:firstLine="645"/>
        <w:spacing w:after="0" w:line="260" w:lineRule="auto"/>
        <w:tabs>
          <w:tab w:leader="none" w:pos="1241"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value of the RSUs is an extraordinary item of compensation that is outside of the scope of any directorship, consultancy or employment contract or relationship.</w:t>
      </w:r>
    </w:p>
    <w:p>
      <w:pPr>
        <w:spacing w:after="0" w:line="122" w:lineRule="exact"/>
        <w:rPr>
          <w:rFonts w:ascii="Arial" w:cs="Arial" w:eastAsia="Arial" w:hAnsi="Arial"/>
          <w:sz w:val="20"/>
          <w:szCs w:val="20"/>
          <w:color w:val="auto"/>
        </w:rPr>
      </w:pPr>
    </w:p>
    <w:p>
      <w:pPr>
        <w:jc w:val="both"/>
        <w:ind w:left="4" w:firstLine="645"/>
        <w:spacing w:after="0" w:line="250" w:lineRule="auto"/>
        <w:tabs>
          <w:tab w:leader="none" w:pos="1157"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RSUs are not part of normal or expected compensation or salary for any purpose, including, without limitation, calculating severance, resignation, redundancy, end of service payments, bonuses, long-service awards, pension or retirement benefits, or similar payments.</w:t>
      </w:r>
    </w:p>
    <w:p>
      <w:pPr>
        <w:sectPr>
          <w:pgSz w:w="11900" w:h="16838" w:orient="portrait"/>
          <w:cols w:equalWidth="0" w:num="1">
            <w:col w:w="10764"/>
          </w:cols>
          <w:pgMar w:left="896" w:top="967" w:right="239" w:bottom="1440" w:gutter="0" w:footer="0" w:header="0"/>
        </w:sectPr>
      </w:pPr>
    </w:p>
    <w:bookmarkStart w:id="78" w:name="page79"/>
    <w:bookmarkEnd w:id="78"/>
    <w:p>
      <w:pPr>
        <w:ind w:left="4" w:firstLine="645"/>
        <w:spacing w:after="0" w:line="260" w:lineRule="auto"/>
        <w:tabs>
          <w:tab w:leader="none" w:pos="1157"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RSUs shall expire, terminate and be forfeited upon Termination of Services for any reason, except as otherwise explicitly provided in this Agreement and/or the Plan.</w:t>
      </w:r>
    </w:p>
    <w:p>
      <w:pPr>
        <w:spacing w:after="0" w:line="122" w:lineRule="exact"/>
        <w:rPr>
          <w:rFonts w:ascii="Arial" w:cs="Arial" w:eastAsia="Arial" w:hAnsi="Arial"/>
          <w:sz w:val="20"/>
          <w:szCs w:val="20"/>
          <w:color w:val="auto"/>
        </w:rPr>
      </w:pPr>
    </w:p>
    <w:p>
      <w:pPr>
        <w:ind w:left="1024" w:hanging="375"/>
        <w:spacing w:after="0"/>
        <w:tabs>
          <w:tab w:leader="none" w:pos="10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future value of the Shares that may be issued upon vesting of the RSUs is unknown and cannot be predicted with any</w:t>
      </w:r>
    </w:p>
    <w:p>
      <w:pPr>
        <w:spacing w:after="0" w:line="38"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certainty.</w:t>
      </w:r>
    </w:p>
    <w:p>
      <w:pPr>
        <w:spacing w:after="0" w:line="145" w:lineRule="exact"/>
        <w:rPr>
          <w:rFonts w:ascii="Arial" w:cs="Arial" w:eastAsia="Arial" w:hAnsi="Arial"/>
          <w:sz w:val="18"/>
          <w:szCs w:val="18"/>
          <w:color w:val="auto"/>
        </w:rPr>
      </w:pPr>
    </w:p>
    <w:p>
      <w:pPr>
        <w:ind w:left="4" w:firstLine="645"/>
        <w:spacing w:after="0" w:line="260" w:lineRule="auto"/>
        <w:tabs>
          <w:tab w:leader="none" w:pos="1059" w:val="left"/>
        </w:tabs>
        <w:numPr>
          <w:ilvl w:val="1"/>
          <w:numId w:val="49"/>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arises from the expiration, termination or forfeiture of the RSUs or any portion thereof.</w:t>
      </w:r>
    </w:p>
    <w:p>
      <w:pPr>
        <w:spacing w:after="0" w:line="122" w:lineRule="exact"/>
        <w:rPr>
          <w:rFonts w:ascii="Arial" w:cs="Arial" w:eastAsia="Arial" w:hAnsi="Arial"/>
          <w:sz w:val="20"/>
          <w:szCs w:val="20"/>
          <w:color w:val="auto"/>
        </w:rPr>
      </w:pPr>
    </w:p>
    <w:p>
      <w:pPr>
        <w:jc w:val="both"/>
        <w:ind w:left="4" w:firstLine="645"/>
        <w:spacing w:after="0" w:line="246" w:lineRule="auto"/>
        <w:tabs>
          <w:tab w:leader="none" w:pos="1103" w:val="left"/>
        </w:tabs>
        <w:numPr>
          <w:ilvl w:val="1"/>
          <w:numId w:val="49"/>
        </w:numPr>
        <w:rPr>
          <w:rFonts w:ascii="Arial" w:cs="Arial" w:eastAsia="Arial" w:hAnsi="Arial"/>
          <w:sz w:val="20"/>
          <w:szCs w:val="20"/>
          <w:color w:val="auto"/>
        </w:rPr>
      </w:pPr>
      <w:r>
        <w:rPr>
          <w:rFonts w:ascii="Arial" w:cs="Arial" w:eastAsia="Arial" w:hAnsi="Arial"/>
          <w:sz w:val="20"/>
          <w:szCs w:val="20"/>
          <w:color w:val="auto"/>
        </w:rPr>
        <w:t>Neither the Company nor any Subsidiary has provided, nor will they provide, any Participant with specific tax, legal or financial advice with respect to the RSUs, the Shares issuable upon vesting of RSUs, this Agreement or the Plan. Neither the Company nor any Subsidiary is making, nor have they made, any recommendations relating to participation in the Plan, the receipt of the RSUs or the acquisition or sale of Shares upon receipt of RSUs.</w:t>
      </w:r>
    </w:p>
    <w:p>
      <w:pPr>
        <w:spacing w:after="0" w:line="137" w:lineRule="exact"/>
        <w:rPr>
          <w:rFonts w:ascii="Arial" w:cs="Arial" w:eastAsia="Arial" w:hAnsi="Arial"/>
          <w:sz w:val="20"/>
          <w:szCs w:val="20"/>
          <w:color w:val="auto"/>
        </w:rPr>
      </w:pPr>
    </w:p>
    <w:p>
      <w:pPr>
        <w:jc w:val="both"/>
        <w:ind w:left="4" w:firstLine="645"/>
        <w:spacing w:after="0" w:line="250" w:lineRule="auto"/>
        <w:tabs>
          <w:tab w:leader="none" w:pos="1127"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Participant shall bear any and all risk associated with the exchange of currency and the fluctuation of currency exchange rates in connection with this Award, including without limitation in connection with the sale of any Shares issued upon vesting of the RSUs.</w:t>
      </w:r>
    </w:p>
    <w:p>
      <w:pPr>
        <w:spacing w:after="0" w:line="132" w:lineRule="exact"/>
        <w:rPr>
          <w:rFonts w:ascii="Arial" w:cs="Arial" w:eastAsia="Arial" w:hAnsi="Arial"/>
          <w:sz w:val="20"/>
          <w:szCs w:val="20"/>
          <w:color w:val="auto"/>
        </w:rPr>
      </w:pPr>
    </w:p>
    <w:p>
      <w:pPr>
        <w:jc w:val="both"/>
        <w:ind w:left="4" w:firstLine="645"/>
        <w:spacing w:after="0" w:line="250" w:lineRule="auto"/>
        <w:tabs>
          <w:tab w:leader="none" w:pos="1185" w:val="left"/>
        </w:tabs>
        <w:numPr>
          <w:ilvl w:val="1"/>
          <w:numId w:val="49"/>
        </w:numPr>
        <w:rPr>
          <w:rFonts w:ascii="Arial" w:cs="Arial" w:eastAsia="Arial" w:hAnsi="Arial"/>
          <w:sz w:val="20"/>
          <w:szCs w:val="20"/>
          <w:color w:val="auto"/>
        </w:rPr>
      </w:pPr>
      <w:r>
        <w:rPr>
          <w:rFonts w:ascii="Arial" w:cs="Arial" w:eastAsia="Arial" w:hAnsi="Arial"/>
          <w:sz w:val="20"/>
          <w:szCs w:val="20"/>
          <w:color w:val="auto"/>
        </w:rPr>
        <w:t>It shall be the Participant’s responsibility to comply with any and all exchange control requirements applicable to the RSUs and the sale of Shares issued upon vesting of the RSUs and any resulting funds including, without limitation, reporting or repatriation requirements.</w:t>
      </w:r>
    </w:p>
    <w:p>
      <w:pPr>
        <w:spacing w:after="0" w:line="132" w:lineRule="exact"/>
        <w:rPr>
          <w:rFonts w:ascii="Arial" w:cs="Arial" w:eastAsia="Arial" w:hAnsi="Arial"/>
          <w:sz w:val="20"/>
          <w:szCs w:val="20"/>
          <w:color w:val="auto"/>
        </w:rPr>
      </w:pPr>
    </w:p>
    <w:p>
      <w:pPr>
        <w:jc w:val="both"/>
        <w:ind w:left="4" w:firstLine="645"/>
        <w:spacing w:after="0" w:line="291" w:lineRule="auto"/>
        <w:tabs>
          <w:tab w:leader="none" w:pos="1063"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Participant shall be responsible for legal compliance requirements relating to the RSUs or the ownership and possible sale of any Shares issued upon vesting of the RSUs, including, but not limited to, tax reporting, the exchange of U.S. dollars into or from local currency, the transfer of funds to or from the United States, and the opening and use of a U.S. brokerage account.</w:t>
      </w:r>
    </w:p>
    <w:p>
      <w:pPr>
        <w:spacing w:after="0" w:line="97" w:lineRule="exact"/>
        <w:rPr>
          <w:rFonts w:ascii="Arial" w:cs="Arial" w:eastAsia="Arial" w:hAnsi="Arial"/>
          <w:sz w:val="18"/>
          <w:szCs w:val="18"/>
          <w:color w:val="auto"/>
        </w:rPr>
      </w:pPr>
    </w:p>
    <w:p>
      <w:pPr>
        <w:jc w:val="both"/>
        <w:ind w:left="4" w:firstLine="645"/>
        <w:spacing w:after="0" w:line="244" w:lineRule="auto"/>
        <w:tabs>
          <w:tab w:leader="none" w:pos="1117" w:val="left"/>
        </w:tabs>
        <w:numPr>
          <w:ilvl w:val="1"/>
          <w:numId w:val="49"/>
        </w:numPr>
        <w:rPr>
          <w:rFonts w:ascii="Arial" w:cs="Arial" w:eastAsia="Arial" w:hAnsi="Arial"/>
          <w:sz w:val="20"/>
          <w:szCs w:val="20"/>
          <w:color w:val="auto"/>
        </w:rPr>
      </w:pPr>
      <w:r>
        <w:rPr>
          <w:rFonts w:ascii="Arial" w:cs="Arial" w:eastAsia="Arial" w:hAnsi="Arial"/>
          <w:sz w:val="20"/>
          <w:szCs w:val="20"/>
          <w:color w:val="auto"/>
        </w:rPr>
        <w:t>If this Agreement, the Plan, any website or any other document related to the RSUs is translated into a language other than English, and if the translated version is different from the English version, the English language version will take precedence. By acceptance of the RSUs, the Participant confirms having read and understood the documents relating to the Plan and the RSUs, including, without limitation, this Agreement, which were provided in English, and waives any requirement for the Company to provide these documents in any other language.</w:t>
      </w:r>
    </w:p>
    <w:p>
      <w:pPr>
        <w:spacing w:after="0" w:line="140" w:lineRule="exact"/>
        <w:rPr>
          <w:rFonts w:ascii="Arial" w:cs="Arial" w:eastAsia="Arial" w:hAnsi="Arial"/>
          <w:sz w:val="20"/>
          <w:szCs w:val="20"/>
          <w:color w:val="auto"/>
        </w:rPr>
      </w:pPr>
    </w:p>
    <w:p>
      <w:pPr>
        <w:jc w:val="both"/>
        <w:ind w:left="4" w:firstLine="645"/>
        <w:spacing w:after="0" w:line="260" w:lineRule="auto"/>
        <w:tabs>
          <w:tab w:leader="none" w:pos="1112" w:val="left"/>
        </w:tabs>
        <w:numPr>
          <w:ilvl w:val="1"/>
          <w:numId w:val="49"/>
        </w:numPr>
        <w:rPr>
          <w:rFonts w:ascii="Arial" w:cs="Arial" w:eastAsia="Arial" w:hAnsi="Arial"/>
          <w:sz w:val="19"/>
          <w:szCs w:val="19"/>
          <w:color w:val="auto"/>
        </w:rPr>
      </w:pPr>
      <w:r>
        <w:rPr>
          <w:rFonts w:ascii="Arial" w:cs="Arial" w:eastAsia="Arial" w:hAnsi="Arial"/>
          <w:sz w:val="19"/>
          <w:szCs w:val="19"/>
          <w:color w:val="auto"/>
        </w:rPr>
        <w:t>The Participant’s right to vest in the RSUs will terminate effective as of the date that is the earlier of (1) the effective date of the Participant’s Termination of Services (whether or not in breach of local labor laws), or (2) the date he or she is no longer actively providing services, regardless of any notice period or period of pay in lieu of such notice required under applicable laws (including, but not limited to statutory law, regulatory law and/or common law); the Company shall have the exclusive discretion to determine when the Participant is no longer actively providing services for purposes of the RSUs.</w:t>
      </w:r>
    </w:p>
    <w:p>
      <w:pPr>
        <w:spacing w:after="0" w:line="126" w:lineRule="exact"/>
        <w:rPr>
          <w:rFonts w:ascii="Arial" w:cs="Arial" w:eastAsia="Arial" w:hAnsi="Arial"/>
          <w:sz w:val="19"/>
          <w:szCs w:val="19"/>
          <w:color w:val="auto"/>
        </w:rPr>
      </w:pPr>
    </w:p>
    <w:p>
      <w:pPr>
        <w:ind w:left="4" w:firstLine="645"/>
        <w:spacing w:after="0" w:line="260" w:lineRule="auto"/>
        <w:tabs>
          <w:tab w:leader="none" w:pos="1063" w:val="left"/>
        </w:tabs>
        <w:numPr>
          <w:ilvl w:val="1"/>
          <w:numId w:val="49"/>
        </w:numPr>
        <w:rPr>
          <w:rFonts w:ascii="Arial" w:cs="Arial" w:eastAsia="Arial" w:hAnsi="Arial"/>
          <w:sz w:val="20"/>
          <w:szCs w:val="20"/>
          <w:color w:val="auto"/>
        </w:rPr>
      </w:pPr>
      <w:r>
        <w:rPr>
          <w:rFonts w:ascii="Arial" w:cs="Arial" w:eastAsia="Arial" w:hAnsi="Arial"/>
          <w:sz w:val="20"/>
          <w:szCs w:val="20"/>
          <w:color w:val="auto"/>
        </w:rPr>
        <w:t xml:space="preserve">To the extent the Participant is providing services in a country identified in Section II of this </w:t>
      </w:r>
      <w:r>
        <w:rPr>
          <w:rFonts w:ascii="Arial" w:cs="Arial" w:eastAsia="Arial" w:hAnsi="Arial"/>
          <w:sz w:val="20"/>
          <w:szCs w:val="20"/>
          <w:u w:val="single" w:color="auto"/>
          <w:color w:val="auto"/>
        </w:rPr>
        <w:t>Schedule A</w:t>
      </w:r>
      <w:r>
        <w:rPr>
          <w:rFonts w:ascii="Arial" w:cs="Arial" w:eastAsia="Arial" w:hAnsi="Arial"/>
          <w:sz w:val="20"/>
          <w:szCs w:val="20"/>
          <w:color w:val="auto"/>
        </w:rPr>
        <w:t>, such Participant understands and agrees that the provisions for such country apply and are incorporated into the Agreement.</w:t>
      </w:r>
    </w:p>
    <w:p>
      <w:pPr>
        <w:spacing w:after="0" w:line="252" w:lineRule="exact"/>
        <w:rPr>
          <w:rFonts w:ascii="Arial" w:cs="Arial" w:eastAsia="Arial" w:hAnsi="Arial"/>
          <w:sz w:val="20"/>
          <w:szCs w:val="20"/>
          <w:color w:val="auto"/>
        </w:rPr>
      </w:pPr>
    </w:p>
    <w:p>
      <w:pPr>
        <w:jc w:val="both"/>
        <w:ind w:left="4" w:hanging="4"/>
        <w:spacing w:after="0" w:line="262" w:lineRule="auto"/>
        <w:tabs>
          <w:tab w:leader="none" w:pos="332"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Consent to Personal Data Processing and Transfer. </w:t>
      </w:r>
      <w:r>
        <w:rPr>
          <w:rFonts w:ascii="Arial" w:cs="Arial" w:eastAsia="Arial" w:hAnsi="Arial"/>
          <w:sz w:val="19"/>
          <w:szCs w:val="19"/>
          <w:color w:val="auto"/>
        </w:rPr>
        <w:t>The Company may hold, and by accepting the RSUs the Participant consents</w:t>
      </w:r>
      <w:r>
        <w:rPr>
          <w:rFonts w:ascii="Arial" w:cs="Arial" w:eastAsia="Arial" w:hAnsi="Arial"/>
          <w:sz w:val="19"/>
          <w:szCs w:val="19"/>
          <w:b w:val="1"/>
          <w:bCs w:val="1"/>
          <w:color w:val="auto"/>
        </w:rPr>
        <w:t xml:space="preserve"> </w:t>
      </w:r>
      <w:r>
        <w:rPr>
          <w:rFonts w:ascii="Arial" w:cs="Arial" w:eastAsia="Arial" w:hAnsi="Arial"/>
          <w:sz w:val="19"/>
          <w:szCs w:val="19"/>
          <w:color w:val="auto"/>
        </w:rPr>
        <w:t>to their holding, personal information, including the Participant’s name, home address, telephone number, date of birth, social security number or other Employee tax identification number, national identification number, passport number, employment history and status, salary, nationality, job title, and information about any equity compensation grants or Shares awarded, cancelled, purchased, vested, unvested or outstanding in the Participant’s favor (the “</w:t>
      </w:r>
      <w:r>
        <w:rPr>
          <w:rFonts w:ascii="Arial" w:cs="Arial" w:eastAsia="Arial" w:hAnsi="Arial"/>
          <w:sz w:val="19"/>
          <w:szCs w:val="19"/>
          <w:u w:val="single" w:color="auto"/>
          <w:color w:val="auto"/>
        </w:rPr>
        <w:t>Data</w:t>
      </w:r>
      <w:r>
        <w:rPr>
          <w:rFonts w:ascii="Arial" w:cs="Arial" w:eastAsia="Arial" w:hAnsi="Arial"/>
          <w:sz w:val="19"/>
          <w:szCs w:val="19"/>
          <w:color w:val="auto"/>
        </w:rPr>
        <w:t>”).</w:t>
      </w:r>
    </w:p>
    <w:p>
      <w:pPr>
        <w:spacing w:after="0" w:line="177" w:lineRule="exact"/>
        <w:rPr>
          <w:sz w:val="20"/>
          <w:szCs w:val="20"/>
          <w:color w:val="auto"/>
        </w:rPr>
      </w:pPr>
    </w:p>
    <w:p>
      <w:pPr>
        <w:ind w:left="4"/>
        <w:spacing w:after="0" w:line="260" w:lineRule="auto"/>
        <w:rPr>
          <w:sz w:val="20"/>
          <w:szCs w:val="20"/>
          <w:color w:val="auto"/>
        </w:rPr>
      </w:pPr>
      <w:r>
        <w:rPr>
          <w:rFonts w:ascii="Arial" w:cs="Arial" w:eastAsia="Arial" w:hAnsi="Arial"/>
          <w:sz w:val="20"/>
          <w:szCs w:val="20"/>
          <w:color w:val="auto"/>
        </w:rPr>
        <w:t>The Company uses the Data for the purpose of implementing, managing and administering the Plan and for compliance and financial reporting purposes (the “</w:t>
      </w:r>
      <w:r>
        <w:rPr>
          <w:rFonts w:ascii="Arial" w:cs="Arial" w:eastAsia="Arial" w:hAnsi="Arial"/>
          <w:sz w:val="20"/>
          <w:szCs w:val="20"/>
          <w:u w:val="single" w:color="auto"/>
          <w:color w:val="auto"/>
        </w:rPr>
        <w:t>Purpose</w:t>
      </w:r>
      <w:r>
        <w:rPr>
          <w:rFonts w:ascii="Arial" w:cs="Arial" w:eastAsia="Arial" w:hAnsi="Arial"/>
          <w:sz w:val="20"/>
          <w:szCs w:val="20"/>
          <w:color w:val="auto"/>
        </w:rPr>
        <w:t>”).</w:t>
      </w:r>
    </w:p>
    <w:p>
      <w:pPr>
        <w:sectPr>
          <w:pgSz w:w="11900" w:h="16838" w:orient="portrait"/>
          <w:cols w:equalWidth="0" w:num="1">
            <w:col w:w="10764"/>
          </w:cols>
          <w:pgMar w:left="896" w:top="663" w:right="239" w:bottom="1440" w:gutter="0" w:footer="0" w:header="0"/>
        </w:sectPr>
      </w:pPr>
    </w:p>
    <w:bookmarkStart w:id="79" w:name="page80"/>
    <w:bookmarkEnd w:id="79"/>
    <w:p>
      <w:pPr>
        <w:jc w:val="both"/>
        <w:ind w:left="4"/>
        <w:spacing w:after="0" w:line="244" w:lineRule="auto"/>
        <w:rPr>
          <w:sz w:val="20"/>
          <w:szCs w:val="20"/>
          <w:color w:val="auto"/>
        </w:rPr>
      </w:pPr>
      <w:r>
        <w:rPr>
          <w:rFonts w:ascii="Arial" w:cs="Arial" w:eastAsia="Arial" w:hAnsi="Arial"/>
          <w:sz w:val="20"/>
          <w:szCs w:val="20"/>
          <w:color w:val="auto"/>
        </w:rPr>
        <w:t>The Company may transfer, and by accepting the RSUs the Participant consents to any such transfer of, the Data to the Company’s Subsidiaries or to other entities to assist the Company in the Purpose. The Company may also make the Data available to public authorities where required by law or regulation. The third parties and public authorities may be located in the United States, the European Economic Area, or elsewhere, including in territories where data protection laws may not be as protective as in the Participant’s jurisdiction of residence.</w:t>
      </w:r>
    </w:p>
    <w:p>
      <w:pPr>
        <w:spacing w:after="0" w:line="195" w:lineRule="exact"/>
        <w:rPr>
          <w:sz w:val="20"/>
          <w:szCs w:val="20"/>
          <w:color w:val="auto"/>
        </w:rPr>
      </w:pPr>
    </w:p>
    <w:p>
      <w:pPr>
        <w:jc w:val="both"/>
        <w:ind w:left="4"/>
        <w:spacing w:after="0" w:line="272" w:lineRule="auto"/>
        <w:rPr>
          <w:sz w:val="20"/>
          <w:szCs w:val="20"/>
          <w:color w:val="auto"/>
        </w:rPr>
      </w:pPr>
      <w:r>
        <w:rPr>
          <w:rFonts w:ascii="Arial" w:cs="Arial" w:eastAsia="Arial" w:hAnsi="Arial"/>
          <w:sz w:val="18"/>
          <w:szCs w:val="18"/>
          <w:color w:val="auto"/>
        </w:rPr>
        <w:t>The Participant may, at any time, review the Data, require any necessary amendments to it or withdraw the consents given herein in writing by contacting the Company through the Participant’s local human resources representative. In order to withdraw consent, the Participant must do so by writing to the Company’s Stock Administration Department, [____________________________], or sending</w:t>
      </w:r>
    </w:p>
    <w:p>
      <w:pPr>
        <w:spacing w:after="0" w:line="1"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an email to </w:t>
      </w:r>
      <w:r>
        <w:rPr>
          <w:rFonts w:ascii="Arial" w:cs="Arial" w:eastAsia="Arial" w:hAnsi="Arial"/>
          <w:sz w:val="19"/>
          <w:szCs w:val="19"/>
          <w:u w:val="single" w:color="auto"/>
          <w:color w:val="0000FF"/>
        </w:rPr>
        <w:t>[_______________]</w:t>
      </w:r>
      <w:r>
        <w:rPr>
          <w:rFonts w:ascii="Arial" w:cs="Arial" w:eastAsia="Arial" w:hAnsi="Arial"/>
          <w:sz w:val="19"/>
          <w:szCs w:val="19"/>
          <w:color w:val="auto"/>
        </w:rPr>
        <w:t>. If the Participant withdraws consent, the Company will not be able to administer this award.</w:t>
      </w:r>
    </w:p>
    <w:p>
      <w:pPr>
        <w:spacing w:after="0" w:line="11" w:lineRule="exact"/>
        <w:rPr>
          <w:sz w:val="20"/>
          <w:szCs w:val="20"/>
          <w:color w:val="auto"/>
        </w:rPr>
      </w:pPr>
    </w:p>
    <w:p>
      <w:pPr>
        <w:ind w:left="4"/>
        <w:spacing w:after="0"/>
        <w:rPr>
          <w:sz w:val="20"/>
          <w:szCs w:val="20"/>
          <w:color w:val="auto"/>
        </w:rPr>
      </w:pPr>
      <w:r>
        <w:rPr>
          <w:rFonts w:ascii="Arial" w:cs="Arial" w:eastAsia="Arial" w:hAnsi="Arial"/>
          <w:sz w:val="20"/>
          <w:szCs w:val="20"/>
          <w:color w:val="auto"/>
        </w:rPr>
        <w:t>Accordingly, upon withdrawal of such consent, this Award will be cancelled when such withdrawal is received.</w:t>
      </w:r>
    </w:p>
    <w:p>
      <w:pPr>
        <w:spacing w:after="0" w:line="194" w:lineRule="exact"/>
        <w:rPr>
          <w:sz w:val="20"/>
          <w:szCs w:val="20"/>
          <w:color w:val="auto"/>
        </w:rPr>
      </w:pPr>
    </w:p>
    <w:p>
      <w:pPr>
        <w:jc w:val="both"/>
        <w:ind w:left="4"/>
        <w:spacing w:after="0" w:line="293" w:lineRule="auto"/>
        <w:rPr>
          <w:sz w:val="20"/>
          <w:szCs w:val="20"/>
          <w:color w:val="auto"/>
        </w:rPr>
      </w:pPr>
      <w:r>
        <w:rPr>
          <w:rFonts w:ascii="Arial" w:cs="Arial" w:eastAsia="Arial" w:hAnsi="Arial"/>
          <w:sz w:val="19"/>
          <w:szCs w:val="19"/>
          <w:b w:val="1"/>
          <w:bCs w:val="1"/>
          <w:color w:val="auto"/>
        </w:rPr>
        <w:t>The Participant agrees that the Company and third parties may process Data as described above and below, including transfer to and use in countries in which data protection laws may not be as protective as in jurisdiction of residence.</w:t>
      </w:r>
    </w:p>
    <w:p>
      <w:pPr>
        <w:spacing w:after="0" w:line="142" w:lineRule="exact"/>
        <w:rPr>
          <w:sz w:val="20"/>
          <w:szCs w:val="20"/>
          <w:color w:val="auto"/>
        </w:rPr>
      </w:pPr>
    </w:p>
    <w:p>
      <w:pPr>
        <w:ind w:left="1304" w:right="420" w:hanging="1304"/>
        <w:spacing w:after="0" w:line="267" w:lineRule="auto"/>
        <w:tabs>
          <w:tab w:leader="none" w:pos="656" w:val="left"/>
        </w:tabs>
        <w:numPr>
          <w:ilvl w:val="0"/>
          <w:numId w:val="51"/>
        </w:numPr>
        <w:rPr>
          <w:rFonts w:ascii="Arial" w:cs="Arial" w:eastAsia="Arial" w:hAnsi="Arial"/>
          <w:sz w:val="18"/>
          <w:szCs w:val="18"/>
          <w:color w:val="auto"/>
        </w:rPr>
      </w:pPr>
      <w:r>
        <w:rPr>
          <w:rFonts w:ascii="Arial" w:cs="Arial" w:eastAsia="Arial" w:hAnsi="Arial"/>
          <w:sz w:val="20"/>
          <w:szCs w:val="20"/>
          <w:b w:val="1"/>
          <w:bCs w:val="1"/>
          <w:color w:val="auto"/>
        </w:rPr>
        <w:t>COUNTRY SPECIFIC PROVISIONS APPLICABLE TO PARTICIPANTS WHO PROVIDE SERVICES IN THE IDENTIFIED COUNTRIES</w:t>
      </w:r>
    </w:p>
    <w:p>
      <w:pPr>
        <w:sectPr>
          <w:pgSz w:w="11900" w:h="16838" w:orient="portrait"/>
          <w:cols w:equalWidth="0" w:num="1">
            <w:col w:w="10764"/>
          </w:cols>
          <w:pgMar w:left="896" w:top="798"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0"/>
          <w:szCs w:val="20"/>
          <w:b w:val="1"/>
          <w:bCs w:val="1"/>
          <w:u w:val="single" w:color="auto"/>
          <w:color w:val="auto"/>
        </w:rPr>
        <w:t>FRANCE</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France</w:t>
      </w:r>
      <w:r>
        <w:rPr>
          <w:rFonts w:ascii="Arial" w:cs="Arial" w:eastAsia="Arial" w:hAnsi="Arial"/>
          <w:sz w:val="20"/>
          <w:szCs w:val="20"/>
          <w:color w:val="auto"/>
        </w:rPr>
        <w:t xml:space="preserve"> provide additional definitions and conditions for the purpose of granting restricted stock units (the “</w:t>
      </w:r>
      <w:r>
        <w:rPr>
          <w:rFonts w:ascii="Arial" w:cs="Arial" w:eastAsia="Arial" w:hAnsi="Arial"/>
          <w:sz w:val="20"/>
          <w:szCs w:val="20"/>
          <w:u w:val="single" w:color="auto"/>
          <w:color w:val="auto"/>
        </w:rPr>
        <w:t>RSUs</w:t>
      </w:r>
      <w:r>
        <w:rPr>
          <w:rFonts w:ascii="Arial" w:cs="Arial" w:eastAsia="Arial" w:hAnsi="Arial"/>
          <w:sz w:val="20"/>
          <w:szCs w:val="20"/>
          <w:color w:val="auto"/>
        </w:rPr>
        <w:t>”) which are intended to qualify for specific French personal income tax and social security treatment in France applicable to shares granted for no consideration under Articles L. 225-197-1 to L. 225-197-6 of the French Commercial Code (</w:t>
      </w:r>
      <w:r>
        <w:rPr>
          <w:rFonts w:ascii="Arial" w:cs="Arial" w:eastAsia="Arial" w:hAnsi="Arial"/>
          <w:sz w:val="20"/>
          <w:szCs w:val="20"/>
          <w:i w:val="1"/>
          <w:iCs w:val="1"/>
          <w:color w:val="auto"/>
        </w:rPr>
        <w:t>Code de Commerce</w:t>
      </w:r>
      <w:r>
        <w:rPr>
          <w:rFonts w:ascii="Arial" w:cs="Arial" w:eastAsia="Arial" w:hAnsi="Arial"/>
          <w:sz w:val="20"/>
          <w:szCs w:val="20"/>
          <w:color w:val="auto"/>
        </w:rPr>
        <w:t>), for qualifying Employees and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who are resident in France for French tax purposes.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any other provisions of the Plan and the Sub-Plan, RSUs granted under this Country Schedule France to Participants resident in France are subject to the additional following conditions:</w:t>
      </w:r>
    </w:p>
    <w:p>
      <w:pPr>
        <w:spacing w:after="0" w:line="190" w:lineRule="exact"/>
        <w:rPr>
          <w:sz w:val="20"/>
          <w:szCs w:val="20"/>
          <w:color w:val="auto"/>
        </w:rPr>
      </w:pPr>
    </w:p>
    <w:p>
      <w:pPr>
        <w:jc w:val="both"/>
        <w:ind w:firstLine="645"/>
        <w:spacing w:after="0" w:line="290" w:lineRule="auto"/>
        <w:tabs>
          <w:tab w:leader="none" w:pos="1431" w:val="left"/>
        </w:tabs>
        <w:numPr>
          <w:ilvl w:val="0"/>
          <w:numId w:val="52"/>
        </w:numPr>
        <w:rPr>
          <w:rFonts w:ascii="Arial" w:cs="Arial" w:eastAsia="Arial" w:hAnsi="Arial"/>
          <w:sz w:val="17"/>
          <w:szCs w:val="17"/>
          <w:color w:val="auto"/>
        </w:rPr>
      </w:pPr>
      <w:r>
        <w:rPr>
          <w:rFonts w:ascii="Arial" w:cs="Arial" w:eastAsia="Arial" w:hAnsi="Arial"/>
          <w:sz w:val="19"/>
          <w:szCs w:val="19"/>
          <w:u w:val="single" w:color="auto"/>
          <w:color w:val="auto"/>
        </w:rPr>
        <w:t>Death, Disability or Retirement</w:t>
      </w:r>
      <w:r>
        <w:rPr>
          <w:rFonts w:ascii="Arial" w:cs="Arial" w:eastAsia="Arial" w:hAnsi="Arial"/>
          <w:sz w:val="19"/>
          <w:szCs w:val="19"/>
          <w:color w:val="auto"/>
        </w:rPr>
        <w:t>. In the event of Participant’s death prior to the Vesting Date, all of the RSUs will vest immediately and the underlying Shares shall be issued to his or her heirs, at their request made within 6 months following the Participant’s date of death. In the event of the Participant’s Disability (as defined below) prior to the Vesting Date, all of the RSUs will vest and be immediately transferable as of the date of such Disability. In the event of Participant’s Retirement (as defined below) prior to the Vesting Date, the Participant will retain the right to receive vested RSUs on the Vesting Date.</w:t>
      </w:r>
    </w:p>
    <w:p>
      <w:pPr>
        <w:spacing w:after="0" w:line="192" w:lineRule="exact"/>
        <w:rPr>
          <w:rFonts w:ascii="Arial" w:cs="Arial" w:eastAsia="Arial" w:hAnsi="Arial"/>
          <w:sz w:val="17"/>
          <w:szCs w:val="17"/>
          <w:color w:val="auto"/>
        </w:rPr>
      </w:pPr>
    </w:p>
    <w:p>
      <w:pPr>
        <w:ind w:left="1420" w:hanging="775"/>
        <w:spacing w:after="0"/>
        <w:tabs>
          <w:tab w:leader="none" w:pos="1420" w:val="left"/>
        </w:tabs>
        <w:numPr>
          <w:ilvl w:val="0"/>
          <w:numId w:val="52"/>
        </w:numPr>
        <w:rPr>
          <w:rFonts w:ascii="Arial" w:cs="Arial" w:eastAsia="Arial" w:hAnsi="Arial"/>
          <w:sz w:val="16"/>
          <w:szCs w:val="16"/>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Prior to the Vesting Date, the Participant will not be entitled to receive Dividend Equivalents</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on the RSUs.</w:t>
      </w:r>
    </w:p>
    <w:p>
      <w:pPr>
        <w:spacing w:after="0" w:line="256" w:lineRule="exact"/>
        <w:rPr>
          <w:rFonts w:ascii="Arial" w:cs="Arial" w:eastAsia="Arial" w:hAnsi="Arial"/>
          <w:sz w:val="16"/>
          <w:szCs w:val="16"/>
          <w:color w:val="auto"/>
        </w:rPr>
      </w:pPr>
    </w:p>
    <w:p>
      <w:pPr>
        <w:jc w:val="both"/>
        <w:ind w:firstLine="645"/>
        <w:spacing w:after="0" w:line="274" w:lineRule="auto"/>
        <w:tabs>
          <w:tab w:leader="none" w:pos="1431" w:val="left"/>
        </w:tabs>
        <w:numPr>
          <w:ilvl w:val="0"/>
          <w:numId w:val="52"/>
        </w:numPr>
        <w:rPr>
          <w:rFonts w:ascii="Arial" w:cs="Arial" w:eastAsia="Arial" w:hAnsi="Arial"/>
          <w:sz w:val="18"/>
          <w:szCs w:val="18"/>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Section 3 of the Agreement, in the event of a corporate transaction or a Change in Control as set forth in Section 2.11 of the Plan, adjustments to the terms and conditions of the RSUs or underlying Shares may be made only in accordance with the Plan and the Agreement, in which cases the RSUs may no longer qualify for specific French personal income tax and social security treatment.</w:t>
      </w:r>
    </w:p>
    <w:p>
      <w:pPr>
        <w:spacing w:after="0" w:line="205" w:lineRule="exact"/>
        <w:rPr>
          <w:rFonts w:ascii="Arial" w:cs="Arial" w:eastAsia="Arial" w:hAnsi="Arial"/>
          <w:sz w:val="18"/>
          <w:szCs w:val="18"/>
          <w:color w:val="auto"/>
        </w:rPr>
      </w:pPr>
    </w:p>
    <w:p>
      <w:pPr>
        <w:jc w:val="both"/>
        <w:ind w:firstLine="645"/>
        <w:spacing w:after="0" w:line="274" w:lineRule="auto"/>
        <w:tabs>
          <w:tab w:leader="none" w:pos="1431" w:val="left"/>
        </w:tabs>
        <w:numPr>
          <w:ilvl w:val="0"/>
          <w:numId w:val="52"/>
        </w:numPr>
        <w:rPr>
          <w:rFonts w:ascii="Arial" w:cs="Arial" w:eastAsia="Arial" w:hAnsi="Arial"/>
          <w:sz w:val="18"/>
          <w:szCs w:val="18"/>
          <w:color w:val="auto"/>
        </w:rPr>
      </w:pPr>
      <w:r>
        <w:rPr>
          <w:rFonts w:ascii="Arial" w:cs="Arial" w:eastAsia="Arial" w:hAnsi="Arial"/>
          <w:sz w:val="20"/>
          <w:szCs w:val="20"/>
          <w:u w:val="single" w:color="auto"/>
          <w:color w:val="auto"/>
        </w:rPr>
        <w:t>Privacy</w:t>
      </w:r>
      <w:r>
        <w:rPr>
          <w:rFonts w:ascii="Arial" w:cs="Arial" w:eastAsia="Arial" w:hAnsi="Arial"/>
          <w:sz w:val="20"/>
          <w:szCs w:val="20"/>
          <w:color w:val="auto"/>
        </w:rPr>
        <w:t>. The Company may hold and collect personal information, including the Participant’s name, home address, telephone number, date of birth, Employee tax identification number, employment history and status, salary, nationality, job title and information about any equity compensation grants or Shares awarded, cancelled, purchased, vested, unvested or outstanding in the Participant’s favor (the “Data”).</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processing of the Data by the Company is necessary for the performance of the Agreement and is carried out for the purpose of implementing, managing and administering the Plan. The processing of the Data by the Company is also necessary for compliance and financial reporting purposes so as to allow the Company to comply with legal obligations in this respect, or to pursue legitimate interests.</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Company may transfer the Data to the Company’s Subsidiaries or to other entities to assist the Company in the purposes mentioned above. The Company may also make the Data available to public authorities where required by law or regulation. The third parties and public authorities may be located in the United States, the European Economic Area, or elsewhere, including in territories where data protection laws may not be as protective as in the Participant’s jurisdiction of residence. Such transfer outside of the European Economic Area is necessary for the performance of the Agreement. Participant may request a list with the names and addresses of all recipients of the Data by contacting his or her local human resources representative.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Data will be held only as long as is necessary to implement, administer and manage Participant’s participation in the Plan.</w:t>
      </w:r>
    </w:p>
    <w:p>
      <w:pPr>
        <w:sectPr>
          <w:pgSz w:w="11900" w:h="16838" w:orient="portrait"/>
          <w:cols w:equalWidth="0" w:num="1">
            <w:col w:w="10760"/>
          </w:cols>
          <w:pgMar w:left="900" w:top="576" w:right="239" w:bottom="1440" w:gutter="0" w:footer="0" w:header="0"/>
        </w:sectPr>
      </w:pPr>
    </w:p>
    <w:bookmarkStart w:id="81" w:name="page82"/>
    <w:bookmarkEnd w:id="81"/>
    <w:p>
      <w:pPr>
        <w:jc w:val="both"/>
        <w:ind w:firstLine="648"/>
        <w:spacing w:after="0" w:line="250" w:lineRule="auto"/>
        <w:rPr>
          <w:sz w:val="20"/>
          <w:szCs w:val="20"/>
          <w:color w:val="auto"/>
        </w:rPr>
      </w:pPr>
      <w:r>
        <w:rPr>
          <w:rFonts w:ascii="Arial" w:cs="Arial" w:eastAsia="Arial" w:hAnsi="Arial"/>
          <w:sz w:val="20"/>
          <w:szCs w:val="20"/>
          <w:color w:val="auto"/>
        </w:rPr>
        <w:t>The Participant may, at any time, review the Data, and/or require any necessary amendments to it by contacting the Company through the Participant’s local human resources representative. Participant may also issue directives for the purposes of deciding what should happen to his or her Data after his or her death.</w:t>
      </w:r>
    </w:p>
    <w:p>
      <w:pPr>
        <w:spacing w:after="0" w:line="200" w:lineRule="exact"/>
        <w:rPr>
          <w:sz w:val="20"/>
          <w:szCs w:val="20"/>
          <w:color w:val="auto"/>
        </w:rPr>
      </w:pPr>
    </w:p>
    <w:p>
      <w:pPr>
        <w:ind w:left="1420" w:hanging="775"/>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all purposes of this Agreement and the Plan the following defined terms shall apply:</w:t>
      </w:r>
    </w:p>
    <w:p>
      <w:pPr>
        <w:spacing w:after="0" w:line="245" w:lineRule="exact"/>
        <w:rPr>
          <w:rFonts w:ascii="Arial" w:cs="Arial" w:eastAsia="Arial" w:hAnsi="Arial"/>
          <w:sz w:val="18"/>
          <w:szCs w:val="18"/>
          <w:color w:val="auto"/>
        </w:rPr>
      </w:pPr>
    </w:p>
    <w:p>
      <w:pPr>
        <w:ind w:firstLine="1293"/>
        <w:spacing w:after="0"/>
        <w:tabs>
          <w:tab w:leader="none" w:pos="2144" w:val="left"/>
        </w:tabs>
        <w:numPr>
          <w:ilvl w:val="1"/>
          <w:numId w:val="5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Participant’s inability corresponding to the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or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category among the categories set forth in Article L. 341-4 of the French Social Security Code.</w:t>
      </w:r>
    </w:p>
    <w:p>
      <w:pPr>
        <w:spacing w:after="0" w:line="236" w:lineRule="exact"/>
        <w:rPr>
          <w:rFonts w:ascii="Arial" w:cs="Arial" w:eastAsia="Arial" w:hAnsi="Arial"/>
          <w:sz w:val="18"/>
          <w:szCs w:val="18"/>
          <w:color w:val="auto"/>
        </w:rPr>
      </w:pPr>
    </w:p>
    <w:p>
      <w:pPr>
        <w:jc w:val="both"/>
        <w:ind w:firstLine="1293"/>
        <w:spacing w:after="0" w:line="274" w:lineRule="auto"/>
        <w:tabs>
          <w:tab w:leader="none" w:pos="2155" w:val="left"/>
        </w:tabs>
        <w:numPr>
          <w:ilvl w:val="1"/>
          <w:numId w:val="5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for an Employee, termination for alleged economic reasons for dismissal as defined by French law (</w:t>
      </w:r>
      <w:r>
        <w:rPr>
          <w:rFonts w:ascii="Arial" w:cs="Arial" w:eastAsia="Arial" w:hAnsi="Arial"/>
          <w:sz w:val="20"/>
          <w:szCs w:val="20"/>
          <w:i w:val="1"/>
          <w:iCs w:val="1"/>
          <w:color w:val="auto"/>
        </w:rPr>
        <w:t>motif économique de licenciement</w:t>
      </w:r>
      <w:r>
        <w:rPr>
          <w:rFonts w:ascii="Arial" w:cs="Arial" w:eastAsia="Arial" w:hAnsi="Arial"/>
          <w:sz w:val="20"/>
          <w:szCs w:val="20"/>
          <w:color w:val="auto"/>
        </w:rPr>
        <w:t>). For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xml:space="preserve">), the definition of “Good Reason” shall be the same as that set forth in the Agreement, adapted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to a corporate officer, subject to the condition that the occurrence of the item or items listed therein result from a shareholder decision.</w:t>
      </w:r>
    </w:p>
    <w:p>
      <w:pPr>
        <w:spacing w:after="0" w:line="205" w:lineRule="exact"/>
        <w:rPr>
          <w:rFonts w:ascii="Arial" w:cs="Arial" w:eastAsia="Arial" w:hAnsi="Arial"/>
          <w:sz w:val="18"/>
          <w:szCs w:val="18"/>
          <w:color w:val="auto"/>
        </w:rPr>
      </w:pPr>
    </w:p>
    <w:p>
      <w:pPr>
        <w:jc w:val="both"/>
        <w:ind w:firstLine="1293"/>
        <w:spacing w:after="0" w:line="278" w:lineRule="auto"/>
        <w:tabs>
          <w:tab w:leader="none" w:pos="2144" w:val="left"/>
        </w:tabs>
        <w:numPr>
          <w:ilvl w:val="1"/>
          <w:numId w:val="53"/>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means termination of the Participant’s employment contract and/or corporate officer position, by either party, at a time the Participant is entitled to benefit from full pension rights (</w:t>
      </w:r>
      <w:r>
        <w:rPr>
          <w:rFonts w:ascii="Arial" w:cs="Arial" w:eastAsia="Arial" w:hAnsi="Arial"/>
          <w:sz w:val="20"/>
          <w:szCs w:val="20"/>
          <w:i w:val="1"/>
          <w:iCs w:val="1"/>
          <w:color w:val="auto"/>
        </w:rPr>
        <w:t>retraite à taux plein</w:t>
      </w:r>
      <w:r>
        <w:rPr>
          <w:rFonts w:ascii="Arial" w:cs="Arial" w:eastAsia="Arial" w:hAnsi="Arial"/>
          <w:sz w:val="20"/>
          <w:szCs w:val="20"/>
          <w:color w:val="auto"/>
        </w:rPr>
        <w:t>) [or by the Company without Cause, regardless of the Participant's age].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NORWAY</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Norway</w:t>
      </w:r>
      <w:r>
        <w:rPr>
          <w:rFonts w:ascii="Arial" w:cs="Arial" w:eastAsia="Arial" w:hAnsi="Arial"/>
          <w:sz w:val="20"/>
          <w:szCs w:val="20"/>
          <w:color w:val="auto"/>
        </w:rPr>
        <w:t xml:space="preserve"> provide additional definitions and conditions for the purpose of granting RSUs which are intended to be granted to Employees and corporate officers who are resident in Norway for tax, labour or securities law purposes.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u w:val="single" w:color="auto"/>
          <w:color w:val="auto"/>
        </w:rPr>
        <w:t>Acknowledgment of Nature of Plan and RSUs</w:t>
      </w:r>
      <w:r>
        <w:rPr>
          <w:rFonts w:ascii="Arial" w:cs="Arial" w:eastAsia="Arial" w:hAnsi="Arial"/>
          <w:sz w:val="19"/>
          <w:szCs w:val="19"/>
          <w:color w:val="auto"/>
        </w:rPr>
        <w:t xml:space="preserve"> . In accepting this Agreement, the Participant acknowledges that, in the event of termination of the Participant’s employment (whether or not in breach of local labor laws), the Participant’s rights to vest the RSUs under the Plan, if any, will terminate effective as of the date that the Participant is no longer actively employed and will not be extended by any notice period mandated under applicable local laws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“garden leave” or similar period pursuant to applicable local laws); the Administrator shall have the exclusive discretion to determine when the Participant is no longer actively employed for purposes of Participant’s RSUs.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Agreement together with these UK specific terms form the rules of the employee share scheme applicable to the United Kingdom based Employees of the Company and any Subsidiaries. All Awards granted to Employees of the Company or any Subsidiaries who are based in the United Kingdom will be granted on similar terms. This Agreement incorporates the terms of the Plan with the exception that in the United Kingdom only Employees of the Company or any Subsidiaries are eligible to be granted RSUs. Other Eligible Individuals who are not Employees are not eligible to receive RSUs in the United Kingdom.</w:t>
      </w:r>
    </w:p>
    <w:p>
      <w:pPr>
        <w:spacing w:after="0" w:line="194" w:lineRule="exact"/>
        <w:rPr>
          <w:sz w:val="20"/>
          <w:szCs w:val="20"/>
          <w:color w:val="auto"/>
        </w:rPr>
      </w:pPr>
    </w:p>
    <w:p>
      <w:pPr>
        <w:jc w:val="both"/>
        <w:ind w:firstLine="645"/>
        <w:spacing w:after="0" w:line="293" w:lineRule="auto"/>
        <w:tabs>
          <w:tab w:leader="none" w:pos="1431" w:val="left"/>
        </w:tabs>
        <w:numPr>
          <w:ilvl w:val="0"/>
          <w:numId w:val="54"/>
        </w:numPr>
        <w:rPr>
          <w:rFonts w:ascii="Arial" w:cs="Arial" w:eastAsia="Arial" w:hAnsi="Arial"/>
          <w:sz w:val="17"/>
          <w:szCs w:val="17"/>
          <w:color w:val="auto"/>
        </w:rPr>
      </w:pPr>
      <w:r>
        <w:rPr>
          <w:rFonts w:ascii="Arial" w:cs="Arial" w:eastAsia="Arial" w:hAnsi="Arial"/>
          <w:sz w:val="19"/>
          <w:szCs w:val="19"/>
          <w:u w:val="single" w:color="auto"/>
          <w:color w:val="auto"/>
        </w:rPr>
        <w:t>Tax Indemnity</w:t>
      </w:r>
      <w:r>
        <w:rPr>
          <w:rFonts w:ascii="Arial" w:cs="Arial" w:eastAsia="Arial" w:hAnsi="Arial"/>
          <w:sz w:val="19"/>
          <w:szCs w:val="19"/>
          <w:color w:val="auto"/>
        </w:rPr>
        <w:t>. Participant agrees to indemnify and keep indemnified the Company, any Subsidiary, any Parent and his/her Employer, if different, from and against any liability for or obligation to pay any Tax Liability (a “</w:t>
      </w:r>
      <w:r>
        <w:rPr>
          <w:rFonts w:ascii="Arial" w:cs="Arial" w:eastAsia="Arial" w:hAnsi="Arial"/>
          <w:sz w:val="19"/>
          <w:szCs w:val="19"/>
          <w:u w:val="single" w:color="auto"/>
          <w:color w:val="auto"/>
        </w:rPr>
        <w:t>Tax Liability</w:t>
      </w:r>
      <w:r>
        <w:rPr>
          <w:rFonts w:ascii="Arial" w:cs="Arial" w:eastAsia="Arial" w:hAnsi="Arial"/>
          <w:sz w:val="19"/>
          <w:szCs w:val="19"/>
          <w:color w:val="auto"/>
        </w:rPr>
        <w:t>”) being any liability for income tax, employee’s National Insurance contributions and (at the discretion of the Company) employer’s National Contributions (or other similar obligations to pay tax and social security wherever in the world</w:t>
      </w:r>
    </w:p>
    <w:p>
      <w:pPr>
        <w:sectPr>
          <w:pgSz w:w="11900" w:h="16838" w:orient="portrait"/>
          <w:cols w:equalWidth="0" w:num="1">
            <w:col w:w="10760"/>
          </w:cols>
          <w:pgMar w:left="900" w:top="582" w:right="239" w:bottom="1440" w:gutter="0" w:footer="0" w:header="0"/>
        </w:sectPr>
      </w:pPr>
    </w:p>
    <w:bookmarkStart w:id="82" w:name="page83"/>
    <w:bookmarkEnd w:id="82"/>
    <w:p>
      <w:pPr>
        <w:jc w:val="both"/>
        <w:spacing w:after="0" w:line="278" w:lineRule="auto"/>
        <w:rPr>
          <w:sz w:val="20"/>
          <w:szCs w:val="20"/>
          <w:color w:val="auto"/>
        </w:rPr>
      </w:pPr>
      <w:r>
        <w:rPr>
          <w:rFonts w:ascii="Arial" w:cs="Arial" w:eastAsia="Arial" w:hAnsi="Arial"/>
          <w:sz w:val="20"/>
          <w:szCs w:val="20"/>
          <w:color w:val="auto"/>
        </w:rPr>
        <w:t>arising) that is attributable to (1) the grant and/or vesting of the RSUs; (2) the acquisition by Participant of the Shares (3) any or all of the restrictions that apply to any of the Shares ceasing to apply to the Shares or otherwise being varied, or (4) the disposal of any Shares (each of those events referred to as a “</w:t>
      </w:r>
      <w:r>
        <w:rPr>
          <w:rFonts w:ascii="Arial" w:cs="Arial" w:eastAsia="Arial" w:hAnsi="Arial"/>
          <w:sz w:val="20"/>
          <w:szCs w:val="20"/>
          <w:u w:val="single" w:color="auto"/>
          <w:color w:val="auto"/>
        </w:rPr>
        <w:t>Taxable Event</w:t>
      </w:r>
      <w:r>
        <w:rPr>
          <w:rFonts w:ascii="Arial" w:cs="Arial" w:eastAsia="Arial" w:hAnsi="Arial"/>
          <w:sz w:val="20"/>
          <w:szCs w:val="20"/>
          <w:color w:val="auto"/>
        </w:rPr>
        <w:t>”)).</w:t>
      </w:r>
    </w:p>
    <w:p>
      <w:pPr>
        <w:spacing w:after="0" w:line="200" w:lineRule="exact"/>
        <w:rPr>
          <w:sz w:val="20"/>
          <w:szCs w:val="20"/>
          <w:color w:val="auto"/>
        </w:rPr>
      </w:pPr>
    </w:p>
    <w:p>
      <w:pPr>
        <w:jc w:val="both"/>
        <w:ind w:firstLine="645"/>
        <w:spacing w:after="0" w:line="274" w:lineRule="auto"/>
        <w:tabs>
          <w:tab w:leader="none" w:pos="1431" w:val="left"/>
        </w:tabs>
        <w:numPr>
          <w:ilvl w:val="0"/>
          <w:numId w:val="55"/>
        </w:numPr>
        <w:rPr>
          <w:rFonts w:ascii="Arial" w:cs="Arial" w:eastAsia="Arial" w:hAnsi="Arial"/>
          <w:sz w:val="18"/>
          <w:szCs w:val="18"/>
          <w:color w:val="auto"/>
        </w:rPr>
      </w:pPr>
      <w:r>
        <w:rPr>
          <w:rFonts w:ascii="Arial" w:cs="Arial" w:eastAsia="Arial" w:hAnsi="Arial"/>
          <w:sz w:val="20"/>
          <w:szCs w:val="20"/>
          <w:u w:val="single" w:color="auto"/>
          <w:color w:val="auto"/>
        </w:rPr>
        <w:t>Tax Liability</w:t>
      </w:r>
      <w:r>
        <w:rPr>
          <w:rFonts w:ascii="Arial" w:cs="Arial" w:eastAsia="Arial" w:hAnsi="Arial"/>
          <w:sz w:val="20"/>
          <w:szCs w:val="20"/>
          <w:color w:val="auto"/>
        </w:rPr>
        <w:t>. RSUs will not vest or be acquired by Participant until Participant has made such arrangements as the Company may require for the satisfaction of any Tax Liability that may arise in connection with the grant or vesting of the Awards and/or the acquisition of the Shares by the Participant. The Company shall not be required to issue, allot or transfer Shares until Participant has satisfied this obligation.</w:t>
      </w:r>
    </w:p>
    <w:p>
      <w:pPr>
        <w:spacing w:after="0" w:line="205" w:lineRule="exact"/>
        <w:rPr>
          <w:rFonts w:ascii="Arial" w:cs="Arial" w:eastAsia="Arial" w:hAnsi="Arial"/>
          <w:sz w:val="18"/>
          <w:szCs w:val="18"/>
          <w:color w:val="auto"/>
        </w:rPr>
      </w:pPr>
    </w:p>
    <w:p>
      <w:pPr>
        <w:jc w:val="both"/>
        <w:ind w:firstLine="645"/>
        <w:spacing w:after="0" w:line="314" w:lineRule="auto"/>
        <w:tabs>
          <w:tab w:leader="none" w:pos="1431" w:val="left"/>
        </w:tabs>
        <w:numPr>
          <w:ilvl w:val="0"/>
          <w:numId w:val="55"/>
        </w:numPr>
        <w:rPr>
          <w:rFonts w:ascii="Arial" w:cs="Arial" w:eastAsia="Arial" w:hAnsi="Arial"/>
          <w:sz w:val="16"/>
          <w:szCs w:val="16"/>
          <w:color w:val="auto"/>
        </w:rPr>
      </w:pPr>
      <w:r>
        <w:rPr>
          <w:rFonts w:ascii="Arial" w:cs="Arial" w:eastAsia="Arial" w:hAnsi="Arial"/>
          <w:sz w:val="18"/>
          <w:szCs w:val="18"/>
          <w:u w:val="single" w:color="auto"/>
          <w:color w:val="auto"/>
        </w:rPr>
        <w:t>Election</w:t>
      </w:r>
      <w:r>
        <w:rPr>
          <w:rFonts w:ascii="Arial" w:cs="Arial" w:eastAsia="Arial" w:hAnsi="Arial"/>
          <w:sz w:val="18"/>
          <w:szCs w:val="18"/>
          <w:color w:val="auto"/>
        </w:rPr>
        <w:t>. Participant undertakes that, upon request by the Company, he/she will (on or within 14 days of acquiring the Shares) join with his/her Employer in electing, pursuant to Section 431(1) of the Income Tax (Earnings and Pensions) Act 2003 (“</w:t>
      </w:r>
      <w:r>
        <w:rPr>
          <w:rFonts w:ascii="Arial" w:cs="Arial" w:eastAsia="Arial" w:hAnsi="Arial"/>
          <w:sz w:val="18"/>
          <w:szCs w:val="18"/>
          <w:u w:val="single" w:color="auto"/>
          <w:color w:val="auto"/>
        </w:rPr>
        <w:t>ITEPA</w:t>
      </w:r>
      <w:r>
        <w:rPr>
          <w:rFonts w:ascii="Arial" w:cs="Arial" w:eastAsia="Arial" w:hAnsi="Arial"/>
          <w:sz w:val="18"/>
          <w:szCs w:val="18"/>
          <w:color w:val="auto"/>
        </w:rPr>
        <w:t>”) that, for relevant tax purposes, the market value of the Shares acquired on Vesting of the RSUs on any occasion will be calculated as if the Shares were not restricted and Sections 425 to 430 (inclusive) of ITEPA are not to apply to such Shares.</w:t>
      </w:r>
    </w:p>
    <w:p>
      <w:pPr>
        <w:spacing w:after="0" w:line="172" w:lineRule="exact"/>
        <w:rPr>
          <w:rFonts w:ascii="Arial" w:cs="Arial" w:eastAsia="Arial" w:hAnsi="Arial"/>
          <w:sz w:val="16"/>
          <w:szCs w:val="16"/>
          <w:color w:val="auto"/>
        </w:rPr>
      </w:pPr>
    </w:p>
    <w:p>
      <w:pPr>
        <w:jc w:val="both"/>
        <w:ind w:firstLine="645"/>
        <w:spacing w:after="0" w:line="286" w:lineRule="auto"/>
        <w:tabs>
          <w:tab w:leader="none" w:pos="1431" w:val="left"/>
        </w:tabs>
        <w:numPr>
          <w:ilvl w:val="0"/>
          <w:numId w:val="55"/>
        </w:numPr>
        <w:rPr>
          <w:rFonts w:ascii="Arial" w:cs="Arial" w:eastAsia="Arial" w:hAnsi="Arial"/>
          <w:sz w:val="17"/>
          <w:szCs w:val="17"/>
          <w:color w:val="auto"/>
        </w:rPr>
      </w:pPr>
      <w:r>
        <w:rPr>
          <w:rFonts w:ascii="Arial" w:cs="Arial" w:eastAsia="Arial" w:hAnsi="Arial"/>
          <w:sz w:val="19"/>
          <w:szCs w:val="19"/>
          <w:u w:val="single" w:color="auto"/>
          <w:color w:val="auto"/>
        </w:rPr>
        <w:t>Loan</w:t>
      </w:r>
      <w:r>
        <w:rPr>
          <w:rFonts w:ascii="Arial" w:cs="Arial" w:eastAsia="Arial" w:hAnsi="Arial"/>
          <w:sz w:val="19"/>
          <w:szCs w:val="19"/>
          <w:color w:val="auto"/>
        </w:rPr>
        <w:t>. Participant agrees that if Participant does not pay or his/her Employer or the Company does not withhold from Participant the full amount of any Tax Liability within 90 days after the end of the tax year in which the Taxable Event occurred, or such other period specified in Section 222(1)(c) of ITPEA, then the amount that should have been withheld shall constitute a loan owed by Participant to the Employer, effective 90 days after the end of the tax year in which the Taxable Event occurred. Participant agrees that the loan will bear interest at the HMRC’s official rate and will be immediately due and repayable by Participant, and the Company and/or the Employer may recover it at any time thereafter by: (i) withholding the funds from salary, bonus or any other funds due to Participant by the Employer; (ii) withholding in Shares issued upon vesting of the RSUs or from the cash proceeds from the sale of Shares; or (iii) demanding cash or a cheque from Participant. Participant also authorizes the Company to delay the issuance of any Shares to Participant unless and until the loan is repaid in full.</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Notwithstanding the foregoing, if Participant is an officer or executive director (as within the meaning of Section 13(k) of the U.S. Securities and Exchange Act of 1934, as amended), the terms of the immediately foregoing provision will not apply. In the event that Participant is an officer or executive director and the Tax Liability is not collected from or paid by Participant within 90 days of the end of the tax year in which the Taxable Event occurred, the amount of any uncollected Tax Liability may constitute a benefit to Participant on which additional income tax and national insurance contributions may be payable. Participant acknowledges that the Company or the Employer may recover any such additional income tax and national insurance contributions at any time thereafter.</w:t>
      </w:r>
    </w:p>
    <w:p>
      <w:pPr>
        <w:spacing w:after="0" w:line="179" w:lineRule="exact"/>
        <w:rPr>
          <w:sz w:val="20"/>
          <w:szCs w:val="20"/>
          <w:color w:val="auto"/>
        </w:rPr>
      </w:pPr>
    </w:p>
    <w:p>
      <w:pPr>
        <w:jc w:val="both"/>
        <w:ind w:firstLine="645"/>
        <w:spacing w:after="0" w:line="272" w:lineRule="auto"/>
        <w:tabs>
          <w:tab w:leader="none" w:pos="1431" w:val="left"/>
        </w:tabs>
        <w:numPr>
          <w:ilvl w:val="0"/>
          <w:numId w:val="56"/>
        </w:numPr>
        <w:rPr>
          <w:rFonts w:ascii="Arial" w:cs="Arial" w:eastAsia="Arial" w:hAnsi="Arial"/>
          <w:sz w:val="18"/>
          <w:szCs w:val="18"/>
          <w:color w:val="auto"/>
        </w:rPr>
      </w:pPr>
      <w:r>
        <w:rPr>
          <w:rFonts w:ascii="Arial" w:cs="Arial" w:eastAsia="Arial" w:hAnsi="Arial"/>
          <w:sz w:val="20"/>
          <w:szCs w:val="20"/>
          <w:u w:val="single" w:color="auto"/>
          <w:color w:val="auto"/>
        </w:rPr>
        <w:t>Acknowledgement</w:t>
      </w:r>
      <w:r>
        <w:rPr>
          <w:rFonts w:ascii="Arial" w:cs="Arial" w:eastAsia="Arial" w:hAnsi="Arial"/>
          <w:sz w:val="20"/>
          <w:szCs w:val="20"/>
          <w:color w:val="auto"/>
        </w:rPr>
        <w:t>. Participant acknowledges that neither this UK Agreement nor the Plan has been issued, nor has it been approved by, an authorised person within the meaning of the Financial Services and Markets Act 2000 of the United Kingdom and is being directed at the Participant because the offer to which this UK Agreement and the Plan relate has been determined as having regard to the Participant’s circumstances as an Employee of the Company or one of its Subsidiaries. This UK Agreement is strictly confidential and is not for distribution to, and may not be acted upon by, any other person other than the person to whom it has been specifically addressed.</w:t>
      </w:r>
    </w:p>
    <w:p>
      <w:pPr>
        <w:spacing w:after="0" w:line="205" w:lineRule="exact"/>
        <w:rPr>
          <w:rFonts w:ascii="Arial" w:cs="Arial" w:eastAsia="Arial" w:hAnsi="Arial"/>
          <w:sz w:val="18"/>
          <w:szCs w:val="18"/>
          <w:color w:val="auto"/>
        </w:rPr>
      </w:pPr>
    </w:p>
    <w:p>
      <w:pPr>
        <w:ind w:left="1420" w:hanging="775"/>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20"/>
          <w:szCs w:val="20"/>
          <w:color w:val="auto"/>
        </w:rPr>
        <w:t>For the purposes of this Agreement and the Plan, the following defined term applies:</w:t>
      </w:r>
    </w:p>
    <w:p>
      <w:pPr>
        <w:sectPr>
          <w:pgSz w:w="11900" w:h="16838" w:orient="portrait"/>
          <w:cols w:equalWidth="0" w:num="1">
            <w:col w:w="10760"/>
          </w:cols>
          <w:pgMar w:left="900" w:top="595" w:right="239" w:bottom="1440" w:gutter="0" w:footer="0" w:header="0"/>
        </w:sectPr>
      </w:pPr>
    </w:p>
    <w:bookmarkStart w:id="83" w:name="page84"/>
    <w:bookmarkEnd w:id="83"/>
    <w:p>
      <w:pPr>
        <w:ind w:left="-540" w:firstLine="1293"/>
        <w:spacing w:after="0" w:line="316" w:lineRule="auto"/>
        <w:tabs>
          <w:tab w:leader="none" w:pos="1530" w:val="left"/>
        </w:tabs>
        <w:numPr>
          <w:ilvl w:val="0"/>
          <w:numId w:val="57"/>
        </w:numPr>
        <w:rPr>
          <w:rFonts w:ascii="Arial" w:cs="Arial" w:eastAsia="Arial" w:hAnsi="Arial"/>
          <w:sz w:val="17"/>
          <w:szCs w:val="17"/>
          <w:color w:val="auto"/>
        </w:rPr>
      </w:pPr>
      <w:r>
        <w:rPr>
          <w:rFonts w:ascii="Arial" w:cs="Arial" w:eastAsia="Arial" w:hAnsi="Arial"/>
          <w:sz w:val="19"/>
          <w:szCs w:val="19"/>
          <w:color w:val="auto"/>
        </w:rPr>
        <w:t>“Retirement” means the termination of the Participant’s employment at the age when he or she becomes eligible to receive a state pension in the UK [or by the Company without Cause, regardless of the Participant's age.]</w:t>
      </w:r>
    </w:p>
    <w:p>
      <w:pPr>
        <w:sectPr>
          <w:pgSz w:w="11900" w:h="16838" w:orient="portrait"/>
          <w:cols w:equalWidth="0" w:num="1">
            <w:col w:w="10220"/>
          </w:cols>
          <w:pgMar w:left="1440" w:top="595" w:right="239" w:bottom="1440" w:gutter="0" w:footer="0" w:header="0"/>
        </w:sectPr>
      </w:pPr>
    </w:p>
    <w:bookmarkStart w:id="84" w:name="page85"/>
    <w:bookmarkEnd w:id="84"/>
    <w:p>
      <w:pPr>
        <w:jc w:val="center"/>
        <w:ind w:right="400"/>
        <w:spacing w:after="0"/>
        <w:rPr>
          <w:sz w:val="20"/>
          <w:szCs w:val="20"/>
          <w:color w:val="auto"/>
        </w:rPr>
      </w:pPr>
      <w:r>
        <w:rPr>
          <w:rFonts w:ascii="Arial" w:cs="Arial" w:eastAsia="Arial" w:hAnsi="Arial"/>
          <w:sz w:val="20"/>
          <w:szCs w:val="20"/>
          <w:b w:val="1"/>
          <w:bCs w:val="1"/>
          <w:color w:val="auto"/>
        </w:rPr>
        <w:t>RESTRICTED STOCK UNIT AGREEMENT</w:t>
      </w:r>
    </w:p>
    <w:p>
      <w:pPr>
        <w:spacing w:after="0" w:line="21"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PURSUANT TO THE</w:t>
      </w:r>
    </w:p>
    <w:p>
      <w:pPr>
        <w:jc w:val="center"/>
        <w:ind w:right="400"/>
        <w:spacing w:after="0"/>
        <w:rPr>
          <w:sz w:val="20"/>
          <w:szCs w:val="20"/>
          <w:color w:val="auto"/>
        </w:rPr>
      </w:pPr>
      <w:r>
        <w:rPr>
          <w:rFonts w:ascii="Arial" w:cs="Arial" w:eastAsia="Arial" w:hAnsi="Arial"/>
          <w:sz w:val="20"/>
          <w:szCs w:val="20"/>
          <w:b w:val="1"/>
          <w:bCs w:val="1"/>
          <w:color w:val="auto"/>
        </w:rPr>
        <w:t>TECHNIPFMC PLC INCENTIVE AWARD PLAN</w:t>
      </w:r>
    </w:p>
    <w:p>
      <w:pPr>
        <w:spacing w:after="0" w:line="200" w:lineRule="exact"/>
        <w:rPr>
          <w:sz w:val="20"/>
          <w:szCs w:val="20"/>
          <w:color w:val="auto"/>
        </w:rPr>
      </w:pPr>
    </w:p>
    <w:p>
      <w:pPr>
        <w:spacing w:after="0" w:line="223"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Directors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Restricted Stock Unit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is made as of the &lt;&lt;Grant Date&gt;&gt; (the “</w:t>
      </w:r>
      <w:r>
        <w:rPr>
          <w:rFonts w:ascii="Arial" w:cs="Arial" w:eastAsia="Arial" w:hAnsi="Arial"/>
          <w:sz w:val="20"/>
          <w:szCs w:val="20"/>
          <w:u w:val="single" w:color="auto"/>
          <w:color w:val="auto"/>
        </w:rPr>
        <w:t>Grant Date</w:t>
      </w:r>
      <w:r>
        <w:rPr>
          <w:rFonts w:ascii="Arial" w:cs="Arial" w:eastAsia="Arial" w:hAnsi="Arial"/>
          <w:sz w:val="20"/>
          <w:szCs w:val="20"/>
          <w:color w:val="auto"/>
        </w:rPr>
        <w:t>”) by TechnipFMC plc, a public limited company incorporated under the laws of England and Wales (the “</w:t>
      </w:r>
      <w:r>
        <w:rPr>
          <w:rFonts w:ascii="Arial" w:cs="Arial" w:eastAsia="Arial" w:hAnsi="Arial"/>
          <w:sz w:val="20"/>
          <w:szCs w:val="20"/>
          <w:u w:val="single" w:color="auto"/>
          <w:color w:val="auto"/>
        </w:rPr>
        <w:t>Company</w:t>
      </w:r>
      <w:r>
        <w:rPr>
          <w:rFonts w:ascii="Arial" w:cs="Arial" w:eastAsia="Arial" w:hAnsi="Arial"/>
          <w:sz w:val="20"/>
          <w:szCs w:val="20"/>
          <w:color w:val="auto"/>
        </w:rPr>
        <w:t>”) and &lt;&lt;Participant Name&gt;&gt; (the “</w:t>
      </w:r>
      <w:r>
        <w:rPr>
          <w:rFonts w:ascii="Arial" w:cs="Arial" w:eastAsia="Arial" w:hAnsi="Arial"/>
          <w:sz w:val="20"/>
          <w:szCs w:val="20"/>
          <w:u w:val="single" w:color="auto"/>
          <w:color w:val="auto"/>
        </w:rPr>
        <w:t>Participant</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TechnipFMC plc Incentive Award Plan (the “</w:t>
      </w:r>
      <w:r>
        <w:rPr>
          <w:rFonts w:ascii="Arial" w:cs="Arial" w:eastAsia="Arial" w:hAnsi="Arial"/>
          <w:sz w:val="19"/>
          <w:szCs w:val="19"/>
          <w:u w:val="single" w:color="auto"/>
          <w:color w:val="auto"/>
        </w:rPr>
        <w:t>Plan</w:t>
      </w:r>
      <w:r>
        <w:rPr>
          <w:rFonts w:ascii="Arial" w:cs="Arial" w:eastAsia="Arial" w:hAnsi="Arial"/>
          <w:sz w:val="19"/>
          <w:szCs w:val="19"/>
          <w:color w:val="auto"/>
        </w:rPr>
        <w:t>”), as it may be amended or restated from time to time, is incorporated by reference and made a part of this Agreement and will control the rights and obligations of the Company and the Participant under this Agreement. Except as otherwise expressly provided herein, all capitalized terms have the meanings provided in the Plan. To the extent there is a conflict between the Plan and this Agreement, the provisions of the Plan will prevail.</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Compensation Committee of the Company’s Board of Directors (the “</w:t>
      </w:r>
      <w:r>
        <w:rPr>
          <w:rFonts w:ascii="Arial" w:cs="Arial" w:eastAsia="Arial" w:hAnsi="Arial"/>
          <w:sz w:val="20"/>
          <w:szCs w:val="20"/>
          <w:u w:val="single" w:color="auto"/>
          <w:color w:val="auto"/>
        </w:rPr>
        <w:t>Committee</w:t>
      </w:r>
      <w:r>
        <w:rPr>
          <w:rFonts w:ascii="Arial" w:cs="Arial" w:eastAsia="Arial" w:hAnsi="Arial"/>
          <w:sz w:val="20"/>
          <w:szCs w:val="20"/>
          <w:color w:val="auto"/>
        </w:rPr>
        <w:t>”) determined that it would be in the interest of the Company and its stockholders to grant an award of restricted stock units to the Participant as an inducement to remain in the service of the Company.</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Committee, on behalf of the Company, grants to the Participant an award of &lt;&lt;Shares Granted&gt;&gt;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of the Company’s ordinary shares (the “</w:t>
      </w:r>
      <w:r>
        <w:rPr>
          <w:rFonts w:ascii="Arial" w:cs="Arial" w:eastAsia="Arial" w:hAnsi="Arial"/>
          <w:sz w:val="19"/>
          <w:szCs w:val="19"/>
          <w:u w:val="single" w:color="auto"/>
          <w:color w:val="auto"/>
        </w:rPr>
        <w:t>Shares</w:t>
      </w:r>
      <w:r>
        <w:rPr>
          <w:rFonts w:ascii="Arial" w:cs="Arial" w:eastAsia="Arial" w:hAnsi="Arial"/>
          <w:sz w:val="19"/>
          <w:szCs w:val="19"/>
          <w:color w:val="auto"/>
        </w:rPr>
        <w:t>”). The award is made upon the following terms and conditions:</w:t>
      </w:r>
    </w:p>
    <w:p>
      <w:pPr>
        <w:spacing w:after="0" w:line="166" w:lineRule="exact"/>
        <w:rPr>
          <w:sz w:val="20"/>
          <w:szCs w:val="20"/>
          <w:color w:val="auto"/>
        </w:rPr>
      </w:pPr>
    </w:p>
    <w:p>
      <w:pPr>
        <w:jc w:val="both"/>
        <w:ind w:firstLine="641"/>
        <w:spacing w:after="0" w:line="273" w:lineRule="auto"/>
        <w:tabs>
          <w:tab w:leader="none" w:pos="1431" w:val="left"/>
        </w:tabs>
        <w:numPr>
          <w:ilvl w:val="0"/>
          <w:numId w:val="58"/>
        </w:numPr>
        <w:rPr>
          <w:rFonts w:ascii="Arial" w:cs="Arial" w:eastAsia="Arial" w:hAnsi="Arial"/>
          <w:sz w:val="18"/>
          <w:szCs w:val="18"/>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The RSUs will vest one year following the Grant Date (the “</w:t>
      </w:r>
      <w:r>
        <w:rPr>
          <w:rFonts w:ascii="Arial" w:cs="Arial" w:eastAsia="Arial" w:hAnsi="Arial"/>
          <w:sz w:val="20"/>
          <w:szCs w:val="20"/>
          <w:u w:val="single" w:color="auto"/>
          <w:color w:val="auto"/>
        </w:rPr>
        <w:t>Vesting Date</w:t>
      </w:r>
      <w:r>
        <w:rPr>
          <w:rFonts w:ascii="Arial" w:cs="Arial" w:eastAsia="Arial" w:hAnsi="Arial"/>
          <w:sz w:val="20"/>
          <w:szCs w:val="20"/>
          <w:color w:val="auto"/>
        </w:rPr>
        <w:t xml:space="preserve">”), subject to the Participant’s continued service as a Director of the Company through the Vesting Date. The RSUs will be payable upon termination of service from the Board of Directors and as provided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w:t>
      </w:r>
      <w:r>
        <w:rPr>
          <w:rFonts w:ascii="Arial" w:cs="Arial" w:eastAsia="Arial" w:hAnsi="Arial"/>
          <w:sz w:val="20"/>
          <w:szCs w:val="20"/>
          <w:color w:val="auto"/>
        </w:rPr>
        <w:t xml:space="preserve"> below (the “Settlement Date”). All RSUs will be forfeited upon Participant’s Termination of Service before the Vesting Date other than as provided in </w:t>
      </w:r>
      <w:r>
        <w:rPr>
          <w:rFonts w:ascii="Arial" w:cs="Arial" w:eastAsia="Arial" w:hAnsi="Arial"/>
          <w:sz w:val="20"/>
          <w:szCs w:val="20"/>
          <w:u w:val="single" w:color="auto"/>
          <w:color w:val="auto"/>
        </w:rPr>
        <w:t>Sections 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w:t>
      </w:r>
      <w:r>
        <w:rPr>
          <w:rFonts w:ascii="Arial" w:cs="Arial" w:eastAsia="Arial" w:hAnsi="Arial"/>
          <w:sz w:val="20"/>
          <w:szCs w:val="20"/>
          <w:color w:val="auto"/>
        </w:rPr>
        <w:t xml:space="preserve"> below. </w:t>
      </w:r>
      <w:r>
        <w:rPr>
          <w:rFonts w:ascii="Arial" w:cs="Arial" w:eastAsia="Arial" w:hAnsi="Arial"/>
          <w:sz w:val="20"/>
          <w:szCs w:val="20"/>
          <w:b w:val="1"/>
          <w:bCs w:val="1"/>
          <w:color w:val="auto"/>
        </w:rPr>
        <w:t>Prior to the Vesting Date, an Award</w:t>
      </w:r>
      <w:r>
        <w:rPr>
          <w:rFonts w:ascii="Arial" w:cs="Arial" w:eastAsia="Arial" w:hAnsi="Arial"/>
          <w:sz w:val="20"/>
          <w:szCs w:val="20"/>
          <w:color w:val="auto"/>
        </w:rPr>
        <w:t xml:space="preserve"> </w:t>
      </w:r>
      <w:r>
        <w:rPr>
          <w:rFonts w:ascii="Arial" w:cs="Arial" w:eastAsia="Arial" w:hAnsi="Arial"/>
          <w:sz w:val="20"/>
          <w:szCs w:val="20"/>
          <w:b w:val="1"/>
          <w:bCs w:val="1"/>
          <w:color w:val="auto"/>
        </w:rPr>
        <w:t>remains subject to substantial risk of forfeiture.</w:t>
      </w:r>
    </w:p>
    <w:p>
      <w:pPr>
        <w:spacing w:after="0" w:line="204" w:lineRule="exact"/>
        <w:rPr>
          <w:rFonts w:ascii="Arial" w:cs="Arial" w:eastAsia="Arial" w:hAnsi="Arial"/>
          <w:sz w:val="18"/>
          <w:szCs w:val="18"/>
          <w:color w:val="auto"/>
        </w:rPr>
      </w:pPr>
    </w:p>
    <w:p>
      <w:pPr>
        <w:jc w:val="both"/>
        <w:ind w:firstLine="641"/>
        <w:spacing w:after="0" w:line="273" w:lineRule="auto"/>
        <w:tabs>
          <w:tab w:leader="none" w:pos="1431" w:val="left"/>
        </w:tabs>
        <w:numPr>
          <w:ilvl w:val="0"/>
          <w:numId w:val="58"/>
        </w:numPr>
        <w:rPr>
          <w:rFonts w:ascii="Arial" w:cs="Arial" w:eastAsia="Arial" w:hAnsi="Arial"/>
          <w:sz w:val="18"/>
          <w:szCs w:val="18"/>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xml:space="preserve">. Notwithstanding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 in the event of Participant’s death or Disability (as defined below) prior to the Vesting Date, the RSUs will vest in full and be payable as soon as practicable following the date of such death or Disability. “</w:t>
      </w:r>
      <w:r>
        <w:rPr>
          <w:rFonts w:ascii="Arial" w:cs="Arial" w:eastAsia="Arial" w:hAnsi="Arial"/>
          <w:sz w:val="20"/>
          <w:szCs w:val="20"/>
          <w:u w:val="single" w:color="auto"/>
          <w:color w:val="auto"/>
        </w:rPr>
        <w:t>Disability</w:t>
      </w:r>
      <w:r>
        <w:rPr>
          <w:rFonts w:ascii="Arial" w:cs="Arial" w:eastAsia="Arial" w:hAnsi="Arial"/>
          <w:sz w:val="20"/>
          <w:szCs w:val="20"/>
          <w:color w:val="auto"/>
        </w:rPr>
        <w:t>” means Participant’s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204" w:lineRule="exact"/>
        <w:rPr>
          <w:rFonts w:ascii="Arial" w:cs="Arial" w:eastAsia="Arial" w:hAnsi="Arial"/>
          <w:sz w:val="18"/>
          <w:szCs w:val="18"/>
          <w:color w:val="auto"/>
        </w:rPr>
      </w:pPr>
    </w:p>
    <w:p>
      <w:pPr>
        <w:ind w:firstLine="641"/>
        <w:spacing w:after="0" w:line="289" w:lineRule="auto"/>
        <w:tabs>
          <w:tab w:leader="none" w:pos="1431" w:val="left"/>
        </w:tabs>
        <w:numPr>
          <w:ilvl w:val="0"/>
          <w:numId w:val="58"/>
        </w:numPr>
        <w:rPr>
          <w:rFonts w:ascii="Arial" w:cs="Arial" w:eastAsia="Arial" w:hAnsi="Arial"/>
          <w:sz w:val="18"/>
          <w:szCs w:val="18"/>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the foregoing, the RSUs will vest in full and be payable on the consummation of the Change in Control.</w:t>
      </w:r>
    </w:p>
    <w:p>
      <w:pPr>
        <w:spacing w:after="0" w:line="188" w:lineRule="exact"/>
        <w:rPr>
          <w:rFonts w:ascii="Arial" w:cs="Arial" w:eastAsia="Arial" w:hAnsi="Arial"/>
          <w:sz w:val="18"/>
          <w:szCs w:val="18"/>
          <w:color w:val="auto"/>
        </w:rPr>
      </w:pPr>
    </w:p>
    <w:p>
      <w:pPr>
        <w:ind w:left="1420" w:hanging="77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20"/>
          <w:szCs w:val="20"/>
          <w:u w:val="single" w:color="auto"/>
          <w:color w:val="auto"/>
        </w:rPr>
        <w:t>Rights and Obligations as Stockholder</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firstLine="1290"/>
        <w:spacing w:after="0" w:line="274" w:lineRule="auto"/>
        <w:tabs>
          <w:tab w:leader="none" w:pos="2225" w:val="left"/>
        </w:tabs>
        <w:numPr>
          <w:ilvl w:val="1"/>
          <w:numId w:val="58"/>
        </w:numPr>
        <w:rPr>
          <w:rFonts w:ascii="Arial" w:cs="Arial" w:eastAsia="Arial" w:hAnsi="Arial"/>
          <w:sz w:val="18"/>
          <w:szCs w:val="18"/>
          <w:color w:val="auto"/>
        </w:rPr>
      </w:pPr>
      <w:r>
        <w:rPr>
          <w:rFonts w:ascii="Arial" w:cs="Arial" w:eastAsia="Arial" w:hAnsi="Arial"/>
          <w:sz w:val="20"/>
          <w:szCs w:val="20"/>
          <w:color w:val="auto"/>
        </w:rPr>
        <w:t>Prior to the Settlement Date, the Participant may not vote, sell, exchange, transfer, pledge, hypothecate or otherwise dispose of any of the RSUs. The Participant will receive Dividend Equivalents on the RSUs, provided, however, that no Dividend Equivalents shall be payable prior to the Vesting Date on any unvested RSUs. All Dividend Equivalents paid on unvested RSUs shall be held by the Company until such RSUs become vested RSUs.</w:t>
      </w:r>
    </w:p>
    <w:p>
      <w:pPr>
        <w:sectPr>
          <w:pgSz w:w="11900" w:h="16838" w:orient="portrait"/>
          <w:cols w:equalWidth="0" w:num="1">
            <w:col w:w="11000"/>
          </w:cols>
          <w:pgMar w:left="660" w:top="738" w:right="239" w:bottom="1440" w:gutter="0" w:footer="0" w:header="0"/>
        </w:sectPr>
      </w:pPr>
    </w:p>
    <w:bookmarkStart w:id="85" w:name="page86"/>
    <w:bookmarkEnd w:id="85"/>
    <w:p>
      <w:pPr>
        <w:jc w:val="both"/>
        <w:ind w:left="-641" w:firstLine="1290"/>
        <w:spacing w:after="0" w:line="278" w:lineRule="auto"/>
        <w:tabs>
          <w:tab w:leader="none" w:pos="1594" w:val="left"/>
        </w:tabs>
        <w:numPr>
          <w:ilvl w:val="1"/>
          <w:numId w:val="59"/>
        </w:numPr>
        <w:rPr>
          <w:rFonts w:ascii="Arial" w:cs="Arial" w:eastAsia="Arial" w:hAnsi="Arial"/>
          <w:sz w:val="18"/>
          <w:szCs w:val="18"/>
          <w:color w:val="auto"/>
        </w:rPr>
      </w:pPr>
      <w:r>
        <w:rPr>
          <w:rFonts w:ascii="Arial" w:cs="Arial" w:eastAsia="Arial" w:hAnsi="Arial"/>
          <w:sz w:val="20"/>
          <w:szCs w:val="20"/>
          <w:color w:val="auto"/>
        </w:rPr>
        <w:t xml:space="preserve">After the Settlement Date, the Participant agrees to comply with any and all of the Company’s policies and procedures related to trading in the Company’s Shares, including, but not limited to, the Company’s </w:t>
      </w:r>
      <w:r>
        <w:rPr>
          <w:rFonts w:ascii="Arial" w:cs="Arial" w:eastAsia="Arial" w:hAnsi="Arial"/>
          <w:sz w:val="20"/>
          <w:szCs w:val="20"/>
          <w:i w:val="1"/>
          <w:iCs w:val="1"/>
          <w:color w:val="auto"/>
        </w:rPr>
        <w:t>Code of Business Conduct</w:t>
      </w:r>
      <w:r>
        <w:rPr>
          <w:rFonts w:ascii="Arial" w:cs="Arial" w:eastAsia="Arial" w:hAnsi="Arial"/>
          <w:sz w:val="20"/>
          <w:szCs w:val="20"/>
          <w:color w:val="auto"/>
        </w:rPr>
        <w:t xml:space="preserve"> and the </w:t>
      </w:r>
      <w:r>
        <w:rPr>
          <w:rFonts w:ascii="Arial" w:cs="Arial" w:eastAsia="Arial" w:hAnsi="Arial"/>
          <w:sz w:val="20"/>
          <w:szCs w:val="20"/>
          <w:i w:val="1"/>
          <w:iCs w:val="1"/>
          <w:color w:val="auto"/>
        </w:rPr>
        <w:t>Insider Trading Policy</w:t>
      </w:r>
      <w:r>
        <w:rPr>
          <w:rFonts w:ascii="Arial" w:cs="Arial" w:eastAsia="Arial" w:hAnsi="Arial"/>
          <w:sz w:val="20"/>
          <w:szCs w:val="20"/>
          <w:color w:val="auto"/>
        </w:rPr>
        <w:t>.</w:t>
      </w:r>
    </w:p>
    <w:p>
      <w:pPr>
        <w:spacing w:after="0" w:line="200" w:lineRule="exact"/>
        <w:rPr>
          <w:rFonts w:ascii="Arial" w:cs="Arial" w:eastAsia="Arial" w:hAnsi="Arial"/>
          <w:sz w:val="18"/>
          <w:szCs w:val="18"/>
          <w:color w:val="auto"/>
        </w:rPr>
      </w:pPr>
    </w:p>
    <w:p>
      <w:pPr>
        <w:jc w:val="both"/>
        <w:ind w:left="-641" w:firstLine="641"/>
        <w:spacing w:after="0" w:line="278" w:lineRule="auto"/>
        <w:tabs>
          <w:tab w:leader="none" w:pos="790" w:val="left"/>
        </w:tabs>
        <w:numPr>
          <w:ilvl w:val="0"/>
          <w:numId w:val="60"/>
        </w:numPr>
        <w:rPr>
          <w:rFonts w:ascii="Arial" w:cs="Arial" w:eastAsia="Arial" w:hAnsi="Arial"/>
          <w:sz w:val="18"/>
          <w:szCs w:val="18"/>
          <w:color w:val="auto"/>
        </w:rPr>
      </w:pPr>
      <w:r>
        <w:rPr>
          <w:rFonts w:ascii="Arial" w:cs="Arial" w:eastAsia="Arial" w:hAnsi="Arial"/>
          <w:sz w:val="20"/>
          <w:szCs w:val="20"/>
          <w:u w:val="single" w:color="auto"/>
          <w:color w:val="auto"/>
        </w:rPr>
        <w:t>No Limitation on Rights of the Company</w:t>
      </w:r>
      <w:r>
        <w:rPr>
          <w:rFonts w:ascii="Arial" w:cs="Arial" w:eastAsia="Arial" w:hAnsi="Arial"/>
          <w:sz w:val="20"/>
          <w:szCs w:val="20"/>
          <w:color w:val="auto"/>
        </w:rPr>
        <w:t>. The granting of RSUs will not in any way affect the right or power of the Company to make adjustments, reclassifications or changes in its capital or business structure or to merge, consolidate, reincorporate, dissolve, liquidate or sell or transfer all or any part of its business or assets.</w:t>
      </w:r>
    </w:p>
    <w:p>
      <w:pPr>
        <w:spacing w:after="0" w:line="200" w:lineRule="exact"/>
        <w:rPr>
          <w:rFonts w:ascii="Arial" w:cs="Arial" w:eastAsia="Arial" w:hAnsi="Arial"/>
          <w:sz w:val="18"/>
          <w:szCs w:val="18"/>
          <w:color w:val="auto"/>
        </w:rPr>
      </w:pPr>
    </w:p>
    <w:p>
      <w:pPr>
        <w:jc w:val="both"/>
        <w:ind w:left="-641" w:firstLine="641"/>
        <w:spacing w:after="0" w:line="278" w:lineRule="auto"/>
        <w:tabs>
          <w:tab w:leader="none" w:pos="790" w:val="left"/>
        </w:tabs>
        <w:numPr>
          <w:ilvl w:val="0"/>
          <w:numId w:val="60"/>
        </w:numPr>
        <w:rPr>
          <w:rFonts w:ascii="Arial" w:cs="Arial" w:eastAsia="Arial" w:hAnsi="Arial"/>
          <w:sz w:val="18"/>
          <w:szCs w:val="18"/>
          <w:color w:val="auto"/>
        </w:rPr>
      </w:pPr>
      <w:r>
        <w:rPr>
          <w:rFonts w:ascii="Arial" w:cs="Arial" w:eastAsia="Arial" w:hAnsi="Arial"/>
          <w:sz w:val="20"/>
          <w:szCs w:val="20"/>
          <w:u w:val="single" w:color="auto"/>
          <w:color w:val="auto"/>
        </w:rPr>
        <w:t>Employment</w:t>
      </w:r>
      <w:r>
        <w:rPr>
          <w:rFonts w:ascii="Arial" w:cs="Arial" w:eastAsia="Arial" w:hAnsi="Arial"/>
          <w:sz w:val="20"/>
          <w:szCs w:val="20"/>
          <w:color w:val="auto"/>
        </w:rPr>
        <w:t>. Nothing in this Agreement or in the Plan will be construed as constituting a commitment, guarantee, agreement or understanding of any kind or nature that the Company will continue to appoint the Participant as a Director, or as affecting in any way the right of the Company to terminate the appointment of the Participant at any time.</w:t>
      </w:r>
    </w:p>
    <w:p>
      <w:pPr>
        <w:spacing w:after="0" w:line="200" w:lineRule="exact"/>
        <w:rPr>
          <w:rFonts w:ascii="Arial" w:cs="Arial" w:eastAsia="Arial" w:hAnsi="Arial"/>
          <w:sz w:val="18"/>
          <w:szCs w:val="18"/>
          <w:color w:val="auto"/>
        </w:rPr>
      </w:pPr>
    </w:p>
    <w:p>
      <w:pPr>
        <w:jc w:val="both"/>
        <w:ind w:left="-641" w:firstLine="641"/>
        <w:spacing w:after="0" w:line="278" w:lineRule="auto"/>
        <w:tabs>
          <w:tab w:leader="none" w:pos="790" w:val="left"/>
        </w:tabs>
        <w:numPr>
          <w:ilvl w:val="0"/>
          <w:numId w:val="60"/>
        </w:numPr>
        <w:rPr>
          <w:rFonts w:ascii="Arial" w:cs="Arial" w:eastAsia="Arial" w:hAnsi="Arial"/>
          <w:sz w:val="18"/>
          <w:szCs w:val="18"/>
          <w:color w:val="auto"/>
        </w:rPr>
      </w:pPr>
      <w:r>
        <w:rPr>
          <w:rFonts w:ascii="Arial" w:cs="Arial" w:eastAsia="Arial" w:hAnsi="Arial"/>
          <w:sz w:val="20"/>
          <w:szCs w:val="20"/>
          <w:u w:val="single" w:color="auto"/>
          <w:color w:val="auto"/>
        </w:rPr>
        <w:t>Government Regulation</w:t>
      </w:r>
      <w:r>
        <w:rPr>
          <w:rFonts w:ascii="Arial" w:cs="Arial" w:eastAsia="Arial" w:hAnsi="Arial"/>
          <w:sz w:val="20"/>
          <w:szCs w:val="20"/>
          <w:color w:val="auto"/>
        </w:rPr>
        <w:t>. The Company’s obligation to deliver Shares following the Vesting Date will be subject to all applicable laws, rules and regulations and to such approvals by any governmental agencies or national securities exchanges as may be required.</w:t>
      </w:r>
    </w:p>
    <w:p>
      <w:pPr>
        <w:spacing w:after="0" w:line="200" w:lineRule="exact"/>
        <w:rPr>
          <w:rFonts w:ascii="Arial" w:cs="Arial" w:eastAsia="Arial" w:hAnsi="Arial"/>
          <w:sz w:val="18"/>
          <w:szCs w:val="18"/>
          <w:color w:val="auto"/>
        </w:rPr>
      </w:pPr>
    </w:p>
    <w:p>
      <w:pPr>
        <w:jc w:val="both"/>
        <w:ind w:left="-641" w:firstLine="641"/>
        <w:spacing w:after="0" w:line="288" w:lineRule="auto"/>
        <w:tabs>
          <w:tab w:leader="none" w:pos="790" w:val="left"/>
        </w:tabs>
        <w:numPr>
          <w:ilvl w:val="0"/>
          <w:numId w:val="60"/>
        </w:numPr>
        <w:rPr>
          <w:rFonts w:ascii="Arial" w:cs="Arial" w:eastAsia="Arial" w:hAnsi="Arial"/>
          <w:sz w:val="17"/>
          <w:szCs w:val="17"/>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in accordance with the terms of the Plan, will comply with all applicable withholding tax laws, and will be entitled to take any action necessary to effectuate such compliance. The Company may withhold a portion of the Shares to which the Participant or beneficiary otherwise would be entitled equivalent in value to the taxes required to be withheld, determined based upon the Fair Market Value of the Shares. For purposes of withholding, Fair Market Value shall be equal to the closing price (as reported on the New York Stock Exchange) of the Shares on the Settlement Date, or, if the Settlement Date is not a business day, the next business day immediately following the Settlement Date.</w:t>
      </w:r>
    </w:p>
    <w:p>
      <w:pPr>
        <w:spacing w:after="0" w:line="196" w:lineRule="exact"/>
        <w:rPr>
          <w:rFonts w:ascii="Arial" w:cs="Arial" w:eastAsia="Arial" w:hAnsi="Arial"/>
          <w:sz w:val="17"/>
          <w:szCs w:val="17"/>
          <w:color w:val="auto"/>
        </w:rPr>
      </w:pPr>
    </w:p>
    <w:p>
      <w:pPr>
        <w:jc w:val="both"/>
        <w:ind w:left="-641" w:firstLine="641"/>
        <w:spacing w:after="0" w:line="272" w:lineRule="auto"/>
        <w:tabs>
          <w:tab w:leader="none" w:pos="790" w:val="left"/>
        </w:tabs>
        <w:numPr>
          <w:ilvl w:val="0"/>
          <w:numId w:val="60"/>
        </w:numPr>
        <w:rPr>
          <w:rFonts w:ascii="Arial" w:cs="Arial" w:eastAsia="Arial" w:hAnsi="Arial"/>
          <w:sz w:val="18"/>
          <w:szCs w:val="18"/>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Any notice to the Company provided for in this Agreement will be addressed to it in care of its Secretary, TechnipFMC plc, 11740 Katy Freeway, Houston, Texas 77079, and any notice to the Participant (or other person entitled to receive the RSUs) will be addressed to such person at the Participant’s address now on file with the Company, or to such other address as either may designate to the other in writing. Any notice will be deemed to be duly given when sent via email or when sent by certified mail (return receipt requested) and deposited (with postage prepaid) in a post office or branch post office regularly maintained by the United States Postal Service.</w:t>
      </w:r>
    </w:p>
    <w:p>
      <w:pPr>
        <w:spacing w:after="0" w:line="205" w:lineRule="exact"/>
        <w:rPr>
          <w:rFonts w:ascii="Arial" w:cs="Arial" w:eastAsia="Arial" w:hAnsi="Arial"/>
          <w:sz w:val="18"/>
          <w:szCs w:val="18"/>
          <w:color w:val="auto"/>
        </w:rPr>
      </w:pPr>
    </w:p>
    <w:p>
      <w:pPr>
        <w:ind w:left="-641" w:firstLine="641"/>
        <w:spacing w:after="0" w:line="289"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20"/>
          <w:szCs w:val="20"/>
          <w:u w:val="single" w:color="auto"/>
          <w:color w:val="auto"/>
        </w:rPr>
        <w:t>Administration</w:t>
      </w:r>
      <w:r>
        <w:rPr>
          <w:rFonts w:ascii="Arial" w:cs="Arial" w:eastAsia="Arial" w:hAnsi="Arial"/>
          <w:sz w:val="20"/>
          <w:szCs w:val="20"/>
          <w:color w:val="auto"/>
        </w:rPr>
        <w:t>. The Participant’s rights under this Agreement are expressly subject to the terms and conditions of the Plan, if any, a copy of which has been made available to the Participant.</w:t>
      </w:r>
    </w:p>
    <w:p>
      <w:pPr>
        <w:spacing w:after="0" w:line="188" w:lineRule="exact"/>
        <w:rPr>
          <w:rFonts w:ascii="Arial" w:cs="Arial" w:eastAsia="Arial" w:hAnsi="Arial"/>
          <w:sz w:val="18"/>
          <w:szCs w:val="18"/>
          <w:color w:val="auto"/>
        </w:rPr>
      </w:pPr>
    </w:p>
    <w:p>
      <w:pPr>
        <w:ind w:left="-641" w:firstLine="641"/>
        <w:spacing w:after="0" w:line="289" w:lineRule="auto"/>
        <w:tabs>
          <w:tab w:leader="none" w:pos="873" w:val="left"/>
        </w:tabs>
        <w:numPr>
          <w:ilvl w:val="0"/>
          <w:numId w:val="60"/>
        </w:numPr>
        <w:rPr>
          <w:rFonts w:ascii="Arial" w:cs="Arial" w:eastAsia="Arial" w:hAnsi="Arial"/>
          <w:sz w:val="18"/>
          <w:szCs w:val="18"/>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will inure to the benefit of and be binding upon the parties hereto and their respective heirs, executors, administrators, successors and permitted assigns.</w:t>
      </w:r>
    </w:p>
    <w:p>
      <w:pPr>
        <w:spacing w:after="0" w:line="188" w:lineRule="exact"/>
        <w:rPr>
          <w:rFonts w:ascii="Arial" w:cs="Arial" w:eastAsia="Arial" w:hAnsi="Arial"/>
          <w:sz w:val="18"/>
          <w:szCs w:val="18"/>
          <w:color w:val="auto"/>
        </w:rPr>
      </w:pPr>
    </w:p>
    <w:p>
      <w:pPr>
        <w:jc w:val="both"/>
        <w:ind w:left="-641" w:firstLine="641"/>
        <w:spacing w:after="0" w:line="278"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20"/>
          <w:szCs w:val="20"/>
          <w:u w:val="single" w:color="auto"/>
          <w:color w:val="auto"/>
        </w:rPr>
        <w:t>Sole Agreement</w:t>
      </w:r>
      <w:r>
        <w:rPr>
          <w:rFonts w:ascii="Arial" w:cs="Arial" w:eastAsia="Arial" w:hAnsi="Arial"/>
          <w:sz w:val="20"/>
          <w:szCs w:val="20"/>
          <w:color w:val="auto"/>
        </w:rPr>
        <w:t>. This Agreement constitutes the entire agreement between the parties to it relating to the RSUs and supersedes any and all prior oral and written representations. This Agreement may only be amended by written agreement between the Company and the Participant.</w:t>
      </w:r>
    </w:p>
    <w:p>
      <w:pPr>
        <w:spacing w:after="0" w:line="200" w:lineRule="exact"/>
        <w:rPr>
          <w:rFonts w:ascii="Arial" w:cs="Arial" w:eastAsia="Arial" w:hAnsi="Arial"/>
          <w:sz w:val="18"/>
          <w:szCs w:val="18"/>
          <w:color w:val="auto"/>
        </w:rPr>
      </w:pPr>
    </w:p>
    <w:p>
      <w:pPr>
        <w:jc w:val="both"/>
        <w:ind w:left="-641" w:firstLine="641"/>
        <w:spacing w:after="0" w:line="290" w:lineRule="auto"/>
        <w:tabs>
          <w:tab w:leader="none" w:pos="880" w:val="left"/>
        </w:tabs>
        <w:numPr>
          <w:ilvl w:val="0"/>
          <w:numId w:val="60"/>
        </w:numPr>
        <w:rPr>
          <w:rFonts w:ascii="Arial" w:cs="Arial" w:eastAsia="Arial" w:hAnsi="Arial"/>
          <w:sz w:val="17"/>
          <w:szCs w:val="17"/>
          <w:color w:val="auto"/>
        </w:rPr>
      </w:pPr>
      <w:r>
        <w:rPr>
          <w:rFonts w:ascii="Arial" w:cs="Arial" w:eastAsia="Arial" w:hAnsi="Arial"/>
          <w:sz w:val="19"/>
          <w:szCs w:val="19"/>
          <w:u w:val="single" w:color="auto"/>
          <w:color w:val="auto"/>
        </w:rPr>
        <w:t>Delivery of Documents</w:t>
      </w:r>
      <w:r>
        <w:rPr>
          <w:rFonts w:ascii="Arial" w:cs="Arial" w:eastAsia="Arial" w:hAnsi="Arial"/>
          <w:sz w:val="19"/>
          <w:szCs w:val="19"/>
          <w:color w:val="auto"/>
        </w:rPr>
        <w:t>.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a government sponsored postal service, by registered or certified mail, or with an internationally recognized overnight courier service, with postage and fees prepaid, addressed to the</w:t>
      </w:r>
    </w:p>
    <w:p>
      <w:pPr>
        <w:sectPr>
          <w:pgSz w:w="11900" w:h="16838" w:orient="portrait"/>
          <w:cols w:equalWidth="0" w:num="1">
            <w:col w:w="10359"/>
          </w:cols>
          <w:pgMar w:left="1301" w:top="825" w:right="239" w:bottom="1440" w:gutter="0" w:footer="0" w:header="0"/>
        </w:sectPr>
      </w:pPr>
    </w:p>
    <w:bookmarkStart w:id="86" w:name="page87"/>
    <w:bookmarkEnd w:id="86"/>
    <w:p>
      <w:pPr>
        <w:spacing w:after="0" w:line="260" w:lineRule="auto"/>
        <w:rPr>
          <w:sz w:val="20"/>
          <w:szCs w:val="20"/>
          <w:color w:val="auto"/>
        </w:rPr>
      </w:pPr>
      <w:r>
        <w:rPr>
          <w:rFonts w:ascii="Arial" w:cs="Arial" w:eastAsia="Arial" w:hAnsi="Arial"/>
          <w:sz w:val="20"/>
          <w:szCs w:val="20"/>
          <w:color w:val="auto"/>
        </w:rPr>
        <w:t>other party at the address shown below that party’s signature hereto or at such other address as such party may designate in writing from time to time to the other party.</w:t>
      </w:r>
    </w:p>
    <w:p>
      <w:pPr>
        <w:spacing w:after="0" w:line="204" w:lineRule="exact"/>
        <w:rPr>
          <w:sz w:val="20"/>
          <w:szCs w:val="20"/>
          <w:color w:val="auto"/>
        </w:rPr>
      </w:pPr>
    </w:p>
    <w:p>
      <w:pPr>
        <w:jc w:val="both"/>
        <w:ind w:firstLine="1290"/>
        <w:spacing w:after="0" w:line="302" w:lineRule="auto"/>
        <w:tabs>
          <w:tab w:leader="none" w:pos="2225" w:val="left"/>
        </w:tabs>
        <w:numPr>
          <w:ilvl w:val="1"/>
          <w:numId w:val="61"/>
        </w:numPr>
        <w:rPr>
          <w:rFonts w:ascii="Arial" w:cs="Arial" w:eastAsia="Arial" w:hAnsi="Arial"/>
          <w:sz w:val="16"/>
          <w:szCs w:val="16"/>
          <w:color w:val="auto"/>
        </w:rPr>
      </w:pPr>
      <w:r>
        <w:rPr>
          <w:rFonts w:ascii="Arial" w:cs="Arial" w:eastAsia="Arial" w:hAnsi="Arial"/>
          <w:sz w:val="18"/>
          <w:szCs w:val="18"/>
          <w:u w:val="single" w:color="auto"/>
          <w:color w:val="auto"/>
        </w:rPr>
        <w:t>Description of Electronic Delivery</w:t>
      </w:r>
      <w:r>
        <w:rPr>
          <w:rFonts w:ascii="Arial" w:cs="Arial" w:eastAsia="Arial" w:hAnsi="Arial"/>
          <w:sz w:val="18"/>
          <w:szCs w:val="18"/>
          <w:color w:val="auto"/>
        </w:rPr>
        <w:t>. The Plan documents, which may include but do not necessarily include: the Plan, this Agreement, the Plan’s prospectus, and any reports of the Company provided generally to the Company’s stockholders, may be delivered to the Participant electronically. In addition, the Participant may deliver electronically the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The Participant may revoke his or her consent to the electronic delivery of documents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herein. Electronic execution of this Agreement shall have the same binding effect as a written or hard copy signature and accordingly, shall bind the Participant and the Company to all of the terms and conditions set forth in the Plan and this Agreement.</w:t>
      </w:r>
    </w:p>
    <w:p>
      <w:pPr>
        <w:spacing w:after="0" w:line="183" w:lineRule="exact"/>
        <w:rPr>
          <w:rFonts w:ascii="Arial" w:cs="Arial" w:eastAsia="Arial" w:hAnsi="Arial"/>
          <w:sz w:val="16"/>
          <w:szCs w:val="16"/>
          <w:color w:val="auto"/>
        </w:rPr>
      </w:pPr>
    </w:p>
    <w:p>
      <w:pPr>
        <w:jc w:val="both"/>
        <w:ind w:firstLine="1290"/>
        <w:spacing w:after="0" w:line="310" w:lineRule="auto"/>
        <w:tabs>
          <w:tab w:leader="none" w:pos="2236" w:val="left"/>
        </w:tabs>
        <w:numPr>
          <w:ilvl w:val="1"/>
          <w:numId w:val="61"/>
        </w:numPr>
        <w:rPr>
          <w:rFonts w:ascii="Arial" w:cs="Arial" w:eastAsia="Arial" w:hAnsi="Arial"/>
          <w:sz w:val="16"/>
          <w:szCs w:val="16"/>
          <w:color w:val="auto"/>
        </w:rPr>
      </w:pPr>
      <w:r>
        <w:rPr>
          <w:rFonts w:ascii="Arial" w:cs="Arial" w:eastAsia="Arial" w:hAnsi="Arial"/>
          <w:sz w:val="18"/>
          <w:szCs w:val="18"/>
          <w:u w:val="single" w:color="auto"/>
          <w:color w:val="auto"/>
        </w:rPr>
        <w:t>Paper Copies</w:t>
      </w:r>
      <w:r>
        <w:rPr>
          <w:rFonts w:ascii="Arial" w:cs="Arial" w:eastAsia="Arial" w:hAnsi="Arial"/>
          <w:sz w:val="18"/>
          <w:szCs w:val="18"/>
          <w:color w:val="auto"/>
        </w:rPr>
        <w:t>. Participant acknowledges that he or she may receive form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 fails.</w:t>
      </w:r>
    </w:p>
    <w:p>
      <w:pPr>
        <w:spacing w:after="0" w:line="175" w:lineRule="exact"/>
        <w:rPr>
          <w:rFonts w:ascii="Arial" w:cs="Arial" w:eastAsia="Arial" w:hAnsi="Arial"/>
          <w:sz w:val="16"/>
          <w:szCs w:val="16"/>
          <w:color w:val="auto"/>
        </w:rPr>
      </w:pPr>
    </w:p>
    <w:p>
      <w:pPr>
        <w:jc w:val="both"/>
        <w:ind w:firstLine="641"/>
        <w:spacing w:after="0" w:line="286" w:lineRule="auto"/>
        <w:tabs>
          <w:tab w:leader="none" w:pos="1521" w:val="left"/>
        </w:tabs>
        <w:numPr>
          <w:ilvl w:val="0"/>
          <w:numId w:val="62"/>
        </w:numPr>
        <w:rPr>
          <w:rFonts w:ascii="Arial" w:cs="Arial" w:eastAsia="Arial" w:hAnsi="Arial"/>
          <w:sz w:val="17"/>
          <w:szCs w:val="17"/>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9"/>
          <w:szCs w:val="19"/>
          <w:u w:val="single" w:color="auto"/>
          <w:color w:val="auto"/>
        </w:rPr>
        <w:t>Section 409A</w:t>
      </w:r>
      <w:r>
        <w:rPr>
          <w:rFonts w:ascii="Arial" w:cs="Arial" w:eastAsia="Arial" w:hAnsi="Arial"/>
          <w:sz w:val="19"/>
          <w:szCs w:val="19"/>
          <w:color w:val="auto"/>
        </w:rPr>
        <w:t>”). However, notwithstanding any other provision of the Plan or this Agreement, if at any time the Administrator determines that this Award (or any portion thereof) may be subject to Section 409A, the Administrator shall have the right in its sole discretion (without any obligation to do so or to indemnify the Participant or any other person for failure to do so) to adopt such amendments to the Plan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95" w:lineRule="exact"/>
        <w:rPr>
          <w:rFonts w:ascii="Arial" w:cs="Arial" w:eastAsia="Arial" w:hAnsi="Arial"/>
          <w:sz w:val="17"/>
          <w:szCs w:val="17"/>
          <w:color w:val="auto"/>
        </w:rPr>
      </w:pPr>
    </w:p>
    <w:p>
      <w:pPr>
        <w:ind w:firstLine="641"/>
        <w:spacing w:after="0" w:line="289" w:lineRule="auto"/>
        <w:tabs>
          <w:tab w:leader="none" w:pos="1521" w:val="left"/>
        </w:tabs>
        <w:numPr>
          <w:ilvl w:val="0"/>
          <w:numId w:val="62"/>
        </w:numPr>
        <w:rPr>
          <w:rFonts w:ascii="Arial" w:cs="Arial" w:eastAsia="Arial" w:hAnsi="Arial"/>
          <w:sz w:val="18"/>
          <w:szCs w:val="18"/>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The interpretation, performance and enforcement of this Agreement will be governed by the laws of the State of Delaware.</w:t>
      </w:r>
    </w:p>
    <w:p>
      <w:pPr>
        <w:spacing w:after="0" w:line="188" w:lineRule="exact"/>
        <w:rPr>
          <w:rFonts w:ascii="Arial" w:cs="Arial" w:eastAsia="Arial" w:hAnsi="Arial"/>
          <w:sz w:val="18"/>
          <w:szCs w:val="18"/>
          <w:color w:val="auto"/>
        </w:rPr>
      </w:pPr>
    </w:p>
    <w:p>
      <w:pPr>
        <w:jc w:val="both"/>
        <w:ind w:firstLine="641"/>
        <w:spacing w:after="0" w:line="288" w:lineRule="auto"/>
        <w:tabs>
          <w:tab w:leader="none" w:pos="1521" w:val="left"/>
        </w:tabs>
        <w:numPr>
          <w:ilvl w:val="0"/>
          <w:numId w:val="62"/>
        </w:numPr>
        <w:rPr>
          <w:rFonts w:ascii="Arial" w:cs="Arial" w:eastAsia="Arial" w:hAnsi="Arial"/>
          <w:sz w:val="17"/>
          <w:szCs w:val="17"/>
          <w:color w:val="auto"/>
        </w:rPr>
      </w:pPr>
      <w:r>
        <w:rPr>
          <w:rFonts w:ascii="Arial" w:cs="Arial" w:eastAsia="Arial" w:hAnsi="Arial"/>
          <w:sz w:val="19"/>
          <w:szCs w:val="19"/>
          <w:u w:val="single" w:color="auto"/>
          <w:color w:val="auto"/>
        </w:rPr>
        <w:t>Privacy</w:t>
      </w:r>
      <w:r>
        <w:rPr>
          <w:rFonts w:ascii="Arial" w:cs="Arial" w:eastAsia="Arial" w:hAnsi="Arial"/>
          <w:sz w:val="19"/>
          <w:szCs w:val="19"/>
          <w:color w:val="auto"/>
        </w:rPr>
        <w:t>. Participant acknowledges, agrees and consents, as a condition to receipt of this Award and in accordance with Section 11.8 of the Plan, to Company’s collection, use and transfer, in electronic or other form, of personal data of the Participant as described in Section 11.8 of the Plan by and among the Company and its Subsidiaries for the exclusive purpose of implementing, performing or administering the Plan or any related benefit. Participant expressly gives his or her consent to the Company to receive, possess, use, retain and transfer such personal data as may be required to a broker or other third party with whom the Company or any of its Subsidiaries or the Participant may elect to deposit any Shares.</w:t>
      </w:r>
    </w:p>
    <w:p>
      <w:pPr>
        <w:spacing w:after="0" w:line="196" w:lineRule="exact"/>
        <w:rPr>
          <w:rFonts w:ascii="Arial" w:cs="Arial" w:eastAsia="Arial" w:hAnsi="Arial"/>
          <w:sz w:val="17"/>
          <w:szCs w:val="17"/>
          <w:color w:val="auto"/>
        </w:rPr>
      </w:pPr>
    </w:p>
    <w:p>
      <w:pPr>
        <w:ind w:left="1520" w:hanging="879"/>
        <w:spacing w:after="0"/>
        <w:tabs>
          <w:tab w:leader="none" w:pos="1520" w:val="left"/>
        </w:tabs>
        <w:numPr>
          <w:ilvl w:val="0"/>
          <w:numId w:val="62"/>
        </w:numPr>
        <w:rPr>
          <w:rFonts w:ascii="Arial" w:cs="Arial" w:eastAsia="Arial" w:hAnsi="Arial"/>
          <w:sz w:val="18"/>
          <w:szCs w:val="18"/>
          <w:color w:val="auto"/>
        </w:rPr>
      </w:pPr>
      <w:r>
        <w:rPr>
          <w:rFonts w:ascii="Arial" w:cs="Arial" w:eastAsia="Arial" w:hAnsi="Arial"/>
          <w:sz w:val="20"/>
          <w:szCs w:val="20"/>
          <w:u w:val="single" w:color="auto"/>
          <w:color w:val="auto"/>
        </w:rPr>
        <w:t>Funding</w:t>
      </w:r>
      <w:r>
        <w:rPr>
          <w:rFonts w:ascii="Arial" w:cs="Arial" w:eastAsia="Arial" w:hAnsi="Arial"/>
          <w:sz w:val="20"/>
          <w:szCs w:val="20"/>
          <w:color w:val="auto"/>
        </w:rPr>
        <w:t>. The RSUs represent an unfunded promise to pay and deliver Shares in the future.</w:t>
      </w:r>
    </w:p>
    <w:p>
      <w:pPr>
        <w:sectPr>
          <w:pgSz w:w="11900" w:h="16838" w:orient="portrait"/>
          <w:cols w:equalWidth="0" w:num="1">
            <w:col w:w="11000"/>
          </w:cols>
          <w:pgMar w:left="660" w:top="582" w:right="239" w:bottom="1440" w:gutter="0" w:footer="0" w:header="0"/>
        </w:sectPr>
      </w:pPr>
    </w:p>
    <w:bookmarkStart w:id="87" w:name="page88"/>
    <w:bookmarkEnd w:id="87"/>
    <w:p>
      <w:pPr>
        <w:ind w:left="60"/>
        <w:spacing w:after="0"/>
        <w:rPr>
          <w:sz w:val="20"/>
          <w:szCs w:val="20"/>
          <w:color w:val="auto"/>
        </w:rPr>
      </w:pPr>
      <w:r>
        <w:rPr>
          <w:rFonts w:ascii="Arial" w:cs="Arial" w:eastAsia="Arial" w:hAnsi="Arial"/>
          <w:sz w:val="20"/>
          <w:szCs w:val="20"/>
          <w:color w:val="auto"/>
        </w:rPr>
        <w:t>Executed as of the Grant Date.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TechnipFMC plc</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27305</wp:posOffset>
            </wp:positionV>
            <wp:extent cx="65690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line="47" w:lineRule="exact"/>
        <w:rPr>
          <w:sz w:val="20"/>
          <w:szCs w:val="20"/>
          <w:color w:val="auto"/>
        </w:rPr>
      </w:pPr>
    </w:p>
    <w:p>
      <w:pPr>
        <w:ind w:left="6600" w:right="1820" w:hanging="5941"/>
        <w:spacing w:after="0" w:line="379" w:lineRule="auto"/>
        <w:tabs>
          <w:tab w:leader="none" w:pos="6580" w:val="left"/>
        </w:tabs>
        <w:rPr>
          <w:sz w:val="20"/>
          <w:szCs w:val="20"/>
          <w:color w:val="auto"/>
        </w:rPr>
      </w:pPr>
      <w:r>
        <w:rPr>
          <w:rFonts w:ascii="Arial" w:cs="Arial" w:eastAsia="Arial" w:hAnsi="Arial"/>
          <w:sz w:val="20"/>
          <w:szCs w:val="20"/>
          <w:color w:val="auto"/>
        </w:rPr>
        <w:t>[Executive Vice President, Human Resources]</w:t>
      </w:r>
      <w:r>
        <w:rPr>
          <w:sz w:val="20"/>
          <w:szCs w:val="20"/>
          <w:color w:val="auto"/>
        </w:rPr>
        <w:tab/>
      </w:r>
      <w:r>
        <w:rPr>
          <w:rFonts w:ascii="Arial" w:cs="Arial" w:eastAsia="Arial" w:hAnsi="Arial"/>
          <w:sz w:val="18"/>
          <w:szCs w:val="18"/>
          <w:color w:val="auto"/>
        </w:rPr>
        <w:t>&lt;&lt;Signed Electronically&gt;&gt; &lt;&lt;Acceptance Date&gt;&gt;</w:t>
      </w:r>
    </w:p>
    <w:p>
      <w:pPr>
        <w:spacing w:after="0" w:line="31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This document constitutes part of a prospectus covering securities that have been registered under the Securities Act of 1933.</w:t>
      </w:r>
    </w:p>
    <w:p>
      <w:pPr>
        <w:sectPr>
          <w:pgSz w:w="11900" w:h="16838" w:orient="portrait"/>
          <w:cols w:equalWidth="0" w:num="1">
            <w:col w:w="10580"/>
          </w:cols>
          <w:pgMar w:left="680" w:top="582" w:right="639" w:bottom="1440" w:gutter="0" w:footer="0" w:header="0"/>
        </w:sectPr>
      </w:pPr>
    </w:p>
    <w:bookmarkStart w:id="88" w:name="page89"/>
    <w:bookmarkEnd w:id="88"/>
    <w:p>
      <w:pPr>
        <w:jc w:val="center"/>
        <w:spacing w:after="0"/>
        <w:rPr>
          <w:sz w:val="20"/>
          <w:szCs w:val="20"/>
          <w:color w:val="auto"/>
        </w:rPr>
      </w:pPr>
      <w:r>
        <w:rPr>
          <w:rFonts w:ascii="Arial" w:cs="Arial" w:eastAsia="Arial" w:hAnsi="Arial"/>
          <w:sz w:val="20"/>
          <w:szCs w:val="20"/>
          <w:b w:val="1"/>
          <w:bCs w:val="1"/>
          <w:color w:val="auto"/>
        </w:rPr>
        <w:t>PERFORMANCE STOCK UNIT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TECHNIPFMC PLC INCENTIVE AWARD PLAN</w:t>
      </w:r>
    </w:p>
    <w:p>
      <w:pPr>
        <w:spacing w:after="0" w:line="22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This Performance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the [GRANT DATE] (the “</w:t>
      </w:r>
      <w:r>
        <w:rPr>
          <w:rFonts w:ascii="Arial" w:cs="Arial" w:eastAsia="Arial" w:hAnsi="Arial"/>
          <w:sz w:val="18"/>
          <w:szCs w:val="18"/>
          <w:u w:val="single" w:color="auto"/>
          <w:color w:val="auto"/>
        </w:rPr>
        <w:t>Grant Date</w:t>
      </w:r>
      <w:r>
        <w:rPr>
          <w:rFonts w:ascii="Arial" w:cs="Arial" w:eastAsia="Arial" w:hAnsi="Arial"/>
          <w:sz w:val="18"/>
          <w:szCs w:val="18"/>
          <w:color w:val="auto"/>
        </w:rPr>
        <w:t>”) by TechnipFMC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and [NAME]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TechnipFMC plc Incentive Award Plan (the “</w:t>
      </w:r>
      <w:r>
        <w:rPr>
          <w:rFonts w:ascii="Arial" w:cs="Arial" w:eastAsia="Arial" w:hAnsi="Arial"/>
          <w:sz w:val="20"/>
          <w:szCs w:val="20"/>
          <w:u w:val="single" w:color="auto"/>
          <w:color w:val="auto"/>
        </w:rPr>
        <w:t>Plan</w:t>
      </w:r>
      <w:r>
        <w:rPr>
          <w:rFonts w:ascii="Arial" w:cs="Arial" w:eastAsia="Arial" w:hAnsi="Arial"/>
          <w:sz w:val="20"/>
          <w:szCs w:val="20"/>
          <w:color w:val="auto"/>
        </w:rPr>
        <w:t>”), as it may be amended or restated from time to time, is incorporated by reference and made a part of this Agreement and will control the rights and obligations of the Company and the Participant under this Agreement. Except as otherwise expressly provided herein, all capitalized terms have the meanings provided in the Plan. To the extent there is a conflict between the Plan and this Agreement, the provisions of the Plan will prevail.</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The provisions of this Agreement are replaced, superseded and/or supplemented, as applicable, by the provisions of the Country Schedules applicable to the Participant as set forth in </w:t>
      </w:r>
      <w:r>
        <w:rPr>
          <w:rFonts w:ascii="Arial" w:cs="Arial" w:eastAsia="Arial" w:hAnsi="Arial"/>
          <w:sz w:val="20"/>
          <w:szCs w:val="20"/>
          <w:u w:val="single" w:color="auto"/>
          <w:color w:val="auto"/>
        </w:rPr>
        <w:t>Schedule A</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Compensation Committee of the Company’s Board of Directors (the “</w:t>
      </w:r>
      <w:r>
        <w:rPr>
          <w:rFonts w:ascii="Arial" w:cs="Arial" w:eastAsia="Arial" w:hAnsi="Arial"/>
          <w:sz w:val="20"/>
          <w:szCs w:val="20"/>
          <w:u w:val="single" w:color="auto"/>
          <w:color w:val="auto"/>
        </w:rPr>
        <w:t>Committee</w:t>
      </w:r>
      <w:r>
        <w:rPr>
          <w:rFonts w:ascii="Arial" w:cs="Arial" w:eastAsia="Arial" w:hAnsi="Arial"/>
          <w:sz w:val="20"/>
          <w:szCs w:val="20"/>
          <w:color w:val="auto"/>
        </w:rPr>
        <w:t>”) determined that it would be to the competitive advantage and interest of the Company and its stockholders to grant an award of restricted stock units to the Participant, the amount of which will vary based on the Company’s performance, as an inducement to remain in the service of the Company or one of its affiliates (collectively, the “</w:t>
      </w:r>
      <w:r>
        <w:rPr>
          <w:rFonts w:ascii="Arial" w:cs="Arial" w:eastAsia="Arial" w:hAnsi="Arial"/>
          <w:sz w:val="20"/>
          <w:szCs w:val="20"/>
          <w:u w:val="single" w:color="auto"/>
          <w:color w:val="auto"/>
        </w:rPr>
        <w:t>Employer</w:t>
      </w:r>
      <w:r>
        <w:rPr>
          <w:rFonts w:ascii="Arial" w:cs="Arial" w:eastAsia="Arial" w:hAnsi="Arial"/>
          <w:sz w:val="20"/>
          <w:szCs w:val="20"/>
          <w:color w:val="auto"/>
        </w:rPr>
        <w:t>”).</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Committee, on behalf of the Company, grants to the Participant an award of [# of Shares Granted] performance-based restricted stock units (the “</w:t>
      </w:r>
      <w:r>
        <w:rPr>
          <w:rFonts w:ascii="Arial" w:cs="Arial" w:eastAsia="Arial" w:hAnsi="Arial"/>
          <w:sz w:val="19"/>
          <w:szCs w:val="19"/>
          <w:u w:val="single" w:color="auto"/>
          <w:color w:val="auto"/>
        </w:rPr>
        <w:t>PSUs</w:t>
      </w:r>
      <w:r>
        <w:rPr>
          <w:rFonts w:ascii="Arial" w:cs="Arial" w:eastAsia="Arial" w:hAnsi="Arial"/>
          <w:sz w:val="19"/>
          <w:szCs w:val="19"/>
          <w:color w:val="auto"/>
        </w:rPr>
        <w:t>”) of the Company’s ordinary shares (the “</w:t>
      </w:r>
      <w:r>
        <w:rPr>
          <w:rFonts w:ascii="Arial" w:cs="Arial" w:eastAsia="Arial" w:hAnsi="Arial"/>
          <w:sz w:val="19"/>
          <w:szCs w:val="19"/>
          <w:u w:val="single" w:color="auto"/>
          <w:color w:val="auto"/>
        </w:rPr>
        <w:t>Shares</w:t>
      </w:r>
      <w:r>
        <w:rPr>
          <w:rFonts w:ascii="Arial" w:cs="Arial" w:eastAsia="Arial" w:hAnsi="Arial"/>
          <w:sz w:val="19"/>
          <w:szCs w:val="19"/>
          <w:color w:val="auto"/>
        </w:rPr>
        <w:t xml:space="preserve">”), which reflects the number of Shares to be delivered based on achievement of Target Performance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Target PSUs</w:t>
      </w:r>
      <w:r>
        <w:rPr>
          <w:rFonts w:ascii="Arial" w:cs="Arial" w:eastAsia="Arial" w:hAnsi="Arial"/>
          <w:sz w:val="19"/>
          <w:szCs w:val="19"/>
          <w:color w:val="auto"/>
        </w:rPr>
        <w:t xml:space="preserve">”). The actual number of Shares earned by the Participant will depend upon the satisfaction of the performance goals and in the amounts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Performance Goals</w:t>
      </w:r>
      <w:r>
        <w:rPr>
          <w:rFonts w:ascii="Arial" w:cs="Arial" w:eastAsia="Arial" w:hAnsi="Arial"/>
          <w:sz w:val="19"/>
          <w:szCs w:val="19"/>
          <w:color w:val="auto"/>
        </w:rPr>
        <w:t>”) over the performance period set forth therein (the “</w:t>
      </w:r>
      <w:r>
        <w:rPr>
          <w:rFonts w:ascii="Arial" w:cs="Arial" w:eastAsia="Arial" w:hAnsi="Arial"/>
          <w:sz w:val="19"/>
          <w:szCs w:val="19"/>
          <w:u w:val="single" w:color="auto"/>
          <w:color w:val="auto"/>
        </w:rPr>
        <w:t>Performance Period</w:t>
      </w:r>
      <w:r>
        <w:rPr>
          <w:rFonts w:ascii="Arial" w:cs="Arial" w:eastAsia="Arial" w:hAnsi="Arial"/>
          <w:sz w:val="19"/>
          <w:szCs w:val="19"/>
          <w:color w:val="auto"/>
        </w:rPr>
        <w:t>”). The number of PSUs earned by the Participant will be determined at a meeting of the Committee following the completion of the Performance Period, at which time the Committee will review and approve the Company’s calculation of the Company’s performance against the Performance Goals. The total number of Shares to be delivered will vary between 0% and 200% of the Target PSUs depending on the Company’s achievement against the Performance Goals. The number of Shares earned based on satisfaction of the Performance Goals being the “</w:t>
      </w:r>
      <w:r>
        <w:rPr>
          <w:rFonts w:ascii="Arial" w:cs="Arial" w:eastAsia="Arial" w:hAnsi="Arial"/>
          <w:sz w:val="19"/>
          <w:szCs w:val="19"/>
          <w:u w:val="single" w:color="auto"/>
          <w:color w:val="auto"/>
        </w:rPr>
        <w:t>Earned PSUs</w:t>
      </w:r>
      <w:r>
        <w:rPr>
          <w:rFonts w:ascii="Arial" w:cs="Arial" w:eastAsia="Arial" w:hAnsi="Arial"/>
          <w:sz w:val="19"/>
          <w:szCs w:val="19"/>
          <w:color w:val="auto"/>
        </w:rPr>
        <w:t>.” No PSUs will be considered Earned PSUs unless and until the Compensation Committee certifies achievement against the Performance Goals. The date the Compensation Committee certifies achievement of such goals is the “</w:t>
      </w:r>
      <w:r>
        <w:rPr>
          <w:rFonts w:ascii="Arial" w:cs="Arial" w:eastAsia="Arial" w:hAnsi="Arial"/>
          <w:sz w:val="19"/>
          <w:szCs w:val="19"/>
          <w:u w:val="single" w:color="auto"/>
          <w:color w:val="auto"/>
        </w:rPr>
        <w:t>Certification Date</w:t>
      </w:r>
      <w:r>
        <w:rPr>
          <w:rFonts w:ascii="Arial" w:cs="Arial" w:eastAsia="Arial" w:hAnsi="Arial"/>
          <w:sz w:val="19"/>
          <w:szCs w:val="19"/>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award is made upon the following terms and conditions:</w:t>
      </w:r>
    </w:p>
    <w:p>
      <w:pPr>
        <w:spacing w:after="0" w:line="229" w:lineRule="exact"/>
        <w:rPr>
          <w:sz w:val="20"/>
          <w:szCs w:val="20"/>
          <w:color w:val="auto"/>
        </w:rPr>
      </w:pPr>
    </w:p>
    <w:p>
      <w:pPr>
        <w:ind w:left="1440" w:hanging="784"/>
        <w:spacing w:after="0"/>
        <w:tabs>
          <w:tab w:leader="none" w:pos="1440" w:val="left"/>
        </w:tabs>
        <w:numPr>
          <w:ilvl w:val="0"/>
          <w:numId w:val="63"/>
        </w:numPr>
        <w:rPr>
          <w:rFonts w:ascii="Arial" w:cs="Arial" w:eastAsia="Arial" w:hAnsi="Arial"/>
          <w:sz w:val="18"/>
          <w:szCs w:val="18"/>
          <w:color w:val="auto"/>
        </w:rPr>
      </w:pPr>
      <w:r>
        <w:rPr>
          <w:rFonts w:ascii="Arial" w:cs="Arial" w:eastAsia="Arial" w:hAnsi="Arial"/>
          <w:sz w:val="20"/>
          <w:szCs w:val="20"/>
          <w:color w:val="auto"/>
        </w:rPr>
        <w:t>Vesting and Settlement.</w:t>
      </w:r>
    </w:p>
    <w:p>
      <w:pPr>
        <w:spacing w:after="0" w:line="256" w:lineRule="exact"/>
        <w:rPr>
          <w:rFonts w:ascii="Arial" w:cs="Arial" w:eastAsia="Arial" w:hAnsi="Arial"/>
          <w:sz w:val="18"/>
          <w:szCs w:val="18"/>
          <w:color w:val="auto"/>
        </w:rPr>
      </w:pPr>
    </w:p>
    <w:p>
      <w:pPr>
        <w:jc w:val="both"/>
        <w:ind w:firstLine="1305"/>
        <w:spacing w:after="0" w:line="274" w:lineRule="auto"/>
        <w:tabs>
          <w:tab w:leader="none" w:pos="2144" w:val="left"/>
        </w:tabs>
        <w:numPr>
          <w:ilvl w:val="1"/>
          <w:numId w:val="63"/>
        </w:numPr>
        <w:rPr>
          <w:rFonts w:ascii="Arial" w:cs="Arial" w:eastAsia="Arial" w:hAnsi="Arial"/>
          <w:sz w:val="18"/>
          <w:szCs w:val="18"/>
          <w:color w:val="auto"/>
        </w:rPr>
      </w:pPr>
      <w:r>
        <w:rPr>
          <w:rFonts w:ascii="Arial" w:cs="Arial" w:eastAsia="Arial" w:hAnsi="Arial"/>
          <w:sz w:val="20"/>
          <w:szCs w:val="20"/>
          <w:color w:val="auto"/>
        </w:rPr>
        <w:t>The PSUs will vest three years following the grant date and after the conclusion of the Performance Period (the “</w:t>
      </w:r>
      <w:r>
        <w:rPr>
          <w:rFonts w:ascii="Arial" w:cs="Arial" w:eastAsia="Arial" w:hAnsi="Arial"/>
          <w:sz w:val="20"/>
          <w:szCs w:val="20"/>
          <w:u w:val="single" w:color="auto"/>
          <w:color w:val="auto"/>
        </w:rPr>
        <w:t>Vesting Date</w:t>
      </w:r>
      <w:r>
        <w:rPr>
          <w:rFonts w:ascii="Arial" w:cs="Arial" w:eastAsia="Arial" w:hAnsi="Arial"/>
          <w:sz w:val="20"/>
          <w:szCs w:val="20"/>
          <w:color w:val="auto"/>
        </w:rPr>
        <w:t xml:space="preserve">”), subject to Participant’s continued employment, appointment or service through the Vesting Date. All PSUs will be forfeited upon Participant’s Termination of Service before the Vesting Date other than as provided in </w:t>
      </w:r>
      <w:r>
        <w:rPr>
          <w:rFonts w:ascii="Arial" w:cs="Arial" w:eastAsia="Arial" w:hAnsi="Arial"/>
          <w:sz w:val="20"/>
          <w:szCs w:val="20"/>
          <w:u w:val="single" w:color="auto"/>
          <w:color w:val="auto"/>
        </w:rPr>
        <w:t>Sections 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w:t>
      </w:r>
      <w:r>
        <w:rPr>
          <w:rFonts w:ascii="Arial" w:cs="Arial" w:eastAsia="Arial" w:hAnsi="Arial"/>
          <w:sz w:val="20"/>
          <w:szCs w:val="20"/>
          <w:color w:val="auto"/>
        </w:rPr>
        <w:t xml:space="preserve"> below. </w:t>
      </w:r>
      <w:r>
        <w:rPr>
          <w:rFonts w:ascii="Arial" w:cs="Arial" w:eastAsia="Arial" w:hAnsi="Arial"/>
          <w:sz w:val="20"/>
          <w:szCs w:val="20"/>
          <w:b w:val="1"/>
          <w:bCs w:val="1"/>
          <w:color w:val="auto"/>
        </w:rPr>
        <w:t>Prior to the Vesting Date,</w:t>
      </w:r>
      <w:r>
        <w:rPr>
          <w:rFonts w:ascii="Arial" w:cs="Arial" w:eastAsia="Arial" w:hAnsi="Arial"/>
          <w:sz w:val="20"/>
          <w:szCs w:val="20"/>
          <w:color w:val="auto"/>
        </w:rPr>
        <w:t xml:space="preserve"> </w:t>
      </w:r>
      <w:r>
        <w:rPr>
          <w:rFonts w:ascii="Arial" w:cs="Arial" w:eastAsia="Arial" w:hAnsi="Arial"/>
          <w:sz w:val="20"/>
          <w:szCs w:val="20"/>
          <w:b w:val="1"/>
          <w:bCs w:val="1"/>
          <w:color w:val="auto"/>
        </w:rPr>
        <w:t>an Award remains subject to substantial risk of forfeiture.</w:t>
      </w:r>
    </w:p>
    <w:p>
      <w:pPr>
        <w:spacing w:after="0" w:line="205" w:lineRule="exact"/>
        <w:rPr>
          <w:rFonts w:ascii="Arial" w:cs="Arial" w:eastAsia="Arial" w:hAnsi="Arial"/>
          <w:sz w:val="18"/>
          <w:szCs w:val="18"/>
          <w:color w:val="auto"/>
        </w:rPr>
      </w:pPr>
    </w:p>
    <w:p>
      <w:pPr>
        <w:ind w:firstLine="1305"/>
        <w:spacing w:after="0" w:line="289" w:lineRule="auto"/>
        <w:tabs>
          <w:tab w:leader="none" w:pos="2155" w:val="left"/>
        </w:tabs>
        <w:numPr>
          <w:ilvl w:val="1"/>
          <w:numId w:val="63"/>
        </w:numPr>
        <w:rPr>
          <w:rFonts w:ascii="Arial" w:cs="Arial" w:eastAsia="Arial" w:hAnsi="Arial"/>
          <w:sz w:val="18"/>
          <w:szCs w:val="18"/>
          <w:color w:val="auto"/>
        </w:rPr>
      </w:pPr>
      <w:r>
        <w:rPr>
          <w:rFonts w:ascii="Arial" w:cs="Arial" w:eastAsia="Arial" w:hAnsi="Arial"/>
          <w:sz w:val="20"/>
          <w:szCs w:val="20"/>
          <w:color w:val="auto"/>
        </w:rPr>
        <w:t>Shares equal to the vested and Earned PSUs will be delivered to the Participant on the third business day following the later of the Certification Date or the Vesting Date (the “</w:t>
      </w:r>
      <w:r>
        <w:rPr>
          <w:rFonts w:ascii="Arial" w:cs="Arial" w:eastAsia="Arial" w:hAnsi="Arial"/>
          <w:sz w:val="20"/>
          <w:szCs w:val="20"/>
          <w:u w:val="single" w:color="auto"/>
          <w:color w:val="auto"/>
        </w:rPr>
        <w:t>Settlement</w:t>
      </w:r>
    </w:p>
    <w:p>
      <w:pPr>
        <w:sectPr>
          <w:pgSz w:w="11900" w:h="16838" w:orient="portrait"/>
          <w:cols w:equalWidth="0" w:num="1">
            <w:col w:w="11420"/>
          </w:cols>
          <w:pgMar w:left="240" w:top="900" w:right="239" w:bottom="1440" w:gutter="0" w:footer="0" w:header="0"/>
        </w:sectPr>
      </w:pPr>
    </w:p>
    <w:bookmarkStart w:id="89" w:name="page90"/>
    <w:bookmarkEnd w:id="89"/>
    <w:p>
      <w:pPr>
        <w:jc w:val="both"/>
        <w:spacing w:after="0" w:line="278" w:lineRule="auto"/>
        <w:rPr>
          <w:sz w:val="20"/>
          <w:szCs w:val="20"/>
          <w:color w:val="auto"/>
        </w:rPr>
      </w:pPr>
      <w:r>
        <w:rPr>
          <w:rFonts w:ascii="Arial" w:cs="Arial" w:eastAsia="Arial" w:hAnsi="Arial"/>
          <w:sz w:val="20"/>
          <w:szCs w:val="20"/>
          <w:u w:val="single" w:color="auto"/>
          <w:color w:val="auto"/>
        </w:rPr>
        <w:t>Date</w:t>
      </w:r>
      <w:r>
        <w:rPr>
          <w:rFonts w:ascii="Arial" w:cs="Arial" w:eastAsia="Arial" w:hAnsi="Arial"/>
          <w:sz w:val="20"/>
          <w:szCs w:val="20"/>
          <w:color w:val="auto"/>
        </w:rPr>
        <w:t>”); 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however, that the Settlement Date shall in no event be later than the date that is two and one-half months following the last day of the Performance Period (for the avoidance of doubt, this deadline is intended to comply with the “short-term deferral” exception from Section 409A of the Code).</w:t>
      </w:r>
    </w:p>
    <w:p>
      <w:pPr>
        <w:spacing w:after="0" w:line="200" w:lineRule="exact"/>
        <w:rPr>
          <w:sz w:val="20"/>
          <w:szCs w:val="20"/>
          <w:color w:val="auto"/>
        </w:rPr>
      </w:pPr>
    </w:p>
    <w:p>
      <w:pPr>
        <w:jc w:val="both"/>
        <w:ind w:firstLine="1305"/>
        <w:spacing w:after="0" w:line="322" w:lineRule="auto"/>
        <w:tabs>
          <w:tab w:leader="none" w:pos="2144" w:val="left"/>
        </w:tabs>
        <w:numPr>
          <w:ilvl w:val="1"/>
          <w:numId w:val="64"/>
        </w:numPr>
        <w:rPr>
          <w:rFonts w:ascii="Arial" w:cs="Arial" w:eastAsia="Arial" w:hAnsi="Arial"/>
          <w:sz w:val="16"/>
          <w:szCs w:val="16"/>
          <w:color w:val="auto"/>
        </w:rPr>
      </w:pPr>
      <w:r>
        <w:rPr>
          <w:rFonts w:ascii="Arial" w:cs="Arial" w:eastAsia="Arial" w:hAnsi="Arial"/>
          <w:sz w:val="18"/>
          <w:szCs w:val="18"/>
          <w:color w:val="auto"/>
        </w:rPr>
        <w:t xml:space="preserve">For the avoidance of doubt, a Participant will retain the right to the Earned PSUs if the Participant’s employment is terminated following the Vesting Date but before the Certification Date. However, if the Participant’s employment is terminated prior to the Vesting Date, but after the Certification Date, the Earned PSUs will be forfeited unless otherwise provided in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w:t>
      </w:r>
      <w:r>
        <w:rPr>
          <w:rFonts w:ascii="Arial" w:cs="Arial" w:eastAsia="Arial" w:hAnsi="Arial"/>
          <w:sz w:val="18"/>
          <w:szCs w:val="18"/>
          <w:color w:val="auto"/>
        </w:rPr>
        <w:t xml:space="preserve"> below.</w:t>
      </w:r>
    </w:p>
    <w:p>
      <w:pPr>
        <w:spacing w:after="0" w:line="166" w:lineRule="exact"/>
        <w:rPr>
          <w:rFonts w:ascii="Arial" w:cs="Arial" w:eastAsia="Arial" w:hAnsi="Arial"/>
          <w:sz w:val="16"/>
          <w:szCs w:val="16"/>
          <w:color w:val="auto"/>
        </w:rPr>
      </w:pPr>
    </w:p>
    <w:p>
      <w:pPr>
        <w:ind w:left="1440" w:hanging="784"/>
        <w:spacing w:after="0"/>
        <w:tabs>
          <w:tab w:leader="none" w:pos="1440" w:val="left"/>
        </w:tabs>
        <w:numPr>
          <w:ilvl w:val="0"/>
          <w:numId w:val="65"/>
        </w:numPr>
        <w:rPr>
          <w:rFonts w:ascii="Arial" w:cs="Arial" w:eastAsia="Arial" w:hAnsi="Arial"/>
          <w:sz w:val="18"/>
          <w:szCs w:val="18"/>
          <w:color w:val="auto"/>
        </w:rPr>
      </w:pPr>
      <w:r>
        <w:rPr>
          <w:rFonts w:ascii="Arial" w:cs="Arial" w:eastAsia="Arial" w:hAnsi="Arial"/>
          <w:sz w:val="20"/>
          <w:szCs w:val="20"/>
          <w:u w:val="single" w:color="auto"/>
          <w:color w:val="auto"/>
        </w:rPr>
        <w:t>Death, Disability or Retirement</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ind w:firstLine="1305"/>
        <w:spacing w:after="0" w:line="316" w:lineRule="auto"/>
        <w:tabs>
          <w:tab w:leader="none" w:pos="2144" w:val="left"/>
        </w:tabs>
        <w:numPr>
          <w:ilvl w:val="1"/>
          <w:numId w:val="65"/>
        </w:numPr>
        <w:rPr>
          <w:rFonts w:ascii="Arial" w:cs="Arial" w:eastAsia="Arial" w:hAnsi="Arial"/>
          <w:sz w:val="17"/>
          <w:szCs w:val="17"/>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hereof, in the event of the Participant’s death or Disability (as defined below) prior to the Vesting Date, the Participant will vest and receive 100% of the Shares as soon as practicable following the Settlement Date.</w:t>
      </w:r>
    </w:p>
    <w:p>
      <w:pPr>
        <w:spacing w:after="0" w:line="167" w:lineRule="exact"/>
        <w:rPr>
          <w:rFonts w:ascii="Arial" w:cs="Arial" w:eastAsia="Arial" w:hAnsi="Arial"/>
          <w:sz w:val="17"/>
          <w:szCs w:val="17"/>
          <w:color w:val="auto"/>
        </w:rPr>
      </w:pPr>
    </w:p>
    <w:p>
      <w:pPr>
        <w:ind w:firstLine="1305"/>
        <w:spacing w:after="0" w:line="289" w:lineRule="auto"/>
        <w:tabs>
          <w:tab w:leader="none" w:pos="2155" w:val="left"/>
        </w:tabs>
        <w:numPr>
          <w:ilvl w:val="1"/>
          <w:numId w:val="65"/>
        </w:numPr>
        <w:rPr>
          <w:rFonts w:ascii="Arial" w:cs="Arial" w:eastAsia="Arial" w:hAnsi="Arial"/>
          <w:sz w:val="18"/>
          <w:szCs w:val="18"/>
          <w:color w:val="auto"/>
        </w:rPr>
      </w:pPr>
      <w:r>
        <w:rPr>
          <w:rFonts w:ascii="Arial" w:cs="Arial" w:eastAsia="Arial" w:hAnsi="Arial"/>
          <w:sz w:val="20"/>
          <w:szCs w:val="20"/>
          <w:color w:val="auto"/>
        </w:rPr>
        <w:t xml:space="preserve">Notwithstanding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 in the event of the Participant’s Retirement (as defined below) prior to the Vesting Date, the Participant will retain the right to receive any Earned PSUs on the Settlement Date.</w:t>
      </w:r>
    </w:p>
    <w:p>
      <w:pPr>
        <w:spacing w:after="0" w:line="188" w:lineRule="exact"/>
        <w:rPr>
          <w:rFonts w:ascii="Arial" w:cs="Arial" w:eastAsia="Arial" w:hAnsi="Arial"/>
          <w:sz w:val="18"/>
          <w:szCs w:val="18"/>
          <w:color w:val="auto"/>
        </w:rPr>
      </w:pPr>
    </w:p>
    <w:p>
      <w:pPr>
        <w:ind w:firstLine="656"/>
        <w:spacing w:after="0" w:line="289" w:lineRule="auto"/>
        <w:tabs>
          <w:tab w:leader="none" w:pos="1431" w:val="left"/>
        </w:tabs>
        <w:numPr>
          <w:ilvl w:val="0"/>
          <w:numId w:val="65"/>
        </w:numPr>
        <w:rPr>
          <w:rFonts w:ascii="Arial" w:cs="Arial" w:eastAsia="Arial" w:hAnsi="Arial"/>
          <w:sz w:val="18"/>
          <w:szCs w:val="18"/>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anything in the agreement to the contrary, upon a Change in Control the “Earned PSUs” will equal the Target PSUs and, where the surviving corporation or any parent corporation thereof:</w:t>
      </w:r>
    </w:p>
    <w:p>
      <w:pPr>
        <w:spacing w:after="0" w:line="188" w:lineRule="exact"/>
        <w:rPr>
          <w:rFonts w:ascii="Arial" w:cs="Arial" w:eastAsia="Arial" w:hAnsi="Arial"/>
          <w:sz w:val="18"/>
          <w:szCs w:val="18"/>
          <w:color w:val="auto"/>
        </w:rPr>
      </w:pPr>
    </w:p>
    <w:p>
      <w:pPr>
        <w:jc w:val="both"/>
        <w:ind w:firstLine="1305"/>
        <w:spacing w:after="0" w:line="314" w:lineRule="auto"/>
        <w:tabs>
          <w:tab w:leader="none" w:pos="2144" w:val="left"/>
        </w:tabs>
        <w:numPr>
          <w:ilvl w:val="1"/>
          <w:numId w:val="65"/>
        </w:numPr>
        <w:rPr>
          <w:rFonts w:ascii="Arial" w:cs="Arial" w:eastAsia="Arial" w:hAnsi="Arial"/>
          <w:sz w:val="16"/>
          <w:szCs w:val="16"/>
          <w:color w:val="auto"/>
        </w:rPr>
      </w:pPr>
      <w:r>
        <w:rPr>
          <w:rFonts w:ascii="Arial" w:cs="Arial" w:eastAsia="Arial" w:hAnsi="Arial"/>
          <w:sz w:val="18"/>
          <w:szCs w:val="18"/>
          <w:color w:val="auto"/>
        </w:rPr>
        <w:t xml:space="preserve">assumes or continues the Award, such Earned PSUs shall continue to be subject to vesting and forfeiture as provided in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payable on the Vesting Date; provided, however, in the event of the Participant’s Termination of Service prior to the Vesting Date without Cause or for Good Reason (as defined below) within twenty-four (24) months following the consummation of a Change in Control (the “</w:t>
      </w:r>
      <w:r>
        <w:rPr>
          <w:rFonts w:ascii="Arial" w:cs="Arial" w:eastAsia="Arial" w:hAnsi="Arial"/>
          <w:sz w:val="18"/>
          <w:szCs w:val="18"/>
          <w:u w:val="single" w:color="auto"/>
          <w:color w:val="auto"/>
        </w:rPr>
        <w:t>Protection Period</w:t>
      </w:r>
      <w:r>
        <w:rPr>
          <w:rFonts w:ascii="Arial" w:cs="Arial" w:eastAsia="Arial" w:hAnsi="Arial"/>
          <w:sz w:val="18"/>
          <w:szCs w:val="18"/>
          <w:color w:val="auto"/>
        </w:rPr>
        <w:t>”), such Earned PSUs shall be payable upon the date of Participant’s Termination of Service.</w:t>
      </w:r>
    </w:p>
    <w:p>
      <w:pPr>
        <w:spacing w:after="0" w:line="172" w:lineRule="exact"/>
        <w:rPr>
          <w:rFonts w:ascii="Arial" w:cs="Arial" w:eastAsia="Arial" w:hAnsi="Arial"/>
          <w:sz w:val="16"/>
          <w:szCs w:val="16"/>
          <w:color w:val="auto"/>
        </w:rPr>
      </w:pPr>
    </w:p>
    <w:p>
      <w:pPr>
        <w:ind w:left="2160" w:hanging="855"/>
        <w:spacing w:after="0"/>
        <w:tabs>
          <w:tab w:leader="none" w:pos="2160" w:val="left"/>
        </w:tabs>
        <w:numPr>
          <w:ilvl w:val="1"/>
          <w:numId w:val="65"/>
        </w:numPr>
        <w:rPr>
          <w:rFonts w:ascii="Arial" w:cs="Arial" w:eastAsia="Arial" w:hAnsi="Arial"/>
          <w:sz w:val="15"/>
          <w:szCs w:val="15"/>
          <w:color w:val="auto"/>
        </w:rPr>
      </w:pPr>
      <w:r>
        <w:rPr>
          <w:rFonts w:ascii="Arial" w:cs="Arial" w:eastAsia="Arial" w:hAnsi="Arial"/>
          <w:sz w:val="16"/>
          <w:szCs w:val="16"/>
          <w:color w:val="auto"/>
        </w:rPr>
        <w:t>does not assume or continue the Award, such Earned PSUs shall be payable on the consummation of the Change in</w:t>
      </w:r>
    </w:p>
    <w:p>
      <w:pPr>
        <w:spacing w:after="0" w:line="7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20"/>
          <w:szCs w:val="20"/>
          <w:color w:val="auto"/>
        </w:rPr>
        <w:t>Control.</w:t>
      </w:r>
    </w:p>
    <w:p>
      <w:pPr>
        <w:spacing w:after="0" w:line="256" w:lineRule="exact"/>
        <w:rPr>
          <w:rFonts w:ascii="Arial" w:cs="Arial" w:eastAsia="Arial" w:hAnsi="Arial"/>
          <w:sz w:val="15"/>
          <w:szCs w:val="15"/>
          <w:color w:val="auto"/>
        </w:rPr>
      </w:pPr>
    </w:p>
    <w:p>
      <w:pPr>
        <w:ind w:left="1440" w:hanging="784"/>
        <w:spacing w:after="0"/>
        <w:tabs>
          <w:tab w:leader="none" w:pos="1440" w:val="left"/>
        </w:tabs>
        <w:numPr>
          <w:ilvl w:val="0"/>
          <w:numId w:val="65"/>
        </w:numPr>
        <w:rPr>
          <w:rFonts w:ascii="Arial" w:cs="Arial" w:eastAsia="Arial" w:hAnsi="Arial"/>
          <w:sz w:val="18"/>
          <w:szCs w:val="18"/>
          <w:color w:val="auto"/>
        </w:rPr>
      </w:pPr>
      <w:r>
        <w:rPr>
          <w:rFonts w:ascii="Arial" w:cs="Arial" w:eastAsia="Arial" w:hAnsi="Arial"/>
          <w:sz w:val="20"/>
          <w:szCs w:val="20"/>
          <w:u w:val="single" w:color="auto"/>
          <w:color w:val="auto"/>
        </w:rPr>
        <w:t>Rights and Obligations as Stockholder</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firstLine="1305"/>
        <w:spacing w:after="0" w:line="278" w:lineRule="auto"/>
        <w:tabs>
          <w:tab w:leader="none" w:pos="2144" w:val="left"/>
        </w:tabs>
        <w:numPr>
          <w:ilvl w:val="1"/>
          <w:numId w:val="65"/>
        </w:numPr>
        <w:rPr>
          <w:rFonts w:ascii="Arial" w:cs="Arial" w:eastAsia="Arial" w:hAnsi="Arial"/>
          <w:sz w:val="18"/>
          <w:szCs w:val="18"/>
          <w:color w:val="auto"/>
        </w:rPr>
      </w:pPr>
      <w:r>
        <w:rPr>
          <w:rFonts w:ascii="Arial" w:cs="Arial" w:eastAsia="Arial" w:hAnsi="Arial"/>
          <w:sz w:val="20"/>
          <w:szCs w:val="20"/>
          <w:color w:val="auto"/>
        </w:rPr>
        <w:t>Prior to the Vesting Date, the Participant may not vote, sell, exchange, transfer, pledge, hypothecate or otherwise dispose of any of the PSUs. The Participant will receive Dividend Equivalents on Earned PSUs. All Dividend Equivalents shall be payable only with respect to Earned PSUs and only on the Settlement Date.</w:t>
      </w:r>
    </w:p>
    <w:p>
      <w:pPr>
        <w:spacing w:after="0" w:line="200" w:lineRule="exact"/>
        <w:rPr>
          <w:rFonts w:ascii="Arial" w:cs="Arial" w:eastAsia="Arial" w:hAnsi="Arial"/>
          <w:sz w:val="18"/>
          <w:szCs w:val="18"/>
          <w:color w:val="auto"/>
        </w:rPr>
      </w:pPr>
    </w:p>
    <w:p>
      <w:pPr>
        <w:jc w:val="both"/>
        <w:ind w:firstLine="1305"/>
        <w:spacing w:after="0" w:line="278" w:lineRule="auto"/>
        <w:tabs>
          <w:tab w:leader="none" w:pos="2155" w:val="left"/>
        </w:tabs>
        <w:numPr>
          <w:ilvl w:val="1"/>
          <w:numId w:val="65"/>
        </w:numPr>
        <w:rPr>
          <w:rFonts w:ascii="Arial" w:cs="Arial" w:eastAsia="Arial" w:hAnsi="Arial"/>
          <w:sz w:val="18"/>
          <w:szCs w:val="18"/>
          <w:color w:val="auto"/>
        </w:rPr>
      </w:pPr>
      <w:r>
        <w:rPr>
          <w:rFonts w:ascii="Arial" w:cs="Arial" w:eastAsia="Arial" w:hAnsi="Arial"/>
          <w:sz w:val="20"/>
          <w:szCs w:val="20"/>
          <w:color w:val="auto"/>
        </w:rPr>
        <w:t xml:space="preserve">Upon receipt of the Shares, the Participant agrees to comply with any and all of the Company’s policies and procedures related to trading in the Company’s Shares, including, but not limited to, the Company’s </w:t>
      </w:r>
      <w:r>
        <w:rPr>
          <w:rFonts w:ascii="Arial" w:cs="Arial" w:eastAsia="Arial" w:hAnsi="Arial"/>
          <w:sz w:val="20"/>
          <w:szCs w:val="20"/>
          <w:i w:val="1"/>
          <w:iCs w:val="1"/>
          <w:color w:val="auto"/>
        </w:rPr>
        <w:t>Code of Business Conduct</w:t>
      </w:r>
      <w:r>
        <w:rPr>
          <w:rFonts w:ascii="Arial" w:cs="Arial" w:eastAsia="Arial" w:hAnsi="Arial"/>
          <w:sz w:val="20"/>
          <w:szCs w:val="20"/>
          <w:color w:val="auto"/>
        </w:rPr>
        <w:t xml:space="preserve"> and the </w:t>
      </w:r>
      <w:r>
        <w:rPr>
          <w:rFonts w:ascii="Arial" w:cs="Arial" w:eastAsia="Arial" w:hAnsi="Arial"/>
          <w:sz w:val="20"/>
          <w:szCs w:val="20"/>
          <w:i w:val="1"/>
          <w:iCs w:val="1"/>
          <w:color w:val="auto"/>
        </w:rPr>
        <w:t>Insider</w:t>
      </w:r>
      <w:r>
        <w:rPr>
          <w:rFonts w:ascii="Arial" w:cs="Arial" w:eastAsia="Arial" w:hAnsi="Arial"/>
          <w:sz w:val="20"/>
          <w:szCs w:val="20"/>
          <w:color w:val="auto"/>
        </w:rPr>
        <w:t xml:space="preserve"> </w:t>
      </w:r>
      <w:r>
        <w:rPr>
          <w:rFonts w:ascii="Arial" w:cs="Arial" w:eastAsia="Arial" w:hAnsi="Arial"/>
          <w:sz w:val="20"/>
          <w:szCs w:val="20"/>
          <w:i w:val="1"/>
          <w:iCs w:val="1"/>
          <w:color w:val="auto"/>
        </w:rPr>
        <w:t>Trading Policy</w:t>
      </w:r>
      <w:r>
        <w:rPr>
          <w:rFonts w:ascii="Arial" w:cs="Arial" w:eastAsia="Arial" w:hAnsi="Arial"/>
          <w:sz w:val="20"/>
          <w:szCs w:val="20"/>
          <w:color w:val="auto"/>
        </w:rPr>
        <w:t>.</w:t>
      </w:r>
    </w:p>
    <w:p>
      <w:pPr>
        <w:spacing w:after="0" w:line="200" w:lineRule="exact"/>
        <w:rPr>
          <w:rFonts w:ascii="Arial" w:cs="Arial" w:eastAsia="Arial" w:hAnsi="Arial"/>
          <w:sz w:val="18"/>
          <w:szCs w:val="18"/>
          <w:color w:val="auto"/>
        </w:rPr>
      </w:pPr>
    </w:p>
    <w:p>
      <w:pPr>
        <w:jc w:val="both"/>
        <w:ind w:firstLine="656"/>
        <w:spacing w:after="0" w:line="278" w:lineRule="auto"/>
        <w:tabs>
          <w:tab w:leader="none" w:pos="1431" w:val="left"/>
        </w:tabs>
        <w:numPr>
          <w:ilvl w:val="0"/>
          <w:numId w:val="65"/>
        </w:numPr>
        <w:rPr>
          <w:rFonts w:ascii="Arial" w:cs="Arial" w:eastAsia="Arial" w:hAnsi="Arial"/>
          <w:sz w:val="18"/>
          <w:szCs w:val="18"/>
          <w:color w:val="auto"/>
        </w:rPr>
      </w:pPr>
      <w:r>
        <w:rPr>
          <w:rFonts w:ascii="Arial" w:cs="Arial" w:eastAsia="Arial" w:hAnsi="Arial"/>
          <w:sz w:val="20"/>
          <w:szCs w:val="20"/>
          <w:u w:val="single" w:color="auto"/>
          <w:color w:val="auto"/>
        </w:rPr>
        <w:t>No Limitation on Rights of the Company</w:t>
      </w:r>
      <w:r>
        <w:rPr>
          <w:rFonts w:ascii="Arial" w:cs="Arial" w:eastAsia="Arial" w:hAnsi="Arial"/>
          <w:sz w:val="20"/>
          <w:szCs w:val="20"/>
          <w:color w:val="auto"/>
        </w:rPr>
        <w:t>. The granting of PSUs will not in any way affect the right or power of the Company to make adjustments, reclassifications or changes in its capital or business structure or to merge, consolidate, reincorporate, dissolve, liquidate or sell or transfer all or any part of its business or assets.</w:t>
      </w:r>
    </w:p>
    <w:p>
      <w:pPr>
        <w:spacing w:after="0" w:line="200" w:lineRule="exact"/>
        <w:rPr>
          <w:rFonts w:ascii="Arial" w:cs="Arial" w:eastAsia="Arial" w:hAnsi="Arial"/>
          <w:sz w:val="18"/>
          <w:szCs w:val="18"/>
          <w:color w:val="auto"/>
        </w:rPr>
      </w:pPr>
    </w:p>
    <w:p>
      <w:pPr>
        <w:jc w:val="both"/>
        <w:ind w:firstLine="656"/>
        <w:spacing w:after="0" w:line="299" w:lineRule="auto"/>
        <w:tabs>
          <w:tab w:leader="none" w:pos="1431" w:val="left"/>
        </w:tabs>
        <w:numPr>
          <w:ilvl w:val="0"/>
          <w:numId w:val="65"/>
        </w:numPr>
        <w:rPr>
          <w:rFonts w:ascii="Arial" w:cs="Arial" w:eastAsia="Arial" w:hAnsi="Arial"/>
          <w:sz w:val="17"/>
          <w:szCs w:val="17"/>
          <w:color w:val="auto"/>
        </w:rPr>
      </w:pPr>
      <w:r>
        <w:rPr>
          <w:rFonts w:ascii="Arial" w:cs="Arial" w:eastAsia="Arial" w:hAnsi="Arial"/>
          <w:sz w:val="19"/>
          <w:szCs w:val="19"/>
          <w:u w:val="single" w:color="auto"/>
          <w:color w:val="auto"/>
        </w:rPr>
        <w:t>Employment</w:t>
      </w:r>
      <w:r>
        <w:rPr>
          <w:rFonts w:ascii="Arial" w:cs="Arial" w:eastAsia="Arial" w:hAnsi="Arial"/>
          <w:sz w:val="19"/>
          <w:szCs w:val="19"/>
          <w:color w:val="auto"/>
        </w:rPr>
        <w:t>. Nothing in this Agreement or in the Plan will be construed as constituting a commitment, guarantee, agreement or understanding of any kind or nature that the Employer will continue to employ, work with or appoint the Participant, or as affecting in any way the right of the Employer to terminate the employment, service or appointment of the Participant at any time.</w:t>
      </w:r>
    </w:p>
    <w:p>
      <w:pPr>
        <w:sectPr>
          <w:pgSz w:w="11900" w:h="16838" w:orient="portrait"/>
          <w:cols w:equalWidth="0" w:num="1">
            <w:col w:w="11420"/>
          </w:cols>
          <w:pgMar w:left="240" w:top="595" w:right="239" w:bottom="1440" w:gutter="0" w:footer="0" w:header="0"/>
        </w:sectPr>
      </w:pPr>
    </w:p>
    <w:bookmarkStart w:id="90" w:name="page91"/>
    <w:bookmarkEnd w:id="90"/>
    <w:p>
      <w:pPr>
        <w:ind w:left="-656" w:firstLine="656"/>
        <w:spacing w:after="0" w:line="289" w:lineRule="auto"/>
        <w:tabs>
          <w:tab w:leader="none" w:pos="775" w:val="left"/>
        </w:tabs>
        <w:numPr>
          <w:ilvl w:val="0"/>
          <w:numId w:val="66"/>
        </w:numPr>
        <w:rPr>
          <w:rFonts w:ascii="Arial" w:cs="Arial" w:eastAsia="Arial" w:hAnsi="Arial"/>
          <w:sz w:val="18"/>
          <w:szCs w:val="18"/>
          <w:color w:val="auto"/>
        </w:rPr>
      </w:pPr>
      <w:r>
        <w:rPr>
          <w:rFonts w:ascii="Arial" w:cs="Arial" w:eastAsia="Arial" w:hAnsi="Arial"/>
          <w:sz w:val="20"/>
          <w:szCs w:val="20"/>
          <w:u w:val="single" w:color="auto"/>
          <w:color w:val="auto"/>
        </w:rPr>
        <w:t>Government Regulation</w:t>
      </w:r>
      <w:r>
        <w:rPr>
          <w:rFonts w:ascii="Arial" w:cs="Arial" w:eastAsia="Arial" w:hAnsi="Arial"/>
          <w:sz w:val="20"/>
          <w:szCs w:val="20"/>
          <w:color w:val="auto"/>
        </w:rPr>
        <w:t>. The Company’s obligation to deliver Shares will be subject to all applicable laws, rules and regulations and to such approvals by any governmental agencies or national securities exchanges as may be required.</w:t>
      </w:r>
    </w:p>
    <w:p>
      <w:pPr>
        <w:spacing w:after="0" w:line="188" w:lineRule="exact"/>
        <w:rPr>
          <w:rFonts w:ascii="Arial" w:cs="Arial" w:eastAsia="Arial" w:hAnsi="Arial"/>
          <w:sz w:val="18"/>
          <w:szCs w:val="18"/>
          <w:color w:val="auto"/>
        </w:rPr>
      </w:pPr>
    </w:p>
    <w:p>
      <w:pPr>
        <w:jc w:val="both"/>
        <w:ind w:left="-656" w:firstLine="656"/>
        <w:spacing w:after="0" w:line="307" w:lineRule="auto"/>
        <w:tabs>
          <w:tab w:leader="none" w:pos="775" w:val="left"/>
        </w:tabs>
        <w:numPr>
          <w:ilvl w:val="0"/>
          <w:numId w:val="66"/>
        </w:numPr>
        <w:rPr>
          <w:rFonts w:ascii="Arial" w:cs="Arial" w:eastAsia="Arial" w:hAnsi="Arial"/>
          <w:sz w:val="16"/>
          <w:szCs w:val="16"/>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Employer, in accordance with the terms of the Plan, will comply with all applicable withholding tax laws and will be entitled to take any action necessary to effectuate such compliance. The Company may withhold a portion of the Shares to which the Participant or beneficiary otherwise would be entitled equivalent in value to the taxes required to be withheld, determined based upon the Fair Market Value of the Shares. For purposes of withholding, Fair Market Value shall be equal to the closing price (as reported on the New York Stock Exchange) of the amount of the Shares earned by the Participant pursuant to this award on the Settlement Date, or, if the Settlement Date is not a business day, the next business day immediately following the Settlement Date.</w:t>
      </w:r>
    </w:p>
    <w:p>
      <w:pPr>
        <w:spacing w:after="0" w:line="180" w:lineRule="exact"/>
        <w:rPr>
          <w:rFonts w:ascii="Arial" w:cs="Arial" w:eastAsia="Arial" w:hAnsi="Arial"/>
          <w:sz w:val="16"/>
          <w:szCs w:val="16"/>
          <w:color w:val="auto"/>
        </w:rPr>
      </w:pPr>
    </w:p>
    <w:p>
      <w:pPr>
        <w:jc w:val="both"/>
        <w:ind w:left="-656" w:firstLine="656"/>
        <w:spacing w:after="0" w:line="310" w:lineRule="auto"/>
        <w:tabs>
          <w:tab w:leader="none" w:pos="775" w:val="left"/>
        </w:tabs>
        <w:numPr>
          <w:ilvl w:val="0"/>
          <w:numId w:val="66"/>
        </w:numPr>
        <w:rPr>
          <w:rFonts w:ascii="Arial" w:cs="Arial" w:eastAsia="Arial" w:hAnsi="Arial"/>
          <w:sz w:val="16"/>
          <w:szCs w:val="16"/>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to the Company provided for in this Agreement will be addressed to it in care of its Secretary, TechnipFMC plc, 11740 Katy Freeway, Houston, Texas 77079, and any notice to the Participant (or other person entitled to receive the PSUs) will be addressed to such person at the Participant’s address now on file with the Company, or to such other address as either may designate to the other in writing. Any notice will be deemed to be duly given when sent via email or when sent by certified mail (return receipt requested) and deposited (with postage prepaid) in a post office or branch post office regularly maintained by the United States Postal Service.</w:t>
      </w:r>
    </w:p>
    <w:p>
      <w:pPr>
        <w:spacing w:after="0" w:line="175" w:lineRule="exact"/>
        <w:rPr>
          <w:rFonts w:ascii="Arial" w:cs="Arial" w:eastAsia="Arial" w:hAnsi="Arial"/>
          <w:sz w:val="16"/>
          <w:szCs w:val="16"/>
          <w:color w:val="auto"/>
        </w:rPr>
      </w:pPr>
    </w:p>
    <w:p>
      <w:pPr>
        <w:jc w:val="both"/>
        <w:ind w:left="-656" w:firstLine="656"/>
        <w:spacing w:after="0" w:line="299" w:lineRule="auto"/>
        <w:tabs>
          <w:tab w:leader="none" w:pos="865" w:val="left"/>
        </w:tabs>
        <w:numPr>
          <w:ilvl w:val="0"/>
          <w:numId w:val="66"/>
        </w:numPr>
        <w:rPr>
          <w:rFonts w:ascii="Arial" w:cs="Arial" w:eastAsia="Arial" w:hAnsi="Arial"/>
          <w:sz w:val="17"/>
          <w:szCs w:val="17"/>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Committee administers the Plan and delegates certain administrative authority in accordance with the Equity Plan Committee Grant Policy adopted by the Committee. The Participant’s rights under this Agreement are expressly subject to the terms and conditions of the Plan and the Sub-Plans, if any, a copy of which has been made available to the Participant.</w:t>
      </w:r>
    </w:p>
    <w:p>
      <w:pPr>
        <w:spacing w:after="0" w:line="182" w:lineRule="exact"/>
        <w:rPr>
          <w:rFonts w:ascii="Arial" w:cs="Arial" w:eastAsia="Arial" w:hAnsi="Arial"/>
          <w:sz w:val="17"/>
          <w:szCs w:val="17"/>
          <w:color w:val="auto"/>
        </w:rPr>
      </w:pPr>
    </w:p>
    <w:p>
      <w:pPr>
        <w:ind w:left="-656" w:firstLine="656"/>
        <w:spacing w:after="0" w:line="289" w:lineRule="auto"/>
        <w:tabs>
          <w:tab w:leader="none" w:pos="859" w:val="left"/>
        </w:tabs>
        <w:numPr>
          <w:ilvl w:val="0"/>
          <w:numId w:val="66"/>
        </w:numPr>
        <w:rPr>
          <w:rFonts w:ascii="Arial" w:cs="Arial" w:eastAsia="Arial" w:hAnsi="Arial"/>
          <w:sz w:val="18"/>
          <w:szCs w:val="18"/>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will inure to the benefit of and be binding upon the parties hereto and their respective heirs, executors, administrators, successors and permitted assigns.</w:t>
      </w:r>
    </w:p>
    <w:p>
      <w:pPr>
        <w:spacing w:after="0" w:line="188" w:lineRule="exact"/>
        <w:rPr>
          <w:rFonts w:ascii="Arial" w:cs="Arial" w:eastAsia="Arial" w:hAnsi="Arial"/>
          <w:sz w:val="18"/>
          <w:szCs w:val="18"/>
          <w:color w:val="auto"/>
        </w:rPr>
      </w:pPr>
    </w:p>
    <w:p>
      <w:pPr>
        <w:jc w:val="both"/>
        <w:ind w:left="-656" w:firstLine="656"/>
        <w:spacing w:after="0" w:line="278" w:lineRule="auto"/>
        <w:tabs>
          <w:tab w:leader="none" w:pos="865" w:val="left"/>
        </w:tabs>
        <w:numPr>
          <w:ilvl w:val="0"/>
          <w:numId w:val="66"/>
        </w:numPr>
        <w:rPr>
          <w:rFonts w:ascii="Arial" w:cs="Arial" w:eastAsia="Arial" w:hAnsi="Arial"/>
          <w:sz w:val="18"/>
          <w:szCs w:val="18"/>
          <w:color w:val="auto"/>
        </w:rPr>
      </w:pPr>
      <w:r>
        <w:rPr>
          <w:rFonts w:ascii="Arial" w:cs="Arial" w:eastAsia="Arial" w:hAnsi="Arial"/>
          <w:sz w:val="20"/>
          <w:szCs w:val="20"/>
          <w:u w:val="single" w:color="auto"/>
          <w:color w:val="auto"/>
        </w:rPr>
        <w:t>Sole Agreement</w:t>
      </w:r>
      <w:r>
        <w:rPr>
          <w:rFonts w:ascii="Arial" w:cs="Arial" w:eastAsia="Arial" w:hAnsi="Arial"/>
          <w:sz w:val="20"/>
          <w:szCs w:val="20"/>
          <w:color w:val="auto"/>
        </w:rPr>
        <w:t>. This Agreement constitutes the entire agreement between the parties to it relating to the PSUs and supersedes any and all prior oral and written representations. This Agreement may only be amended by written agreement between the Company and the Participant.</w:t>
      </w:r>
    </w:p>
    <w:p>
      <w:pPr>
        <w:spacing w:after="0" w:line="200" w:lineRule="exact"/>
        <w:rPr>
          <w:rFonts w:ascii="Arial" w:cs="Arial" w:eastAsia="Arial" w:hAnsi="Arial"/>
          <w:sz w:val="18"/>
          <w:szCs w:val="18"/>
          <w:color w:val="auto"/>
        </w:rPr>
      </w:pPr>
    </w:p>
    <w:p>
      <w:pPr>
        <w:jc w:val="both"/>
        <w:ind w:left="-656" w:firstLine="656"/>
        <w:spacing w:after="0" w:line="288" w:lineRule="auto"/>
        <w:tabs>
          <w:tab w:leader="none" w:pos="865" w:val="left"/>
        </w:tabs>
        <w:numPr>
          <w:ilvl w:val="0"/>
          <w:numId w:val="66"/>
        </w:numPr>
        <w:rPr>
          <w:rFonts w:ascii="Arial" w:cs="Arial" w:eastAsia="Arial" w:hAnsi="Arial"/>
          <w:sz w:val="17"/>
          <w:szCs w:val="17"/>
          <w:color w:val="auto"/>
        </w:rPr>
      </w:pPr>
      <w:r>
        <w:rPr>
          <w:rFonts w:ascii="Arial" w:cs="Arial" w:eastAsia="Arial" w:hAnsi="Arial"/>
          <w:sz w:val="19"/>
          <w:szCs w:val="19"/>
          <w:u w:val="single" w:color="auto"/>
          <w:color w:val="auto"/>
        </w:rPr>
        <w:t>Delivery of Documents</w:t>
      </w:r>
      <w:r>
        <w:rPr>
          <w:rFonts w:ascii="Arial" w:cs="Arial" w:eastAsia="Arial" w:hAnsi="Arial"/>
          <w:sz w:val="19"/>
          <w:szCs w:val="19"/>
          <w:color w:val="auto"/>
        </w:rPr>
        <w:t>.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a government sponsored postal service, by registered or certified mail, or with an internationally recognized overnight courier service, with postage and fees prepaid, addressed to the other party at the address shown below that party’s signature hereto or at such other address as such party may designate in writing from time to time to the other party.</w:t>
      </w:r>
    </w:p>
    <w:p>
      <w:pPr>
        <w:spacing w:after="0" w:line="196" w:lineRule="exact"/>
        <w:rPr>
          <w:rFonts w:ascii="Arial" w:cs="Arial" w:eastAsia="Arial" w:hAnsi="Arial"/>
          <w:sz w:val="17"/>
          <w:szCs w:val="17"/>
          <w:color w:val="auto"/>
        </w:rPr>
      </w:pPr>
    </w:p>
    <w:p>
      <w:pPr>
        <w:jc w:val="both"/>
        <w:ind w:left="-656" w:firstLine="1305"/>
        <w:spacing w:after="0" w:line="304" w:lineRule="auto"/>
        <w:tabs>
          <w:tab w:leader="none" w:pos="1488" w:val="left"/>
        </w:tabs>
        <w:numPr>
          <w:ilvl w:val="1"/>
          <w:numId w:val="66"/>
        </w:numPr>
        <w:rPr>
          <w:rFonts w:ascii="Arial" w:cs="Arial" w:eastAsia="Arial" w:hAnsi="Arial"/>
          <w:sz w:val="16"/>
          <w:szCs w:val="16"/>
          <w:color w:val="auto"/>
        </w:rPr>
      </w:pPr>
      <w:r>
        <w:rPr>
          <w:rFonts w:ascii="Arial" w:cs="Arial" w:eastAsia="Arial" w:hAnsi="Arial"/>
          <w:sz w:val="18"/>
          <w:szCs w:val="18"/>
          <w:u w:val="single" w:color="auto"/>
          <w:color w:val="auto"/>
        </w:rPr>
        <w:t>Description of Electronic Delivery</w:t>
      </w:r>
      <w:r>
        <w:rPr>
          <w:rFonts w:ascii="Arial" w:cs="Arial" w:eastAsia="Arial" w:hAnsi="Arial"/>
          <w:sz w:val="18"/>
          <w:szCs w:val="18"/>
          <w:color w:val="auto"/>
        </w:rPr>
        <w:t>. The Plan documents, which may include but do not necessarily include: the Plan, this Agreement, the Plan’s prospectus, and any reports of the Company provided generally to the Company’s stockholders, may be delivered to the Participant electronically. In addition, the Participant may deliver electronically the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The Participant may revoke his or her consent to the electronic delivery of documents or may change the electronic mail address to which such documents are to be delivered (if Participant has provided an electronic mail address) at any time by notifying the Company of such revoked consent or revised e-</w:t>
      </w:r>
    </w:p>
    <w:p>
      <w:pPr>
        <w:sectPr>
          <w:pgSz w:w="11900" w:h="16838" w:orient="portrait"/>
          <w:cols w:equalWidth="0" w:num="1">
            <w:col w:w="10764"/>
          </w:cols>
          <w:pgMar w:left="896" w:top="595" w:right="239" w:bottom="1440" w:gutter="0" w:footer="0" w:header="0"/>
        </w:sectPr>
      </w:pPr>
    </w:p>
    <w:bookmarkStart w:id="91" w:name="page92"/>
    <w:bookmarkEnd w:id="91"/>
    <w:p>
      <w:pPr>
        <w:jc w:val="both"/>
        <w:spacing w:after="0" w:line="274" w:lineRule="auto"/>
        <w:rPr>
          <w:sz w:val="20"/>
          <w:szCs w:val="20"/>
          <w:color w:val="auto"/>
        </w:rPr>
      </w:pPr>
      <w:r>
        <w:rPr>
          <w:rFonts w:ascii="Arial" w:cs="Arial" w:eastAsia="Arial" w:hAnsi="Arial"/>
          <w:sz w:val="20"/>
          <w:szCs w:val="20"/>
          <w:color w:val="auto"/>
        </w:rPr>
        <w:t>mail address by telephone, postal service or electronic mail. Finally, the Participant understands that he or she is not required to consent to electronic delivery of documents described herein. Electronic execution of this Agreement shall have the same binding effect as a written or hard copy signature and accordingly, shall bind the Participant and the Company to all of the terms and conditions set forth in the Plan and this Agreement.</w:t>
      </w:r>
    </w:p>
    <w:p>
      <w:pPr>
        <w:spacing w:after="0" w:line="206" w:lineRule="exact"/>
        <w:rPr>
          <w:sz w:val="20"/>
          <w:szCs w:val="20"/>
          <w:color w:val="auto"/>
        </w:rPr>
      </w:pPr>
    </w:p>
    <w:p>
      <w:pPr>
        <w:jc w:val="both"/>
        <w:ind w:firstLine="1305"/>
        <w:spacing w:after="0" w:line="290" w:lineRule="auto"/>
        <w:tabs>
          <w:tab w:leader="none" w:pos="2155" w:val="left"/>
        </w:tabs>
        <w:numPr>
          <w:ilvl w:val="1"/>
          <w:numId w:val="67"/>
        </w:numPr>
        <w:rPr>
          <w:rFonts w:ascii="Arial" w:cs="Arial" w:eastAsia="Arial" w:hAnsi="Arial"/>
          <w:sz w:val="17"/>
          <w:szCs w:val="17"/>
          <w:color w:val="auto"/>
        </w:rPr>
      </w:pPr>
      <w:r>
        <w:rPr>
          <w:rFonts w:ascii="Arial" w:cs="Arial" w:eastAsia="Arial" w:hAnsi="Arial"/>
          <w:sz w:val="19"/>
          <w:szCs w:val="19"/>
          <w:u w:val="single" w:color="auto"/>
          <w:color w:val="auto"/>
        </w:rPr>
        <w:t>Paper Copies</w:t>
      </w:r>
      <w:r>
        <w:rPr>
          <w:rFonts w:ascii="Arial" w:cs="Arial" w:eastAsia="Arial" w:hAnsi="Arial"/>
          <w:sz w:val="19"/>
          <w:szCs w:val="19"/>
          <w:color w:val="auto"/>
        </w:rPr>
        <w:t>. Participant acknowledges that he or she may receive form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 fails.</w:t>
      </w:r>
    </w:p>
    <w:p>
      <w:pPr>
        <w:spacing w:after="0" w:line="192" w:lineRule="exact"/>
        <w:rPr>
          <w:rFonts w:ascii="Arial" w:cs="Arial" w:eastAsia="Arial" w:hAnsi="Arial"/>
          <w:sz w:val="17"/>
          <w:szCs w:val="17"/>
          <w:color w:val="auto"/>
        </w:rPr>
      </w:pPr>
    </w:p>
    <w:p>
      <w:pPr>
        <w:jc w:val="both"/>
        <w:ind w:firstLine="656"/>
        <w:spacing w:after="0" w:line="270" w:lineRule="auto"/>
        <w:tabs>
          <w:tab w:leader="none" w:pos="1521" w:val="left"/>
        </w:tabs>
        <w:numPr>
          <w:ilvl w:val="0"/>
          <w:numId w:val="68"/>
        </w:numPr>
        <w:rPr>
          <w:rFonts w:ascii="Arial" w:cs="Arial" w:eastAsia="Arial" w:hAnsi="Arial"/>
          <w:sz w:val="18"/>
          <w:szCs w:val="18"/>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20"/>
          <w:szCs w:val="20"/>
          <w:u w:val="single" w:color="auto"/>
          <w:color w:val="auto"/>
        </w:rPr>
        <w:t>Section 409A</w:t>
      </w:r>
      <w:r>
        <w:rPr>
          <w:rFonts w:ascii="Arial" w:cs="Arial" w:eastAsia="Arial" w:hAnsi="Arial"/>
          <w:sz w:val="20"/>
          <w:szCs w:val="20"/>
          <w:color w:val="auto"/>
        </w:rPr>
        <w:t>”). However, notwithstanding any other provision of the Plan or this Agreement, if at any time the Administrator determines that this Award (or any portion thereof) may be subject to Section 409A, the Administrator shall have the right in its sole discretion (without any obligation to do so or to indemnify the Participant or any other person for failure to do so) to adopt such amendments to the Plan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210" w:lineRule="exact"/>
        <w:rPr>
          <w:rFonts w:ascii="Arial" w:cs="Arial" w:eastAsia="Arial" w:hAnsi="Arial"/>
          <w:sz w:val="18"/>
          <w:szCs w:val="18"/>
          <w:color w:val="auto"/>
        </w:rPr>
      </w:pPr>
    </w:p>
    <w:p>
      <w:pPr>
        <w:jc w:val="both"/>
        <w:ind w:firstLine="656"/>
        <w:spacing w:after="0" w:line="272" w:lineRule="auto"/>
        <w:tabs>
          <w:tab w:leader="none" w:pos="1521" w:val="left"/>
        </w:tabs>
        <w:numPr>
          <w:ilvl w:val="0"/>
          <w:numId w:val="68"/>
        </w:numPr>
        <w:rPr>
          <w:rFonts w:ascii="Arial" w:cs="Arial" w:eastAsia="Arial" w:hAnsi="Arial"/>
          <w:sz w:val="18"/>
          <w:szCs w:val="18"/>
          <w:color w:val="auto"/>
        </w:rPr>
      </w:pPr>
      <w:r>
        <w:rPr>
          <w:rFonts w:ascii="Arial" w:cs="Arial" w:eastAsia="Arial" w:hAnsi="Arial"/>
          <w:sz w:val="20"/>
          <w:szCs w:val="20"/>
          <w:u w:val="single" w:color="auto"/>
          <w:color w:val="auto"/>
        </w:rPr>
        <w:t>Clawback</w:t>
      </w:r>
      <w:r>
        <w:rPr>
          <w:rFonts w:ascii="Arial" w:cs="Arial" w:eastAsia="Arial" w:hAnsi="Arial"/>
          <w:sz w:val="20"/>
          <w:szCs w:val="20"/>
          <w:color w:val="auto"/>
        </w:rPr>
        <w:t>. This Award (including any proceeds, gains or other economic benefit actually or constructively received by Participant upon receipt or exercise of this Award or upon the receipt or resale of any Shares underlying this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the time of grant of this Award, to the extent set forth in such claw-back policy.</w:t>
      </w:r>
    </w:p>
    <w:p>
      <w:pPr>
        <w:spacing w:after="0" w:line="205" w:lineRule="exact"/>
        <w:rPr>
          <w:rFonts w:ascii="Arial" w:cs="Arial" w:eastAsia="Arial" w:hAnsi="Arial"/>
          <w:sz w:val="18"/>
          <w:szCs w:val="18"/>
          <w:color w:val="auto"/>
        </w:rPr>
      </w:pPr>
    </w:p>
    <w:p>
      <w:pPr>
        <w:ind w:left="1520" w:hanging="864"/>
        <w:spacing w:after="0"/>
        <w:tabs>
          <w:tab w:leader="none" w:pos="1520" w:val="left"/>
        </w:tabs>
        <w:numPr>
          <w:ilvl w:val="0"/>
          <w:numId w:val="68"/>
        </w:numPr>
        <w:rPr>
          <w:rFonts w:ascii="Arial" w:cs="Arial" w:eastAsia="Arial" w:hAnsi="Arial"/>
          <w:sz w:val="16"/>
          <w:szCs w:val="16"/>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interpretation, performance and enforcement of this Agreement will be governed by the laws of the</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State of Delaware.</w:t>
      </w:r>
    </w:p>
    <w:p>
      <w:pPr>
        <w:spacing w:after="0" w:line="256" w:lineRule="exact"/>
        <w:rPr>
          <w:rFonts w:ascii="Arial" w:cs="Arial" w:eastAsia="Arial" w:hAnsi="Arial"/>
          <w:sz w:val="16"/>
          <w:szCs w:val="16"/>
          <w:color w:val="auto"/>
        </w:rPr>
      </w:pPr>
    </w:p>
    <w:p>
      <w:pPr>
        <w:jc w:val="both"/>
        <w:ind w:firstLine="656"/>
        <w:spacing w:after="0" w:line="288" w:lineRule="auto"/>
        <w:tabs>
          <w:tab w:leader="none" w:pos="1521" w:val="left"/>
        </w:tabs>
        <w:numPr>
          <w:ilvl w:val="0"/>
          <w:numId w:val="68"/>
        </w:numPr>
        <w:rPr>
          <w:rFonts w:ascii="Arial" w:cs="Arial" w:eastAsia="Arial" w:hAnsi="Arial"/>
          <w:sz w:val="17"/>
          <w:szCs w:val="17"/>
          <w:color w:val="auto"/>
        </w:rPr>
      </w:pPr>
      <w:r>
        <w:rPr>
          <w:rFonts w:ascii="Arial" w:cs="Arial" w:eastAsia="Arial" w:hAnsi="Arial"/>
          <w:sz w:val="19"/>
          <w:szCs w:val="19"/>
          <w:u w:val="single" w:color="auto"/>
          <w:color w:val="auto"/>
        </w:rPr>
        <w:t>Privacy</w:t>
      </w:r>
      <w:r>
        <w:rPr>
          <w:rFonts w:ascii="Arial" w:cs="Arial" w:eastAsia="Arial" w:hAnsi="Arial"/>
          <w:sz w:val="19"/>
          <w:szCs w:val="19"/>
          <w:color w:val="auto"/>
        </w:rPr>
        <w:t>. Participant acknowledges, agrees and consents, as a condition to receipt of this Award and in accordance with Section 11.8 of the Plan, to Employer’s collection, use and transfer, in electronic or other form, of personal data of the Participant as described in Section 11.8 of the Plan by and among the Company and its Subsidiaries for the exclusive purpose of implementing, performing or administering the Plan or any related benefit. Participant expressly gives his or her consent to the Employer and the Company to receive, possess, use, retain and transfer such personal data as may be required to a broker or other third party with whom the Company or any of its Subsidiaries or the Participant may elect to deposit any Shares.</w:t>
      </w:r>
    </w:p>
    <w:p>
      <w:pPr>
        <w:spacing w:after="0" w:line="196" w:lineRule="exact"/>
        <w:rPr>
          <w:rFonts w:ascii="Arial" w:cs="Arial" w:eastAsia="Arial" w:hAnsi="Arial"/>
          <w:sz w:val="17"/>
          <w:szCs w:val="17"/>
          <w:color w:val="auto"/>
        </w:rPr>
      </w:pPr>
    </w:p>
    <w:p>
      <w:pPr>
        <w:jc w:val="both"/>
        <w:ind w:firstLine="656"/>
        <w:spacing w:after="0" w:line="322" w:lineRule="auto"/>
        <w:tabs>
          <w:tab w:leader="none" w:pos="1521" w:val="left"/>
        </w:tabs>
        <w:numPr>
          <w:ilvl w:val="0"/>
          <w:numId w:val="68"/>
        </w:numPr>
        <w:rPr>
          <w:rFonts w:ascii="Arial" w:cs="Arial" w:eastAsia="Arial" w:hAnsi="Arial"/>
          <w:sz w:val="16"/>
          <w:szCs w:val="16"/>
          <w:color w:val="auto"/>
        </w:rPr>
      </w:pPr>
      <w:r>
        <w:rPr>
          <w:rFonts w:ascii="Arial" w:cs="Arial" w:eastAsia="Arial" w:hAnsi="Arial"/>
          <w:sz w:val="18"/>
          <w:szCs w:val="18"/>
          <w:u w:val="single" w:color="auto"/>
          <w:color w:val="auto"/>
        </w:rPr>
        <w:t>Funding</w:t>
      </w:r>
      <w:r>
        <w:rPr>
          <w:rFonts w:ascii="Arial" w:cs="Arial" w:eastAsia="Arial" w:hAnsi="Arial"/>
          <w:sz w:val="18"/>
          <w:szCs w:val="18"/>
          <w:color w:val="auto"/>
        </w:rPr>
        <w:t>. The PSUs represent an unfunded promise to pay and deliver Shares in the future. The Company may settle the PSUs through newly issued Shares, treasury Shares or Shares held in an employee benefit trust (EBT) established for the administrative convenience of the Company for the purpose of issuing Shares in settlement of Awards under the Plan, in its sole discretion and not for</w:t>
      </w:r>
    </w:p>
    <w:p>
      <w:pPr>
        <w:sectPr>
          <w:pgSz w:w="11900" w:h="16838" w:orient="portrait"/>
          <w:cols w:equalWidth="0" w:num="1">
            <w:col w:w="11420"/>
          </w:cols>
          <w:pgMar w:left="240" w:top="595" w:right="239" w:bottom="1440" w:gutter="0" w:footer="0" w:header="0"/>
        </w:sectPr>
      </w:pPr>
    </w:p>
    <w:bookmarkStart w:id="92" w:name="page93"/>
    <w:bookmarkEnd w:id="92"/>
    <w:p>
      <w:pPr>
        <w:spacing w:after="0" w:line="289" w:lineRule="auto"/>
        <w:rPr>
          <w:sz w:val="20"/>
          <w:szCs w:val="20"/>
          <w:color w:val="auto"/>
        </w:rPr>
      </w:pPr>
      <w:r>
        <w:rPr>
          <w:rFonts w:ascii="Arial" w:cs="Arial" w:eastAsia="Arial" w:hAnsi="Arial"/>
          <w:sz w:val="20"/>
          <w:szCs w:val="20"/>
          <w:color w:val="auto"/>
        </w:rPr>
        <w:t>the purposes of funding the Plan. The Participant has no right to any Shares held in any EBT, or to have the PSUs settled in any Shares held by an EBT.</w:t>
      </w:r>
    </w:p>
    <w:p>
      <w:pPr>
        <w:spacing w:after="0" w:line="189" w:lineRule="exact"/>
        <w:rPr>
          <w:sz w:val="20"/>
          <w:szCs w:val="20"/>
          <w:color w:val="auto"/>
        </w:rPr>
      </w:pPr>
    </w:p>
    <w:p>
      <w:pPr>
        <w:ind w:left="1520" w:hanging="864"/>
        <w:spacing w:after="0"/>
        <w:tabs>
          <w:tab w:leader="none" w:pos="1520" w:val="left"/>
        </w:tabs>
        <w:numPr>
          <w:ilvl w:val="0"/>
          <w:numId w:val="69"/>
        </w:numPr>
        <w:rPr>
          <w:rFonts w:ascii="Arial" w:cs="Arial" w:eastAsia="Arial" w:hAnsi="Arial"/>
          <w:sz w:val="18"/>
          <w:szCs w:val="18"/>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Unless otherwise provided on </w:t>
      </w:r>
      <w:r>
        <w:rPr>
          <w:rFonts w:ascii="Arial" w:cs="Arial" w:eastAsia="Arial" w:hAnsi="Arial"/>
          <w:sz w:val="20"/>
          <w:szCs w:val="20"/>
          <w:u w:val="single" w:color="auto"/>
          <w:color w:val="auto"/>
        </w:rPr>
        <w:t>Schedule A</w:t>
      </w:r>
      <w:r>
        <w:rPr>
          <w:rFonts w:ascii="Arial" w:cs="Arial" w:eastAsia="Arial" w:hAnsi="Arial"/>
          <w:sz w:val="20"/>
          <w:szCs w:val="20"/>
          <w:color w:val="auto"/>
        </w:rPr>
        <w:t>, the Country Schedule:</w:t>
      </w:r>
    </w:p>
    <w:p>
      <w:pPr>
        <w:spacing w:after="0" w:line="229" w:lineRule="exact"/>
        <w:rPr>
          <w:sz w:val="20"/>
          <w:szCs w:val="20"/>
          <w:color w:val="auto"/>
        </w:rPr>
      </w:pPr>
    </w:p>
    <w:p>
      <w:pPr>
        <w:ind w:left="2160" w:hanging="855"/>
        <w:spacing w:after="0"/>
        <w:tabs>
          <w:tab w:leader="none" w:pos="2160" w:val="left"/>
        </w:tabs>
        <w:numPr>
          <w:ilvl w:val="0"/>
          <w:numId w:val="7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means</w:t>
      </w:r>
    </w:p>
    <w:p>
      <w:pPr>
        <w:spacing w:after="0" w:line="256" w:lineRule="exact"/>
        <w:rPr>
          <w:rFonts w:ascii="Arial" w:cs="Arial" w:eastAsia="Arial" w:hAnsi="Arial"/>
          <w:sz w:val="18"/>
          <w:szCs w:val="18"/>
          <w:color w:val="auto"/>
        </w:rPr>
      </w:pPr>
    </w:p>
    <w:p>
      <w:pPr>
        <w:jc w:val="both"/>
        <w:ind w:firstLine="1953"/>
        <w:spacing w:after="0" w:line="273" w:lineRule="auto"/>
        <w:tabs>
          <w:tab w:leader="none" w:pos="2763" w:val="left"/>
        </w:tabs>
        <w:numPr>
          <w:ilvl w:val="1"/>
          <w:numId w:val="70"/>
        </w:numPr>
        <w:rPr>
          <w:rFonts w:ascii="Arial" w:cs="Arial" w:eastAsia="Arial" w:hAnsi="Arial"/>
          <w:sz w:val="18"/>
          <w:szCs w:val="18"/>
          <w:color w:val="auto"/>
        </w:rPr>
      </w:pPr>
      <w:r>
        <w:rPr>
          <w:rFonts w:ascii="Arial" w:cs="Arial" w:eastAsia="Arial" w:hAnsi="Arial"/>
          <w:sz w:val="20"/>
          <w:szCs w:val="20"/>
          <w:color w:val="auto"/>
        </w:rPr>
        <w:t>the Participant’s willful and continued failure to substantially perform the Participant’s employment duties in any material respect (other than any such failure resulting from Disability), after a written demand for substantial performance is delivered to the Participant that specifically identifies the manner in which the Company believes the Participant has failed to perform the Participant’s duties, and after the Participant has failed to resume substantial performance of the Participant’s duties on a continuous basis within thirty (30) calendar days of receiving such demand;</w:t>
      </w:r>
    </w:p>
    <w:p>
      <w:pPr>
        <w:spacing w:after="0" w:line="204" w:lineRule="exact"/>
        <w:rPr>
          <w:rFonts w:ascii="Arial" w:cs="Arial" w:eastAsia="Arial" w:hAnsi="Arial"/>
          <w:sz w:val="18"/>
          <w:szCs w:val="18"/>
          <w:color w:val="auto"/>
        </w:rPr>
      </w:pPr>
    </w:p>
    <w:p>
      <w:pPr>
        <w:ind w:left="2820" w:hanging="867"/>
        <w:spacing w:after="0"/>
        <w:tabs>
          <w:tab w:leader="none" w:pos="2820" w:val="left"/>
        </w:tabs>
        <w:numPr>
          <w:ilvl w:val="1"/>
          <w:numId w:val="70"/>
        </w:numPr>
        <w:rPr>
          <w:rFonts w:ascii="Arial" w:cs="Arial" w:eastAsia="Arial" w:hAnsi="Arial"/>
          <w:sz w:val="16"/>
          <w:szCs w:val="16"/>
          <w:color w:val="auto"/>
        </w:rPr>
      </w:pPr>
      <w:r>
        <w:rPr>
          <w:rFonts w:ascii="Arial" w:cs="Arial" w:eastAsia="Arial" w:hAnsi="Arial"/>
          <w:sz w:val="18"/>
          <w:szCs w:val="18"/>
          <w:color w:val="auto"/>
        </w:rPr>
        <w:t>the Participant’s willfully engaging in other conduct which is demonstrably and materially injurious to the</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Company or an affiliate; or</w:t>
      </w:r>
    </w:p>
    <w:p>
      <w:pPr>
        <w:spacing w:after="0" w:line="256" w:lineRule="exact"/>
        <w:rPr>
          <w:rFonts w:ascii="Arial" w:cs="Arial" w:eastAsia="Arial" w:hAnsi="Arial"/>
          <w:sz w:val="16"/>
          <w:szCs w:val="16"/>
          <w:color w:val="auto"/>
        </w:rPr>
      </w:pPr>
    </w:p>
    <w:p>
      <w:pPr>
        <w:ind w:left="2880" w:hanging="927"/>
        <w:spacing w:after="0"/>
        <w:tabs>
          <w:tab w:leader="none" w:pos="2880" w:val="left"/>
        </w:tabs>
        <w:numPr>
          <w:ilvl w:val="1"/>
          <w:numId w:val="70"/>
        </w:numPr>
        <w:rPr>
          <w:rFonts w:ascii="Arial" w:cs="Arial" w:eastAsia="Arial" w:hAnsi="Arial"/>
          <w:sz w:val="16"/>
          <w:szCs w:val="16"/>
          <w:color w:val="auto"/>
        </w:rPr>
      </w:pPr>
      <w:r>
        <w:rPr>
          <w:rFonts w:ascii="Arial" w:cs="Arial" w:eastAsia="Arial" w:hAnsi="Arial"/>
          <w:sz w:val="18"/>
          <w:szCs w:val="18"/>
          <w:color w:val="auto"/>
        </w:rPr>
        <w:t>the Participant’s having been convicted of, or pleading guilty or nolo contendere to, a felony under federal</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or state law.</w:t>
      </w:r>
    </w:p>
    <w:p>
      <w:pPr>
        <w:spacing w:after="0" w:line="256" w:lineRule="exact"/>
        <w:rPr>
          <w:rFonts w:ascii="Arial" w:cs="Arial" w:eastAsia="Arial" w:hAnsi="Arial"/>
          <w:sz w:val="16"/>
          <w:szCs w:val="16"/>
          <w:color w:val="auto"/>
        </w:rPr>
      </w:pPr>
    </w:p>
    <w:p>
      <w:pPr>
        <w:jc w:val="both"/>
        <w:ind w:firstLine="1305"/>
        <w:spacing w:after="0" w:line="278" w:lineRule="auto"/>
        <w:tabs>
          <w:tab w:leader="none" w:pos="2155" w:val="left"/>
        </w:tabs>
        <w:numPr>
          <w:ilvl w:val="0"/>
          <w:numId w:val="7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Participant’s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200" w:lineRule="exact"/>
        <w:rPr>
          <w:rFonts w:ascii="Arial" w:cs="Arial" w:eastAsia="Arial" w:hAnsi="Arial"/>
          <w:sz w:val="18"/>
          <w:szCs w:val="18"/>
          <w:color w:val="auto"/>
        </w:rPr>
      </w:pPr>
    </w:p>
    <w:p>
      <w:pPr>
        <w:ind w:firstLine="1305"/>
        <w:spacing w:after="0" w:line="289" w:lineRule="auto"/>
        <w:tabs>
          <w:tab w:leader="none" w:pos="2144" w:val="left"/>
        </w:tabs>
        <w:numPr>
          <w:ilvl w:val="0"/>
          <w:numId w:val="7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without the Participant’s express written consent, the occurrence of any one or more of the following during the Protection Period:</w:t>
      </w:r>
    </w:p>
    <w:p>
      <w:pPr>
        <w:spacing w:after="0" w:line="188" w:lineRule="exact"/>
        <w:rPr>
          <w:rFonts w:ascii="Arial" w:cs="Arial" w:eastAsia="Arial" w:hAnsi="Arial"/>
          <w:sz w:val="18"/>
          <w:szCs w:val="18"/>
          <w:color w:val="auto"/>
        </w:rPr>
      </w:pPr>
    </w:p>
    <w:p>
      <w:pPr>
        <w:jc w:val="both"/>
        <w:ind w:firstLine="1953"/>
        <w:spacing w:after="0" w:line="305" w:lineRule="auto"/>
        <w:tabs>
          <w:tab w:leader="none" w:pos="2763" w:val="left"/>
        </w:tabs>
        <w:numPr>
          <w:ilvl w:val="1"/>
          <w:numId w:val="70"/>
        </w:numPr>
        <w:rPr>
          <w:rFonts w:ascii="Arial" w:cs="Arial" w:eastAsia="Arial" w:hAnsi="Arial"/>
          <w:sz w:val="16"/>
          <w:szCs w:val="16"/>
          <w:color w:val="auto"/>
        </w:rPr>
      </w:pPr>
      <w:r>
        <w:rPr>
          <w:rFonts w:ascii="Arial" w:cs="Arial" w:eastAsia="Arial" w:hAnsi="Arial"/>
          <w:sz w:val="18"/>
          <w:szCs w:val="18"/>
          <w:color w:val="auto"/>
        </w:rPr>
        <w:t>the assignment of the Participant to duties materially inconsistent with the Participant’s authorities, duties, responsibilities, and status (including, without limitation, offices, titles and reporting requirements) as an employee of the Company (including, without limitation, any material adverse change in duties or status as a result of the stock of the Company ceasing to be publicly traded or of the Company becoming a subsidiary of another entity, or any material adverse change in the Participant’s reporting relationship, such as the chairman or chief executive officer ceasing to report to the Board of Directors of a publicly traded company), or a reduction or alteration in the nature or status of the Participant’s authorities, duties, or responsibilities from the greatest of those in effect (x) on the Grant Date, (y) during the fiscal year immediately preceding the year of the Change in Control, and (z) on the date immediately preceding the Change in Control;</w:t>
      </w:r>
    </w:p>
    <w:p>
      <w:pPr>
        <w:spacing w:after="0" w:line="184" w:lineRule="exact"/>
        <w:rPr>
          <w:rFonts w:ascii="Arial" w:cs="Arial" w:eastAsia="Arial" w:hAnsi="Arial"/>
          <w:sz w:val="16"/>
          <w:szCs w:val="16"/>
          <w:color w:val="auto"/>
        </w:rPr>
      </w:pPr>
    </w:p>
    <w:p>
      <w:pPr>
        <w:jc w:val="both"/>
        <w:ind w:firstLine="1953"/>
        <w:spacing w:after="0" w:line="293" w:lineRule="auto"/>
        <w:tabs>
          <w:tab w:leader="none" w:pos="2813" w:val="left"/>
        </w:tabs>
        <w:numPr>
          <w:ilvl w:val="1"/>
          <w:numId w:val="70"/>
        </w:numPr>
        <w:rPr>
          <w:rFonts w:ascii="Arial" w:cs="Arial" w:eastAsia="Arial" w:hAnsi="Arial"/>
          <w:sz w:val="17"/>
          <w:szCs w:val="17"/>
          <w:color w:val="auto"/>
        </w:rPr>
      </w:pPr>
      <w:r>
        <w:rPr>
          <w:rFonts w:ascii="Arial" w:cs="Arial" w:eastAsia="Arial" w:hAnsi="Arial"/>
          <w:sz w:val="19"/>
          <w:szCs w:val="19"/>
          <w:color w:val="auto"/>
        </w:rPr>
        <w:t>the Company’s requiring the Participant to be based at a location which is at least one hundred (100) miles further from the Participant’s then current primary residence than is such residence from the office where the Participant is located at the time of the Change in Control, except for required travel on the Company’s business to an extent substantially consistent with the Participant’s business obligations as of the Grant Date or as the same may be changed from time to time prior to a Change in Control;</w:t>
      </w:r>
    </w:p>
    <w:p>
      <w:pPr>
        <w:spacing w:after="0" w:line="189" w:lineRule="exact"/>
        <w:rPr>
          <w:rFonts w:ascii="Arial" w:cs="Arial" w:eastAsia="Arial" w:hAnsi="Arial"/>
          <w:sz w:val="17"/>
          <w:szCs w:val="17"/>
          <w:color w:val="auto"/>
        </w:rPr>
      </w:pPr>
    </w:p>
    <w:p>
      <w:pPr>
        <w:jc w:val="both"/>
        <w:ind w:right="20" w:firstLine="1953"/>
        <w:spacing w:after="0" w:line="278" w:lineRule="auto"/>
        <w:tabs>
          <w:tab w:leader="none" w:pos="2863" w:val="left"/>
        </w:tabs>
        <w:numPr>
          <w:ilvl w:val="1"/>
          <w:numId w:val="70"/>
        </w:numPr>
        <w:rPr>
          <w:rFonts w:ascii="Arial" w:cs="Arial" w:eastAsia="Arial" w:hAnsi="Arial"/>
          <w:sz w:val="18"/>
          <w:szCs w:val="18"/>
          <w:color w:val="auto"/>
        </w:rPr>
      </w:pPr>
      <w:r>
        <w:rPr>
          <w:rFonts w:ascii="Arial" w:cs="Arial" w:eastAsia="Arial" w:hAnsi="Arial"/>
          <w:sz w:val="20"/>
          <w:szCs w:val="20"/>
          <w:color w:val="auto"/>
        </w:rPr>
        <w:t>a material reduction by the Company in the Participant’s then current salary of record paid as annual salary (excluding amounts received under incentive or other bonus plans), as in effect on the Grant Date or as the same may be increased during the Protection Period;</w:t>
      </w:r>
    </w:p>
    <w:p>
      <w:pPr>
        <w:sectPr>
          <w:pgSz w:w="11900" w:h="16838" w:orient="portrait"/>
          <w:cols w:equalWidth="0" w:num="1">
            <w:col w:w="11420"/>
          </w:cols>
          <w:pgMar w:left="240" w:top="595" w:right="239" w:bottom="1440" w:gutter="0" w:footer="0" w:header="0"/>
        </w:sectPr>
      </w:pPr>
    </w:p>
    <w:bookmarkStart w:id="93" w:name="page94"/>
    <w:bookmarkEnd w:id="93"/>
    <w:p>
      <w:pPr>
        <w:jc w:val="both"/>
        <w:ind w:firstLine="1953"/>
        <w:spacing w:after="0" w:line="274" w:lineRule="auto"/>
        <w:tabs>
          <w:tab w:leader="none" w:pos="2853" w:val="left"/>
        </w:tabs>
        <w:numPr>
          <w:ilvl w:val="0"/>
          <w:numId w:val="71"/>
        </w:numPr>
        <w:rPr>
          <w:rFonts w:ascii="Arial" w:cs="Arial" w:eastAsia="Arial" w:hAnsi="Arial"/>
          <w:sz w:val="18"/>
          <w:szCs w:val="18"/>
          <w:color w:val="auto"/>
        </w:rPr>
      </w:pPr>
      <w:r>
        <w:rPr>
          <w:rFonts w:ascii="Arial" w:cs="Arial" w:eastAsia="Arial" w:hAnsi="Arial"/>
          <w:sz w:val="20"/>
          <w:szCs w:val="20"/>
          <w:color w:val="auto"/>
        </w:rPr>
        <w:t>a material reduction in the Participant’s level of participation in any of the Company’s short- and/or long-term incentive compensation plans, or employee benefit or retirement plans, policies, practices, or arrangements in which the Participant participates from the greatest of the levels in place (x) on the Grant Date, (y) during the fiscal year immediately preceding the year of the Change in Control and (z) on the date immediately preceding the Change in Control; or</w:t>
      </w:r>
    </w:p>
    <w:p>
      <w:pPr>
        <w:spacing w:after="0" w:line="205" w:lineRule="exact"/>
        <w:rPr>
          <w:rFonts w:ascii="Arial" w:cs="Arial" w:eastAsia="Arial" w:hAnsi="Arial"/>
          <w:sz w:val="18"/>
          <w:szCs w:val="18"/>
          <w:color w:val="auto"/>
        </w:rPr>
      </w:pPr>
    </w:p>
    <w:p>
      <w:pPr>
        <w:jc w:val="both"/>
        <w:ind w:firstLine="1953"/>
        <w:spacing w:after="0" w:line="278" w:lineRule="auto"/>
        <w:tabs>
          <w:tab w:leader="none" w:pos="2803" w:val="left"/>
        </w:tabs>
        <w:numPr>
          <w:ilvl w:val="0"/>
          <w:numId w:val="71"/>
        </w:numPr>
        <w:rPr>
          <w:rFonts w:ascii="Arial" w:cs="Arial" w:eastAsia="Arial" w:hAnsi="Arial"/>
          <w:sz w:val="18"/>
          <w:szCs w:val="18"/>
          <w:color w:val="auto"/>
        </w:rPr>
      </w:pPr>
      <w:r>
        <w:rPr>
          <w:rFonts w:ascii="Arial" w:cs="Arial" w:eastAsia="Arial" w:hAnsi="Arial"/>
          <w:sz w:val="20"/>
          <w:szCs w:val="20"/>
          <w:color w:val="auto"/>
        </w:rPr>
        <w:t>any termination of Participant’s employment by the Company that is not effected pursuant to a written notice of termination which sets forth in reasonable detail the facts and circumstances claimed to provide a basis for termination of the Participant’s employment.</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The existence of Good Reason will not be affected by the Participant’s temporary incapacity due to physical or mental illness not constituting a Disability. The Participant’s continued employment will not constitute a waiver of the Participant’s rights with respect to any circumstance constituting Good Reason; however, “Good Reason” for Participant’s separation from employment will exist only if: the Participant provides written notice to the Company within ninety (90) days of the occurrence of any of the above listed events; the Company fails to cure the event within thirty (30) days following the Company’s receipt of Participant’s written notice; and the Participant separates from employment with the Company effective not later than twenty four (24) months after the original occurrence of the “Good Reason” event. For sake of clarity, the event giving rise to a Good Reason termination must occur during the Protection Period, but Participant’s actual termination of employment for Good Reason may occur after the end of the Protection Period, and such termination will be treated as if it occurred during the Protection Period for purposes of </w:t>
      </w:r>
      <w:r>
        <w:rPr>
          <w:rFonts w:ascii="Arial" w:cs="Arial" w:eastAsia="Arial" w:hAnsi="Arial"/>
          <w:sz w:val="19"/>
          <w:szCs w:val="19"/>
          <w:u w:val="single" w:color="auto"/>
          <w:color w:val="auto"/>
        </w:rPr>
        <w:t>Section 3</w:t>
      </w:r>
      <w:r>
        <w:rPr>
          <w:rFonts w:ascii="Arial" w:cs="Arial" w:eastAsia="Arial" w:hAnsi="Arial"/>
          <w:sz w:val="19"/>
          <w:szCs w:val="19"/>
          <w:color w:val="auto"/>
        </w:rPr>
        <w:t>.</w:t>
      </w:r>
    </w:p>
    <w:p>
      <w:pPr>
        <w:spacing w:after="0" w:line="198" w:lineRule="exact"/>
        <w:rPr>
          <w:sz w:val="20"/>
          <w:szCs w:val="20"/>
          <w:color w:val="auto"/>
        </w:rPr>
      </w:pPr>
    </w:p>
    <w:p>
      <w:pPr>
        <w:jc w:val="both"/>
        <w:ind w:firstLine="656"/>
        <w:spacing w:after="0" w:line="278" w:lineRule="auto"/>
        <w:tabs>
          <w:tab w:leader="none" w:pos="1506" w:val="left"/>
        </w:tabs>
        <w:numPr>
          <w:ilvl w:val="0"/>
          <w:numId w:val="72"/>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means [termination of the Participant’s employment on or after the date that the Participant reaches the age of 62] [termination of the Participant’s employment (i) on or after the date that the Participant reaches the age of 62, or (ii) by the Company without Cause, regardless of the Participant’s age.]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Executed as of the Grant Date.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TechnipFMC plc</w:t>
      </w:r>
    </w:p>
    <w:p>
      <w:pPr>
        <w:spacing w:after="0" w:line="384"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27305</wp:posOffset>
            </wp:positionV>
            <wp:extent cx="6663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document constitutes part of a prospectus covering securities that have been registered under the Securities Act of 1933.</w:t>
      </w:r>
    </w:p>
    <w:p>
      <w:pPr>
        <w:sectPr>
          <w:pgSz w:w="11900" w:h="16838" w:orient="portrait"/>
          <w:cols w:equalWidth="0" w:num="1">
            <w:col w:w="11420"/>
          </w:cols>
          <w:pgMar w:left="240" w:top="595" w:right="23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 xml:space="preserve">Performance Period: </w:t>
      </w:r>
      <w:r>
        <w:rPr>
          <w:rFonts w:ascii="Arial" w:cs="Arial" w:eastAsia="Arial" w:hAnsi="Arial"/>
          <w:sz w:val="20"/>
          <w:szCs w:val="20"/>
          <w:color w:val="auto"/>
        </w:rPr>
        <w:t>January 1, 2017-December 31, 2019</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Performance Goals and Earned PSUs</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80" w:type="dxa"/>
            <w:vAlign w:val="bottom"/>
            <w:tcBorders>
              <w:top w:val="single" w:sz="8" w:color="auto"/>
              <w:left w:val="single" w:sz="8" w:color="auto"/>
              <w:right w:val="single" w:sz="8" w:color="D9D9D9"/>
            </w:tcBorders>
            <w:shd w:val="clear" w:color="auto" w:fill="D9D9D9"/>
          </w:tcPr>
          <w:p>
            <w:pPr>
              <w:spacing w:after="0"/>
              <w:rPr>
                <w:sz w:val="21"/>
                <w:szCs w:val="21"/>
                <w:color w:val="auto"/>
              </w:rPr>
            </w:pPr>
          </w:p>
        </w:tc>
        <w:tc>
          <w:tcPr>
            <w:tcW w:w="560" w:type="dxa"/>
            <w:vAlign w:val="bottom"/>
            <w:tcBorders>
              <w:top w:val="single" w:sz="8" w:color="auto"/>
            </w:tcBorders>
            <w:shd w:val="clear" w:color="auto" w:fill="D9D9D9"/>
          </w:tcPr>
          <w:p>
            <w:pPr>
              <w:spacing w:after="0"/>
              <w:rPr>
                <w:sz w:val="21"/>
                <w:szCs w:val="21"/>
                <w:color w:val="auto"/>
              </w:rPr>
            </w:pPr>
          </w:p>
        </w:tc>
        <w:tc>
          <w:tcPr>
            <w:tcW w:w="20" w:type="dxa"/>
            <w:vAlign w:val="bottom"/>
            <w:tcBorders>
              <w:top w:val="single" w:sz="8" w:color="auto"/>
            </w:tcBorders>
            <w:shd w:val="clear" w:color="auto" w:fill="D9D9D9"/>
          </w:tcPr>
          <w:p>
            <w:pPr>
              <w:spacing w:after="0"/>
              <w:rPr>
                <w:sz w:val="21"/>
                <w:szCs w:val="21"/>
                <w:color w:val="auto"/>
              </w:rPr>
            </w:pPr>
          </w:p>
        </w:tc>
        <w:tc>
          <w:tcPr>
            <w:tcW w:w="360" w:type="dxa"/>
            <w:vAlign w:val="bottom"/>
            <w:tcBorders>
              <w:top w:val="single" w:sz="8" w:color="auto"/>
            </w:tcBorders>
            <w:shd w:val="clear" w:color="auto" w:fill="D9D9D9"/>
          </w:tcPr>
          <w:p>
            <w:pPr>
              <w:spacing w:after="0"/>
              <w:rPr>
                <w:sz w:val="21"/>
                <w:szCs w:val="21"/>
                <w:color w:val="auto"/>
              </w:rPr>
            </w:pPr>
          </w:p>
        </w:tc>
        <w:tc>
          <w:tcPr>
            <w:tcW w:w="160" w:type="dxa"/>
            <w:vAlign w:val="bottom"/>
            <w:tcBorders>
              <w:top w:val="single" w:sz="8" w:color="auto"/>
            </w:tcBorders>
            <w:shd w:val="clear" w:color="auto" w:fill="D9D9D9"/>
          </w:tcPr>
          <w:p>
            <w:pPr>
              <w:spacing w:after="0"/>
              <w:rPr>
                <w:sz w:val="21"/>
                <w:szCs w:val="21"/>
                <w:color w:val="auto"/>
              </w:rPr>
            </w:pPr>
          </w:p>
        </w:tc>
        <w:tc>
          <w:tcPr>
            <w:tcW w:w="1280" w:type="dxa"/>
            <w:vAlign w:val="bottom"/>
            <w:tcBorders>
              <w:top w:val="single" w:sz="8" w:color="auto"/>
              <w:right w:val="single" w:sz="8" w:color="auto"/>
            </w:tcBorders>
            <w:shd w:val="clear" w:color="auto" w:fill="D9D9D9"/>
          </w:tcPr>
          <w:p>
            <w:pPr>
              <w:spacing w:after="0"/>
              <w:rPr>
                <w:sz w:val="21"/>
                <w:szCs w:val="21"/>
                <w:color w:val="auto"/>
              </w:rPr>
            </w:pPr>
          </w:p>
        </w:tc>
        <w:tc>
          <w:tcPr>
            <w:tcW w:w="1660" w:type="dxa"/>
            <w:vAlign w:val="bottom"/>
            <w:tcBorders>
              <w:top w:val="single" w:sz="8" w:color="auto"/>
              <w:right w:val="single" w:sz="8" w:color="D9D9D9"/>
            </w:tcBorders>
            <w:shd w:val="clear" w:color="auto" w:fill="D9D9D9"/>
          </w:tcPr>
          <w:p>
            <w:pPr>
              <w:spacing w:after="0"/>
              <w:rPr>
                <w:sz w:val="21"/>
                <w:szCs w:val="21"/>
                <w:color w:val="auto"/>
              </w:rPr>
            </w:pPr>
          </w:p>
        </w:tc>
        <w:tc>
          <w:tcPr>
            <w:tcW w:w="960" w:type="dxa"/>
            <w:vAlign w:val="bottom"/>
            <w:tcBorders>
              <w:top w:val="single" w:sz="8" w:color="auto"/>
              <w:right w:val="single" w:sz="8" w:color="auto"/>
            </w:tcBorders>
            <w:shd w:val="clear" w:color="auto" w:fill="D9D9D9"/>
          </w:tcPr>
          <w:p>
            <w:pPr>
              <w:spacing w:after="0"/>
              <w:rPr>
                <w:sz w:val="21"/>
                <w:szCs w:val="21"/>
                <w:color w:val="auto"/>
              </w:rPr>
            </w:pPr>
          </w:p>
        </w:tc>
        <w:tc>
          <w:tcPr>
            <w:tcW w:w="260" w:type="dxa"/>
            <w:vAlign w:val="bottom"/>
            <w:tcBorders>
              <w:top w:val="single" w:sz="8" w:color="auto"/>
            </w:tcBorders>
            <w:shd w:val="clear" w:color="auto" w:fill="D9D9D9"/>
          </w:tcPr>
          <w:p>
            <w:pPr>
              <w:spacing w:after="0"/>
              <w:rPr>
                <w:sz w:val="21"/>
                <w:szCs w:val="21"/>
                <w:color w:val="auto"/>
              </w:rPr>
            </w:pPr>
          </w:p>
        </w:tc>
        <w:tc>
          <w:tcPr>
            <w:tcW w:w="1800" w:type="dxa"/>
            <w:vAlign w:val="bottom"/>
            <w:tcBorders>
              <w:top w:val="single" w:sz="8" w:color="auto"/>
              <w:right w:val="single" w:sz="8" w:color="auto"/>
            </w:tcBorders>
            <w:shd w:val="clear" w:color="auto" w:fill="D9D9D9"/>
          </w:tcPr>
          <w:p>
            <w:pPr>
              <w:jc w:val="center"/>
              <w:ind w:right="181"/>
              <w:spacing w:after="0"/>
              <w:rPr>
                <w:sz w:val="20"/>
                <w:szCs w:val="20"/>
                <w:color w:val="auto"/>
              </w:rPr>
            </w:pPr>
            <w:r>
              <w:rPr>
                <w:rFonts w:ascii="Arial" w:cs="Arial" w:eastAsia="Arial" w:hAnsi="Arial"/>
                <w:sz w:val="20"/>
                <w:szCs w:val="20"/>
                <w:b w:val="1"/>
                <w:bCs w:val="1"/>
                <w:color w:val="auto"/>
                <w:w w:val="95"/>
              </w:rPr>
              <w:t>Minimum</w:t>
            </w:r>
          </w:p>
        </w:tc>
        <w:tc>
          <w:tcPr>
            <w:tcW w:w="260" w:type="dxa"/>
            <w:vAlign w:val="bottom"/>
            <w:tcBorders>
              <w:top w:val="single" w:sz="8" w:color="auto"/>
              <w:right w:val="single" w:sz="8" w:color="D9D9D9"/>
            </w:tcBorders>
            <w:shd w:val="clear" w:color="auto" w:fill="D9D9D9"/>
          </w:tcPr>
          <w:p>
            <w:pPr>
              <w:spacing w:after="0"/>
              <w:rPr>
                <w:sz w:val="21"/>
                <w:szCs w:val="21"/>
                <w:color w:val="auto"/>
              </w:rPr>
            </w:pPr>
          </w:p>
        </w:tc>
        <w:tc>
          <w:tcPr>
            <w:tcW w:w="1780" w:type="dxa"/>
            <w:vAlign w:val="bottom"/>
            <w:tcBorders>
              <w:top w:val="single" w:sz="8" w:color="auto"/>
              <w:right w:val="single" w:sz="8" w:color="auto"/>
            </w:tcBorders>
            <w:shd w:val="clear" w:color="auto" w:fill="D9D9D9"/>
          </w:tcPr>
          <w:p>
            <w:pPr>
              <w:spacing w:after="0"/>
              <w:rPr>
                <w:sz w:val="21"/>
                <w:szCs w:val="21"/>
                <w:color w:val="auto"/>
              </w:rPr>
            </w:pPr>
          </w:p>
        </w:tc>
        <w:tc>
          <w:tcPr>
            <w:tcW w:w="360" w:type="dxa"/>
            <w:vAlign w:val="bottom"/>
            <w:tcBorders>
              <w:top w:val="single" w:sz="8" w:color="auto"/>
            </w:tcBorders>
            <w:shd w:val="clear" w:color="auto" w:fill="D9D9D9"/>
          </w:tcPr>
          <w:p>
            <w:pPr>
              <w:spacing w:after="0"/>
              <w:rPr>
                <w:sz w:val="21"/>
                <w:szCs w:val="21"/>
                <w:color w:val="auto"/>
              </w:rPr>
            </w:pPr>
          </w:p>
        </w:tc>
        <w:tc>
          <w:tcPr>
            <w:tcW w:w="1700" w:type="dxa"/>
            <w:vAlign w:val="bottom"/>
            <w:tcBorders>
              <w:top w:val="single" w:sz="8" w:color="auto"/>
              <w:right w:val="single" w:sz="8" w:color="auto"/>
            </w:tcBorders>
            <w:gridSpan w:val="2"/>
            <w:shd w:val="clear" w:color="auto" w:fill="D9D9D9"/>
          </w:tcPr>
          <w:p>
            <w:pPr>
              <w:jc w:val="center"/>
              <w:ind w:right="380"/>
              <w:spacing w:after="0"/>
              <w:rPr>
                <w:sz w:val="20"/>
                <w:szCs w:val="20"/>
                <w:color w:val="auto"/>
              </w:rPr>
            </w:pPr>
            <w:r>
              <w:rPr>
                <w:rFonts w:ascii="Arial" w:cs="Arial" w:eastAsia="Arial" w:hAnsi="Arial"/>
                <w:sz w:val="20"/>
                <w:szCs w:val="20"/>
                <w:b w:val="1"/>
                <w:bCs w:val="1"/>
                <w:color w:val="auto"/>
                <w:w w:val="95"/>
              </w:rPr>
              <w:t>Maximum</w:t>
            </w:r>
          </w:p>
        </w:tc>
        <w:tc>
          <w:tcPr>
            <w:tcW w:w="0" w:type="dxa"/>
            <w:vAlign w:val="bottom"/>
          </w:tcPr>
          <w:p>
            <w:pPr>
              <w:spacing w:after="0"/>
              <w:rPr>
                <w:sz w:val="1"/>
                <w:szCs w:val="1"/>
                <w:color w:val="auto"/>
              </w:rPr>
            </w:pPr>
          </w:p>
        </w:tc>
      </w:tr>
      <w:tr>
        <w:trPr>
          <w:trHeight w:val="284"/>
        </w:trPr>
        <w:tc>
          <w:tcPr>
            <w:tcW w:w="280" w:type="dxa"/>
            <w:vAlign w:val="bottom"/>
            <w:tcBorders>
              <w:left w:val="single" w:sz="8" w:color="auto"/>
              <w:bottom w:val="single" w:sz="8" w:color="D9D9D9"/>
              <w:right w:val="single" w:sz="8" w:color="D9D9D9"/>
            </w:tcBorders>
            <w:shd w:val="clear" w:color="auto" w:fill="D9D9D9"/>
          </w:tcPr>
          <w:p>
            <w:pPr>
              <w:spacing w:after="0"/>
              <w:rPr>
                <w:sz w:val="24"/>
                <w:szCs w:val="24"/>
                <w:color w:val="auto"/>
              </w:rPr>
            </w:pPr>
          </w:p>
        </w:tc>
        <w:tc>
          <w:tcPr>
            <w:tcW w:w="2380" w:type="dxa"/>
            <w:vAlign w:val="bottom"/>
            <w:tcBorders>
              <w:bottom w:val="single" w:sz="8" w:color="D9D9D9"/>
              <w:right w:val="single" w:sz="8" w:color="auto"/>
            </w:tcBorders>
            <w:gridSpan w:val="5"/>
            <w:shd w:val="clear" w:color="auto" w:fill="D9D9D9"/>
          </w:tcPr>
          <w:p>
            <w:pPr>
              <w:ind w:left="340"/>
              <w:spacing w:after="0"/>
              <w:rPr>
                <w:sz w:val="20"/>
                <w:szCs w:val="20"/>
                <w:color w:val="auto"/>
              </w:rPr>
            </w:pPr>
            <w:r>
              <w:rPr>
                <w:rFonts w:ascii="Arial" w:cs="Arial" w:eastAsia="Arial" w:hAnsi="Arial"/>
                <w:sz w:val="20"/>
                <w:szCs w:val="20"/>
                <w:b w:val="1"/>
                <w:bCs w:val="1"/>
                <w:color w:val="auto"/>
              </w:rPr>
              <w:t>Goal/Weightings</w:t>
            </w:r>
          </w:p>
        </w:tc>
        <w:tc>
          <w:tcPr>
            <w:tcW w:w="2620" w:type="dxa"/>
            <w:vAlign w:val="bottom"/>
            <w:tcBorders>
              <w:bottom w:val="single" w:sz="8" w:color="D9D9D9"/>
              <w:right w:val="single" w:sz="8" w:color="auto"/>
            </w:tcBorders>
            <w:gridSpan w:val="2"/>
            <w:shd w:val="clear" w:color="auto" w:fill="D9D9D9"/>
          </w:tcPr>
          <w:p>
            <w:pPr>
              <w:ind w:left="360"/>
              <w:spacing w:after="0"/>
              <w:rPr>
                <w:sz w:val="20"/>
                <w:szCs w:val="20"/>
                <w:color w:val="auto"/>
              </w:rPr>
            </w:pPr>
            <w:r>
              <w:rPr>
                <w:rFonts w:ascii="Arial" w:cs="Arial" w:eastAsia="Arial" w:hAnsi="Arial"/>
                <w:sz w:val="20"/>
                <w:szCs w:val="20"/>
                <w:b w:val="1"/>
                <w:bCs w:val="1"/>
                <w:color w:val="auto"/>
              </w:rPr>
              <w:t>Performance Measure</w:t>
            </w:r>
          </w:p>
        </w:tc>
        <w:tc>
          <w:tcPr>
            <w:tcW w:w="260" w:type="dxa"/>
            <w:vAlign w:val="bottom"/>
            <w:tcBorders>
              <w:bottom w:val="single" w:sz="8" w:color="D9D9D9"/>
            </w:tcBorders>
            <w:shd w:val="clear" w:color="auto" w:fill="D9D9D9"/>
          </w:tcPr>
          <w:p>
            <w:pPr>
              <w:spacing w:after="0"/>
              <w:rPr>
                <w:sz w:val="24"/>
                <w:szCs w:val="24"/>
                <w:color w:val="auto"/>
              </w:rPr>
            </w:pPr>
          </w:p>
        </w:tc>
        <w:tc>
          <w:tcPr>
            <w:tcW w:w="1800" w:type="dxa"/>
            <w:vAlign w:val="bottom"/>
            <w:tcBorders>
              <w:bottom w:val="single" w:sz="8" w:color="D9D9D9"/>
              <w:right w:val="single" w:sz="8" w:color="auto"/>
            </w:tcBorders>
            <w:shd w:val="clear" w:color="auto" w:fill="D9D9D9"/>
          </w:tcPr>
          <w:p>
            <w:pPr>
              <w:jc w:val="center"/>
              <w:ind w:right="201"/>
              <w:spacing w:after="0"/>
              <w:rPr>
                <w:sz w:val="20"/>
                <w:szCs w:val="20"/>
                <w:color w:val="auto"/>
              </w:rPr>
            </w:pPr>
            <w:r>
              <w:rPr>
                <w:rFonts w:ascii="Arial" w:cs="Arial" w:eastAsia="Arial" w:hAnsi="Arial"/>
                <w:sz w:val="20"/>
                <w:szCs w:val="20"/>
                <w:b w:val="1"/>
                <w:bCs w:val="1"/>
                <w:color w:val="auto"/>
                <w:w w:val="89"/>
              </w:rPr>
              <w:t>Performance</w:t>
            </w:r>
          </w:p>
        </w:tc>
        <w:tc>
          <w:tcPr>
            <w:tcW w:w="2040" w:type="dxa"/>
            <w:vAlign w:val="bottom"/>
            <w:tcBorders>
              <w:bottom w:val="single" w:sz="8" w:color="D9D9D9"/>
              <w:right w:val="single" w:sz="8" w:color="auto"/>
            </w:tcBorders>
            <w:gridSpan w:val="2"/>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Target Performance</w:t>
            </w:r>
          </w:p>
        </w:tc>
        <w:tc>
          <w:tcPr>
            <w:tcW w:w="360" w:type="dxa"/>
            <w:vAlign w:val="bottom"/>
            <w:tcBorders>
              <w:bottom w:val="single" w:sz="8" w:color="D9D9D9"/>
            </w:tcBorders>
            <w:shd w:val="clear" w:color="auto" w:fill="D9D9D9"/>
          </w:tcPr>
          <w:p>
            <w:pPr>
              <w:spacing w:after="0"/>
              <w:rPr>
                <w:sz w:val="24"/>
                <w:szCs w:val="24"/>
                <w:color w:val="auto"/>
              </w:rPr>
            </w:pPr>
          </w:p>
        </w:tc>
        <w:tc>
          <w:tcPr>
            <w:tcW w:w="1700" w:type="dxa"/>
            <w:vAlign w:val="bottom"/>
            <w:tcBorders>
              <w:bottom w:val="single" w:sz="8" w:color="D9D9D9"/>
              <w:right w:val="single" w:sz="8" w:color="auto"/>
            </w:tcBorders>
            <w:gridSpan w:val="2"/>
            <w:shd w:val="clear" w:color="auto" w:fill="D9D9D9"/>
          </w:tcPr>
          <w:p>
            <w:pPr>
              <w:jc w:val="center"/>
              <w:ind w:right="380"/>
              <w:spacing w:after="0"/>
              <w:rPr>
                <w:sz w:val="20"/>
                <w:szCs w:val="20"/>
                <w:color w:val="auto"/>
              </w:rPr>
            </w:pPr>
            <w:r>
              <w:rPr>
                <w:rFonts w:ascii="Arial" w:cs="Arial" w:eastAsia="Arial" w:hAnsi="Arial"/>
                <w:sz w:val="20"/>
                <w:szCs w:val="20"/>
                <w:b w:val="1"/>
                <w:bCs w:val="1"/>
                <w:color w:val="auto"/>
                <w:w w:val="88"/>
              </w:rPr>
              <w:t>Performance</w:t>
            </w:r>
          </w:p>
        </w:tc>
        <w:tc>
          <w:tcPr>
            <w:tcW w:w="0" w:type="dxa"/>
            <w:vAlign w:val="bottom"/>
          </w:tcPr>
          <w:p>
            <w:pPr>
              <w:spacing w:after="0"/>
              <w:rPr>
                <w:sz w:val="1"/>
                <w:szCs w:val="1"/>
                <w:color w:val="auto"/>
              </w:rPr>
            </w:pPr>
          </w:p>
        </w:tc>
      </w:tr>
      <w:tr>
        <w:trPr>
          <w:trHeight w:val="227"/>
        </w:trPr>
        <w:tc>
          <w:tcPr>
            <w:tcW w:w="2660" w:type="dxa"/>
            <w:vAlign w:val="bottom"/>
            <w:tcBorders>
              <w:top w:val="single" w:sz="8" w:color="auto"/>
              <w:left w:val="single" w:sz="8" w:color="auto"/>
              <w:right w:val="single" w:sz="8" w:color="auto"/>
            </w:tcBorders>
            <w:gridSpan w:val="6"/>
          </w:tcPr>
          <w:p>
            <w:pPr>
              <w:ind w:left="40"/>
              <w:spacing w:after="0" w:line="228" w:lineRule="exact"/>
              <w:rPr>
                <w:sz w:val="20"/>
                <w:szCs w:val="20"/>
                <w:color w:val="auto"/>
              </w:rPr>
            </w:pPr>
            <w:r>
              <w:rPr>
                <w:rFonts w:ascii="Arial" w:cs="Arial" w:eastAsia="Arial" w:hAnsi="Arial"/>
                <w:sz w:val="20"/>
                <w:szCs w:val="20"/>
                <w:b w:val="1"/>
                <w:bCs w:val="1"/>
                <w:i w:val="1"/>
                <w:iCs w:val="1"/>
                <w:color w:val="auto"/>
              </w:rPr>
              <w:t>Return on Invested</w:t>
            </w:r>
          </w:p>
        </w:tc>
        <w:tc>
          <w:tcPr>
            <w:tcW w:w="2620" w:type="dxa"/>
            <w:vAlign w:val="bottom"/>
            <w:tcBorders>
              <w:top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20"/>
                <w:szCs w:val="20"/>
                <w:b w:val="1"/>
                <w:bCs w:val="1"/>
                <w:color w:val="auto"/>
                <w:w w:val="89"/>
              </w:rPr>
              <w:t>Achievement of stated targets</w:t>
            </w:r>
          </w:p>
        </w:tc>
        <w:tc>
          <w:tcPr>
            <w:tcW w:w="260" w:type="dxa"/>
            <w:vAlign w:val="bottom"/>
            <w:tcBorders>
              <w:top w:val="single" w:sz="8" w:color="auto"/>
            </w:tcBorders>
          </w:tcPr>
          <w:p>
            <w:pPr>
              <w:spacing w:after="0"/>
              <w:rPr>
                <w:sz w:val="19"/>
                <w:szCs w:val="19"/>
                <w:color w:val="auto"/>
              </w:rPr>
            </w:pPr>
          </w:p>
        </w:tc>
        <w:tc>
          <w:tcPr>
            <w:tcW w:w="1800" w:type="dxa"/>
            <w:vAlign w:val="bottom"/>
            <w:tcBorders>
              <w:top w:val="single" w:sz="8" w:color="auto"/>
              <w:right w:val="single" w:sz="8" w:color="auto"/>
            </w:tcBorders>
            <w:vMerge w:val="restart"/>
          </w:tcPr>
          <w:p>
            <w:pPr>
              <w:jc w:val="center"/>
              <w:ind w:right="201"/>
              <w:spacing w:after="0"/>
              <w:rPr>
                <w:sz w:val="20"/>
                <w:szCs w:val="20"/>
                <w:color w:val="auto"/>
              </w:rPr>
            </w:pPr>
            <w:r>
              <w:rPr>
                <w:rFonts w:ascii="Arial" w:cs="Arial" w:eastAsia="Arial" w:hAnsi="Arial"/>
                <w:sz w:val="20"/>
                <w:szCs w:val="20"/>
                <w:b w:val="1"/>
                <w:bCs w:val="1"/>
                <w:color w:val="auto"/>
              </w:rPr>
              <w:t>0%</w:t>
            </w:r>
          </w:p>
        </w:tc>
        <w:tc>
          <w:tcPr>
            <w:tcW w:w="204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20"/>
                <w:szCs w:val="20"/>
                <w:b w:val="1"/>
                <w:bCs w:val="1"/>
                <w:color w:val="auto"/>
                <w:w w:val="97"/>
              </w:rPr>
              <w:t>100%</w:t>
            </w:r>
          </w:p>
        </w:tc>
        <w:tc>
          <w:tcPr>
            <w:tcW w:w="3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vMerge w:val="restart"/>
          </w:tcPr>
          <w:p>
            <w:pPr>
              <w:jc w:val="center"/>
              <w:ind w:right="21"/>
              <w:spacing w:after="0"/>
              <w:rPr>
                <w:sz w:val="20"/>
                <w:szCs w:val="20"/>
                <w:color w:val="auto"/>
              </w:rPr>
            </w:pPr>
            <w:r>
              <w:rPr>
                <w:rFonts w:ascii="Arial" w:cs="Arial" w:eastAsia="Arial" w:hAnsi="Arial"/>
                <w:sz w:val="20"/>
                <w:szCs w:val="20"/>
                <w:b w:val="1"/>
                <w:bCs w:val="1"/>
                <w:color w:val="auto"/>
                <w:w w:val="93"/>
              </w:rPr>
              <w:t>200%</w:t>
            </w:r>
          </w:p>
        </w:tc>
        <w:tc>
          <w:tcPr>
            <w:tcW w:w="2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660" w:type="dxa"/>
            <w:vAlign w:val="bottom"/>
            <w:tcBorders>
              <w:left w:val="single" w:sz="8" w:color="auto"/>
              <w:right w:val="single" w:sz="8" w:color="auto"/>
            </w:tcBorders>
            <w:gridSpan w:val="6"/>
            <w:vMerge w:val="restart"/>
          </w:tcPr>
          <w:p>
            <w:pPr>
              <w:ind w:left="40"/>
              <w:spacing w:after="0" w:line="212" w:lineRule="exact"/>
              <w:rPr>
                <w:sz w:val="20"/>
                <w:szCs w:val="20"/>
                <w:color w:val="auto"/>
              </w:rPr>
            </w:pPr>
            <w:r>
              <w:rPr>
                <w:rFonts w:ascii="Arial" w:cs="Arial" w:eastAsia="Arial" w:hAnsi="Arial"/>
                <w:sz w:val="20"/>
                <w:szCs w:val="20"/>
                <w:b w:val="1"/>
                <w:bCs w:val="1"/>
                <w:i w:val="1"/>
                <w:iCs w:val="1"/>
                <w:color w:val="auto"/>
              </w:rPr>
              <w:t xml:space="preserve">Capital </w:t>
            </w:r>
            <w:r>
              <w:rPr>
                <w:rFonts w:ascii="Arial" w:cs="Arial" w:eastAsia="Arial" w:hAnsi="Arial"/>
                <w:sz w:val="20"/>
                <w:szCs w:val="20"/>
                <w:b w:val="1"/>
                <w:bCs w:val="1"/>
                <w:color w:val="auto"/>
              </w:rPr>
              <w:t>(“ROIC”)(50%)</w:t>
            </w:r>
          </w:p>
        </w:tc>
        <w:tc>
          <w:tcPr>
            <w:tcW w:w="2620" w:type="dxa"/>
            <w:vAlign w:val="bottom"/>
            <w:tcBorders>
              <w:right w:val="single" w:sz="8" w:color="auto"/>
            </w:tcBorders>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Borders>
              <w:right w:val="single" w:sz="8" w:color="auto"/>
            </w:tcBorders>
            <w:vMerge w:val="continue"/>
          </w:tcPr>
          <w:p>
            <w:pPr>
              <w:spacing w:after="0"/>
              <w:rPr>
                <w:sz w:val="11"/>
                <w:szCs w:val="11"/>
                <w:color w:val="auto"/>
              </w:rPr>
            </w:pPr>
          </w:p>
        </w:tc>
        <w:tc>
          <w:tcPr>
            <w:tcW w:w="2040" w:type="dxa"/>
            <w:vAlign w:val="bottom"/>
            <w:tcBorders>
              <w:right w:val="single" w:sz="8" w:color="auto"/>
            </w:tcBorders>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660" w:type="dxa"/>
            <w:vAlign w:val="bottom"/>
            <w:tcBorders>
              <w:left w:val="single" w:sz="8" w:color="auto"/>
              <w:right w:val="single" w:sz="8" w:color="auto"/>
            </w:tcBorders>
            <w:gridSpan w:val="6"/>
            <w:vMerge w:val="continue"/>
          </w:tcPr>
          <w:p>
            <w:pPr>
              <w:spacing w:after="0"/>
              <w:rPr>
                <w:sz w:val="6"/>
                <w:szCs w:val="6"/>
                <w:color w:val="auto"/>
              </w:rPr>
            </w:pPr>
          </w:p>
        </w:tc>
        <w:tc>
          <w:tcPr>
            <w:tcW w:w="1660" w:type="dxa"/>
            <w:vAlign w:val="bottom"/>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660" w:type="dxa"/>
            <w:vAlign w:val="bottom"/>
            <w:tcBorders>
              <w:left w:val="single" w:sz="8" w:color="auto"/>
              <w:right w:val="single" w:sz="8" w:color="auto"/>
            </w:tcBorders>
            <w:gridSpan w:val="6"/>
          </w:tcPr>
          <w:p>
            <w:pPr>
              <w:ind w:left="40"/>
              <w:spacing w:after="0" w:line="228" w:lineRule="exact"/>
              <w:rPr>
                <w:sz w:val="20"/>
                <w:szCs w:val="20"/>
                <w:color w:val="auto"/>
              </w:rPr>
            </w:pPr>
            <w:r>
              <w:rPr>
                <w:rFonts w:ascii="Arial" w:cs="Arial" w:eastAsia="Arial" w:hAnsi="Arial"/>
                <w:sz w:val="20"/>
                <w:szCs w:val="20"/>
                <w:b w:val="1"/>
                <w:bCs w:val="1"/>
                <w:i w:val="1"/>
                <w:iCs w:val="1"/>
                <w:color w:val="auto"/>
              </w:rPr>
              <w:t>Total Shareholder</w:t>
            </w:r>
          </w:p>
        </w:tc>
        <w:tc>
          <w:tcPr>
            <w:tcW w:w="2620" w:type="dxa"/>
            <w:vAlign w:val="bottom"/>
            <w:tcBorders>
              <w:right w:val="single" w:sz="8" w:color="auto"/>
            </w:tcBorders>
            <w:gridSpan w:val="2"/>
          </w:tcPr>
          <w:p>
            <w:pPr>
              <w:ind w:left="20"/>
              <w:spacing w:after="0" w:line="228" w:lineRule="exact"/>
              <w:rPr>
                <w:sz w:val="20"/>
                <w:szCs w:val="20"/>
                <w:color w:val="auto"/>
              </w:rPr>
            </w:pPr>
            <w:r>
              <w:rPr>
                <w:rFonts w:ascii="Arial" w:cs="Arial" w:eastAsia="Arial" w:hAnsi="Arial"/>
                <w:sz w:val="20"/>
                <w:szCs w:val="20"/>
                <w:b w:val="1"/>
                <w:bCs w:val="1"/>
                <w:color w:val="auto"/>
                <w:w w:val="91"/>
              </w:rPr>
              <w:t>Ranking against a peer group</w:t>
            </w:r>
          </w:p>
        </w:tc>
        <w:tc>
          <w:tcPr>
            <w:tcW w:w="260" w:type="dxa"/>
            <w:vAlign w:val="bottom"/>
          </w:tcPr>
          <w:p>
            <w:pPr>
              <w:spacing w:after="0"/>
              <w:rPr>
                <w:sz w:val="19"/>
                <w:szCs w:val="19"/>
                <w:color w:val="auto"/>
              </w:rPr>
            </w:pPr>
          </w:p>
        </w:tc>
        <w:tc>
          <w:tcPr>
            <w:tcW w:w="1800" w:type="dxa"/>
            <w:vAlign w:val="bottom"/>
            <w:tcBorders>
              <w:right w:val="single" w:sz="8" w:color="auto"/>
            </w:tcBorders>
            <w:vMerge w:val="restart"/>
          </w:tcPr>
          <w:p>
            <w:pPr>
              <w:jc w:val="center"/>
              <w:ind w:right="201"/>
              <w:spacing w:after="0"/>
              <w:rPr>
                <w:sz w:val="20"/>
                <w:szCs w:val="20"/>
                <w:color w:val="auto"/>
              </w:rPr>
            </w:pPr>
            <w:r>
              <w:rPr>
                <w:rFonts w:ascii="Arial" w:cs="Arial" w:eastAsia="Arial" w:hAnsi="Arial"/>
                <w:sz w:val="20"/>
                <w:szCs w:val="20"/>
                <w:b w:val="1"/>
                <w:bCs w:val="1"/>
                <w:color w:val="auto"/>
              </w:rPr>
              <w:t>0%</w:t>
            </w: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b w:val="1"/>
                <w:bCs w:val="1"/>
                <w:color w:val="auto"/>
                <w:w w:val="97"/>
              </w:rPr>
              <w:t>100%</w:t>
            </w:r>
          </w:p>
        </w:tc>
        <w:tc>
          <w:tcPr>
            <w:tcW w:w="360" w:type="dxa"/>
            <w:vAlign w:val="bottom"/>
          </w:tcPr>
          <w:p>
            <w:pPr>
              <w:spacing w:after="0"/>
              <w:rPr>
                <w:sz w:val="19"/>
                <w:szCs w:val="19"/>
                <w:color w:val="auto"/>
              </w:rPr>
            </w:pPr>
          </w:p>
        </w:tc>
        <w:tc>
          <w:tcPr>
            <w:tcW w:w="1440" w:type="dxa"/>
            <w:vAlign w:val="bottom"/>
            <w:vMerge w:val="restart"/>
          </w:tcPr>
          <w:p>
            <w:pPr>
              <w:jc w:val="center"/>
              <w:ind w:right="21"/>
              <w:spacing w:after="0"/>
              <w:rPr>
                <w:sz w:val="20"/>
                <w:szCs w:val="20"/>
                <w:color w:val="auto"/>
              </w:rPr>
            </w:pPr>
            <w:r>
              <w:rPr>
                <w:rFonts w:ascii="Arial" w:cs="Arial" w:eastAsia="Arial" w:hAnsi="Arial"/>
                <w:sz w:val="20"/>
                <w:szCs w:val="20"/>
                <w:b w:val="1"/>
                <w:bCs w:val="1"/>
                <w:color w:val="auto"/>
                <w:w w:val="93"/>
              </w:rPr>
              <w:t>200%</w:t>
            </w: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660" w:type="dxa"/>
            <w:vAlign w:val="bottom"/>
            <w:tcBorders>
              <w:left w:val="single" w:sz="8" w:color="auto"/>
              <w:right w:val="single" w:sz="8" w:color="auto"/>
            </w:tcBorders>
            <w:gridSpan w:val="6"/>
            <w:vMerge w:val="restart"/>
          </w:tcPr>
          <w:p>
            <w:pPr>
              <w:ind w:left="40"/>
              <w:spacing w:after="0" w:line="212" w:lineRule="exact"/>
              <w:rPr>
                <w:sz w:val="20"/>
                <w:szCs w:val="20"/>
                <w:color w:val="auto"/>
              </w:rPr>
            </w:pPr>
            <w:r>
              <w:rPr>
                <w:rFonts w:ascii="Arial" w:cs="Arial" w:eastAsia="Arial" w:hAnsi="Arial"/>
                <w:sz w:val="20"/>
                <w:szCs w:val="20"/>
                <w:b w:val="1"/>
                <w:bCs w:val="1"/>
                <w:i w:val="1"/>
                <w:iCs w:val="1"/>
                <w:color w:val="auto"/>
              </w:rPr>
              <w:t xml:space="preserve">Return </w:t>
            </w:r>
            <w:r>
              <w:rPr>
                <w:rFonts w:ascii="Arial" w:cs="Arial" w:eastAsia="Arial" w:hAnsi="Arial"/>
                <w:sz w:val="20"/>
                <w:szCs w:val="20"/>
                <w:b w:val="1"/>
                <w:bCs w:val="1"/>
                <w:color w:val="auto"/>
              </w:rPr>
              <w:t>(“TSR”)(50%)</w:t>
            </w:r>
          </w:p>
        </w:tc>
        <w:tc>
          <w:tcPr>
            <w:tcW w:w="2620" w:type="dxa"/>
            <w:vAlign w:val="bottom"/>
            <w:tcBorders>
              <w:right w:val="single" w:sz="8" w:color="auto"/>
            </w:tcBorders>
            <w:gridSpan w:val="2"/>
            <w:vMerge w:val="restart"/>
          </w:tcPr>
          <w:p>
            <w:pPr>
              <w:ind w:left="20"/>
              <w:spacing w:after="0" w:line="212" w:lineRule="exact"/>
              <w:rPr>
                <w:sz w:val="20"/>
                <w:szCs w:val="20"/>
                <w:color w:val="auto"/>
              </w:rPr>
            </w:pPr>
            <w:r>
              <w:rPr>
                <w:rFonts w:ascii="Arial" w:cs="Arial" w:eastAsia="Arial" w:hAnsi="Arial"/>
                <w:sz w:val="20"/>
                <w:szCs w:val="20"/>
                <w:b w:val="1"/>
                <w:bCs w:val="1"/>
                <w:color w:val="auto"/>
              </w:rPr>
              <w:t>of 15 companies</w:t>
            </w:r>
          </w:p>
        </w:tc>
        <w:tc>
          <w:tcPr>
            <w:tcW w:w="260" w:type="dxa"/>
            <w:vAlign w:val="bottom"/>
          </w:tcPr>
          <w:p>
            <w:pPr>
              <w:spacing w:after="0"/>
              <w:rPr>
                <w:sz w:val="11"/>
                <w:szCs w:val="11"/>
                <w:color w:val="auto"/>
              </w:rPr>
            </w:pPr>
          </w:p>
        </w:tc>
        <w:tc>
          <w:tcPr>
            <w:tcW w:w="1800" w:type="dxa"/>
            <w:vAlign w:val="bottom"/>
            <w:tcBorders>
              <w:right w:val="single" w:sz="8" w:color="auto"/>
            </w:tcBorders>
            <w:vMerge w:val="continue"/>
          </w:tcPr>
          <w:p>
            <w:pPr>
              <w:spacing w:after="0"/>
              <w:rPr>
                <w:sz w:val="11"/>
                <w:szCs w:val="11"/>
                <w:color w:val="auto"/>
              </w:rPr>
            </w:pPr>
          </w:p>
        </w:tc>
        <w:tc>
          <w:tcPr>
            <w:tcW w:w="2040" w:type="dxa"/>
            <w:vAlign w:val="bottom"/>
            <w:tcBorders>
              <w:right w:val="single" w:sz="8" w:color="auto"/>
            </w:tcBorders>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660" w:type="dxa"/>
            <w:vAlign w:val="bottom"/>
            <w:tcBorders>
              <w:left w:val="single" w:sz="8" w:color="auto"/>
              <w:right w:val="single" w:sz="8" w:color="auto"/>
            </w:tcBorders>
            <w:gridSpan w:val="6"/>
            <w:vMerge w:val="continue"/>
          </w:tcPr>
          <w:p>
            <w:pPr>
              <w:spacing w:after="0"/>
              <w:rPr>
                <w:sz w:val="6"/>
                <w:szCs w:val="6"/>
                <w:color w:val="auto"/>
              </w:rPr>
            </w:pPr>
          </w:p>
        </w:tc>
        <w:tc>
          <w:tcPr>
            <w:tcW w:w="2620" w:type="dxa"/>
            <w:vAlign w:val="bottom"/>
            <w:tcBorders>
              <w:right w:val="single" w:sz="8" w:color="auto"/>
            </w:tcBorders>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78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3"/>
        </w:trPr>
        <w:tc>
          <w:tcPr>
            <w:tcW w:w="5540" w:type="dxa"/>
            <w:vAlign w:val="bottom"/>
            <w:gridSpan w:val="9"/>
          </w:tcPr>
          <w:p>
            <w:pPr>
              <w:spacing w:after="0"/>
              <w:rPr>
                <w:sz w:val="20"/>
                <w:szCs w:val="20"/>
                <w:color w:val="auto"/>
              </w:rPr>
            </w:pPr>
            <w:r>
              <w:rPr>
                <w:rFonts w:ascii="Arial" w:cs="Arial" w:eastAsia="Arial" w:hAnsi="Arial"/>
                <w:sz w:val="20"/>
                <w:szCs w:val="20"/>
                <w:color w:val="auto"/>
                <w:w w:val="89"/>
              </w:rPr>
              <w:t>For ROIC, the Performance Targets and Earned PSUs are as follows:</w:t>
            </w: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80" w:type="dxa"/>
            <w:vAlign w:val="bottom"/>
            <w:tcBorders>
              <w:right w:val="single" w:sz="8" w:color="auto"/>
            </w:tcBorders>
          </w:tcPr>
          <w:p>
            <w:pPr>
              <w:spacing w:after="0"/>
              <w:rPr>
                <w:sz w:val="24"/>
                <w:szCs w:val="24"/>
                <w:color w:val="auto"/>
              </w:rPr>
            </w:pPr>
          </w:p>
        </w:tc>
        <w:tc>
          <w:tcPr>
            <w:tcW w:w="560" w:type="dxa"/>
            <w:vAlign w:val="bottom"/>
            <w:tcBorders>
              <w:bottom w:val="single" w:sz="8" w:color="D9D9D9"/>
            </w:tcBorders>
            <w:shd w:val="clear" w:color="auto" w:fill="D9D9D9"/>
          </w:tcPr>
          <w:p>
            <w:pPr>
              <w:spacing w:after="0"/>
              <w:rPr>
                <w:sz w:val="24"/>
                <w:szCs w:val="24"/>
                <w:color w:val="auto"/>
              </w:rPr>
            </w:pPr>
          </w:p>
        </w:tc>
        <w:tc>
          <w:tcPr>
            <w:tcW w:w="20" w:type="dxa"/>
            <w:vAlign w:val="bottom"/>
            <w:tcBorders>
              <w:bottom w:val="single" w:sz="8" w:color="D9D9D9"/>
            </w:tcBorders>
            <w:shd w:val="clear" w:color="auto" w:fill="D9D9D9"/>
          </w:tcPr>
          <w:p>
            <w:pPr>
              <w:spacing w:after="0"/>
              <w:rPr>
                <w:sz w:val="24"/>
                <w:szCs w:val="24"/>
                <w:color w:val="auto"/>
              </w:rPr>
            </w:pPr>
          </w:p>
        </w:tc>
        <w:tc>
          <w:tcPr>
            <w:tcW w:w="360" w:type="dxa"/>
            <w:vAlign w:val="bottom"/>
            <w:tcBorders>
              <w:bottom w:val="single" w:sz="8" w:color="D9D9D9"/>
            </w:tcBorders>
            <w:shd w:val="clear" w:color="auto" w:fill="D9D9D9"/>
          </w:tcPr>
          <w:p>
            <w:pPr>
              <w:spacing w:after="0"/>
              <w:rPr>
                <w:sz w:val="24"/>
                <w:szCs w:val="24"/>
                <w:color w:val="auto"/>
              </w:rPr>
            </w:pPr>
          </w:p>
        </w:tc>
        <w:tc>
          <w:tcPr>
            <w:tcW w:w="3100" w:type="dxa"/>
            <w:vAlign w:val="bottom"/>
            <w:tcBorders>
              <w:bottom w:val="single" w:sz="8" w:color="D9D9D9"/>
              <w:right w:val="single" w:sz="8" w:color="auto"/>
            </w:tcBorders>
            <w:gridSpan w:val="3"/>
            <w:shd w:val="clear" w:color="auto" w:fill="D9D9D9"/>
          </w:tcPr>
          <w:p>
            <w:pPr>
              <w:ind w:left="100"/>
              <w:spacing w:after="0"/>
              <w:rPr>
                <w:sz w:val="20"/>
                <w:szCs w:val="20"/>
                <w:color w:val="auto"/>
              </w:rPr>
            </w:pPr>
            <w:r>
              <w:rPr>
                <w:rFonts w:ascii="Arial" w:cs="Arial" w:eastAsia="Arial" w:hAnsi="Arial"/>
                <w:sz w:val="20"/>
                <w:szCs w:val="20"/>
                <w:b w:val="1"/>
                <w:bCs w:val="1"/>
                <w:color w:val="auto"/>
              </w:rPr>
              <w:t>Achieved Performance</w:t>
            </w:r>
          </w:p>
        </w:tc>
        <w:tc>
          <w:tcPr>
            <w:tcW w:w="960" w:type="dxa"/>
            <w:vAlign w:val="bottom"/>
            <w:tcBorders>
              <w:bottom w:val="single" w:sz="8" w:color="D9D9D9"/>
              <w:right w:val="single" w:sz="8" w:color="D9D9D9"/>
            </w:tcBorders>
            <w:shd w:val="clear" w:color="auto" w:fill="D9D9D9"/>
          </w:tcPr>
          <w:p>
            <w:pPr>
              <w:spacing w:after="0"/>
              <w:rPr>
                <w:sz w:val="24"/>
                <w:szCs w:val="24"/>
                <w:color w:val="auto"/>
              </w:rPr>
            </w:pPr>
          </w:p>
        </w:tc>
        <w:tc>
          <w:tcPr>
            <w:tcW w:w="260" w:type="dxa"/>
            <w:vAlign w:val="bottom"/>
            <w:tcBorders>
              <w:bottom w:val="single" w:sz="8" w:color="D9D9D9"/>
            </w:tcBorders>
            <w:shd w:val="clear" w:color="auto" w:fill="D9D9D9"/>
          </w:tcPr>
          <w:p>
            <w:pPr>
              <w:spacing w:after="0"/>
              <w:rPr>
                <w:sz w:val="24"/>
                <w:szCs w:val="24"/>
                <w:color w:val="auto"/>
              </w:rPr>
            </w:pPr>
          </w:p>
        </w:tc>
        <w:tc>
          <w:tcPr>
            <w:tcW w:w="1800" w:type="dxa"/>
            <w:vAlign w:val="bottom"/>
            <w:tcBorders>
              <w:bottom w:val="single" w:sz="8" w:color="D9D9D9"/>
              <w:right w:val="single" w:sz="8" w:color="D9D9D9"/>
            </w:tcBorders>
            <w:shd w:val="clear" w:color="auto" w:fill="D9D9D9"/>
          </w:tcPr>
          <w:p>
            <w:pPr>
              <w:ind w:left="80"/>
              <w:spacing w:after="0"/>
              <w:rPr>
                <w:sz w:val="20"/>
                <w:szCs w:val="20"/>
                <w:color w:val="auto"/>
              </w:rPr>
            </w:pPr>
            <w:r>
              <w:rPr>
                <w:rFonts w:ascii="Arial" w:cs="Arial" w:eastAsia="Arial" w:hAnsi="Arial"/>
                <w:sz w:val="20"/>
                <w:szCs w:val="20"/>
                <w:b w:val="1"/>
                <w:bCs w:val="1"/>
                <w:color w:val="auto"/>
              </w:rPr>
              <w:t>Targets</w:t>
            </w:r>
          </w:p>
        </w:tc>
        <w:tc>
          <w:tcPr>
            <w:tcW w:w="260" w:type="dxa"/>
            <w:vAlign w:val="bottom"/>
            <w:tcBorders>
              <w:bottom w:val="single" w:sz="8" w:color="D9D9D9"/>
              <w:right w:val="single" w:sz="8" w:color="auto"/>
            </w:tcBorders>
            <w:shd w:val="clear" w:color="auto" w:fill="D9D9D9"/>
          </w:tcPr>
          <w:p>
            <w:pPr>
              <w:spacing w:after="0"/>
              <w:rPr>
                <w:sz w:val="24"/>
                <w:szCs w:val="24"/>
                <w:color w:val="auto"/>
              </w:rPr>
            </w:pPr>
          </w:p>
        </w:tc>
        <w:tc>
          <w:tcPr>
            <w:tcW w:w="3580" w:type="dxa"/>
            <w:vAlign w:val="bottom"/>
            <w:tcBorders>
              <w:bottom w:val="single" w:sz="8" w:color="D9D9D9"/>
              <w:right w:val="single" w:sz="8" w:color="auto"/>
            </w:tcBorders>
            <w:gridSpan w:val="3"/>
            <w:shd w:val="clear" w:color="auto" w:fill="D9D9D9"/>
          </w:tcPr>
          <w:p>
            <w:pPr>
              <w:ind w:left="1160"/>
              <w:spacing w:after="0"/>
              <w:rPr>
                <w:sz w:val="20"/>
                <w:szCs w:val="20"/>
                <w:color w:val="auto"/>
              </w:rPr>
            </w:pPr>
            <w:r>
              <w:rPr>
                <w:rFonts w:ascii="Arial" w:cs="Arial" w:eastAsia="Arial" w:hAnsi="Arial"/>
                <w:sz w:val="20"/>
                <w:szCs w:val="20"/>
                <w:b w:val="1"/>
                <w:bCs w:val="1"/>
                <w:color w:val="auto"/>
              </w:rPr>
              <w:t>Earned PSUs*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80" w:type="dxa"/>
            <w:vAlign w:val="bottom"/>
            <w:tcBorders>
              <w:right w:val="single" w:sz="8" w:color="auto"/>
            </w:tcBorders>
          </w:tcPr>
          <w:p>
            <w:pPr>
              <w:spacing w:after="0"/>
              <w:rPr>
                <w:sz w:val="22"/>
                <w:szCs w:val="22"/>
                <w:color w:val="auto"/>
              </w:rPr>
            </w:pPr>
          </w:p>
        </w:tc>
        <w:tc>
          <w:tcPr>
            <w:tcW w:w="4040" w:type="dxa"/>
            <w:vAlign w:val="bottom"/>
            <w:tcBorders>
              <w:top w:val="single" w:sz="8" w:color="auto"/>
              <w:right w:val="single" w:sz="8" w:color="auto"/>
            </w:tcBorders>
            <w:gridSpan w:val="6"/>
          </w:tcPr>
          <w:p>
            <w:pPr>
              <w:ind w:left="20"/>
              <w:spacing w:after="0"/>
              <w:rPr>
                <w:sz w:val="20"/>
                <w:szCs w:val="20"/>
                <w:color w:val="auto"/>
              </w:rPr>
            </w:pPr>
            <w:r>
              <w:rPr>
                <w:rFonts w:ascii="Arial" w:cs="Arial" w:eastAsia="Arial" w:hAnsi="Arial"/>
                <w:sz w:val="20"/>
                <w:szCs w:val="20"/>
                <w:b w:val="1"/>
                <w:bCs w:val="1"/>
                <w:color w:val="auto"/>
              </w:rPr>
              <w:t>Below Threshold Performance</w:t>
            </w:r>
          </w:p>
        </w:tc>
        <w:tc>
          <w:tcPr>
            <w:tcW w:w="1220" w:type="dxa"/>
            <w:vAlign w:val="bottom"/>
            <w:tcBorders>
              <w:top w:val="single" w:sz="8" w:color="auto"/>
            </w:tcBorders>
            <w:gridSpan w:val="2"/>
          </w:tcPr>
          <w:p>
            <w:pPr>
              <w:spacing w:after="0"/>
              <w:rPr>
                <w:sz w:val="22"/>
                <w:szCs w:val="22"/>
                <w:color w:val="auto"/>
              </w:rPr>
            </w:pPr>
          </w:p>
        </w:tc>
        <w:tc>
          <w:tcPr>
            <w:tcW w:w="1800" w:type="dxa"/>
            <w:vAlign w:val="bottom"/>
            <w:tcBorders>
              <w:top w:val="single" w:sz="8" w:color="auto"/>
            </w:tcBorders>
          </w:tcPr>
          <w:p>
            <w:pPr>
              <w:jc w:val="center"/>
              <w:ind w:right="881"/>
              <w:spacing w:after="0"/>
              <w:rPr>
                <w:sz w:val="20"/>
                <w:szCs w:val="20"/>
                <w:color w:val="auto"/>
              </w:rPr>
            </w:pPr>
            <w:r>
              <w:rPr>
                <w:rFonts w:ascii="Arial" w:cs="Arial" w:eastAsia="Arial" w:hAnsi="Arial"/>
                <w:sz w:val="20"/>
                <w:szCs w:val="20"/>
                <w:b w:val="1"/>
                <w:bCs w:val="1"/>
                <w:color w:val="auto"/>
              </w:rPr>
              <w:t>9%</w:t>
            </w:r>
          </w:p>
        </w:tc>
        <w:tc>
          <w:tcPr>
            <w:tcW w:w="260" w:type="dxa"/>
            <w:vAlign w:val="bottom"/>
            <w:tcBorders>
              <w:top w:val="single" w:sz="8" w:color="auto"/>
              <w:right w:val="single" w:sz="8" w:color="auto"/>
            </w:tcBorders>
          </w:tcPr>
          <w:p>
            <w:pPr>
              <w:spacing w:after="0"/>
              <w:rPr>
                <w:sz w:val="22"/>
                <w:szCs w:val="22"/>
                <w:color w:val="auto"/>
              </w:rPr>
            </w:pPr>
          </w:p>
        </w:tc>
        <w:tc>
          <w:tcPr>
            <w:tcW w:w="2140" w:type="dxa"/>
            <w:vAlign w:val="bottom"/>
            <w:tcBorders>
              <w:top w:val="single" w:sz="8" w:color="auto"/>
            </w:tcBorders>
            <w:gridSpan w:val="2"/>
          </w:tcPr>
          <w:p>
            <w:pPr>
              <w:jc w:val="center"/>
              <w:ind w:left="1301"/>
              <w:spacing w:after="0"/>
              <w:rPr>
                <w:sz w:val="20"/>
                <w:szCs w:val="20"/>
                <w:color w:val="auto"/>
              </w:rPr>
            </w:pPr>
            <w:r>
              <w:rPr>
                <w:rFonts w:ascii="Arial" w:cs="Arial" w:eastAsia="Arial" w:hAnsi="Arial"/>
                <w:sz w:val="20"/>
                <w:szCs w:val="20"/>
                <w:b w:val="1"/>
                <w:bCs w:val="1"/>
                <w:color w:val="auto"/>
              </w:rPr>
              <w:t>0%</w:t>
            </w:r>
          </w:p>
        </w:tc>
        <w:tc>
          <w:tcPr>
            <w:tcW w:w="1440" w:type="dxa"/>
            <w:vAlign w:val="bottom"/>
            <w:tcBorders>
              <w:top w:val="single" w:sz="8" w:color="auto"/>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80" w:type="dxa"/>
            <w:vAlign w:val="bottom"/>
            <w:tcBorders>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80" w:type="dxa"/>
            <w:vAlign w:val="bottom"/>
            <w:tcBorders>
              <w:right w:val="single" w:sz="8" w:color="auto"/>
            </w:tcBorders>
          </w:tcPr>
          <w:p>
            <w:pPr>
              <w:spacing w:after="0"/>
              <w:rPr>
                <w:sz w:val="22"/>
                <w:szCs w:val="22"/>
                <w:color w:val="auto"/>
              </w:rPr>
            </w:pPr>
          </w:p>
        </w:tc>
        <w:tc>
          <w:tcPr>
            <w:tcW w:w="2380" w:type="dxa"/>
            <w:vAlign w:val="bottom"/>
            <w:gridSpan w:val="5"/>
          </w:tcPr>
          <w:p>
            <w:pPr>
              <w:ind w:left="20"/>
              <w:spacing w:after="0"/>
              <w:rPr>
                <w:sz w:val="20"/>
                <w:szCs w:val="20"/>
                <w:color w:val="auto"/>
              </w:rPr>
            </w:pPr>
            <w:r>
              <w:rPr>
                <w:rFonts w:ascii="Arial" w:cs="Arial" w:eastAsia="Arial" w:hAnsi="Arial"/>
                <w:sz w:val="20"/>
                <w:szCs w:val="20"/>
                <w:b w:val="1"/>
                <w:bCs w:val="1"/>
                <w:color w:val="auto"/>
              </w:rPr>
              <w:t>Threshold Performance</w:t>
            </w:r>
          </w:p>
        </w:tc>
        <w:tc>
          <w:tcPr>
            <w:tcW w:w="1660" w:type="dxa"/>
            <w:vAlign w:val="bottom"/>
            <w:tcBorders>
              <w:right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0" w:type="dxa"/>
            <w:vAlign w:val="bottom"/>
          </w:tcPr>
          <w:p>
            <w:pPr>
              <w:jc w:val="center"/>
              <w:ind w:right="901"/>
              <w:spacing w:after="0"/>
              <w:rPr>
                <w:sz w:val="20"/>
                <w:szCs w:val="20"/>
                <w:color w:val="auto"/>
              </w:rPr>
            </w:pPr>
            <w:r>
              <w:rPr>
                <w:rFonts w:ascii="Arial" w:cs="Arial" w:eastAsia="Arial" w:hAnsi="Arial"/>
                <w:sz w:val="20"/>
                <w:szCs w:val="20"/>
                <w:b w:val="1"/>
                <w:bCs w:val="1"/>
                <w:color w:val="auto"/>
                <w:w w:val="99"/>
              </w:rPr>
              <w:t>10%</w:t>
            </w:r>
          </w:p>
        </w:tc>
        <w:tc>
          <w:tcPr>
            <w:tcW w:w="260" w:type="dxa"/>
            <w:vAlign w:val="bottom"/>
            <w:tcBorders>
              <w:right w:val="single" w:sz="8" w:color="auto"/>
            </w:tcBorders>
          </w:tcPr>
          <w:p>
            <w:pPr>
              <w:spacing w:after="0"/>
              <w:rPr>
                <w:sz w:val="22"/>
                <w:szCs w:val="22"/>
                <w:color w:val="auto"/>
              </w:rPr>
            </w:pPr>
          </w:p>
        </w:tc>
        <w:tc>
          <w:tcPr>
            <w:tcW w:w="2140" w:type="dxa"/>
            <w:vAlign w:val="bottom"/>
            <w:gridSpan w:val="2"/>
          </w:tcPr>
          <w:p>
            <w:pPr>
              <w:jc w:val="center"/>
              <w:ind w:left="1321"/>
              <w:spacing w:after="0"/>
              <w:rPr>
                <w:sz w:val="20"/>
                <w:szCs w:val="20"/>
                <w:color w:val="auto"/>
              </w:rPr>
            </w:pPr>
            <w:r>
              <w:rPr>
                <w:rFonts w:ascii="Arial" w:cs="Arial" w:eastAsia="Arial" w:hAnsi="Arial"/>
                <w:sz w:val="20"/>
                <w:szCs w:val="20"/>
                <w:b w:val="1"/>
                <w:bCs w:val="1"/>
                <w:color w:val="auto"/>
                <w:w w:val="99"/>
              </w:rPr>
              <w:t>50%</w:t>
            </w:r>
          </w:p>
        </w:tc>
        <w:tc>
          <w:tcPr>
            <w:tcW w:w="144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80" w:type="dxa"/>
            <w:vAlign w:val="bottom"/>
            <w:tcBorders>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80" w:type="dxa"/>
            <w:vAlign w:val="bottom"/>
            <w:tcBorders>
              <w:right w:val="single" w:sz="8" w:color="auto"/>
            </w:tcBorders>
          </w:tcPr>
          <w:p>
            <w:pPr>
              <w:spacing w:after="0"/>
              <w:rPr>
                <w:sz w:val="22"/>
                <w:szCs w:val="22"/>
                <w:color w:val="auto"/>
              </w:rPr>
            </w:pPr>
          </w:p>
        </w:tc>
        <w:tc>
          <w:tcPr>
            <w:tcW w:w="2380" w:type="dxa"/>
            <w:vAlign w:val="bottom"/>
            <w:gridSpan w:val="5"/>
          </w:tcPr>
          <w:p>
            <w:pPr>
              <w:ind w:left="20"/>
              <w:spacing w:after="0"/>
              <w:rPr>
                <w:sz w:val="20"/>
                <w:szCs w:val="20"/>
                <w:color w:val="auto"/>
              </w:rPr>
            </w:pPr>
            <w:r>
              <w:rPr>
                <w:rFonts w:ascii="Arial" w:cs="Arial" w:eastAsia="Arial" w:hAnsi="Arial"/>
                <w:sz w:val="20"/>
                <w:szCs w:val="20"/>
                <w:b w:val="1"/>
                <w:bCs w:val="1"/>
                <w:color w:val="auto"/>
              </w:rPr>
              <w:t>Target Performance</w:t>
            </w:r>
          </w:p>
        </w:tc>
        <w:tc>
          <w:tcPr>
            <w:tcW w:w="1660" w:type="dxa"/>
            <w:vAlign w:val="bottom"/>
            <w:tcBorders>
              <w:right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0" w:type="dxa"/>
            <w:vAlign w:val="bottom"/>
          </w:tcPr>
          <w:p>
            <w:pPr>
              <w:jc w:val="center"/>
              <w:ind w:right="881"/>
              <w:spacing w:after="0"/>
              <w:rPr>
                <w:sz w:val="20"/>
                <w:szCs w:val="20"/>
                <w:color w:val="auto"/>
              </w:rPr>
            </w:pPr>
            <w:r>
              <w:rPr>
                <w:rFonts w:ascii="Arial" w:cs="Arial" w:eastAsia="Arial" w:hAnsi="Arial"/>
                <w:sz w:val="20"/>
                <w:szCs w:val="20"/>
                <w:b w:val="1"/>
                <w:bCs w:val="1"/>
                <w:color w:val="auto"/>
                <w:w w:val="94"/>
              </w:rPr>
              <w:t>11%</w:t>
            </w:r>
          </w:p>
        </w:tc>
        <w:tc>
          <w:tcPr>
            <w:tcW w:w="260" w:type="dxa"/>
            <w:vAlign w:val="bottom"/>
            <w:tcBorders>
              <w:right w:val="single" w:sz="8" w:color="auto"/>
            </w:tcBorders>
          </w:tcPr>
          <w:p>
            <w:pPr>
              <w:spacing w:after="0"/>
              <w:rPr>
                <w:sz w:val="22"/>
                <w:szCs w:val="22"/>
                <w:color w:val="auto"/>
              </w:rPr>
            </w:pPr>
          </w:p>
        </w:tc>
        <w:tc>
          <w:tcPr>
            <w:tcW w:w="2140" w:type="dxa"/>
            <w:vAlign w:val="bottom"/>
            <w:gridSpan w:val="2"/>
          </w:tcPr>
          <w:p>
            <w:pPr>
              <w:jc w:val="center"/>
              <w:ind w:left="1301"/>
              <w:spacing w:after="0"/>
              <w:rPr>
                <w:sz w:val="20"/>
                <w:szCs w:val="20"/>
                <w:color w:val="auto"/>
              </w:rPr>
            </w:pPr>
            <w:r>
              <w:rPr>
                <w:rFonts w:ascii="Arial" w:cs="Arial" w:eastAsia="Arial" w:hAnsi="Arial"/>
                <w:sz w:val="20"/>
                <w:szCs w:val="20"/>
                <w:b w:val="1"/>
                <w:bCs w:val="1"/>
                <w:color w:val="auto"/>
                <w:w w:val="97"/>
              </w:rPr>
              <w:t>100%</w:t>
            </w:r>
          </w:p>
        </w:tc>
        <w:tc>
          <w:tcPr>
            <w:tcW w:w="144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80" w:type="dxa"/>
            <w:vAlign w:val="bottom"/>
            <w:tcBorders>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80" w:type="dxa"/>
            <w:vAlign w:val="bottom"/>
            <w:tcBorders>
              <w:right w:val="single" w:sz="8" w:color="auto"/>
            </w:tcBorders>
          </w:tcPr>
          <w:p>
            <w:pPr>
              <w:spacing w:after="0"/>
              <w:rPr>
                <w:sz w:val="22"/>
                <w:szCs w:val="22"/>
                <w:color w:val="auto"/>
              </w:rPr>
            </w:pPr>
          </w:p>
        </w:tc>
        <w:tc>
          <w:tcPr>
            <w:tcW w:w="4040" w:type="dxa"/>
            <w:vAlign w:val="bottom"/>
            <w:tcBorders>
              <w:right w:val="single" w:sz="8" w:color="auto"/>
            </w:tcBorders>
            <w:gridSpan w:val="6"/>
          </w:tcPr>
          <w:p>
            <w:pPr>
              <w:ind w:left="20"/>
              <w:spacing w:after="0"/>
              <w:rPr>
                <w:sz w:val="20"/>
                <w:szCs w:val="20"/>
                <w:color w:val="auto"/>
              </w:rPr>
            </w:pPr>
            <w:r>
              <w:rPr>
                <w:rFonts w:ascii="Arial" w:cs="Arial" w:eastAsia="Arial" w:hAnsi="Arial"/>
                <w:sz w:val="20"/>
                <w:szCs w:val="20"/>
                <w:b w:val="1"/>
                <w:bCs w:val="1"/>
                <w:color w:val="auto"/>
              </w:rPr>
              <w:t>Maximum Performance or above</w:t>
            </w:r>
          </w:p>
        </w:tc>
        <w:tc>
          <w:tcPr>
            <w:tcW w:w="1220" w:type="dxa"/>
            <w:vAlign w:val="bottom"/>
            <w:gridSpan w:val="2"/>
          </w:tcPr>
          <w:p>
            <w:pPr>
              <w:spacing w:after="0"/>
              <w:rPr>
                <w:sz w:val="22"/>
                <w:szCs w:val="22"/>
                <w:color w:val="auto"/>
              </w:rPr>
            </w:pPr>
          </w:p>
        </w:tc>
        <w:tc>
          <w:tcPr>
            <w:tcW w:w="1800" w:type="dxa"/>
            <w:vAlign w:val="bottom"/>
          </w:tcPr>
          <w:p>
            <w:pPr>
              <w:jc w:val="center"/>
              <w:ind w:right="901"/>
              <w:spacing w:after="0"/>
              <w:rPr>
                <w:sz w:val="20"/>
                <w:szCs w:val="20"/>
                <w:color w:val="auto"/>
              </w:rPr>
            </w:pPr>
            <w:r>
              <w:rPr>
                <w:rFonts w:ascii="Arial" w:cs="Arial" w:eastAsia="Arial" w:hAnsi="Arial"/>
                <w:sz w:val="20"/>
                <w:szCs w:val="20"/>
                <w:b w:val="1"/>
                <w:bCs w:val="1"/>
                <w:color w:val="auto"/>
                <w:w w:val="99"/>
              </w:rPr>
              <w:t>12%</w:t>
            </w:r>
          </w:p>
        </w:tc>
        <w:tc>
          <w:tcPr>
            <w:tcW w:w="260" w:type="dxa"/>
            <w:vAlign w:val="bottom"/>
            <w:tcBorders>
              <w:right w:val="single" w:sz="8" w:color="auto"/>
            </w:tcBorders>
          </w:tcPr>
          <w:p>
            <w:pPr>
              <w:spacing w:after="0"/>
              <w:rPr>
                <w:sz w:val="22"/>
                <w:szCs w:val="22"/>
                <w:color w:val="auto"/>
              </w:rPr>
            </w:pPr>
          </w:p>
        </w:tc>
        <w:tc>
          <w:tcPr>
            <w:tcW w:w="2140" w:type="dxa"/>
            <w:vAlign w:val="bottom"/>
            <w:gridSpan w:val="2"/>
          </w:tcPr>
          <w:p>
            <w:pPr>
              <w:jc w:val="center"/>
              <w:ind w:left="1301"/>
              <w:spacing w:after="0"/>
              <w:rPr>
                <w:sz w:val="20"/>
                <w:szCs w:val="20"/>
                <w:color w:val="auto"/>
              </w:rPr>
            </w:pPr>
            <w:r>
              <w:rPr>
                <w:rFonts w:ascii="Arial" w:cs="Arial" w:eastAsia="Arial" w:hAnsi="Arial"/>
                <w:sz w:val="20"/>
                <w:szCs w:val="20"/>
                <w:b w:val="1"/>
                <w:bCs w:val="1"/>
                <w:color w:val="auto"/>
                <w:w w:val="97"/>
              </w:rPr>
              <w:t>200%</w:t>
            </w:r>
          </w:p>
        </w:tc>
        <w:tc>
          <w:tcPr>
            <w:tcW w:w="144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80" w:type="dxa"/>
            <w:vAlign w:val="bottom"/>
            <w:tcBorders>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Final performance rating will be based on linear interpolation between these identified points.</w:t>
      </w:r>
    </w:p>
    <w:p>
      <w:pPr>
        <w:spacing w:after="0" w:line="216"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For the TSR measure, the Earned PSUs will be based on the ranking of the TSR for TechnipFMC against the peer group results. The Earned PSUs are as follows:</w:t>
      </w:r>
    </w:p>
    <w:p>
      <w:pPr>
        <w:spacing w:after="0" w:line="309" w:lineRule="exact"/>
        <w:rPr>
          <w:sz w:val="20"/>
          <w:szCs w:val="20"/>
          <w:color w:val="auto"/>
        </w:rPr>
      </w:pPr>
    </w:p>
    <w:tbl>
      <w:tblPr>
        <w:tblLayout w:type="fixed"/>
        <w:tblInd w:w="1930" w:type="dxa"/>
        <w:tblCellMar>
          <w:top w:w="0" w:type="dxa"/>
          <w:left w:w="0" w:type="dxa"/>
          <w:bottom w:w="0" w:type="dxa"/>
          <w:right w:w="0" w:type="dxa"/>
        </w:tblCellMar>
      </w:tblPr>
      <w:tr>
        <w:trPr>
          <w:trHeight w:val="302"/>
        </w:trPr>
        <w:tc>
          <w:tcPr>
            <w:tcW w:w="3960" w:type="dxa"/>
            <w:vAlign w:val="bottom"/>
            <w:tcBorders>
              <w:top w:val="single" w:sz="8" w:color="auto"/>
              <w:left w:val="single" w:sz="8" w:color="auto"/>
              <w:bottom w:val="single" w:sz="8" w:color="D9D9D9"/>
              <w:right w:val="single" w:sz="8" w:color="auto"/>
            </w:tcBorders>
            <w:shd w:val="clear" w:color="auto" w:fill="D9D9D9"/>
          </w:tcPr>
          <w:p>
            <w:pPr>
              <w:ind w:left="1360"/>
              <w:spacing w:after="0"/>
              <w:rPr>
                <w:sz w:val="20"/>
                <w:szCs w:val="20"/>
                <w:color w:val="auto"/>
              </w:rPr>
            </w:pPr>
            <w:r>
              <w:rPr>
                <w:rFonts w:ascii="Arial" w:cs="Arial" w:eastAsia="Arial" w:hAnsi="Arial"/>
                <w:sz w:val="20"/>
                <w:szCs w:val="20"/>
                <w:b w:val="1"/>
                <w:bCs w:val="1"/>
                <w:color w:val="auto"/>
              </w:rPr>
              <w:t>Ranking Level</w:t>
            </w:r>
          </w:p>
        </w:tc>
        <w:tc>
          <w:tcPr>
            <w:tcW w:w="3660" w:type="dxa"/>
            <w:vAlign w:val="bottom"/>
            <w:tcBorders>
              <w:top w:val="single" w:sz="8" w:color="auto"/>
              <w:bottom w:val="single" w:sz="8" w:color="D9D9D9"/>
              <w:right w:val="single" w:sz="8" w:color="auto"/>
            </w:tcBorders>
            <w:shd w:val="clear" w:color="auto" w:fill="D9D9D9"/>
          </w:tcPr>
          <w:p>
            <w:pPr>
              <w:ind w:left="1200"/>
              <w:spacing w:after="0"/>
              <w:rPr>
                <w:sz w:val="20"/>
                <w:szCs w:val="20"/>
                <w:color w:val="auto"/>
              </w:rPr>
            </w:pPr>
            <w:r>
              <w:rPr>
                <w:rFonts w:ascii="Arial" w:cs="Arial" w:eastAsia="Arial" w:hAnsi="Arial"/>
                <w:sz w:val="20"/>
                <w:szCs w:val="20"/>
                <w:b w:val="1"/>
                <w:bCs w:val="1"/>
                <w:color w:val="auto"/>
              </w:rPr>
              <w:t>Earned PSUs*</w:t>
            </w:r>
          </w:p>
        </w:tc>
      </w:tr>
      <w:tr>
        <w:trPr>
          <w:trHeight w:val="277"/>
        </w:trPr>
        <w:tc>
          <w:tcPr>
            <w:tcW w:w="3960" w:type="dxa"/>
            <w:vAlign w:val="bottom"/>
            <w:tcBorders>
              <w:top w:val="single" w:sz="8" w:color="auto"/>
              <w:left w:val="single" w:sz="8" w:color="auto"/>
              <w:bottom w:val="single" w:sz="8" w:color="auto"/>
              <w:right w:val="single" w:sz="8" w:color="auto"/>
            </w:tcBorders>
          </w:tcPr>
          <w:p>
            <w:pPr>
              <w:ind w:left="680"/>
              <w:spacing w:after="0" w:line="277" w:lineRule="exact"/>
              <w:rPr>
                <w:sz w:val="20"/>
                <w:szCs w:val="20"/>
                <w:color w:val="auto"/>
              </w:rPr>
            </w:pPr>
            <w:r>
              <w:rPr>
                <w:rFonts w:ascii="Arial" w:cs="Arial" w:eastAsia="Arial" w:hAnsi="Arial"/>
                <w:sz w:val="20"/>
                <w:szCs w:val="20"/>
                <w:b w:val="1"/>
                <w:bCs w:val="1"/>
                <w:color w:val="auto"/>
              </w:rPr>
              <w:t>13</w:t>
            </w:r>
            <w:r>
              <w:rPr>
                <w:rFonts w:ascii="Arial" w:cs="Arial" w:eastAsia="Arial" w:hAnsi="Arial"/>
                <w:sz w:val="25"/>
                <w:szCs w:val="25"/>
                <w:b w:val="1"/>
                <w:bCs w:val="1"/>
                <w:color w:val="auto"/>
                <w:vertAlign w:val="superscript"/>
              </w:rPr>
              <w:t>th</w:t>
            </w:r>
            <w:r>
              <w:rPr>
                <w:rFonts w:ascii="Arial" w:cs="Arial" w:eastAsia="Arial" w:hAnsi="Arial"/>
                <w:sz w:val="20"/>
                <w:szCs w:val="20"/>
                <w:b w:val="1"/>
                <w:bCs w:val="1"/>
                <w:color w:val="auto"/>
              </w:rPr>
              <w:t xml:space="preserve"> or Lower</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0%</w:t>
            </w:r>
          </w:p>
        </w:tc>
      </w:tr>
      <w:tr>
        <w:trPr>
          <w:trHeight w:val="277"/>
        </w:trPr>
        <w:tc>
          <w:tcPr>
            <w:tcW w:w="3960" w:type="dxa"/>
            <w:vAlign w:val="bottom"/>
            <w:tcBorders>
              <w:left w:val="single" w:sz="8" w:color="auto"/>
              <w:bottom w:val="single" w:sz="8" w:color="auto"/>
              <w:right w:val="single" w:sz="8" w:color="auto"/>
            </w:tcBorders>
          </w:tcPr>
          <w:p>
            <w:pPr>
              <w:ind w:left="680"/>
              <w:spacing w:after="0" w:line="277" w:lineRule="exact"/>
              <w:rPr>
                <w:sz w:val="20"/>
                <w:szCs w:val="20"/>
                <w:color w:val="auto"/>
              </w:rPr>
            </w:pPr>
            <w:r>
              <w:rPr>
                <w:rFonts w:ascii="Arial" w:cs="Arial" w:eastAsia="Arial" w:hAnsi="Arial"/>
                <w:sz w:val="20"/>
                <w:szCs w:val="20"/>
                <w:b w:val="1"/>
                <w:bCs w:val="1"/>
                <w:color w:val="auto"/>
              </w:rPr>
              <w:t>11</w:t>
            </w:r>
            <w:r>
              <w:rPr>
                <w:rFonts w:ascii="Arial" w:cs="Arial" w:eastAsia="Arial" w:hAnsi="Arial"/>
                <w:sz w:val="25"/>
                <w:szCs w:val="25"/>
                <w:b w:val="1"/>
                <w:bCs w:val="1"/>
                <w:color w:val="auto"/>
                <w:vertAlign w:val="superscript"/>
              </w:rPr>
              <w:t>th</w:t>
            </w:r>
            <w:r>
              <w:rPr>
                <w:rFonts w:ascii="Arial" w:cs="Arial" w:eastAsia="Arial" w:hAnsi="Arial"/>
                <w:sz w:val="20"/>
                <w:szCs w:val="20"/>
                <w:b w:val="1"/>
                <w:bCs w:val="1"/>
                <w:color w:val="auto"/>
              </w:rPr>
              <w:t xml:space="preserve"> or 12</w:t>
            </w:r>
            <w:r>
              <w:rPr>
                <w:rFonts w:ascii="Arial" w:cs="Arial" w:eastAsia="Arial" w:hAnsi="Arial"/>
                <w:sz w:val="25"/>
                <w:szCs w:val="25"/>
                <w:b w:val="1"/>
                <w:bCs w:val="1"/>
                <w:color w:val="auto"/>
                <w:vertAlign w:val="superscript"/>
              </w:rPr>
              <w:t>th</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50%</w:t>
            </w:r>
          </w:p>
        </w:tc>
      </w:tr>
      <w:tr>
        <w:trPr>
          <w:trHeight w:val="277"/>
        </w:trPr>
        <w:tc>
          <w:tcPr>
            <w:tcW w:w="3960" w:type="dxa"/>
            <w:vAlign w:val="bottom"/>
            <w:tcBorders>
              <w:left w:val="single" w:sz="8" w:color="auto"/>
              <w:bottom w:val="single" w:sz="8" w:color="auto"/>
              <w:right w:val="single" w:sz="8" w:color="auto"/>
            </w:tcBorders>
          </w:tcPr>
          <w:p>
            <w:pPr>
              <w:ind w:left="680"/>
              <w:spacing w:after="0" w:line="277" w:lineRule="exact"/>
              <w:rPr>
                <w:sz w:val="20"/>
                <w:szCs w:val="20"/>
                <w:color w:val="auto"/>
              </w:rPr>
            </w:pPr>
            <w:r>
              <w:rPr>
                <w:rFonts w:ascii="Arial" w:cs="Arial" w:eastAsia="Arial" w:hAnsi="Arial"/>
                <w:sz w:val="20"/>
                <w:szCs w:val="20"/>
                <w:b w:val="1"/>
                <w:bCs w:val="1"/>
                <w:color w:val="auto"/>
              </w:rPr>
              <w:t>9</w:t>
            </w:r>
            <w:r>
              <w:rPr>
                <w:rFonts w:ascii="Arial" w:cs="Arial" w:eastAsia="Arial" w:hAnsi="Arial"/>
                <w:sz w:val="25"/>
                <w:szCs w:val="25"/>
                <w:b w:val="1"/>
                <w:bCs w:val="1"/>
                <w:color w:val="auto"/>
                <w:vertAlign w:val="superscript"/>
              </w:rPr>
              <w:t>th</w:t>
            </w:r>
            <w:r>
              <w:rPr>
                <w:rFonts w:ascii="Arial" w:cs="Arial" w:eastAsia="Arial" w:hAnsi="Arial"/>
                <w:sz w:val="20"/>
                <w:szCs w:val="20"/>
                <w:b w:val="1"/>
                <w:bCs w:val="1"/>
                <w:color w:val="auto"/>
              </w:rPr>
              <w:t xml:space="preserve"> or 10</w:t>
            </w:r>
            <w:r>
              <w:rPr>
                <w:rFonts w:ascii="Arial" w:cs="Arial" w:eastAsia="Arial" w:hAnsi="Arial"/>
                <w:sz w:val="25"/>
                <w:szCs w:val="25"/>
                <w:b w:val="1"/>
                <w:bCs w:val="1"/>
                <w:color w:val="auto"/>
                <w:vertAlign w:val="superscript"/>
              </w:rPr>
              <w:t>th</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75%</w:t>
            </w:r>
          </w:p>
        </w:tc>
      </w:tr>
      <w:tr>
        <w:trPr>
          <w:trHeight w:val="277"/>
        </w:trPr>
        <w:tc>
          <w:tcPr>
            <w:tcW w:w="3960" w:type="dxa"/>
            <w:vAlign w:val="bottom"/>
            <w:tcBorders>
              <w:left w:val="single" w:sz="8" w:color="auto"/>
              <w:bottom w:val="single" w:sz="8" w:color="auto"/>
              <w:right w:val="single" w:sz="8" w:color="auto"/>
            </w:tcBorders>
          </w:tcPr>
          <w:p>
            <w:pPr>
              <w:ind w:left="680"/>
              <w:spacing w:after="0" w:line="276" w:lineRule="exact"/>
              <w:rPr>
                <w:sz w:val="20"/>
                <w:szCs w:val="20"/>
                <w:color w:val="auto"/>
              </w:rPr>
            </w:pPr>
            <w:r>
              <w:rPr>
                <w:rFonts w:ascii="Arial" w:cs="Arial" w:eastAsia="Arial" w:hAnsi="Arial"/>
                <w:sz w:val="32"/>
                <w:szCs w:val="32"/>
                <w:b w:val="1"/>
                <w:bCs w:val="1"/>
                <w:color w:val="auto"/>
                <w:vertAlign w:val="subscript"/>
              </w:rPr>
              <w:t>8</w:t>
            </w:r>
            <w:r>
              <w:rPr>
                <w:rFonts w:ascii="Arial" w:cs="Arial" w:eastAsia="Arial" w:hAnsi="Arial"/>
                <w:sz w:val="12"/>
                <w:szCs w:val="12"/>
                <w:b w:val="1"/>
                <w:bCs w:val="1"/>
                <w:color w:val="auto"/>
              </w:rPr>
              <w:t>th</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100%</w:t>
            </w:r>
          </w:p>
        </w:tc>
      </w:tr>
      <w:tr>
        <w:trPr>
          <w:trHeight w:val="277"/>
        </w:trPr>
        <w:tc>
          <w:tcPr>
            <w:tcW w:w="3960" w:type="dxa"/>
            <w:vAlign w:val="bottom"/>
            <w:tcBorders>
              <w:left w:val="single" w:sz="8" w:color="auto"/>
              <w:bottom w:val="single" w:sz="8" w:color="auto"/>
              <w:right w:val="single" w:sz="8" w:color="auto"/>
            </w:tcBorders>
          </w:tcPr>
          <w:p>
            <w:pPr>
              <w:ind w:left="680"/>
              <w:spacing w:after="0" w:line="276" w:lineRule="exact"/>
              <w:rPr>
                <w:sz w:val="20"/>
                <w:szCs w:val="20"/>
                <w:color w:val="auto"/>
              </w:rPr>
            </w:pPr>
            <w:r>
              <w:rPr>
                <w:rFonts w:ascii="Arial" w:cs="Arial" w:eastAsia="Arial" w:hAnsi="Arial"/>
                <w:sz w:val="32"/>
                <w:szCs w:val="32"/>
                <w:b w:val="1"/>
                <w:bCs w:val="1"/>
                <w:color w:val="auto"/>
                <w:vertAlign w:val="subscript"/>
              </w:rPr>
              <w:t>7</w:t>
            </w:r>
            <w:r>
              <w:rPr>
                <w:rFonts w:ascii="Arial" w:cs="Arial" w:eastAsia="Arial" w:hAnsi="Arial"/>
                <w:sz w:val="12"/>
                <w:szCs w:val="12"/>
                <w:b w:val="1"/>
                <w:bCs w:val="1"/>
                <w:color w:val="auto"/>
              </w:rPr>
              <w:t>th</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120%</w:t>
            </w:r>
          </w:p>
        </w:tc>
      </w:tr>
      <w:tr>
        <w:trPr>
          <w:trHeight w:val="277"/>
        </w:trPr>
        <w:tc>
          <w:tcPr>
            <w:tcW w:w="3960" w:type="dxa"/>
            <w:vAlign w:val="bottom"/>
            <w:tcBorders>
              <w:left w:val="single" w:sz="8" w:color="auto"/>
              <w:bottom w:val="single" w:sz="8" w:color="auto"/>
              <w:right w:val="single" w:sz="8" w:color="auto"/>
            </w:tcBorders>
          </w:tcPr>
          <w:p>
            <w:pPr>
              <w:ind w:left="680"/>
              <w:spacing w:after="0" w:line="276" w:lineRule="exact"/>
              <w:rPr>
                <w:sz w:val="20"/>
                <w:szCs w:val="20"/>
                <w:color w:val="auto"/>
              </w:rPr>
            </w:pPr>
            <w:r>
              <w:rPr>
                <w:rFonts w:ascii="Arial" w:cs="Arial" w:eastAsia="Arial" w:hAnsi="Arial"/>
                <w:sz w:val="32"/>
                <w:szCs w:val="32"/>
                <w:b w:val="1"/>
                <w:bCs w:val="1"/>
                <w:color w:val="auto"/>
                <w:vertAlign w:val="subscript"/>
              </w:rPr>
              <w:t>6</w:t>
            </w:r>
            <w:r>
              <w:rPr>
                <w:rFonts w:ascii="Arial" w:cs="Arial" w:eastAsia="Arial" w:hAnsi="Arial"/>
                <w:sz w:val="12"/>
                <w:szCs w:val="12"/>
                <w:b w:val="1"/>
                <w:bCs w:val="1"/>
                <w:color w:val="auto"/>
              </w:rPr>
              <w:t>th</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140%</w:t>
            </w:r>
          </w:p>
        </w:tc>
      </w:tr>
      <w:tr>
        <w:trPr>
          <w:trHeight w:val="277"/>
        </w:trPr>
        <w:tc>
          <w:tcPr>
            <w:tcW w:w="3960" w:type="dxa"/>
            <w:vAlign w:val="bottom"/>
            <w:tcBorders>
              <w:left w:val="single" w:sz="8" w:color="auto"/>
              <w:bottom w:val="single" w:sz="8" w:color="auto"/>
              <w:right w:val="single" w:sz="8" w:color="auto"/>
            </w:tcBorders>
          </w:tcPr>
          <w:p>
            <w:pPr>
              <w:ind w:left="680"/>
              <w:spacing w:after="0" w:line="276" w:lineRule="exact"/>
              <w:rPr>
                <w:sz w:val="20"/>
                <w:szCs w:val="20"/>
                <w:color w:val="auto"/>
              </w:rPr>
            </w:pPr>
            <w:r>
              <w:rPr>
                <w:rFonts w:ascii="Arial" w:cs="Arial" w:eastAsia="Arial" w:hAnsi="Arial"/>
                <w:sz w:val="32"/>
                <w:szCs w:val="32"/>
                <w:b w:val="1"/>
                <w:bCs w:val="1"/>
                <w:color w:val="auto"/>
                <w:vertAlign w:val="subscript"/>
              </w:rPr>
              <w:t>5</w:t>
            </w:r>
            <w:r>
              <w:rPr>
                <w:rFonts w:ascii="Arial" w:cs="Arial" w:eastAsia="Arial" w:hAnsi="Arial"/>
                <w:sz w:val="12"/>
                <w:szCs w:val="12"/>
                <w:b w:val="1"/>
                <w:bCs w:val="1"/>
                <w:color w:val="auto"/>
              </w:rPr>
              <w:t>th</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160%</w:t>
            </w:r>
          </w:p>
        </w:tc>
      </w:tr>
      <w:tr>
        <w:trPr>
          <w:trHeight w:val="277"/>
        </w:trPr>
        <w:tc>
          <w:tcPr>
            <w:tcW w:w="3960" w:type="dxa"/>
            <w:vAlign w:val="bottom"/>
            <w:tcBorders>
              <w:left w:val="single" w:sz="8" w:color="auto"/>
              <w:bottom w:val="single" w:sz="8" w:color="auto"/>
              <w:right w:val="single" w:sz="8" w:color="auto"/>
            </w:tcBorders>
          </w:tcPr>
          <w:p>
            <w:pPr>
              <w:ind w:left="680"/>
              <w:spacing w:after="0" w:line="276" w:lineRule="exact"/>
              <w:rPr>
                <w:sz w:val="20"/>
                <w:szCs w:val="20"/>
                <w:color w:val="auto"/>
              </w:rPr>
            </w:pPr>
            <w:r>
              <w:rPr>
                <w:rFonts w:ascii="Arial" w:cs="Arial" w:eastAsia="Arial" w:hAnsi="Arial"/>
                <w:sz w:val="32"/>
                <w:szCs w:val="32"/>
                <w:b w:val="1"/>
                <w:bCs w:val="1"/>
                <w:color w:val="auto"/>
                <w:vertAlign w:val="subscript"/>
              </w:rPr>
              <w:t>4</w:t>
            </w:r>
            <w:r>
              <w:rPr>
                <w:rFonts w:ascii="Arial" w:cs="Arial" w:eastAsia="Arial" w:hAnsi="Arial"/>
                <w:sz w:val="12"/>
                <w:szCs w:val="12"/>
                <w:b w:val="1"/>
                <w:bCs w:val="1"/>
                <w:color w:val="auto"/>
              </w:rPr>
              <w:t>th</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180%</w:t>
            </w:r>
          </w:p>
        </w:tc>
      </w:tr>
      <w:tr>
        <w:trPr>
          <w:trHeight w:val="277"/>
        </w:trPr>
        <w:tc>
          <w:tcPr>
            <w:tcW w:w="3960" w:type="dxa"/>
            <w:vAlign w:val="bottom"/>
            <w:tcBorders>
              <w:left w:val="single" w:sz="8" w:color="auto"/>
              <w:bottom w:val="single" w:sz="8" w:color="auto"/>
              <w:right w:val="single" w:sz="8" w:color="auto"/>
            </w:tcBorders>
          </w:tcPr>
          <w:p>
            <w:pPr>
              <w:ind w:left="680"/>
              <w:spacing w:after="0" w:line="277" w:lineRule="exact"/>
              <w:rPr>
                <w:sz w:val="20"/>
                <w:szCs w:val="20"/>
                <w:color w:val="auto"/>
              </w:rPr>
            </w:pPr>
            <w:r>
              <w:rPr>
                <w:rFonts w:ascii="Arial" w:cs="Arial" w:eastAsia="Arial" w:hAnsi="Arial"/>
                <w:sz w:val="20"/>
                <w:szCs w:val="20"/>
                <w:b w:val="1"/>
                <w:bCs w:val="1"/>
                <w:color w:val="auto"/>
              </w:rPr>
              <w:t>3</w:t>
            </w:r>
            <w:r>
              <w:rPr>
                <w:rFonts w:ascii="Arial" w:cs="Arial" w:eastAsia="Arial" w:hAnsi="Arial"/>
                <w:sz w:val="25"/>
                <w:szCs w:val="25"/>
                <w:b w:val="1"/>
                <w:bCs w:val="1"/>
                <w:color w:val="auto"/>
                <w:vertAlign w:val="superscript"/>
              </w:rPr>
              <w:t>rd</w:t>
            </w:r>
            <w:r>
              <w:rPr>
                <w:rFonts w:ascii="Arial" w:cs="Arial" w:eastAsia="Arial" w:hAnsi="Arial"/>
                <w:sz w:val="20"/>
                <w:szCs w:val="20"/>
                <w:b w:val="1"/>
                <w:bCs w:val="1"/>
                <w:color w:val="auto"/>
              </w:rPr>
              <w:t xml:space="preserve"> or Higher</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200%</w:t>
            </w:r>
          </w:p>
        </w:tc>
      </w:tr>
    </w:tbl>
    <w:p>
      <w:pPr>
        <w:spacing w:after="0" w:line="199"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However, if the TSR for the Company is negative for the Performance Period, the maximum payout achievable is 100% regardless of ranking amongst peer group.</w:t>
      </w:r>
    </w:p>
    <w:p>
      <w:pPr>
        <w:sectPr>
          <w:pgSz w:w="11900" w:h="16838" w:orient="portrait"/>
          <w:cols w:equalWidth="0" w:num="1">
            <w:col w:w="11440"/>
          </w:cols>
          <w:pgMar w:left="240" w:top="954" w:right="219" w:bottom="1440" w:gutter="0" w:footer="0" w:header="0"/>
        </w:sectPr>
      </w:pPr>
    </w:p>
    <w:bookmarkStart w:id="95" w:name="page96"/>
    <w:bookmarkEnd w:id="95"/>
    <w:p>
      <w:pPr>
        <w:jc w:val="center"/>
        <w:spacing w:after="0"/>
        <w:rPr>
          <w:sz w:val="20"/>
          <w:szCs w:val="20"/>
          <w:color w:val="auto"/>
        </w:rPr>
      </w:pPr>
      <w:r>
        <w:rPr>
          <w:rFonts w:ascii="Arial" w:cs="Arial" w:eastAsia="Arial" w:hAnsi="Arial"/>
          <w:sz w:val="20"/>
          <w:szCs w:val="20"/>
          <w:b w:val="1"/>
          <w:bCs w:val="1"/>
          <w:u w:val="single" w:color="auto"/>
          <w:color w:val="auto"/>
        </w:rPr>
        <w:t>SCHEDULE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TECHNIPFMC PLC INCENTIVE AWARD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PERFORMANCE STOCK UNIT AWARD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COUNTRY SCHEDULE</w:t>
      </w:r>
    </w:p>
    <w:p>
      <w:pPr>
        <w:spacing w:after="0" w:line="22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includes (i) additional terms and conditions applicable to all Participants providing services to the Company outside the United States, and (ii) additional terms applicable to Participants providing services to the Company in the countries identified below. These terms and conditions are in addition to those set forth in the Agreement, unless otherwise noted, and to the extent there are any inconsistencies between these terms and conditions and those set forth in the Agreement, these terms and conditions shall prevail. Any capitalized term used in this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without definition shall have the meaning ascribed to such term in the Plan or the Agreement, as applicable.</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Participants are advised to seek appropriate professional advice as to how the relevant exchange control and tax laws in the country of residence may apply to Awards.</w:t>
      </w:r>
    </w:p>
    <w:p>
      <w:pPr>
        <w:spacing w:after="0" w:line="164"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20"/>
          <w:szCs w:val="20"/>
          <w:b w:val="1"/>
          <w:bCs w:val="1"/>
          <w:color w:val="auto"/>
        </w:rPr>
        <w:t>GLOBAL PROVISIONS APPLICABLE TO PARTICIPANTS IN ALL COUNTRIES OTHER THAN THE UNITED STATES</w:t>
      </w:r>
    </w:p>
    <w:p>
      <w:pPr>
        <w:spacing w:after="0" w:line="242" w:lineRule="exact"/>
        <w:rPr>
          <w:rFonts w:ascii="Arial" w:cs="Arial" w:eastAsia="Arial" w:hAnsi="Arial"/>
          <w:sz w:val="18"/>
          <w:szCs w:val="18"/>
          <w:color w:val="auto"/>
        </w:rPr>
      </w:pPr>
    </w:p>
    <w:p>
      <w:pPr>
        <w:ind w:left="1440" w:hanging="784"/>
        <w:spacing w:after="0"/>
        <w:tabs>
          <w:tab w:leader="none" w:pos="1440" w:val="left"/>
        </w:tabs>
        <w:numPr>
          <w:ilvl w:val="1"/>
          <w:numId w:val="73"/>
        </w:numPr>
        <w:rPr>
          <w:rFonts w:ascii="Arial" w:cs="Arial" w:eastAsia="Arial" w:hAnsi="Arial"/>
          <w:sz w:val="15"/>
          <w:szCs w:val="15"/>
          <w:color w:val="auto"/>
        </w:rPr>
      </w:pPr>
      <w:r>
        <w:rPr>
          <w:rFonts w:ascii="Arial" w:cs="Arial" w:eastAsia="Arial" w:hAnsi="Arial"/>
          <w:sz w:val="16"/>
          <w:szCs w:val="16"/>
          <w:b w:val="1"/>
          <w:bCs w:val="1"/>
          <w:color w:val="auto"/>
        </w:rPr>
        <w:t>General Acknowledgements and Agreements</w:t>
      </w:r>
      <w:r>
        <w:rPr>
          <w:rFonts w:ascii="Arial" w:cs="Arial" w:eastAsia="Arial" w:hAnsi="Arial"/>
          <w:sz w:val="16"/>
          <w:szCs w:val="16"/>
          <w:color w:val="auto"/>
        </w:rPr>
        <w:t>: By acceptance of the Award, the Participant acknowledges and agrees that:</w:t>
      </w:r>
    </w:p>
    <w:p>
      <w:pPr>
        <w:spacing w:after="0" w:line="308" w:lineRule="exact"/>
        <w:rPr>
          <w:rFonts w:ascii="Arial" w:cs="Arial" w:eastAsia="Arial" w:hAnsi="Arial"/>
          <w:sz w:val="15"/>
          <w:szCs w:val="15"/>
          <w:color w:val="auto"/>
        </w:rPr>
      </w:pPr>
    </w:p>
    <w:p>
      <w:pPr>
        <w:jc w:val="both"/>
        <w:ind w:firstLine="1305"/>
        <w:spacing w:after="0" w:line="286" w:lineRule="auto"/>
        <w:tabs>
          <w:tab w:leader="none" w:pos="2144" w:val="left"/>
        </w:tabs>
        <w:numPr>
          <w:ilvl w:val="2"/>
          <w:numId w:val="73"/>
        </w:numPr>
        <w:rPr>
          <w:rFonts w:ascii="Arial" w:cs="Arial" w:eastAsia="Arial" w:hAnsi="Arial"/>
          <w:sz w:val="17"/>
          <w:szCs w:val="17"/>
          <w:color w:val="auto"/>
        </w:rPr>
      </w:pPr>
      <w:r>
        <w:rPr>
          <w:rFonts w:ascii="Arial" w:cs="Arial" w:eastAsia="Arial" w:hAnsi="Arial"/>
          <w:sz w:val="19"/>
          <w:szCs w:val="19"/>
          <w:u w:val="single" w:color="auto"/>
          <w:color w:val="auto"/>
        </w:rPr>
        <w:t>No Guarantee of Continued Service</w:t>
      </w:r>
      <w:r>
        <w:rPr>
          <w:rFonts w:ascii="Arial" w:cs="Arial" w:eastAsia="Arial" w:hAnsi="Arial"/>
          <w:sz w:val="19"/>
          <w:szCs w:val="19"/>
          <w:color w:val="auto"/>
        </w:rPr>
        <w:t>. THE VESTING OF THE PERFORMANCE SHARE UNITS PURSUANT TO THE VESTING SCHEDULE WILL OCCUR ONLY IF THE PARTICIPANT CONTINUES AS A DIRECTOR, CONSULTANT OR EMPLOYEE (AS APPLICABLE) OF THE COMPANY OR A SUBSIDIARY THROUGH THE APPLICABLE VESTING DATE. THE TRANSACTIONS CONTEMPLATED HEREUNDER AND THE VESTING SCHEDULE DO NOT CONSTITUTE AN EXPRESS OR IMPLIED PROMISE OF CONTINUED ENGAGEMENT AS A DIRECTOR, CONSULTANT OR EMPLOYEE FOR THE VESTING PERIOD, FOR ANY PERIOD, OR AT ALL, AND WILL NOT INTERFERE IN ANY WAY WITH THE RIGHT OF THE COMPANY OR ANY SUBSIDIARY TO EFFECT A TERMINATION OF SERVICES AT ANY TIME, WITH OR WITHOUT CAUSE, NOR SHALL IT BE CONSTRUED TO AMEND OR MODIFY THE TERMS OF ANY CONSULTANCY, DIRECTORSHIP, EMPLOYMENT OR OTHER SERVICE AGREEMENT BETWEEN A PARTICIPANT AND THE COMPANY OR ANY SUBSIDIARY.</w:t>
      </w:r>
    </w:p>
    <w:p>
      <w:pPr>
        <w:spacing w:after="0" w:line="195" w:lineRule="exact"/>
        <w:rPr>
          <w:rFonts w:ascii="Arial" w:cs="Arial" w:eastAsia="Arial" w:hAnsi="Arial"/>
          <w:sz w:val="17"/>
          <w:szCs w:val="17"/>
          <w:color w:val="auto"/>
        </w:rPr>
      </w:pPr>
    </w:p>
    <w:p>
      <w:pPr>
        <w:ind w:firstLine="1305"/>
        <w:spacing w:after="0" w:line="289" w:lineRule="auto"/>
        <w:tabs>
          <w:tab w:leader="none" w:pos="2155" w:val="left"/>
        </w:tabs>
        <w:numPr>
          <w:ilvl w:val="2"/>
          <w:numId w:val="73"/>
        </w:numPr>
        <w:rPr>
          <w:rFonts w:ascii="Arial" w:cs="Arial" w:eastAsia="Arial" w:hAnsi="Arial"/>
          <w:sz w:val="18"/>
          <w:szCs w:val="18"/>
          <w:color w:val="auto"/>
        </w:rPr>
      </w:pPr>
      <w:r>
        <w:rPr>
          <w:rFonts w:ascii="Arial" w:cs="Arial" w:eastAsia="Arial" w:hAnsi="Arial"/>
          <w:sz w:val="20"/>
          <w:szCs w:val="20"/>
          <w:color w:val="auto"/>
        </w:rPr>
        <w:t>The Plan is discretionary in nature and that, subject to the terms of the Plan, the Company can amend, cancel or terminate the Plan at any time.</w:t>
      </w:r>
    </w:p>
    <w:p>
      <w:pPr>
        <w:spacing w:after="0" w:line="188" w:lineRule="exact"/>
        <w:rPr>
          <w:rFonts w:ascii="Arial" w:cs="Arial" w:eastAsia="Arial" w:hAnsi="Arial"/>
          <w:sz w:val="18"/>
          <w:szCs w:val="18"/>
          <w:color w:val="auto"/>
        </w:rPr>
      </w:pPr>
    </w:p>
    <w:p>
      <w:pPr>
        <w:ind w:right="20" w:firstLine="1305"/>
        <w:spacing w:after="0" w:line="347" w:lineRule="auto"/>
        <w:tabs>
          <w:tab w:leader="none" w:pos="2144" w:val="left"/>
        </w:tabs>
        <w:numPr>
          <w:ilvl w:val="2"/>
          <w:numId w:val="73"/>
        </w:numPr>
        <w:rPr>
          <w:rFonts w:ascii="Arial" w:cs="Arial" w:eastAsia="Arial" w:hAnsi="Arial"/>
          <w:sz w:val="16"/>
          <w:szCs w:val="16"/>
          <w:color w:val="auto"/>
        </w:rPr>
      </w:pPr>
      <w:r>
        <w:rPr>
          <w:rFonts w:ascii="Arial" w:cs="Arial" w:eastAsia="Arial" w:hAnsi="Arial"/>
          <w:sz w:val="18"/>
          <w:szCs w:val="18"/>
          <w:color w:val="auto"/>
        </w:rPr>
        <w:t>The grant of the PSUs under the Plan is voluntary and occasional and does not give Participant any contractual or other right to receive PSUs or benefits in lieu of PSUs in the future, even if a Participant has have received PSUs repeatedly in the past.</w:t>
      </w:r>
    </w:p>
    <w:p>
      <w:pPr>
        <w:spacing w:after="0" w:line="144" w:lineRule="exact"/>
        <w:rPr>
          <w:rFonts w:ascii="Arial" w:cs="Arial" w:eastAsia="Arial" w:hAnsi="Arial"/>
          <w:sz w:val="16"/>
          <w:szCs w:val="16"/>
          <w:color w:val="auto"/>
        </w:rPr>
      </w:pPr>
    </w:p>
    <w:p>
      <w:pPr>
        <w:jc w:val="both"/>
        <w:ind w:firstLine="1305"/>
        <w:spacing w:after="0" w:line="278" w:lineRule="auto"/>
        <w:tabs>
          <w:tab w:leader="none" w:pos="2155" w:val="left"/>
        </w:tabs>
        <w:numPr>
          <w:ilvl w:val="2"/>
          <w:numId w:val="73"/>
        </w:numPr>
        <w:rPr>
          <w:rFonts w:ascii="Arial" w:cs="Arial" w:eastAsia="Arial" w:hAnsi="Arial"/>
          <w:sz w:val="18"/>
          <w:szCs w:val="18"/>
          <w:color w:val="auto"/>
        </w:rPr>
      </w:pPr>
      <w:r>
        <w:rPr>
          <w:rFonts w:ascii="Arial" w:cs="Arial" w:eastAsia="Arial" w:hAnsi="Arial"/>
          <w:sz w:val="20"/>
          <w:szCs w:val="20"/>
          <w:color w:val="auto"/>
        </w:rPr>
        <w:t>All determinations with respect to any future awards, including, but not limited to, the times when awards under the Plan shall be granted and the terms thereof, including the time or times when any PSUs may vest, will be at the sole discretion of the Administrator.</w:t>
      </w:r>
    </w:p>
    <w:p>
      <w:pPr>
        <w:spacing w:after="0" w:line="200" w:lineRule="exact"/>
        <w:rPr>
          <w:rFonts w:ascii="Arial" w:cs="Arial" w:eastAsia="Arial" w:hAnsi="Arial"/>
          <w:sz w:val="18"/>
          <w:szCs w:val="18"/>
          <w:color w:val="auto"/>
        </w:rPr>
      </w:pPr>
    </w:p>
    <w:p>
      <w:pPr>
        <w:ind w:left="2160" w:hanging="855"/>
        <w:spacing w:after="0"/>
        <w:tabs>
          <w:tab w:leader="none" w:pos="2160" w:val="left"/>
        </w:tabs>
        <w:numPr>
          <w:ilvl w:val="2"/>
          <w:numId w:val="73"/>
        </w:numPr>
        <w:rPr>
          <w:rFonts w:ascii="Arial" w:cs="Arial" w:eastAsia="Arial" w:hAnsi="Arial"/>
          <w:sz w:val="18"/>
          <w:szCs w:val="18"/>
          <w:color w:val="auto"/>
        </w:rPr>
      </w:pPr>
      <w:r>
        <w:rPr>
          <w:rFonts w:ascii="Arial" w:cs="Arial" w:eastAsia="Arial" w:hAnsi="Arial"/>
          <w:sz w:val="20"/>
          <w:szCs w:val="20"/>
          <w:color w:val="auto"/>
        </w:rPr>
        <w:t>Participation in the Plan is voluntary.</w:t>
      </w:r>
    </w:p>
    <w:p>
      <w:pPr>
        <w:spacing w:after="0" w:line="256" w:lineRule="exact"/>
        <w:rPr>
          <w:rFonts w:ascii="Arial" w:cs="Arial" w:eastAsia="Arial" w:hAnsi="Arial"/>
          <w:sz w:val="18"/>
          <w:szCs w:val="18"/>
          <w:color w:val="auto"/>
        </w:rPr>
      </w:pPr>
    </w:p>
    <w:p>
      <w:pPr>
        <w:ind w:right="20" w:firstLine="1305"/>
        <w:spacing w:after="0" w:line="289" w:lineRule="auto"/>
        <w:tabs>
          <w:tab w:leader="none" w:pos="2125" w:val="left"/>
        </w:tabs>
        <w:numPr>
          <w:ilvl w:val="2"/>
          <w:numId w:val="73"/>
        </w:numPr>
        <w:rPr>
          <w:rFonts w:ascii="Arial" w:cs="Arial" w:eastAsia="Arial" w:hAnsi="Arial"/>
          <w:sz w:val="18"/>
          <w:szCs w:val="18"/>
          <w:color w:val="auto"/>
        </w:rPr>
      </w:pPr>
      <w:r>
        <w:rPr>
          <w:rFonts w:ascii="Arial" w:cs="Arial" w:eastAsia="Arial" w:hAnsi="Arial"/>
          <w:sz w:val="20"/>
          <w:szCs w:val="20"/>
          <w:color w:val="auto"/>
        </w:rPr>
        <w:t>The value of the PSUs is an extraordinary item of compensation that is outside of the scope any directorship, consultancy or employment contract or relationship.</w:t>
      </w:r>
    </w:p>
    <w:p>
      <w:pPr>
        <w:sectPr>
          <w:pgSz w:w="11900" w:h="16838" w:orient="portrait"/>
          <w:cols w:equalWidth="0" w:num="1">
            <w:col w:w="11420"/>
          </w:cols>
          <w:pgMar w:left="240" w:top="576" w:right="239" w:bottom="1440" w:gutter="0" w:footer="0" w:header="0"/>
        </w:sectPr>
      </w:pPr>
    </w:p>
    <w:bookmarkStart w:id="96" w:name="page97"/>
    <w:bookmarkEnd w:id="96"/>
    <w:p>
      <w:pPr>
        <w:jc w:val="both"/>
        <w:ind w:firstLine="1305"/>
        <w:spacing w:after="0" w:line="278" w:lineRule="auto"/>
        <w:tabs>
          <w:tab w:leader="none" w:pos="2155" w:val="left"/>
        </w:tabs>
        <w:numPr>
          <w:ilvl w:val="0"/>
          <w:numId w:val="74"/>
        </w:numPr>
        <w:rPr>
          <w:rFonts w:ascii="Arial" w:cs="Arial" w:eastAsia="Arial" w:hAnsi="Arial"/>
          <w:sz w:val="18"/>
          <w:szCs w:val="18"/>
          <w:color w:val="auto"/>
        </w:rPr>
      </w:pPr>
      <w:r>
        <w:rPr>
          <w:rFonts w:ascii="Arial" w:cs="Arial" w:eastAsia="Arial" w:hAnsi="Arial"/>
          <w:sz w:val="20"/>
          <w:szCs w:val="20"/>
          <w:color w:val="auto"/>
        </w:rPr>
        <w:t>The PSUs are not part of normal or expected compensation or salary for any purpose, including, without limitation, calculating severance, resignation, redundancy, end of service payments, bonuses, long-service awards, pension or retirement benefits, or similar payments.</w:t>
      </w:r>
    </w:p>
    <w:p>
      <w:pPr>
        <w:spacing w:after="0" w:line="200" w:lineRule="exact"/>
        <w:rPr>
          <w:rFonts w:ascii="Arial" w:cs="Arial" w:eastAsia="Arial" w:hAnsi="Arial"/>
          <w:sz w:val="18"/>
          <w:szCs w:val="18"/>
          <w:color w:val="auto"/>
        </w:rPr>
      </w:pPr>
    </w:p>
    <w:p>
      <w:pPr>
        <w:ind w:right="20" w:firstLine="1305"/>
        <w:spacing w:after="0" w:line="289" w:lineRule="auto"/>
        <w:tabs>
          <w:tab w:leader="none" w:pos="2155" w:val="left"/>
        </w:tabs>
        <w:numPr>
          <w:ilvl w:val="0"/>
          <w:numId w:val="74"/>
        </w:numPr>
        <w:rPr>
          <w:rFonts w:ascii="Arial" w:cs="Arial" w:eastAsia="Arial" w:hAnsi="Arial"/>
          <w:sz w:val="18"/>
          <w:szCs w:val="18"/>
          <w:color w:val="auto"/>
        </w:rPr>
      </w:pPr>
      <w:r>
        <w:rPr>
          <w:rFonts w:ascii="Arial" w:cs="Arial" w:eastAsia="Arial" w:hAnsi="Arial"/>
          <w:sz w:val="20"/>
          <w:szCs w:val="20"/>
          <w:color w:val="auto"/>
        </w:rPr>
        <w:t>The PSUs shall expire, terminate and be forfeited upon Termination of Services for any reason, except as otherwise explicitly provided in this Agreement and/or the Plan.</w:t>
      </w:r>
    </w:p>
    <w:p>
      <w:pPr>
        <w:spacing w:after="0" w:line="188" w:lineRule="exact"/>
        <w:rPr>
          <w:rFonts w:ascii="Arial" w:cs="Arial" w:eastAsia="Arial" w:hAnsi="Arial"/>
          <w:sz w:val="18"/>
          <w:szCs w:val="18"/>
          <w:color w:val="auto"/>
        </w:rPr>
      </w:pPr>
    </w:p>
    <w:p>
      <w:pPr>
        <w:ind w:left="2120" w:hanging="815"/>
        <w:spacing w:after="0"/>
        <w:tabs>
          <w:tab w:leader="none" w:pos="2120" w:val="left"/>
        </w:tabs>
        <w:numPr>
          <w:ilvl w:val="0"/>
          <w:numId w:val="74"/>
        </w:numPr>
        <w:rPr>
          <w:rFonts w:ascii="Arial" w:cs="Arial" w:eastAsia="Arial" w:hAnsi="Arial"/>
          <w:sz w:val="15"/>
          <w:szCs w:val="15"/>
          <w:color w:val="auto"/>
        </w:rPr>
      </w:pPr>
      <w:r>
        <w:rPr>
          <w:rFonts w:ascii="Arial" w:cs="Arial" w:eastAsia="Arial" w:hAnsi="Arial"/>
          <w:sz w:val="16"/>
          <w:szCs w:val="16"/>
          <w:color w:val="auto"/>
        </w:rPr>
        <w:t>The future value of the Shares that may be issued upon vesting of the PSUs is unknown and cannot be predicted with</w:t>
      </w:r>
    </w:p>
    <w:p>
      <w:pPr>
        <w:spacing w:after="0" w:line="7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20"/>
          <w:szCs w:val="20"/>
          <w:color w:val="auto"/>
        </w:rPr>
        <w:t>any certainty.</w:t>
      </w:r>
    </w:p>
    <w:p>
      <w:pPr>
        <w:spacing w:after="0" w:line="256" w:lineRule="exact"/>
        <w:rPr>
          <w:rFonts w:ascii="Arial" w:cs="Arial" w:eastAsia="Arial" w:hAnsi="Arial"/>
          <w:sz w:val="15"/>
          <w:szCs w:val="15"/>
          <w:color w:val="auto"/>
        </w:rPr>
      </w:pPr>
    </w:p>
    <w:p>
      <w:pPr>
        <w:ind w:left="2120" w:hanging="815"/>
        <w:spacing w:after="0"/>
        <w:tabs>
          <w:tab w:leader="none" w:pos="2120" w:val="left"/>
        </w:tabs>
        <w:numPr>
          <w:ilvl w:val="0"/>
          <w:numId w:val="74"/>
        </w:numPr>
        <w:rPr>
          <w:rFonts w:ascii="Arial" w:cs="Arial" w:eastAsia="Arial" w:hAnsi="Arial"/>
          <w:sz w:val="16"/>
          <w:szCs w:val="16"/>
          <w:color w:val="auto"/>
        </w:rPr>
      </w:pPr>
      <w:r>
        <w:rPr>
          <w:rFonts w:ascii="Arial" w:cs="Arial" w:eastAsia="Arial" w:hAnsi="Arial"/>
          <w:sz w:val="18"/>
          <w:szCs w:val="18"/>
          <w:color w:val="auto"/>
        </w:rPr>
        <w:t>No claim or entitlement to compensation or damages arises from the expiration, termination or forfeiture of the PSUs</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or any portion thereof.</w:t>
      </w:r>
    </w:p>
    <w:p>
      <w:pPr>
        <w:spacing w:after="0" w:line="256" w:lineRule="exact"/>
        <w:rPr>
          <w:rFonts w:ascii="Arial" w:cs="Arial" w:eastAsia="Arial" w:hAnsi="Arial"/>
          <w:sz w:val="16"/>
          <w:szCs w:val="16"/>
          <w:color w:val="auto"/>
        </w:rPr>
      </w:pPr>
    </w:p>
    <w:p>
      <w:pPr>
        <w:jc w:val="both"/>
        <w:ind w:firstLine="1305"/>
        <w:spacing w:after="0" w:line="274" w:lineRule="auto"/>
        <w:tabs>
          <w:tab w:leader="none" w:pos="2155" w:val="left"/>
        </w:tabs>
        <w:numPr>
          <w:ilvl w:val="0"/>
          <w:numId w:val="74"/>
        </w:numPr>
        <w:rPr>
          <w:rFonts w:ascii="Arial" w:cs="Arial" w:eastAsia="Arial" w:hAnsi="Arial"/>
          <w:sz w:val="18"/>
          <w:szCs w:val="18"/>
          <w:color w:val="auto"/>
        </w:rPr>
      </w:pPr>
      <w:r>
        <w:rPr>
          <w:rFonts w:ascii="Arial" w:cs="Arial" w:eastAsia="Arial" w:hAnsi="Arial"/>
          <w:sz w:val="20"/>
          <w:szCs w:val="20"/>
          <w:color w:val="auto"/>
        </w:rPr>
        <w:t>Neither the Company nor any Subsidiary has provided, nor will they provide, any Participant with specific tax, legal or financial advice with respect to the PSUs, the Shares issuable upon vesting of PSUs, this Agreement or the Plan. Neither the Company nor any Subsidiary is making, nor have they made any recommendations relating to participation in the Plan, the receipt of the PSUs or the acquisition or sale of Shares upon receipt of PSUs.</w:t>
      </w:r>
    </w:p>
    <w:p>
      <w:pPr>
        <w:spacing w:after="0" w:line="205" w:lineRule="exact"/>
        <w:rPr>
          <w:rFonts w:ascii="Arial" w:cs="Arial" w:eastAsia="Arial" w:hAnsi="Arial"/>
          <w:sz w:val="18"/>
          <w:szCs w:val="18"/>
          <w:color w:val="auto"/>
        </w:rPr>
      </w:pPr>
    </w:p>
    <w:p>
      <w:pPr>
        <w:jc w:val="both"/>
        <w:ind w:firstLine="1305"/>
        <w:spacing w:after="0" w:line="278" w:lineRule="auto"/>
        <w:tabs>
          <w:tab w:leader="none" w:pos="2115" w:val="left"/>
        </w:tabs>
        <w:numPr>
          <w:ilvl w:val="0"/>
          <w:numId w:val="74"/>
        </w:numPr>
        <w:rPr>
          <w:rFonts w:ascii="Arial" w:cs="Arial" w:eastAsia="Arial" w:hAnsi="Arial"/>
          <w:sz w:val="18"/>
          <w:szCs w:val="18"/>
          <w:color w:val="auto"/>
        </w:rPr>
      </w:pPr>
      <w:r>
        <w:rPr>
          <w:rFonts w:ascii="Arial" w:cs="Arial" w:eastAsia="Arial" w:hAnsi="Arial"/>
          <w:sz w:val="20"/>
          <w:szCs w:val="20"/>
          <w:color w:val="auto"/>
        </w:rPr>
        <w:t>The Participant shall bear any and all risk associated with the exchange of currency and the fluctuation of currency exchange rates in connection with this Award, including without limitation in connection with the sale of any Shares issued upon settlement of the PSUs.</w:t>
      </w:r>
    </w:p>
    <w:p>
      <w:pPr>
        <w:spacing w:after="0" w:line="200" w:lineRule="exact"/>
        <w:rPr>
          <w:rFonts w:ascii="Arial" w:cs="Arial" w:eastAsia="Arial" w:hAnsi="Arial"/>
          <w:sz w:val="18"/>
          <w:szCs w:val="18"/>
          <w:color w:val="auto"/>
        </w:rPr>
      </w:pPr>
    </w:p>
    <w:p>
      <w:pPr>
        <w:jc w:val="both"/>
        <w:ind w:firstLine="1305"/>
        <w:spacing w:after="0" w:line="278" w:lineRule="auto"/>
        <w:tabs>
          <w:tab w:leader="none" w:pos="2205" w:val="left"/>
        </w:tabs>
        <w:numPr>
          <w:ilvl w:val="0"/>
          <w:numId w:val="74"/>
        </w:numPr>
        <w:rPr>
          <w:rFonts w:ascii="Arial" w:cs="Arial" w:eastAsia="Arial" w:hAnsi="Arial"/>
          <w:sz w:val="18"/>
          <w:szCs w:val="18"/>
          <w:color w:val="auto"/>
        </w:rPr>
      </w:pPr>
      <w:r>
        <w:rPr>
          <w:rFonts w:ascii="Arial" w:cs="Arial" w:eastAsia="Arial" w:hAnsi="Arial"/>
          <w:sz w:val="20"/>
          <w:szCs w:val="20"/>
          <w:color w:val="auto"/>
        </w:rPr>
        <w:t>It shall be the Participant’s responsibility to comply with any and all exchange control requirements applicable to the PSUs and the sale of Shares issued upon settlement of the PSUs and any resulting funds including, without limitation, reporting or repatriation requirements.</w:t>
      </w:r>
    </w:p>
    <w:p>
      <w:pPr>
        <w:spacing w:after="0" w:line="200" w:lineRule="exact"/>
        <w:rPr>
          <w:rFonts w:ascii="Arial" w:cs="Arial" w:eastAsia="Arial" w:hAnsi="Arial"/>
          <w:sz w:val="18"/>
          <w:szCs w:val="18"/>
          <w:color w:val="auto"/>
        </w:rPr>
      </w:pPr>
    </w:p>
    <w:p>
      <w:pPr>
        <w:jc w:val="both"/>
        <w:ind w:firstLine="1305"/>
        <w:spacing w:after="0" w:line="322" w:lineRule="auto"/>
        <w:tabs>
          <w:tab w:leader="none" w:pos="2155" w:val="left"/>
        </w:tabs>
        <w:numPr>
          <w:ilvl w:val="0"/>
          <w:numId w:val="74"/>
        </w:numPr>
        <w:rPr>
          <w:rFonts w:ascii="Arial" w:cs="Arial" w:eastAsia="Arial" w:hAnsi="Arial"/>
          <w:sz w:val="16"/>
          <w:szCs w:val="16"/>
          <w:color w:val="auto"/>
        </w:rPr>
      </w:pPr>
      <w:r>
        <w:rPr>
          <w:rFonts w:ascii="Arial" w:cs="Arial" w:eastAsia="Arial" w:hAnsi="Arial"/>
          <w:sz w:val="18"/>
          <w:szCs w:val="18"/>
          <w:color w:val="auto"/>
        </w:rPr>
        <w:t>The Participant shall be responsible for legal compliance requirements relating to the PSUs or the ownership and possible sale of any Shares issued upon settlement of the PSUs, including, but not limited to, tax reporting, the exchange of U.S. dollars into or from local currency, the transfer of funds to or from the United States, and the opening and use of a U.S. brokerage account.</w:t>
      </w:r>
    </w:p>
    <w:p>
      <w:pPr>
        <w:spacing w:after="0" w:line="166" w:lineRule="exact"/>
        <w:rPr>
          <w:rFonts w:ascii="Arial" w:cs="Arial" w:eastAsia="Arial" w:hAnsi="Arial"/>
          <w:sz w:val="16"/>
          <w:szCs w:val="16"/>
          <w:color w:val="auto"/>
        </w:rPr>
      </w:pPr>
    </w:p>
    <w:p>
      <w:pPr>
        <w:jc w:val="both"/>
        <w:ind w:firstLine="1305"/>
        <w:spacing w:after="0" w:line="273" w:lineRule="auto"/>
        <w:tabs>
          <w:tab w:leader="none" w:pos="2155" w:val="left"/>
        </w:tabs>
        <w:numPr>
          <w:ilvl w:val="0"/>
          <w:numId w:val="74"/>
        </w:numPr>
        <w:rPr>
          <w:rFonts w:ascii="Arial" w:cs="Arial" w:eastAsia="Arial" w:hAnsi="Arial"/>
          <w:sz w:val="18"/>
          <w:szCs w:val="18"/>
          <w:color w:val="auto"/>
        </w:rPr>
      </w:pPr>
      <w:r>
        <w:rPr>
          <w:rFonts w:ascii="Arial" w:cs="Arial" w:eastAsia="Arial" w:hAnsi="Arial"/>
          <w:sz w:val="20"/>
          <w:szCs w:val="20"/>
          <w:color w:val="auto"/>
        </w:rPr>
        <w:t>If this Agreement, the Plan, any website or any other document related to the PSUs is translated into a language other than English, and if the translated version is different from the English version, the English language version will take precedence. By acceptance of the PSUs, the Participant confirms having read and understood the documents relating to the Plan and the PSUs, including, without limitation, this Agreement, which were provided in English, and waives any requirement for the Company to provide these documents in any other language.</w:t>
      </w:r>
    </w:p>
    <w:p>
      <w:pPr>
        <w:spacing w:after="0" w:line="204" w:lineRule="exact"/>
        <w:rPr>
          <w:rFonts w:ascii="Arial" w:cs="Arial" w:eastAsia="Arial" w:hAnsi="Arial"/>
          <w:sz w:val="18"/>
          <w:szCs w:val="18"/>
          <w:color w:val="auto"/>
        </w:rPr>
      </w:pPr>
    </w:p>
    <w:p>
      <w:pPr>
        <w:jc w:val="both"/>
        <w:ind w:firstLine="1305"/>
        <w:spacing w:after="0" w:line="273" w:lineRule="auto"/>
        <w:tabs>
          <w:tab w:leader="none" w:pos="2155" w:val="left"/>
        </w:tabs>
        <w:numPr>
          <w:ilvl w:val="0"/>
          <w:numId w:val="74"/>
        </w:numPr>
        <w:rPr>
          <w:rFonts w:ascii="Arial" w:cs="Arial" w:eastAsia="Arial" w:hAnsi="Arial"/>
          <w:sz w:val="18"/>
          <w:szCs w:val="18"/>
          <w:color w:val="auto"/>
        </w:rPr>
      </w:pPr>
      <w:r>
        <w:rPr>
          <w:rFonts w:ascii="Arial" w:cs="Arial" w:eastAsia="Arial" w:hAnsi="Arial"/>
          <w:sz w:val="20"/>
          <w:szCs w:val="20"/>
          <w:color w:val="auto"/>
        </w:rPr>
        <w:t>The Participant’s right to vest in the PSUs will terminate effective as of the date that is the earlier of (1) the effective date of the Participant’s Termination of Services (whether or not in breach of local labor laws), or (2) the date he/she is no longer actively providing services, regardless of any notice period or period of pay in lieu of such notice required under applicable laws (including, but not limited to statutory law, regulatory law and/or common law); the Company shall have the exclusive discretion to determine when the Participant is no longer actively providing services for purposes of the PSUs.</w:t>
      </w:r>
    </w:p>
    <w:p>
      <w:pPr>
        <w:spacing w:after="0" w:line="204" w:lineRule="exact"/>
        <w:rPr>
          <w:rFonts w:ascii="Arial" w:cs="Arial" w:eastAsia="Arial" w:hAnsi="Arial"/>
          <w:sz w:val="18"/>
          <w:szCs w:val="18"/>
          <w:color w:val="auto"/>
        </w:rPr>
      </w:pPr>
    </w:p>
    <w:p>
      <w:pPr>
        <w:ind w:firstLine="1305"/>
        <w:spacing w:after="0" w:line="289" w:lineRule="auto"/>
        <w:tabs>
          <w:tab w:leader="none" w:pos="2155" w:val="left"/>
        </w:tabs>
        <w:numPr>
          <w:ilvl w:val="0"/>
          <w:numId w:val="74"/>
        </w:numPr>
        <w:rPr>
          <w:rFonts w:ascii="Arial" w:cs="Arial" w:eastAsia="Arial" w:hAnsi="Arial"/>
          <w:sz w:val="18"/>
          <w:szCs w:val="18"/>
          <w:color w:val="auto"/>
        </w:rPr>
      </w:pPr>
      <w:r>
        <w:rPr>
          <w:rFonts w:ascii="Arial" w:cs="Arial" w:eastAsia="Arial" w:hAnsi="Arial"/>
          <w:sz w:val="20"/>
          <w:szCs w:val="20"/>
          <w:color w:val="auto"/>
        </w:rPr>
        <w:t xml:space="preserve">To the extent the Participant is providing services in a country identified in Section II of this </w:t>
      </w:r>
      <w:r>
        <w:rPr>
          <w:rFonts w:ascii="Arial" w:cs="Arial" w:eastAsia="Arial" w:hAnsi="Arial"/>
          <w:sz w:val="20"/>
          <w:szCs w:val="20"/>
          <w:u w:val="single" w:color="auto"/>
          <w:color w:val="auto"/>
        </w:rPr>
        <w:t>Schedule A</w:t>
      </w:r>
      <w:r>
        <w:rPr>
          <w:rFonts w:ascii="Arial" w:cs="Arial" w:eastAsia="Arial" w:hAnsi="Arial"/>
          <w:sz w:val="20"/>
          <w:szCs w:val="20"/>
          <w:color w:val="auto"/>
        </w:rPr>
        <w:t>, such Participant understands and agrees that the provisions for such country apply and are incorporated into the Agreement.</w:t>
      </w:r>
    </w:p>
    <w:p>
      <w:pPr>
        <w:sectPr>
          <w:pgSz w:w="11900" w:h="16838" w:orient="portrait"/>
          <w:cols w:equalWidth="0" w:num="1">
            <w:col w:w="11420"/>
          </w:cols>
          <w:pgMar w:left="240" w:top="825" w:right="239" w:bottom="1440" w:gutter="0" w:footer="0" w:header="0"/>
        </w:sectPr>
      </w:pPr>
    </w:p>
    <w:bookmarkStart w:id="97" w:name="page98"/>
    <w:bookmarkEnd w:id="97"/>
    <w:p>
      <w:pPr>
        <w:jc w:val="both"/>
        <w:ind w:firstLine="656"/>
        <w:spacing w:after="0" w:line="274" w:lineRule="auto"/>
        <w:tabs>
          <w:tab w:leader="none" w:pos="1431" w:val="left"/>
        </w:tabs>
        <w:numPr>
          <w:ilvl w:val="0"/>
          <w:numId w:val="75"/>
        </w:numPr>
        <w:rPr>
          <w:rFonts w:ascii="Arial" w:cs="Arial" w:eastAsia="Arial" w:hAnsi="Arial"/>
          <w:sz w:val="18"/>
          <w:szCs w:val="18"/>
          <w:color w:val="auto"/>
        </w:rPr>
      </w:pPr>
      <w:r>
        <w:rPr>
          <w:rFonts w:ascii="Arial" w:cs="Arial" w:eastAsia="Arial" w:hAnsi="Arial"/>
          <w:sz w:val="20"/>
          <w:szCs w:val="20"/>
          <w:b w:val="1"/>
          <w:bCs w:val="1"/>
          <w:color w:val="auto"/>
        </w:rPr>
        <w:t xml:space="preserve">Consent to Personal Data Processing and Transfer. </w:t>
      </w:r>
      <w:r>
        <w:rPr>
          <w:rFonts w:ascii="Arial" w:cs="Arial" w:eastAsia="Arial" w:hAnsi="Arial"/>
          <w:sz w:val="20"/>
          <w:szCs w:val="20"/>
          <w:color w:val="auto"/>
        </w:rPr>
        <w:t>The Company may hold, and by accepting the PSUs the Participant</w:t>
      </w:r>
      <w:r>
        <w:rPr>
          <w:rFonts w:ascii="Arial" w:cs="Arial" w:eastAsia="Arial" w:hAnsi="Arial"/>
          <w:sz w:val="20"/>
          <w:szCs w:val="20"/>
          <w:b w:val="1"/>
          <w:bCs w:val="1"/>
          <w:color w:val="auto"/>
        </w:rPr>
        <w:t xml:space="preserve"> </w:t>
      </w:r>
      <w:r>
        <w:rPr>
          <w:rFonts w:ascii="Arial" w:cs="Arial" w:eastAsia="Arial" w:hAnsi="Arial"/>
          <w:sz w:val="20"/>
          <w:szCs w:val="20"/>
          <w:color w:val="auto"/>
        </w:rPr>
        <w:t>consents to their holding, personal information, including the Participant’s name, home address, telephone number, date of birth, social security number or other Employee tax identification number, national identification number, passport number, employment history and status, salary, nationality, job title, and information about any equity compensation grants or Shares awarded, cancelled, purchased, vested, unvested or outstanding in the Participant’s favor (the “</w:t>
      </w:r>
      <w:r>
        <w:rPr>
          <w:rFonts w:ascii="Arial" w:cs="Arial" w:eastAsia="Arial" w:hAnsi="Arial"/>
          <w:sz w:val="20"/>
          <w:szCs w:val="20"/>
          <w:u w:val="single" w:color="auto"/>
          <w:color w:val="auto"/>
        </w:rPr>
        <w:t>Data</w:t>
      </w:r>
      <w:r>
        <w:rPr>
          <w:rFonts w:ascii="Arial" w:cs="Arial" w:eastAsia="Arial" w:hAnsi="Arial"/>
          <w:sz w:val="20"/>
          <w:szCs w:val="20"/>
          <w:color w:val="auto"/>
        </w:rPr>
        <w:t>”).</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uses the Data for the purpose of implementing, managing and administering the Plan and for compliance and financial reporting purposes (the “</w:t>
      </w:r>
      <w:r>
        <w:rPr>
          <w:rFonts w:ascii="Arial" w:cs="Arial" w:eastAsia="Arial" w:hAnsi="Arial"/>
          <w:sz w:val="20"/>
          <w:szCs w:val="20"/>
          <w:u w:val="single" w:color="auto"/>
          <w:color w:val="auto"/>
        </w:rPr>
        <w:t>Purpose</w:t>
      </w:r>
      <w:r>
        <w:rPr>
          <w:rFonts w:ascii="Arial" w:cs="Arial" w:eastAsia="Arial" w:hAnsi="Arial"/>
          <w:sz w:val="20"/>
          <w:szCs w:val="20"/>
          <w:color w:val="auto"/>
        </w:rPr>
        <w:t>”).</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may transfer, and by accepting the PSUs the Participant consents to any such transfer of, the Data to the Company’s Subsidiaries or to other entities to assist the Company in the Purpose. The Company may also make the Data available to public authorities where required by law or regulation. The third parties and public authorities may be located in the United States, the European Economic Area, or elsewhere, including in territories where data protection laws may not be as protective as in the Participant’s jurisdiction of residence.</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Participant may, at any time, review the Data, require any necessary amendments to it or withdraw the consents given herein in writing by contacting the Company through the Participant’s local human resources representative. In order to withdraw consent, the Participant must do so by writing to the Company’s Stock Administration Department, [____________________________], or sending an email to</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 If the Participant withdraws consent, the Company will not be able to administer this award. Accordingly, upon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withdrawal of such consent, this Award will be cancelled when such withdrawal is received.</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Participant agrees that the Company and third parties may process Data as described above and below, including transfer to and use in countries in which data protection laws may not be as protective as in jurisdiction of residence.</w:t>
      </w:r>
    </w:p>
    <w:p>
      <w:pPr>
        <w:spacing w:after="0" w:line="164" w:lineRule="exact"/>
        <w:rPr>
          <w:sz w:val="20"/>
          <w:szCs w:val="20"/>
          <w:color w:val="auto"/>
        </w:rPr>
      </w:pPr>
    </w:p>
    <w:p>
      <w:pPr>
        <w:ind w:left="660" w:hanging="652"/>
        <w:spacing w:after="0" w:line="26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20"/>
          <w:szCs w:val="20"/>
          <w:b w:val="1"/>
          <w:bCs w:val="1"/>
          <w:color w:val="auto"/>
        </w:rPr>
        <w:t>COUNTRY SPECIFIC PROVISIONS APPLICABLE TO PARTICIPANTS WHO PROVIDE SERVICES IN THE IDENTIFIED COUNTRIES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FRANCE</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France</w:t>
      </w:r>
      <w:r>
        <w:rPr>
          <w:rFonts w:ascii="Arial" w:cs="Arial" w:eastAsia="Arial" w:hAnsi="Arial"/>
          <w:sz w:val="20"/>
          <w:szCs w:val="20"/>
          <w:color w:val="auto"/>
        </w:rPr>
        <w:t xml:space="preserve"> provide additional definitions and conditions for the purpose of granting performance based Restricted Stock Units (the “PSUs”) which are intended to qualify for specific French personal income tax and social security treatment in France applicable to Shares granted for no consideration under Articles L. 225-197-1 to L. 225-197-6 of the French Commercial Code (</w:t>
      </w:r>
      <w:r>
        <w:rPr>
          <w:rFonts w:ascii="Arial" w:cs="Arial" w:eastAsia="Arial" w:hAnsi="Arial"/>
          <w:sz w:val="20"/>
          <w:szCs w:val="20"/>
          <w:i w:val="1"/>
          <w:iCs w:val="1"/>
          <w:color w:val="auto"/>
        </w:rPr>
        <w:t>Code de Commerce</w:t>
      </w:r>
      <w:r>
        <w:rPr>
          <w:rFonts w:ascii="Arial" w:cs="Arial" w:eastAsia="Arial" w:hAnsi="Arial"/>
          <w:sz w:val="20"/>
          <w:szCs w:val="20"/>
          <w:color w:val="auto"/>
        </w:rPr>
        <w:t>), for qualifying Employees and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who are resident in France for French tax purposes.</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 other provisions of the Plan and the Sub-Plan, PSUs granted under this Country Schedule France to Participants resident in France are subject to the additional following conditions:</w:t>
      </w:r>
    </w:p>
    <w:p>
      <w:pPr>
        <w:spacing w:after="0" w:line="190" w:lineRule="exact"/>
        <w:rPr>
          <w:sz w:val="20"/>
          <w:szCs w:val="20"/>
          <w:color w:val="auto"/>
        </w:rPr>
      </w:pPr>
    </w:p>
    <w:p>
      <w:pPr>
        <w:ind w:left="1440" w:hanging="784"/>
        <w:spacing w:after="0"/>
        <w:tabs>
          <w:tab w:leader="none" w:pos="1440" w:val="left"/>
        </w:tabs>
        <w:numPr>
          <w:ilvl w:val="0"/>
          <w:numId w:val="77"/>
        </w:numPr>
        <w:rPr>
          <w:rFonts w:ascii="Arial" w:cs="Arial" w:eastAsia="Arial" w:hAnsi="Arial"/>
          <w:sz w:val="16"/>
          <w:szCs w:val="16"/>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Prior to the Vesting Date, the Participant will not be entitled to receive Dividend Equivalents on the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PSUs.</w:t>
      </w:r>
    </w:p>
    <w:p>
      <w:pPr>
        <w:spacing w:after="0" w:line="256" w:lineRule="exact"/>
        <w:rPr>
          <w:sz w:val="20"/>
          <w:szCs w:val="20"/>
          <w:color w:val="auto"/>
        </w:rPr>
      </w:pPr>
    </w:p>
    <w:p>
      <w:pPr>
        <w:jc w:val="both"/>
        <w:ind w:firstLine="656"/>
        <w:spacing w:after="0" w:line="274" w:lineRule="auto"/>
        <w:tabs>
          <w:tab w:leader="none" w:pos="1431" w:val="left"/>
        </w:tabs>
        <w:numPr>
          <w:ilvl w:val="0"/>
          <w:numId w:val="78"/>
        </w:numPr>
        <w:rPr>
          <w:rFonts w:ascii="Arial" w:cs="Arial" w:eastAsia="Arial" w:hAnsi="Arial"/>
          <w:sz w:val="18"/>
          <w:szCs w:val="18"/>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Section 3 of the Agreement, in the event of a corporate transaction or a Change in Control as set forth in Section 2.11 of the Plan, adjustments to the terms and conditions of the PSUs or underlying Shares may be made only in accordance with the Plan and the Agreement, in which case the PSUs may no longer qualify for specific French personal income tax and social security treatment.</w:t>
      </w:r>
    </w:p>
    <w:p>
      <w:pPr>
        <w:sectPr>
          <w:pgSz w:w="11900" w:h="16838" w:orient="portrait"/>
          <w:cols w:equalWidth="0" w:num="1">
            <w:col w:w="11420"/>
          </w:cols>
          <w:pgMar w:left="240" w:top="589" w:right="239" w:bottom="1440" w:gutter="0" w:footer="0" w:header="0"/>
        </w:sectPr>
      </w:pPr>
    </w:p>
    <w:bookmarkStart w:id="98" w:name="page99"/>
    <w:bookmarkEnd w:id="98"/>
    <w:p>
      <w:pPr>
        <w:jc w:val="both"/>
        <w:ind w:firstLine="656"/>
        <w:spacing w:after="0" w:line="274" w:lineRule="auto"/>
        <w:tabs>
          <w:tab w:leader="none" w:pos="1431" w:val="left"/>
        </w:tabs>
        <w:numPr>
          <w:ilvl w:val="0"/>
          <w:numId w:val="79"/>
        </w:numPr>
        <w:rPr>
          <w:rFonts w:ascii="Arial" w:cs="Arial" w:eastAsia="Arial" w:hAnsi="Arial"/>
          <w:sz w:val="18"/>
          <w:szCs w:val="18"/>
          <w:color w:val="auto"/>
        </w:rPr>
      </w:pPr>
      <w:r>
        <w:rPr>
          <w:rFonts w:ascii="Arial" w:cs="Arial" w:eastAsia="Arial" w:hAnsi="Arial"/>
          <w:sz w:val="20"/>
          <w:szCs w:val="20"/>
          <w:u w:val="single" w:color="auto"/>
          <w:color w:val="auto"/>
        </w:rPr>
        <w:t>Privacy</w:t>
      </w:r>
      <w:r>
        <w:rPr>
          <w:rFonts w:ascii="Arial" w:cs="Arial" w:eastAsia="Arial" w:hAnsi="Arial"/>
          <w:sz w:val="20"/>
          <w:szCs w:val="20"/>
          <w:color w:val="auto"/>
        </w:rPr>
        <w:t>. The Company may hold and collect personal information, including the Participant’s name, home address, telephone number, date of birth, Employee tax identification number, employment history and status, salary, nationality, job title, and information about any equity compensation grants or Shares awarded, cancelled, purchased, vested, unvested or outstanding in the Participant’s favor (the “</w:t>
      </w:r>
      <w:r>
        <w:rPr>
          <w:rFonts w:ascii="Arial" w:cs="Arial" w:eastAsia="Arial" w:hAnsi="Arial"/>
          <w:sz w:val="20"/>
          <w:szCs w:val="20"/>
          <w:u w:val="single" w:color="auto"/>
          <w:color w:val="auto"/>
        </w:rPr>
        <w:t>Data</w:t>
      </w:r>
      <w:r>
        <w:rPr>
          <w:rFonts w:ascii="Arial" w:cs="Arial" w:eastAsia="Arial" w:hAnsi="Arial"/>
          <w:sz w:val="20"/>
          <w:szCs w:val="20"/>
          <w:color w:val="auto"/>
        </w:rPr>
        <w:t>”).</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processing of the Data by the Company is necessary for the performance of the Agreement and is carried out for the purpose of implementing, managing and administering the Plan. The processing of the Data by the Company is also necessary for compliance and financial reporting purposes so as to allow the Company to comply with legal obligations in this respect, or to pursue legitimate interests.</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Company may transfer the Data to the Company’s Subsidiaries or to other entities to assist the Company in the purposes mentioned above. The Company may also make the Data available to public authorities where required by law or regulation. The third parties and public authorities may be located in the United States, the European Economic Area, or elsewhere, including in territories where data protection laws may not be as protective as in the Participant’s jurisdiction of residence. Such transfer outside of the European Economic Area is necessary for the performance of the Agreement. Participant may request a list with the names and addresses of all recipients of the Data by contacting his or her local human resources representative.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Data will be held only as long as is necessary to implement, administer and manage Participant’s participation in the Plan.</w:t>
      </w:r>
    </w:p>
    <w:p>
      <w:pPr>
        <w:spacing w:after="0" w:line="2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Participant may, at any time, review the Data, and/or require any necessary amendments to it by contacting the Company through the Participant’s local human resources representative. Participant may also issue directives for the purposes of deciding what should happen to his or her Data after his or her death.</w:t>
      </w:r>
    </w:p>
    <w:p>
      <w:pPr>
        <w:spacing w:after="0" w:line="200" w:lineRule="exact"/>
        <w:rPr>
          <w:sz w:val="20"/>
          <w:szCs w:val="20"/>
          <w:color w:val="auto"/>
        </w:rPr>
      </w:pPr>
    </w:p>
    <w:p>
      <w:pPr>
        <w:ind w:left="1440" w:hanging="784"/>
        <w:spacing w:after="0"/>
        <w:tabs>
          <w:tab w:leader="none" w:pos="1440" w:val="left"/>
        </w:tabs>
        <w:numPr>
          <w:ilvl w:val="0"/>
          <w:numId w:val="80"/>
        </w:numPr>
        <w:rPr>
          <w:rFonts w:ascii="Arial" w:cs="Arial" w:eastAsia="Arial" w:hAnsi="Arial"/>
          <w:sz w:val="18"/>
          <w:szCs w:val="18"/>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all purposes of this Agreement and the Plan the following defined terms shall apply:</w:t>
      </w:r>
    </w:p>
    <w:p>
      <w:pPr>
        <w:spacing w:after="0" w:line="245" w:lineRule="exact"/>
        <w:rPr>
          <w:rFonts w:ascii="Arial" w:cs="Arial" w:eastAsia="Arial" w:hAnsi="Arial"/>
          <w:sz w:val="18"/>
          <w:szCs w:val="18"/>
          <w:color w:val="auto"/>
        </w:rPr>
      </w:pPr>
    </w:p>
    <w:p>
      <w:pPr>
        <w:ind w:firstLine="1305"/>
        <w:spacing w:after="0"/>
        <w:tabs>
          <w:tab w:leader="none" w:pos="2144" w:val="left"/>
        </w:tabs>
        <w:numPr>
          <w:ilvl w:val="1"/>
          <w:numId w:val="8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Participant’s inability corresponding to the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or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category among the categories set forth in Article L. 341-4 of the French Social Security Code.</w:t>
      </w:r>
    </w:p>
    <w:p>
      <w:pPr>
        <w:spacing w:after="0" w:line="236" w:lineRule="exact"/>
        <w:rPr>
          <w:rFonts w:ascii="Arial" w:cs="Arial" w:eastAsia="Arial" w:hAnsi="Arial"/>
          <w:sz w:val="18"/>
          <w:szCs w:val="18"/>
          <w:color w:val="auto"/>
        </w:rPr>
      </w:pPr>
    </w:p>
    <w:p>
      <w:pPr>
        <w:jc w:val="both"/>
        <w:ind w:firstLine="1305"/>
        <w:spacing w:after="0" w:line="274" w:lineRule="auto"/>
        <w:tabs>
          <w:tab w:leader="none" w:pos="2155" w:val="left"/>
        </w:tabs>
        <w:numPr>
          <w:ilvl w:val="1"/>
          <w:numId w:val="8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for an Employee, termination for alleged economic reasons for dismissal as defined by French law (</w:t>
      </w:r>
      <w:r>
        <w:rPr>
          <w:rFonts w:ascii="Arial" w:cs="Arial" w:eastAsia="Arial" w:hAnsi="Arial"/>
          <w:sz w:val="20"/>
          <w:szCs w:val="20"/>
          <w:i w:val="1"/>
          <w:iCs w:val="1"/>
          <w:color w:val="auto"/>
        </w:rPr>
        <w:t>motif économique de licenciement</w:t>
      </w:r>
      <w:r>
        <w:rPr>
          <w:rFonts w:ascii="Arial" w:cs="Arial" w:eastAsia="Arial" w:hAnsi="Arial"/>
          <w:sz w:val="20"/>
          <w:szCs w:val="20"/>
          <w:color w:val="auto"/>
        </w:rPr>
        <w:t>). For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xml:space="preserve">), the definition of “Good Reason” shall be the same as that set forth in the Agreement, adapted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to a corporate officer, subject to the condition that the occurrence of the item or items listed therein result from a shareholder decision.</w:t>
      </w:r>
    </w:p>
    <w:p>
      <w:pPr>
        <w:spacing w:after="0" w:line="205" w:lineRule="exact"/>
        <w:rPr>
          <w:rFonts w:ascii="Arial" w:cs="Arial" w:eastAsia="Arial" w:hAnsi="Arial"/>
          <w:sz w:val="18"/>
          <w:szCs w:val="18"/>
          <w:color w:val="auto"/>
        </w:rPr>
      </w:pPr>
    </w:p>
    <w:p>
      <w:pPr>
        <w:jc w:val="both"/>
        <w:ind w:firstLine="1305"/>
        <w:spacing w:after="0" w:line="278" w:lineRule="auto"/>
        <w:tabs>
          <w:tab w:leader="none" w:pos="2164" w:val="left"/>
        </w:tabs>
        <w:numPr>
          <w:ilvl w:val="1"/>
          <w:numId w:val="8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means termination of the Participant’s employment contract and/or corporate officer position, by either party, at a time the Participant is entitled to benefit from full pension rights (</w:t>
      </w:r>
      <w:r>
        <w:rPr>
          <w:rFonts w:ascii="Arial" w:cs="Arial" w:eastAsia="Arial" w:hAnsi="Arial"/>
          <w:sz w:val="20"/>
          <w:szCs w:val="20"/>
          <w:i w:val="1"/>
          <w:iCs w:val="1"/>
          <w:color w:val="auto"/>
        </w:rPr>
        <w:t>retaite taux plein</w:t>
      </w:r>
      <w:r>
        <w:rPr>
          <w:rFonts w:ascii="Arial" w:cs="Arial" w:eastAsia="Arial" w:hAnsi="Arial"/>
          <w:sz w:val="20"/>
          <w:szCs w:val="20"/>
          <w:color w:val="auto"/>
        </w:rPr>
        <w:t>) [or by he Company without Cause, regardless of the Participant's age].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NORWAY</w:t>
      </w:r>
    </w:p>
    <w:p>
      <w:pPr>
        <w:spacing w:after="0" w:line="229"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Country Schedule for Norway</w:t>
      </w:r>
      <w:r>
        <w:rPr>
          <w:rFonts w:ascii="Arial" w:cs="Arial" w:eastAsia="Arial" w:hAnsi="Arial"/>
          <w:sz w:val="18"/>
          <w:szCs w:val="18"/>
          <w:color w:val="auto"/>
        </w:rPr>
        <w:t xml:space="preserve"> provide additional definitions and conditions for the purpose of granting PSUs which are intended to be granted to Employees and corporate officers who are resident in Norway for tax, labour or securities law purposes.</w:t>
      </w:r>
    </w:p>
    <w:p>
      <w:pPr>
        <w:spacing w:after="0" w:line="1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Acknowledgment of Nature of Plan and PSUs</w:t>
      </w:r>
      <w:r>
        <w:rPr>
          <w:rFonts w:ascii="Arial" w:cs="Arial" w:eastAsia="Arial" w:hAnsi="Arial"/>
          <w:sz w:val="20"/>
          <w:szCs w:val="20"/>
          <w:color w:val="auto"/>
        </w:rPr>
        <w:t xml:space="preserve"> . In accepting this Agreement, the Participant acknowledges that, in the event of termination of the Participant’s employment (whether or not in breach of local labor laws), the Participant’s rights to vest the PSUs under the Plan, if any, will terminate effective</w:t>
      </w:r>
    </w:p>
    <w:p>
      <w:pPr>
        <w:sectPr>
          <w:pgSz w:w="11900" w:h="16838" w:orient="portrait"/>
          <w:cols w:equalWidth="0" w:num="1">
            <w:col w:w="11420"/>
          </w:cols>
          <w:pgMar w:left="240" w:top="595" w:right="239" w:bottom="1440" w:gutter="0" w:footer="0" w:header="0"/>
        </w:sectPr>
      </w:pPr>
    </w:p>
    <w:bookmarkStart w:id="99" w:name="page100"/>
    <w:bookmarkEnd w:id="99"/>
    <w:p>
      <w:pPr>
        <w:jc w:val="both"/>
        <w:spacing w:after="0" w:line="246" w:lineRule="auto"/>
        <w:rPr>
          <w:sz w:val="20"/>
          <w:szCs w:val="20"/>
          <w:color w:val="auto"/>
        </w:rPr>
      </w:pPr>
      <w:r>
        <w:rPr>
          <w:rFonts w:ascii="Arial" w:cs="Arial" w:eastAsia="Arial" w:hAnsi="Arial"/>
          <w:sz w:val="20"/>
          <w:szCs w:val="20"/>
          <w:color w:val="auto"/>
        </w:rPr>
        <w:t>as of the date that the Participant is no longer actively employed and will not be extended by any notice period mandated under applicable local laws (e.g., active employment would not include a period of “garden leave” or similar period pursuant to applicable local laws); the Administrator shall have the exclusive discretion to determine when the Participant is no longer actively employed for purposes of Participant’s PSUs.</w:t>
      </w:r>
    </w:p>
    <w:p>
      <w:pPr>
        <w:spacing w:after="0" w:line="186" w:lineRule="exact"/>
        <w:rPr>
          <w:sz w:val="20"/>
          <w:szCs w:val="20"/>
          <w:color w:val="auto"/>
        </w:rPr>
      </w:pPr>
    </w:p>
    <w:p>
      <w:pPr>
        <w:jc w:val="center"/>
        <w:ind w:left="660"/>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Agreement together with these UK specific terms form the rules of the employee share scheme applicable to the United Kingdom based Employees of the Company and any Subsidiaries. All Awards granted to Employees of the Company or any Subsidiaries who are based in the United Kingdom will be granted on similar terms. This Agreement incorporates the terms of the Plan with the exception that in the United Kingdom only Employees of the Company or any Subsidiaries are eligible to be granted PSUs. Other Eligible Individuals who are not Employees are not eligible to receive PSUs in the United Kingdom.</w:t>
      </w:r>
    </w:p>
    <w:p>
      <w:pPr>
        <w:spacing w:after="0" w:line="208" w:lineRule="exact"/>
        <w:rPr>
          <w:sz w:val="20"/>
          <w:szCs w:val="20"/>
          <w:color w:val="auto"/>
        </w:rPr>
      </w:pPr>
    </w:p>
    <w:p>
      <w:pPr>
        <w:jc w:val="both"/>
        <w:ind w:firstLine="656"/>
        <w:spacing w:after="0" w:line="297" w:lineRule="auto"/>
        <w:tabs>
          <w:tab w:leader="none" w:pos="1431" w:val="left"/>
        </w:tabs>
        <w:numPr>
          <w:ilvl w:val="1"/>
          <w:numId w:val="81"/>
        </w:numPr>
        <w:rPr>
          <w:rFonts w:ascii="Arial" w:cs="Arial" w:eastAsia="Arial" w:hAnsi="Arial"/>
          <w:sz w:val="16"/>
          <w:szCs w:val="16"/>
          <w:color w:val="auto"/>
        </w:rPr>
      </w:pPr>
      <w:r>
        <w:rPr>
          <w:rFonts w:ascii="Arial" w:cs="Arial" w:eastAsia="Arial" w:hAnsi="Arial"/>
          <w:sz w:val="18"/>
          <w:szCs w:val="18"/>
          <w:u w:val="single" w:color="auto"/>
          <w:color w:val="auto"/>
        </w:rPr>
        <w:t>Tax Indemnity</w:t>
      </w:r>
      <w:r>
        <w:rPr>
          <w:rFonts w:ascii="Arial" w:cs="Arial" w:eastAsia="Arial" w:hAnsi="Arial"/>
          <w:sz w:val="18"/>
          <w:szCs w:val="18"/>
          <w:color w:val="auto"/>
        </w:rPr>
        <w:t>. Participant agrees to indemnify and keep indemnified the Company, any Subsidiary, any Parent and his/her Employer if different, from and against any liability for or obligation to pay any Tax Liability (a “</w:t>
      </w:r>
      <w:r>
        <w:rPr>
          <w:rFonts w:ascii="Arial" w:cs="Arial" w:eastAsia="Arial" w:hAnsi="Arial"/>
          <w:sz w:val="18"/>
          <w:szCs w:val="18"/>
          <w:u w:val="single" w:color="auto"/>
          <w:color w:val="auto"/>
        </w:rPr>
        <w:t>Tax Liability</w:t>
      </w:r>
      <w:r>
        <w:rPr>
          <w:rFonts w:ascii="Arial" w:cs="Arial" w:eastAsia="Arial" w:hAnsi="Arial"/>
          <w:sz w:val="18"/>
          <w:szCs w:val="18"/>
          <w:color w:val="auto"/>
        </w:rPr>
        <w:t>” being any liability for income tax, employee’s National Insurance contributions and (at the discretion of the Company) employer’s National Insurance Contributions (or other similar obligations to pay tax and social security wherever in the world arising) that is attributable to (1) the grant and/or vesting of the PSUs;</w:t>
      </w:r>
    </w:p>
    <w:p>
      <w:pPr>
        <w:spacing w:after="0" w:line="1" w:lineRule="exact"/>
        <w:rPr>
          <w:rFonts w:ascii="Arial" w:cs="Arial" w:eastAsia="Arial" w:hAnsi="Arial"/>
          <w:sz w:val="16"/>
          <w:szCs w:val="16"/>
          <w:color w:val="auto"/>
        </w:rPr>
      </w:pPr>
    </w:p>
    <w:p>
      <w:pPr>
        <w:ind w:right="20" w:firstLine="8"/>
        <w:spacing w:after="0" w:line="289" w:lineRule="auto"/>
        <w:tabs>
          <w:tab w:leader="none" w:pos="283"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acquisition by Participant of the Shares (3) [any or all of the restrictions that apply to any of the Shares ceasing to apply to the Shares or otherwise being varied], or (4) the disposal of any Shares (each of those events referred to as a “Taxable Event”).</w:t>
      </w:r>
    </w:p>
    <w:p>
      <w:pPr>
        <w:spacing w:after="0" w:line="188" w:lineRule="exact"/>
        <w:rPr>
          <w:rFonts w:ascii="Arial" w:cs="Arial" w:eastAsia="Arial" w:hAnsi="Arial"/>
          <w:sz w:val="20"/>
          <w:szCs w:val="20"/>
          <w:color w:val="auto"/>
        </w:rPr>
      </w:pPr>
    </w:p>
    <w:p>
      <w:pPr>
        <w:jc w:val="both"/>
        <w:ind w:firstLine="656"/>
        <w:spacing w:after="0" w:line="274" w:lineRule="auto"/>
        <w:tabs>
          <w:tab w:leader="none" w:pos="1431" w:val="left"/>
        </w:tabs>
        <w:numPr>
          <w:ilvl w:val="1"/>
          <w:numId w:val="82"/>
        </w:numPr>
        <w:rPr>
          <w:rFonts w:ascii="Arial" w:cs="Arial" w:eastAsia="Arial" w:hAnsi="Arial"/>
          <w:sz w:val="18"/>
          <w:szCs w:val="18"/>
          <w:color w:val="auto"/>
        </w:rPr>
      </w:pPr>
      <w:r>
        <w:rPr>
          <w:rFonts w:ascii="Arial" w:cs="Arial" w:eastAsia="Arial" w:hAnsi="Arial"/>
          <w:sz w:val="20"/>
          <w:szCs w:val="20"/>
          <w:u w:val="single" w:color="auto"/>
          <w:color w:val="auto"/>
        </w:rPr>
        <w:t>Tax Liability.</w:t>
      </w:r>
      <w:r>
        <w:rPr>
          <w:rFonts w:ascii="Arial" w:cs="Arial" w:eastAsia="Arial" w:hAnsi="Arial"/>
          <w:sz w:val="20"/>
          <w:szCs w:val="20"/>
          <w:color w:val="auto"/>
        </w:rPr>
        <w:t xml:space="preserve"> The PSUs will not vest or be acquired by Participant until Participant has made such arrangements as the Company may require for the satisfaction of any Tax Liability that may arise in connection with the grant or vesting of PSUs and/or the acquisition of the Shares by the Participant. The Company shall not be required to issue, allot or transfer Shares until Participant has satisfied this obligation.</w:t>
      </w:r>
    </w:p>
    <w:p>
      <w:pPr>
        <w:spacing w:after="0" w:line="205" w:lineRule="exact"/>
        <w:rPr>
          <w:rFonts w:ascii="Arial" w:cs="Arial" w:eastAsia="Arial" w:hAnsi="Arial"/>
          <w:sz w:val="18"/>
          <w:szCs w:val="18"/>
          <w:color w:val="auto"/>
        </w:rPr>
      </w:pPr>
    </w:p>
    <w:p>
      <w:pPr>
        <w:jc w:val="both"/>
        <w:ind w:firstLine="656"/>
        <w:spacing w:after="0" w:line="293" w:lineRule="auto"/>
        <w:tabs>
          <w:tab w:leader="none" w:pos="1431" w:val="left"/>
        </w:tabs>
        <w:numPr>
          <w:ilvl w:val="1"/>
          <w:numId w:val="82"/>
        </w:numPr>
        <w:rPr>
          <w:rFonts w:ascii="Arial" w:cs="Arial" w:eastAsia="Arial" w:hAnsi="Arial"/>
          <w:sz w:val="17"/>
          <w:szCs w:val="17"/>
          <w:color w:val="auto"/>
        </w:rPr>
      </w:pPr>
      <w:r>
        <w:rPr>
          <w:rFonts w:ascii="Arial" w:cs="Arial" w:eastAsia="Arial" w:hAnsi="Arial"/>
          <w:sz w:val="19"/>
          <w:szCs w:val="19"/>
          <w:u w:val="single" w:color="auto"/>
          <w:color w:val="auto"/>
        </w:rPr>
        <w:t>Election.</w:t>
      </w:r>
      <w:r>
        <w:rPr>
          <w:rFonts w:ascii="Arial" w:cs="Arial" w:eastAsia="Arial" w:hAnsi="Arial"/>
          <w:sz w:val="19"/>
          <w:szCs w:val="19"/>
          <w:color w:val="auto"/>
        </w:rPr>
        <w:t xml:space="preserve"> Participant undertakes that, upon request by the Company, he/she will (on or within 14 days of acquiring the Shares) join with his/her Employer in electing, pursuant to Section 431(1) of the Income Tax (Earnings and Pensions) Act 2003 (“</w:t>
      </w:r>
      <w:r>
        <w:rPr>
          <w:rFonts w:ascii="Arial" w:cs="Arial" w:eastAsia="Arial" w:hAnsi="Arial"/>
          <w:sz w:val="19"/>
          <w:szCs w:val="19"/>
          <w:u w:val="single" w:color="auto"/>
          <w:color w:val="auto"/>
        </w:rPr>
        <w:t>ITEPA</w:t>
      </w:r>
      <w:r>
        <w:rPr>
          <w:rFonts w:ascii="Arial" w:cs="Arial" w:eastAsia="Arial" w:hAnsi="Arial"/>
          <w:sz w:val="19"/>
          <w:szCs w:val="19"/>
          <w:color w:val="auto"/>
        </w:rPr>
        <w:t>”) that, for relevant tax purposes, the market value of the Shares acquired on vesting of the PSUs on any occasion will be calculated as if the Shares were not restricted and Sections 425 to 430 (inclusive) of ITEPA are not to apply to such Shares.</w:t>
      </w:r>
    </w:p>
    <w:p>
      <w:pPr>
        <w:spacing w:after="0" w:line="189" w:lineRule="exact"/>
        <w:rPr>
          <w:rFonts w:ascii="Arial" w:cs="Arial" w:eastAsia="Arial" w:hAnsi="Arial"/>
          <w:sz w:val="17"/>
          <w:szCs w:val="17"/>
          <w:color w:val="auto"/>
        </w:rPr>
      </w:pPr>
    </w:p>
    <w:p>
      <w:pPr>
        <w:jc w:val="both"/>
        <w:ind w:firstLine="656"/>
        <w:spacing w:after="0" w:line="270" w:lineRule="auto"/>
        <w:tabs>
          <w:tab w:leader="none" w:pos="1431" w:val="left"/>
        </w:tabs>
        <w:numPr>
          <w:ilvl w:val="1"/>
          <w:numId w:val="82"/>
        </w:numPr>
        <w:rPr>
          <w:rFonts w:ascii="Arial" w:cs="Arial" w:eastAsia="Arial" w:hAnsi="Arial"/>
          <w:sz w:val="18"/>
          <w:szCs w:val="18"/>
          <w:color w:val="auto"/>
        </w:rPr>
      </w:pPr>
      <w:r>
        <w:rPr>
          <w:rFonts w:ascii="Arial" w:cs="Arial" w:eastAsia="Arial" w:hAnsi="Arial"/>
          <w:sz w:val="20"/>
          <w:szCs w:val="20"/>
          <w:u w:val="single" w:color="auto"/>
          <w:color w:val="auto"/>
        </w:rPr>
        <w:t>Loan.</w:t>
      </w:r>
      <w:r>
        <w:rPr>
          <w:rFonts w:ascii="Arial" w:cs="Arial" w:eastAsia="Arial" w:hAnsi="Arial"/>
          <w:sz w:val="20"/>
          <w:szCs w:val="20"/>
          <w:color w:val="auto"/>
        </w:rPr>
        <w:t xml:space="preserve"> Participant agrees that if Participant does not pay or his/her Employer or the Company does not withhold from Participant the full amount of any Tax Liability within 90 days after the end of the tax year in which the Taxable Event occurred, or such other period specified in Section 222(1)(c) of ITPEA, then the amount that should have been withheld shall constitute a loan owed by Participant to the Employer, effective 90 days after the end of the tax year in which the Taxable Event occurred. Participant agrees that the loan will bear interest at the HMRC’s official rate and will be immediately due and repayable by Participant, and the Company and/or the Employer may recover it at any time thereafter by: (i) withholding the funds from salary, bonus or any other funds due to Participant by the Employer; (ii) withholding in Shares issued upon vesting of the PSUs or from the cash proceeds from the sale of Shares; or (iii) demanding cash or a cheque from Participant. Participant also authorizes the Company to delay the issuance of any Shares to Participant unless and until the loan is repaid in full.</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the foregoing, if Participant is an officer or executive director (as within the meaning of Section 13(k) of the U.S. Securities and Exchange Act of 1934, as amended), the terms of the immediately foregoing provision will not apply. In the event that Participant is an officer or executive</w:t>
      </w:r>
    </w:p>
    <w:p>
      <w:pPr>
        <w:sectPr>
          <w:pgSz w:w="11900" w:h="16838" w:orient="portrait"/>
          <w:cols w:equalWidth="0" w:num="1">
            <w:col w:w="11420"/>
          </w:cols>
          <w:pgMar w:left="240" w:top="582" w:right="239" w:bottom="1440" w:gutter="0" w:footer="0" w:header="0"/>
        </w:sectPr>
      </w:pPr>
    </w:p>
    <w:bookmarkStart w:id="100" w:name="page101"/>
    <w:bookmarkEnd w:id="100"/>
    <w:p>
      <w:pPr>
        <w:jc w:val="both"/>
        <w:spacing w:after="0" w:line="246" w:lineRule="auto"/>
        <w:rPr>
          <w:sz w:val="20"/>
          <w:szCs w:val="20"/>
          <w:color w:val="auto"/>
        </w:rPr>
      </w:pPr>
      <w:r>
        <w:rPr>
          <w:rFonts w:ascii="Arial" w:cs="Arial" w:eastAsia="Arial" w:hAnsi="Arial"/>
          <w:sz w:val="20"/>
          <w:szCs w:val="20"/>
          <w:color w:val="auto"/>
        </w:rPr>
        <w:t>director and the Tax Liability is not collected from or paid by Participant within 90 days of the end of the tax year in which the Taxable Event occurred, the amount of any uncollected Tax Liability may constitute a benefit to Participant on which additional income tax and national insurance contributions may be payable. Participant acknowledges that the Company or the Employer may recover any such additional income tax and national insurance contributions at any time thereafter.</w:t>
      </w:r>
    </w:p>
    <w:p>
      <w:pPr>
        <w:spacing w:after="0" w:line="205" w:lineRule="exact"/>
        <w:rPr>
          <w:sz w:val="20"/>
          <w:szCs w:val="20"/>
          <w:color w:val="auto"/>
        </w:rPr>
      </w:pPr>
    </w:p>
    <w:p>
      <w:pPr>
        <w:jc w:val="both"/>
        <w:ind w:firstLine="656"/>
        <w:spacing w:after="0" w:line="310" w:lineRule="auto"/>
        <w:tabs>
          <w:tab w:leader="none" w:pos="1431" w:val="left"/>
        </w:tabs>
        <w:numPr>
          <w:ilvl w:val="0"/>
          <w:numId w:val="83"/>
        </w:numPr>
        <w:rPr>
          <w:rFonts w:ascii="Arial" w:cs="Arial" w:eastAsia="Arial" w:hAnsi="Arial"/>
          <w:sz w:val="16"/>
          <w:szCs w:val="16"/>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Participant acknowledges that neither this UK Agreement nor the Plan has been issued, nor has it been approved by, an authorised person within the meaning of the Financial Services and Markets Act 2000 of the United Kingdom and is being directed at the Participant because the offer to which this UK Agreement and the Plan relate has been determined as having regard to the Participant’s circumstances as an Employee of the Company or one of its Subsidiaries. This UK Agreement is strictly confidential and is not for distribution to, and may not be acted upon by, any other person other than the person to whom it has been specifically addressed.</w:t>
      </w:r>
    </w:p>
    <w:p>
      <w:pPr>
        <w:spacing w:after="0" w:line="175" w:lineRule="exact"/>
        <w:rPr>
          <w:rFonts w:ascii="Arial" w:cs="Arial" w:eastAsia="Arial" w:hAnsi="Arial"/>
          <w:sz w:val="16"/>
          <w:szCs w:val="16"/>
          <w:color w:val="auto"/>
        </w:rPr>
      </w:pPr>
    </w:p>
    <w:p>
      <w:pPr>
        <w:ind w:left="1460" w:hanging="804"/>
        <w:spacing w:after="0"/>
        <w:tabs>
          <w:tab w:leader="none" w:pos="14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For the purposes of this Agreement and the Plan, the following defined term applies:</w:t>
      </w:r>
    </w:p>
    <w:p>
      <w:pPr>
        <w:spacing w:after="0" w:line="256" w:lineRule="exact"/>
        <w:rPr>
          <w:rFonts w:ascii="Arial" w:cs="Arial" w:eastAsia="Arial" w:hAnsi="Arial"/>
          <w:sz w:val="20"/>
          <w:szCs w:val="20"/>
          <w:color w:val="auto"/>
        </w:rPr>
      </w:pPr>
    </w:p>
    <w:p>
      <w:pPr>
        <w:ind w:firstLine="1297"/>
        <w:spacing w:after="0" w:line="316" w:lineRule="auto"/>
        <w:rPr>
          <w:rFonts w:ascii="Arial" w:cs="Arial" w:eastAsia="Arial" w:hAnsi="Arial"/>
          <w:sz w:val="20"/>
          <w:szCs w:val="20"/>
          <w:color w:val="auto"/>
        </w:rPr>
      </w:pPr>
      <w:r>
        <w:rPr>
          <w:rFonts w:ascii="Arial" w:cs="Arial" w:eastAsia="Arial" w:hAnsi="Arial"/>
          <w:sz w:val="18"/>
          <w:szCs w:val="18"/>
          <w:color w:val="auto"/>
        </w:rPr>
        <w:t xml:space="preserve">a. </w:t>
      </w:r>
      <w:r>
        <w:rPr>
          <w:rFonts w:ascii="Arial" w:cs="Arial" w:eastAsia="Arial" w:hAnsi="Arial"/>
          <w:sz w:val="19"/>
          <w:szCs w:val="19"/>
          <w:color w:val="auto"/>
        </w:rPr>
        <w:t>“Retirement” means the termination of the Participant’s employment at the age when he or she becomes eligible to</w:t>
      </w:r>
      <w:r>
        <w:rPr>
          <w:rFonts w:ascii="Arial" w:cs="Arial" w:eastAsia="Arial" w:hAnsi="Arial"/>
          <w:sz w:val="18"/>
          <w:szCs w:val="18"/>
          <w:color w:val="auto"/>
        </w:rPr>
        <w:t xml:space="preserve"> </w:t>
      </w:r>
      <w:r>
        <w:rPr>
          <w:rFonts w:ascii="Arial" w:cs="Arial" w:eastAsia="Arial" w:hAnsi="Arial"/>
          <w:sz w:val="19"/>
          <w:szCs w:val="19"/>
          <w:color w:val="auto"/>
        </w:rPr>
        <w:t>receive a state pension in the UK [or by the Company without Cause, regardless of the Participant's age].</w:t>
      </w:r>
    </w:p>
    <w:p>
      <w:pPr>
        <w:sectPr>
          <w:pgSz w:w="11900" w:h="16838" w:orient="portrait"/>
          <w:cols w:equalWidth="0" w:num="1">
            <w:col w:w="11420"/>
          </w:cols>
          <w:pgMar w:left="240" w:top="582" w:right="239" w:bottom="1440" w:gutter="0" w:footer="0" w:header="0"/>
        </w:sectPr>
      </w:pPr>
    </w:p>
    <w:bookmarkStart w:id="101" w:name="page102"/>
    <w:bookmarkEnd w:id="101"/>
    <w:p>
      <w:pPr>
        <w:jc w:val="center"/>
        <w:ind w:right="640"/>
        <w:spacing w:after="0"/>
        <w:rPr>
          <w:sz w:val="20"/>
          <w:szCs w:val="20"/>
          <w:color w:val="auto"/>
        </w:rPr>
      </w:pPr>
      <w:r>
        <w:rPr>
          <w:rFonts w:ascii="Arial" w:cs="Arial" w:eastAsia="Arial" w:hAnsi="Arial"/>
          <w:sz w:val="20"/>
          <w:szCs w:val="20"/>
          <w:b w:val="1"/>
          <w:bCs w:val="1"/>
          <w:color w:val="auto"/>
        </w:rPr>
        <w:t>NONQUALIFIED STOCK OPTION AGREEMENT</w:t>
      </w:r>
    </w:p>
    <w:p>
      <w:pPr>
        <w:spacing w:after="0" w:line="108"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PURSUANT TO THE</w:t>
      </w:r>
    </w:p>
    <w:p>
      <w:pPr>
        <w:spacing w:after="0" w:line="108"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TECHNIPFMC PLC INCENTIVE AWARD PLAN</w:t>
      </w:r>
    </w:p>
    <w:p>
      <w:pPr>
        <w:spacing w:after="0" w:line="1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Agreement is made as of [DATE] (the “</w:t>
      </w:r>
      <w:r>
        <w:rPr>
          <w:rFonts w:ascii="Arial" w:cs="Arial" w:eastAsia="Arial" w:hAnsi="Arial"/>
          <w:sz w:val="20"/>
          <w:szCs w:val="20"/>
          <w:u w:val="single" w:color="auto"/>
          <w:color w:val="auto"/>
        </w:rPr>
        <w:t>Grant Date</w:t>
      </w:r>
      <w:r>
        <w:rPr>
          <w:rFonts w:ascii="Arial" w:cs="Arial" w:eastAsia="Arial" w:hAnsi="Arial"/>
          <w:sz w:val="20"/>
          <w:szCs w:val="20"/>
          <w:color w:val="auto"/>
        </w:rPr>
        <w:t>”) by TechnipFMC plc, a public limited company incorporated under the laws of England and Wales (the “</w:t>
      </w:r>
      <w:r>
        <w:rPr>
          <w:rFonts w:ascii="Arial" w:cs="Arial" w:eastAsia="Arial" w:hAnsi="Arial"/>
          <w:sz w:val="20"/>
          <w:szCs w:val="20"/>
          <w:u w:val="single" w:color="auto"/>
          <w:color w:val="auto"/>
        </w:rPr>
        <w:t>Company</w:t>
      </w:r>
      <w:r>
        <w:rPr>
          <w:rFonts w:ascii="Arial" w:cs="Arial" w:eastAsia="Arial" w:hAnsi="Arial"/>
          <w:sz w:val="20"/>
          <w:szCs w:val="20"/>
          <w:color w:val="auto"/>
        </w:rPr>
        <w:t>”) and [NAME] (the “</w:t>
      </w:r>
      <w:r>
        <w:rPr>
          <w:rFonts w:ascii="Arial" w:cs="Arial" w:eastAsia="Arial" w:hAnsi="Arial"/>
          <w:sz w:val="20"/>
          <w:szCs w:val="20"/>
          <w:u w:val="single" w:color="auto"/>
          <w:color w:val="auto"/>
        </w:rPr>
        <w:t>Participant</w:t>
      </w:r>
      <w:r>
        <w:rPr>
          <w:rFonts w:ascii="Arial" w:cs="Arial" w:eastAsia="Arial" w:hAnsi="Arial"/>
          <w:sz w:val="20"/>
          <w:szCs w:val="20"/>
          <w:color w:val="auto"/>
        </w:rPr>
        <w:t>”).</w:t>
      </w:r>
    </w:p>
    <w:p>
      <w:pPr>
        <w:spacing w:after="0" w:line="6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TechnipFMC plc Incentive Award Plan (the “</w:t>
      </w:r>
      <w:r>
        <w:rPr>
          <w:rFonts w:ascii="Arial" w:cs="Arial" w:eastAsia="Arial" w:hAnsi="Arial"/>
          <w:sz w:val="18"/>
          <w:szCs w:val="18"/>
          <w:u w:val="single" w:color="auto"/>
          <w:color w:val="auto"/>
        </w:rPr>
        <w:t>Plan</w:t>
      </w:r>
      <w:r>
        <w:rPr>
          <w:rFonts w:ascii="Arial" w:cs="Arial" w:eastAsia="Arial" w:hAnsi="Arial"/>
          <w:sz w:val="18"/>
          <w:szCs w:val="18"/>
          <w:color w:val="auto"/>
        </w:rPr>
        <w:t>”), as it may be amended or restated from time to time, is incorporated by reference and made a part of this Agreement and will control the rights and obligations of the Company and the Participant under this Agreement. Except as otherwise expressly provided herein, all capitalized terms have the meanings provided in the Plan. To the extent there is a conflict between the Plan and this Agreement, the provisions of the Plan will prevail.</w:t>
      </w:r>
    </w:p>
    <w:p>
      <w:pPr>
        <w:spacing w:after="0" w:line="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The provisions of this Agreement are replaced, superseded and/or supplemented, as applicable, by the provisions of the Country Schedules applicable to the Participant as set forth in </w:t>
      </w:r>
      <w:r>
        <w:rPr>
          <w:rFonts w:ascii="Arial" w:cs="Arial" w:eastAsia="Arial" w:hAnsi="Arial"/>
          <w:sz w:val="20"/>
          <w:szCs w:val="20"/>
          <w:u w:val="single" w:color="auto"/>
          <w:color w:val="auto"/>
        </w:rPr>
        <w:t>Schedule A</w:t>
      </w:r>
      <w:r>
        <w:rPr>
          <w:rFonts w:ascii="Arial" w:cs="Arial" w:eastAsia="Arial" w:hAnsi="Arial"/>
          <w:sz w:val="20"/>
          <w:szCs w:val="20"/>
          <w:color w:val="auto"/>
        </w:rPr>
        <w:t>.</w:t>
      </w:r>
    </w:p>
    <w:p>
      <w:pPr>
        <w:spacing w:after="0" w:line="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Compensation Committee of the Board (the “</w:t>
      </w:r>
      <w:r>
        <w:rPr>
          <w:rFonts w:ascii="Arial" w:cs="Arial" w:eastAsia="Arial" w:hAnsi="Arial"/>
          <w:sz w:val="20"/>
          <w:szCs w:val="20"/>
          <w:u w:val="single" w:color="auto"/>
          <w:color w:val="auto"/>
        </w:rPr>
        <w:t>Committee</w:t>
      </w:r>
      <w:r>
        <w:rPr>
          <w:rFonts w:ascii="Arial" w:cs="Arial" w:eastAsia="Arial" w:hAnsi="Arial"/>
          <w:sz w:val="20"/>
          <w:szCs w:val="20"/>
          <w:color w:val="auto"/>
        </w:rPr>
        <w:t>”) determined that it would be to the competitive advantage and interest of the Company and its stockholders to grant a stock option to the Participant as an inducement to remain in the service of the Company or one of its affiliates (collectively, the “</w:t>
      </w:r>
      <w:r>
        <w:rPr>
          <w:rFonts w:ascii="Arial" w:cs="Arial" w:eastAsia="Arial" w:hAnsi="Arial"/>
          <w:sz w:val="20"/>
          <w:szCs w:val="20"/>
          <w:u w:val="single" w:color="auto"/>
          <w:color w:val="auto"/>
        </w:rPr>
        <w:t>Employer</w:t>
      </w:r>
      <w:r>
        <w:rPr>
          <w:rFonts w:ascii="Arial" w:cs="Arial" w:eastAsia="Arial" w:hAnsi="Arial"/>
          <w:sz w:val="20"/>
          <w:szCs w:val="20"/>
          <w:color w:val="auto"/>
        </w:rPr>
        <w:t>”).</w:t>
      </w:r>
    </w:p>
    <w:p>
      <w:pPr>
        <w:spacing w:after="0" w:line="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Committee, on behalf of the Company, grants to the Participant a nonqualified stock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an aggregate of [NUMBER OF SHARES GRANTED] ordinary shares of the Company (the “</w:t>
      </w:r>
      <w:r>
        <w:rPr>
          <w:rFonts w:ascii="Arial" w:cs="Arial" w:eastAsia="Arial" w:hAnsi="Arial"/>
          <w:sz w:val="18"/>
          <w:szCs w:val="18"/>
          <w:u w:val="single" w:color="auto"/>
          <w:color w:val="auto"/>
        </w:rPr>
        <w:t>Shares</w:t>
      </w:r>
      <w:r>
        <w:rPr>
          <w:rFonts w:ascii="Arial" w:cs="Arial" w:eastAsia="Arial" w:hAnsi="Arial"/>
          <w:sz w:val="18"/>
          <w:szCs w:val="18"/>
          <w:color w:val="auto"/>
        </w:rPr>
        <w:t>”) at a price equal to the closing price of the Shares on the New York Stock Exchange on the Grant Date, or $[ ] per share, upon the following terms and conditions:</w:t>
      </w:r>
    </w:p>
    <w:p>
      <w:pPr>
        <w:spacing w:after="0" w:line="57" w:lineRule="exact"/>
        <w:rPr>
          <w:sz w:val="20"/>
          <w:szCs w:val="20"/>
          <w:color w:val="auto"/>
        </w:rPr>
      </w:pPr>
    </w:p>
    <w:p>
      <w:pPr>
        <w:jc w:val="both"/>
        <w:ind w:firstLine="645"/>
        <w:spacing w:after="0" w:line="278" w:lineRule="auto"/>
        <w:tabs>
          <w:tab w:leader="none" w:pos="1431" w:val="left"/>
        </w:tabs>
        <w:numPr>
          <w:ilvl w:val="0"/>
          <w:numId w:val="84"/>
        </w:numPr>
        <w:rPr>
          <w:rFonts w:ascii="Arial" w:cs="Arial" w:eastAsia="Arial" w:hAnsi="Arial"/>
          <w:sz w:val="18"/>
          <w:szCs w:val="18"/>
          <w:color w:val="auto"/>
        </w:rPr>
      </w:pPr>
      <w:r>
        <w:rPr>
          <w:rFonts w:ascii="Arial" w:cs="Arial" w:eastAsia="Arial" w:hAnsi="Arial"/>
          <w:sz w:val="20"/>
          <w:szCs w:val="20"/>
          <w:u w:val="single" w:color="auto"/>
          <w:color w:val="auto"/>
        </w:rPr>
        <w:t>Vesting of Option</w:t>
      </w:r>
      <w:r>
        <w:rPr>
          <w:rFonts w:ascii="Arial" w:cs="Arial" w:eastAsia="Arial" w:hAnsi="Arial"/>
          <w:sz w:val="20"/>
          <w:szCs w:val="20"/>
          <w:color w:val="auto"/>
        </w:rPr>
        <w:t xml:space="preserve">. Subject to its termination as provided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below, and to the satisfaction of the requirements of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below, the Option is exercisable at any time or from time to time, in whole or in part, on or after the third anniversary of the Grant Date (the “</w:t>
      </w:r>
      <w:r>
        <w:rPr>
          <w:rFonts w:ascii="Arial" w:cs="Arial" w:eastAsia="Arial" w:hAnsi="Arial"/>
          <w:sz w:val="20"/>
          <w:szCs w:val="20"/>
          <w:u w:val="single" w:color="auto"/>
          <w:color w:val="auto"/>
        </w:rPr>
        <w:t>Vesting Date</w:t>
      </w:r>
      <w:r>
        <w:rPr>
          <w:rFonts w:ascii="Arial" w:cs="Arial" w:eastAsia="Arial" w:hAnsi="Arial"/>
          <w:sz w:val="20"/>
          <w:szCs w:val="20"/>
          <w:color w:val="auto"/>
        </w:rPr>
        <w:t>”).</w:t>
      </w:r>
    </w:p>
    <w:p>
      <w:pPr>
        <w:spacing w:after="0" w:line="78" w:lineRule="exact"/>
        <w:rPr>
          <w:rFonts w:ascii="Arial" w:cs="Arial" w:eastAsia="Arial" w:hAnsi="Arial"/>
          <w:sz w:val="18"/>
          <w:szCs w:val="18"/>
          <w:color w:val="auto"/>
        </w:rPr>
      </w:pPr>
    </w:p>
    <w:p>
      <w:pPr>
        <w:jc w:val="both"/>
        <w:ind w:firstLine="645"/>
        <w:spacing w:after="0" w:line="290" w:lineRule="auto"/>
        <w:tabs>
          <w:tab w:leader="none" w:pos="1431" w:val="left"/>
        </w:tabs>
        <w:numPr>
          <w:ilvl w:val="0"/>
          <w:numId w:val="84"/>
        </w:numPr>
        <w:rPr>
          <w:rFonts w:ascii="Arial" w:cs="Arial" w:eastAsia="Arial" w:hAnsi="Arial"/>
          <w:sz w:val="17"/>
          <w:szCs w:val="17"/>
          <w:color w:val="auto"/>
        </w:rPr>
      </w:pPr>
      <w:r>
        <w:rPr>
          <w:rFonts w:ascii="Arial" w:cs="Arial" w:eastAsia="Arial" w:hAnsi="Arial"/>
          <w:sz w:val="19"/>
          <w:szCs w:val="19"/>
          <w:u w:val="single" w:color="auto"/>
          <w:color w:val="auto"/>
        </w:rPr>
        <w:t>Death, Disability or Retirement</w:t>
      </w:r>
      <w:r>
        <w:rPr>
          <w:rFonts w:ascii="Arial" w:cs="Arial" w:eastAsia="Arial" w:hAnsi="Arial"/>
          <w:sz w:val="19"/>
          <w:szCs w:val="19"/>
          <w:color w:val="auto"/>
        </w:rPr>
        <w:t xml:space="preserve">. Notwithstanding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hereof, in the event of Participant’s death or Disability (as defined below) prior to the Vesting Date, the Option will fully vest and be immediately exercisable by the Participant or by the person or persons to whom the Participant’s rights under the Option pass by will or by the applicable laws of descent or distribution, in the event of the Participant’s death or Disability. In the event of Participant’s Retirement (as defined below) prior to the Vesting Date, the Participant will retain the right to exercise the Option in full on or after the Vesting Date.</w:t>
      </w:r>
    </w:p>
    <w:p>
      <w:pPr>
        <w:spacing w:after="0" w:line="71" w:lineRule="exact"/>
        <w:rPr>
          <w:rFonts w:ascii="Arial" w:cs="Arial" w:eastAsia="Arial" w:hAnsi="Arial"/>
          <w:sz w:val="17"/>
          <w:szCs w:val="17"/>
          <w:color w:val="auto"/>
        </w:rPr>
      </w:pPr>
    </w:p>
    <w:p>
      <w:pPr>
        <w:ind w:firstLine="645"/>
        <w:spacing w:after="0" w:line="289" w:lineRule="auto"/>
        <w:tabs>
          <w:tab w:leader="none" w:pos="1431" w:val="left"/>
        </w:tabs>
        <w:numPr>
          <w:ilvl w:val="0"/>
          <w:numId w:val="84"/>
        </w:numPr>
        <w:rPr>
          <w:rFonts w:ascii="Arial" w:cs="Arial" w:eastAsia="Arial" w:hAnsi="Arial"/>
          <w:sz w:val="18"/>
          <w:szCs w:val="18"/>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the foregoing, upon a Change in Control where the surviving corporation or any parent corporation thereof:</w:t>
      </w:r>
    </w:p>
    <w:p>
      <w:pPr>
        <w:spacing w:after="0" w:line="67" w:lineRule="exact"/>
        <w:rPr>
          <w:rFonts w:ascii="Arial" w:cs="Arial" w:eastAsia="Arial" w:hAnsi="Arial"/>
          <w:sz w:val="18"/>
          <w:szCs w:val="18"/>
          <w:color w:val="auto"/>
        </w:rPr>
      </w:pPr>
    </w:p>
    <w:p>
      <w:pPr>
        <w:jc w:val="both"/>
        <w:ind w:firstLine="1293"/>
        <w:spacing w:after="0" w:line="314" w:lineRule="auto"/>
        <w:tabs>
          <w:tab w:leader="none" w:pos="2144" w:val="left"/>
        </w:tabs>
        <w:numPr>
          <w:ilvl w:val="1"/>
          <w:numId w:val="84"/>
        </w:numPr>
        <w:rPr>
          <w:rFonts w:ascii="Arial" w:cs="Arial" w:eastAsia="Arial" w:hAnsi="Arial"/>
          <w:sz w:val="16"/>
          <w:szCs w:val="16"/>
          <w:color w:val="auto"/>
        </w:rPr>
      </w:pPr>
      <w:r>
        <w:rPr>
          <w:rFonts w:ascii="Arial" w:cs="Arial" w:eastAsia="Arial" w:hAnsi="Arial"/>
          <w:sz w:val="18"/>
          <w:szCs w:val="18"/>
          <w:color w:val="auto"/>
        </w:rPr>
        <w:t xml:space="preserve">assumes or continues the Award, the Option will continue to be subject to vesting as provided in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exercisable on the Vesting Date; provided, however, in the event of Participant’s Termination of Service prior to the Vesting Date without Cause (as defined below) or for Good Reason (as defined below) within the twenty-four (24) month period following the consummation of a Change in Control (the “</w:t>
      </w:r>
      <w:r>
        <w:rPr>
          <w:rFonts w:ascii="Arial" w:cs="Arial" w:eastAsia="Arial" w:hAnsi="Arial"/>
          <w:sz w:val="18"/>
          <w:szCs w:val="18"/>
          <w:u w:val="single" w:color="auto"/>
          <w:color w:val="auto"/>
        </w:rPr>
        <w:t>Protection Period</w:t>
      </w:r>
      <w:r>
        <w:rPr>
          <w:rFonts w:ascii="Arial" w:cs="Arial" w:eastAsia="Arial" w:hAnsi="Arial"/>
          <w:sz w:val="18"/>
          <w:szCs w:val="18"/>
          <w:color w:val="auto"/>
        </w:rPr>
        <w:t>”), the Option will fully vest and be immediately exercisable; or</w:t>
      </w:r>
    </w:p>
    <w:p>
      <w:pPr>
        <w:spacing w:after="0" w:line="51" w:lineRule="exact"/>
        <w:rPr>
          <w:rFonts w:ascii="Arial" w:cs="Arial" w:eastAsia="Arial" w:hAnsi="Arial"/>
          <w:sz w:val="16"/>
          <w:szCs w:val="16"/>
          <w:color w:val="auto"/>
        </w:rPr>
      </w:pPr>
    </w:p>
    <w:p>
      <w:pPr>
        <w:ind w:firstLine="1293"/>
        <w:spacing w:after="0" w:line="289" w:lineRule="auto"/>
        <w:tabs>
          <w:tab w:leader="none" w:pos="2155" w:val="left"/>
        </w:tabs>
        <w:numPr>
          <w:ilvl w:val="1"/>
          <w:numId w:val="84"/>
        </w:numPr>
        <w:rPr>
          <w:rFonts w:ascii="Arial" w:cs="Arial" w:eastAsia="Arial" w:hAnsi="Arial"/>
          <w:sz w:val="18"/>
          <w:szCs w:val="18"/>
          <w:color w:val="auto"/>
        </w:rPr>
      </w:pPr>
      <w:r>
        <w:rPr>
          <w:rFonts w:ascii="Arial" w:cs="Arial" w:eastAsia="Arial" w:hAnsi="Arial"/>
          <w:sz w:val="20"/>
          <w:szCs w:val="20"/>
          <w:color w:val="auto"/>
        </w:rPr>
        <w:t>does not assume or continue the Award, the Option will vest and become exercisable upon the consummation of the Change in Control.</w:t>
      </w:r>
    </w:p>
    <w:p>
      <w:pPr>
        <w:spacing w:after="0" w:line="67" w:lineRule="exact"/>
        <w:rPr>
          <w:rFonts w:ascii="Arial" w:cs="Arial" w:eastAsia="Arial" w:hAnsi="Arial"/>
          <w:sz w:val="18"/>
          <w:szCs w:val="18"/>
          <w:color w:val="auto"/>
        </w:rPr>
      </w:pPr>
    </w:p>
    <w:p>
      <w:pPr>
        <w:jc w:val="both"/>
        <w:ind w:firstLine="645"/>
        <w:spacing w:after="0" w:line="278" w:lineRule="auto"/>
        <w:tabs>
          <w:tab w:leader="none" w:pos="1431" w:val="left"/>
        </w:tabs>
        <w:numPr>
          <w:ilvl w:val="0"/>
          <w:numId w:val="84"/>
        </w:numPr>
        <w:rPr>
          <w:rFonts w:ascii="Arial" w:cs="Arial" w:eastAsia="Arial" w:hAnsi="Arial"/>
          <w:sz w:val="18"/>
          <w:szCs w:val="18"/>
          <w:color w:val="auto"/>
        </w:rPr>
      </w:pPr>
      <w:r>
        <w:rPr>
          <w:rFonts w:ascii="Arial" w:cs="Arial" w:eastAsia="Arial" w:hAnsi="Arial"/>
          <w:sz w:val="20"/>
          <w:szCs w:val="20"/>
          <w:u w:val="single" w:color="auto"/>
          <w:color w:val="auto"/>
        </w:rPr>
        <w:t>Employment</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5</w:t>
      </w:r>
      <w:r>
        <w:rPr>
          <w:rFonts w:ascii="Arial" w:cs="Arial" w:eastAsia="Arial" w:hAnsi="Arial"/>
          <w:sz w:val="20"/>
          <w:szCs w:val="20"/>
          <w:color w:val="auto"/>
        </w:rPr>
        <w:t>, below, it is a condition precedent to the right to exercise the Option that the Participant remain employed, appointed or in service for the Employer continuously during the period from the Grant Date to the earliest of (a) the Vesting Date, (b) the date</w:t>
      </w:r>
    </w:p>
    <w:p>
      <w:pPr>
        <w:sectPr>
          <w:pgSz w:w="11900" w:h="16838" w:orient="portrait"/>
          <w:cols w:equalWidth="0" w:num="1">
            <w:col w:w="10760"/>
          </w:cols>
          <w:pgMar w:left="900" w:top="1116" w:right="239" w:bottom="1440" w:gutter="0" w:footer="0" w:header="0"/>
        </w:sectPr>
      </w:pPr>
    </w:p>
    <w:bookmarkStart w:id="102" w:name="page103"/>
    <w:bookmarkEnd w:id="102"/>
    <w:p>
      <w:pPr>
        <w:jc w:val="both"/>
        <w:ind w:left="4"/>
        <w:spacing w:after="0" w:line="250" w:lineRule="auto"/>
        <w:rPr>
          <w:sz w:val="20"/>
          <w:szCs w:val="20"/>
          <w:color w:val="auto"/>
        </w:rPr>
      </w:pPr>
      <w:r>
        <w:rPr>
          <w:rFonts w:ascii="Arial" w:cs="Arial" w:eastAsia="Arial" w:hAnsi="Arial"/>
          <w:sz w:val="20"/>
          <w:szCs w:val="20"/>
          <w:color w:val="auto"/>
        </w:rPr>
        <w:t>of the Participant’s Retirement, (c) the date of the Participant’s death or (d) the date of the Participant’s Disability. Any portion of the Option that is not vested will be forfeited upon the Participant’s Termination of Service with the Employer before the Vesting Date for a reason other than the Participant’s death, Disability or Retirement.</w:t>
      </w:r>
    </w:p>
    <w:p>
      <w:pPr>
        <w:spacing w:after="0" w:line="92" w:lineRule="exact"/>
        <w:rPr>
          <w:sz w:val="20"/>
          <w:szCs w:val="20"/>
          <w:color w:val="auto"/>
        </w:rPr>
      </w:pPr>
    </w:p>
    <w:p>
      <w:pPr>
        <w:jc w:val="both"/>
        <w:ind w:left="4" w:firstLine="645"/>
        <w:spacing w:after="0" w:line="272" w:lineRule="auto"/>
        <w:tabs>
          <w:tab w:leader="none" w:pos="1435" w:val="left"/>
        </w:tabs>
        <w:numPr>
          <w:ilvl w:val="1"/>
          <w:numId w:val="85"/>
        </w:numPr>
        <w:rPr>
          <w:rFonts w:ascii="Arial" w:cs="Arial" w:eastAsia="Arial" w:hAnsi="Arial"/>
          <w:sz w:val="18"/>
          <w:szCs w:val="18"/>
          <w:color w:val="auto"/>
        </w:rPr>
      </w:pPr>
      <w:r>
        <w:rPr>
          <w:rFonts w:ascii="Arial" w:cs="Arial" w:eastAsia="Arial" w:hAnsi="Arial"/>
          <w:sz w:val="20"/>
          <w:szCs w:val="20"/>
          <w:u w:val="single" w:color="auto"/>
          <w:color w:val="auto"/>
        </w:rPr>
        <w:t>Termination of Option</w:t>
      </w:r>
      <w:r>
        <w:rPr>
          <w:rFonts w:ascii="Arial" w:cs="Arial" w:eastAsia="Arial" w:hAnsi="Arial"/>
          <w:sz w:val="20"/>
          <w:szCs w:val="20"/>
          <w:color w:val="auto"/>
        </w:rPr>
        <w:t>. The Option and all rights thereunder, to the extent such rights will not have been exercised, will terminate and become null and void on the earliest of the date (a) that is ten years after the Grant Date, (b) that is three months after the date the Participant ceases to be employed, appointed or in service for an Employer for any reason other than death, Disability or Retirement, (c) that is five years from the date of the Participant’s Retirement or termination due to Disability, (d) that is one year from the date of the Participant’s death or (e) the Participant is terminated for Cause (as defined below) (such date being referred to as the “</w:t>
      </w:r>
      <w:r>
        <w:rPr>
          <w:rFonts w:ascii="Arial" w:cs="Arial" w:eastAsia="Arial" w:hAnsi="Arial"/>
          <w:sz w:val="20"/>
          <w:szCs w:val="20"/>
          <w:u w:val="single" w:color="auto"/>
          <w:color w:val="auto"/>
        </w:rPr>
        <w:t>Option Expiration Date</w:t>
      </w:r>
      <w:r>
        <w:rPr>
          <w:rFonts w:ascii="Arial" w:cs="Arial" w:eastAsia="Arial" w:hAnsi="Arial"/>
          <w:sz w:val="20"/>
          <w:szCs w:val="20"/>
          <w:color w:val="auto"/>
        </w:rPr>
        <w:t>”).</w:t>
      </w:r>
    </w:p>
    <w:p>
      <w:pPr>
        <w:spacing w:after="0" w:line="83" w:lineRule="exact"/>
        <w:rPr>
          <w:rFonts w:ascii="Arial" w:cs="Arial" w:eastAsia="Arial" w:hAnsi="Arial"/>
          <w:sz w:val="18"/>
          <w:szCs w:val="18"/>
          <w:color w:val="auto"/>
        </w:rPr>
      </w:pPr>
    </w:p>
    <w:p>
      <w:pPr>
        <w:jc w:val="both"/>
        <w:ind w:left="4" w:firstLine="645"/>
        <w:spacing w:after="0" w:line="273" w:lineRule="auto"/>
        <w:tabs>
          <w:tab w:leader="none" w:pos="1485" w:val="left"/>
        </w:tabs>
        <w:numPr>
          <w:ilvl w:val="1"/>
          <w:numId w:val="85"/>
        </w:numPr>
        <w:rPr>
          <w:rFonts w:ascii="Arial" w:cs="Arial" w:eastAsia="Arial" w:hAnsi="Arial"/>
          <w:sz w:val="18"/>
          <w:szCs w:val="18"/>
          <w:color w:val="auto"/>
        </w:rPr>
      </w:pPr>
      <w:r>
        <w:rPr>
          <w:rFonts w:ascii="Arial" w:cs="Arial" w:eastAsia="Arial" w:hAnsi="Arial"/>
          <w:sz w:val="20"/>
          <w:szCs w:val="20"/>
          <w:u w:val="single" w:color="auto"/>
          <w:color w:val="auto"/>
        </w:rPr>
        <w:t>Right to Exercise</w:t>
      </w:r>
      <w:r>
        <w:rPr>
          <w:rFonts w:ascii="Arial" w:cs="Arial" w:eastAsia="Arial" w:hAnsi="Arial"/>
          <w:sz w:val="20"/>
          <w:szCs w:val="20"/>
          <w:color w:val="auto"/>
        </w:rPr>
        <w:t xml:space="preserve">. The Option may be exercised at any time on or after the date on which it first becomes exercisable under </w:t>
      </w:r>
      <w:r>
        <w:rPr>
          <w:rFonts w:ascii="Arial" w:cs="Arial" w:eastAsia="Arial" w:hAnsi="Arial"/>
          <w:sz w:val="20"/>
          <w:szCs w:val="20"/>
          <w:u w:val="single" w:color="auto"/>
          <w:color w:val="auto"/>
        </w:rPr>
        <w:t>Sections 1</w:t>
      </w:r>
      <w:r>
        <w:rPr>
          <w:rFonts w:ascii="Arial" w:cs="Arial" w:eastAsia="Arial" w:hAnsi="Arial"/>
          <w:sz w:val="20"/>
          <w:szCs w:val="20"/>
          <w:color w:val="auto"/>
        </w:rPr>
        <w:t xml:space="preserve">, </w:t>
      </w:r>
      <w:r>
        <w:rPr>
          <w:rFonts w:ascii="Arial" w:cs="Arial" w:eastAsia="Arial" w:hAnsi="Arial"/>
          <w:sz w:val="20"/>
          <w:szCs w:val="20"/>
          <w:u w:val="single" w:color="auto"/>
          <w:color w:val="auto"/>
        </w:rPr>
        <w:t>2</w:t>
      </w:r>
      <w:r>
        <w:rPr>
          <w:rFonts w:ascii="Arial" w:cs="Arial" w:eastAsia="Arial" w:hAnsi="Arial"/>
          <w:sz w:val="20"/>
          <w:szCs w:val="20"/>
          <w:color w:val="auto"/>
        </w:rPr>
        <w:t xml:space="preserve">, </w:t>
      </w:r>
      <w:r>
        <w:rPr>
          <w:rFonts w:ascii="Arial" w:cs="Arial" w:eastAsia="Arial" w:hAnsi="Arial"/>
          <w:sz w:val="20"/>
          <w:szCs w:val="20"/>
          <w:u w:val="single" w:color="auto"/>
          <w:color w:val="auto"/>
        </w:rPr>
        <w:t>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w:t>
      </w:r>
      <w:r>
        <w:rPr>
          <w:rFonts w:ascii="Arial" w:cs="Arial" w:eastAsia="Arial" w:hAnsi="Arial"/>
          <w:sz w:val="20"/>
          <w:szCs w:val="20"/>
          <w:color w:val="auto"/>
        </w:rPr>
        <w:t xml:space="preserve">, above, to and including the Option Expiration Date by the Participant or by the person or persons to whom the Participant’s rights under the Option will pass by will or by the applicable laws of descent and distribution. In no event may the Option be exercised to any extent by anyone before it becomes exercisable pursuant to </w:t>
      </w:r>
      <w:r>
        <w:rPr>
          <w:rFonts w:ascii="Arial" w:cs="Arial" w:eastAsia="Arial" w:hAnsi="Arial"/>
          <w:sz w:val="20"/>
          <w:szCs w:val="20"/>
          <w:u w:val="single" w:color="auto"/>
          <w:color w:val="auto"/>
        </w:rPr>
        <w:t>Sections 1</w:t>
      </w:r>
      <w:r>
        <w:rPr>
          <w:rFonts w:ascii="Arial" w:cs="Arial" w:eastAsia="Arial" w:hAnsi="Arial"/>
          <w:sz w:val="20"/>
          <w:szCs w:val="20"/>
          <w:color w:val="auto"/>
        </w:rPr>
        <w:t xml:space="preserve">, </w:t>
      </w:r>
      <w:r>
        <w:rPr>
          <w:rFonts w:ascii="Arial" w:cs="Arial" w:eastAsia="Arial" w:hAnsi="Arial"/>
          <w:sz w:val="20"/>
          <w:szCs w:val="20"/>
          <w:u w:val="single" w:color="auto"/>
          <w:color w:val="auto"/>
        </w:rPr>
        <w:t>2</w:t>
      </w:r>
      <w:r>
        <w:rPr>
          <w:rFonts w:ascii="Arial" w:cs="Arial" w:eastAsia="Arial" w:hAnsi="Arial"/>
          <w:sz w:val="20"/>
          <w:szCs w:val="20"/>
          <w:color w:val="auto"/>
        </w:rPr>
        <w:t xml:space="preserve">, </w:t>
      </w:r>
      <w:r>
        <w:rPr>
          <w:rFonts w:ascii="Arial" w:cs="Arial" w:eastAsia="Arial" w:hAnsi="Arial"/>
          <w:sz w:val="20"/>
          <w:szCs w:val="20"/>
          <w:u w:val="single" w:color="auto"/>
          <w:color w:val="auto"/>
        </w:rPr>
        <w:t>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w:t>
      </w:r>
      <w:r>
        <w:rPr>
          <w:rFonts w:ascii="Arial" w:cs="Arial" w:eastAsia="Arial" w:hAnsi="Arial"/>
          <w:sz w:val="20"/>
          <w:szCs w:val="20"/>
          <w:color w:val="auto"/>
        </w:rPr>
        <w:t>, above, or after the Option Expiration Date.</w:t>
      </w:r>
    </w:p>
    <w:p>
      <w:pPr>
        <w:spacing w:after="0" w:line="83" w:lineRule="exact"/>
        <w:rPr>
          <w:rFonts w:ascii="Arial" w:cs="Arial" w:eastAsia="Arial" w:hAnsi="Arial"/>
          <w:sz w:val="18"/>
          <w:szCs w:val="18"/>
          <w:color w:val="auto"/>
        </w:rPr>
      </w:pPr>
    </w:p>
    <w:p>
      <w:pPr>
        <w:jc w:val="both"/>
        <w:ind w:left="4" w:firstLine="645"/>
        <w:spacing w:after="0" w:line="342" w:lineRule="auto"/>
        <w:tabs>
          <w:tab w:leader="none" w:pos="1435" w:val="left"/>
        </w:tabs>
        <w:numPr>
          <w:ilvl w:val="1"/>
          <w:numId w:val="85"/>
        </w:numPr>
        <w:rPr>
          <w:rFonts w:ascii="Arial" w:cs="Arial" w:eastAsia="Arial" w:hAnsi="Arial"/>
          <w:sz w:val="15"/>
          <w:szCs w:val="15"/>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The Participant (or other person entitled to do so) may exercise the Option with respect to all or any part of the Shares then subject to such exercise by giving the Company written notice of such exercise, specifying the Grant Date, the number of such shares as to which the Option is being exercised, and paying an amount equal to the sum of the option price of such shares and the amount of any taxes required to be withheld by the Company (the “</w:t>
      </w:r>
      <w:r>
        <w:rPr>
          <w:rFonts w:ascii="Arial" w:cs="Arial" w:eastAsia="Arial" w:hAnsi="Arial"/>
          <w:sz w:val="16"/>
          <w:szCs w:val="16"/>
          <w:u w:val="single" w:color="auto"/>
          <w:color w:val="auto"/>
        </w:rPr>
        <w:t>Option Payment</w:t>
      </w:r>
      <w:r>
        <w:rPr>
          <w:rFonts w:ascii="Arial" w:cs="Arial" w:eastAsia="Arial" w:hAnsi="Arial"/>
          <w:sz w:val="16"/>
          <w:szCs w:val="16"/>
          <w:color w:val="auto"/>
        </w:rPr>
        <w:t>”) by any method provided below. The Option Payment may be satisfied by: (a) payment of cash or check, bank draft or postal or express money order payable to the order of the Company in lawful money of the United States; (b) surrender of Shares (including, without limitation, Shares otherwise issuable upon exercise of the Option) that have been held by the Participant for such period as is required so as to not result in adverse accounting treatment, or, that were purchased by the Participant on the open market, having a Fair Market Value at the date of such notice equal to the aggregate exercise price of the Option or exercised portion thereof; (c) through the delivery of a notice that Participant has placed a market sell order with a broker with respect to Shares then issuable upon exercise of the Option, and that the broker has been directed to pay a sufficient portion of the net proceeds of the sale directly to Company in satisfaction of the Option exercise price; provided that payment of such proceeds is then made to the Company at such time as may be required by the Company, but in any event not later than the settlement of such sale; (d) by a combination of cash, check, draft, money order and such Shares; or</w:t>
      </w:r>
    </w:p>
    <w:p>
      <w:pPr>
        <w:spacing w:after="0" w:line="189" w:lineRule="exact"/>
        <w:rPr>
          <w:rFonts w:ascii="Arial" w:cs="Arial" w:eastAsia="Arial" w:hAnsi="Arial"/>
          <w:sz w:val="15"/>
          <w:szCs w:val="15"/>
          <w:color w:val="auto"/>
        </w:rPr>
      </w:pPr>
    </w:p>
    <w:p>
      <w:pPr>
        <w:jc w:val="both"/>
        <w:ind w:left="4" w:hanging="4"/>
        <w:spacing w:after="0" w:line="278" w:lineRule="auto"/>
        <w:tabs>
          <w:tab w:leader="none" w:pos="287" w:val="left"/>
        </w:tabs>
        <w:numPr>
          <w:ilvl w:val="0"/>
          <w:numId w:val="86"/>
        </w:numPr>
        <w:rPr>
          <w:rFonts w:ascii="Arial" w:cs="Arial" w:eastAsia="Arial" w:hAnsi="Arial"/>
          <w:sz w:val="20"/>
          <w:szCs w:val="20"/>
          <w:color w:val="auto"/>
        </w:rPr>
      </w:pPr>
      <w:r>
        <w:rPr>
          <w:rFonts w:ascii="Arial" w:cs="Arial" w:eastAsia="Arial" w:hAnsi="Arial"/>
          <w:sz w:val="20"/>
          <w:szCs w:val="20"/>
          <w:color w:val="auto"/>
        </w:rPr>
        <w:t>such other methods as the Company may from time to time make available upon notice to the Participant. As soon as practicable after receipt of such notice and payment, the Company will, without transfer or issue tax or other incidental expense to the Participant or other person exercising the Option, issue to such Participant the Shares.</w:t>
      </w:r>
    </w:p>
    <w:p>
      <w:pPr>
        <w:spacing w:after="0" w:line="78" w:lineRule="exact"/>
        <w:rPr>
          <w:rFonts w:ascii="Arial" w:cs="Arial" w:eastAsia="Arial" w:hAnsi="Arial"/>
          <w:sz w:val="20"/>
          <w:szCs w:val="20"/>
          <w:color w:val="auto"/>
        </w:rPr>
      </w:pPr>
    </w:p>
    <w:p>
      <w:pPr>
        <w:jc w:val="both"/>
        <w:ind w:left="4" w:firstLine="645"/>
        <w:spacing w:after="0" w:line="293" w:lineRule="auto"/>
        <w:tabs>
          <w:tab w:leader="none" w:pos="1435" w:val="left"/>
        </w:tabs>
        <w:numPr>
          <w:ilvl w:val="1"/>
          <w:numId w:val="86"/>
        </w:numPr>
        <w:rPr>
          <w:rFonts w:ascii="Arial" w:cs="Arial" w:eastAsia="Arial" w:hAnsi="Arial"/>
          <w:sz w:val="17"/>
          <w:szCs w:val="17"/>
          <w:color w:val="auto"/>
        </w:rPr>
      </w:pPr>
      <w:r>
        <w:rPr>
          <w:rFonts w:ascii="Arial" w:cs="Arial" w:eastAsia="Arial" w:hAnsi="Arial"/>
          <w:sz w:val="19"/>
          <w:szCs w:val="19"/>
          <w:u w:val="single" w:color="auto"/>
          <w:color w:val="auto"/>
        </w:rPr>
        <w:t>Adjustment</w:t>
      </w:r>
      <w:r>
        <w:rPr>
          <w:rFonts w:ascii="Arial" w:cs="Arial" w:eastAsia="Arial" w:hAnsi="Arial"/>
          <w:sz w:val="19"/>
          <w:szCs w:val="19"/>
          <w:color w:val="auto"/>
        </w:rPr>
        <w:t>. The Committee may make, according to applicable law, equitable substitutions or adjustments in the Option and/or Shares issuable upon exercise of the Option as it determines to be appropriate in the event of any corporate event or transaction such as a stock split, merger, consolidation, separation, including a spin-off or other distribution of stock or property of the Company, reorganization or any partial or complete liquidation of the Company.</w:t>
      </w:r>
    </w:p>
    <w:p>
      <w:pPr>
        <w:spacing w:after="0" w:line="67" w:lineRule="exact"/>
        <w:rPr>
          <w:rFonts w:ascii="Arial" w:cs="Arial" w:eastAsia="Arial" w:hAnsi="Arial"/>
          <w:sz w:val="17"/>
          <w:szCs w:val="17"/>
          <w:color w:val="auto"/>
        </w:rPr>
      </w:pPr>
    </w:p>
    <w:p>
      <w:pPr>
        <w:jc w:val="both"/>
        <w:ind w:left="4" w:firstLine="645"/>
        <w:spacing w:after="0" w:line="290" w:lineRule="auto"/>
        <w:tabs>
          <w:tab w:leader="none" w:pos="1485" w:val="left"/>
        </w:tabs>
        <w:numPr>
          <w:ilvl w:val="1"/>
          <w:numId w:val="86"/>
        </w:numPr>
        <w:rPr>
          <w:rFonts w:ascii="Arial" w:cs="Arial" w:eastAsia="Arial" w:hAnsi="Arial"/>
          <w:sz w:val="17"/>
          <w:szCs w:val="17"/>
          <w:color w:val="auto"/>
        </w:rPr>
      </w:pPr>
      <w:r>
        <w:rPr>
          <w:rFonts w:ascii="Arial" w:cs="Arial" w:eastAsia="Arial" w:hAnsi="Arial"/>
          <w:sz w:val="19"/>
          <w:szCs w:val="19"/>
          <w:u w:val="single" w:color="auto"/>
          <w:color w:val="auto"/>
        </w:rPr>
        <w:t>Rights Prior to Exercise</w:t>
      </w:r>
      <w:r>
        <w:rPr>
          <w:rFonts w:ascii="Arial" w:cs="Arial" w:eastAsia="Arial" w:hAnsi="Arial"/>
          <w:sz w:val="19"/>
          <w:szCs w:val="19"/>
          <w:color w:val="auto"/>
        </w:rPr>
        <w:t>. The Option will during the Participant’s lifetime be exercisable only by the Participant, and neither the Option nor any right thereunder will be assignable or transferable by the Participant by voluntary or involuntary act, operation of law, or otherwise, other than by testamentary bequest or devise or the laws of descent and distribution. Any effort to assign or transfer a right, except as provided for herein, will be ineffective and may result in the Company terminating the Option. Neither the Participant nor any other person entitled to exercise the Option will</w:t>
      </w:r>
    </w:p>
    <w:p>
      <w:pPr>
        <w:sectPr>
          <w:pgSz w:w="11900" w:h="16838" w:orient="portrait"/>
          <w:cols w:equalWidth="0" w:num="1">
            <w:col w:w="10764"/>
          </w:cols>
          <w:pgMar w:left="896" w:top="919" w:right="239" w:bottom="1440" w:gutter="0" w:footer="0" w:header="0"/>
        </w:sectPr>
      </w:pPr>
    </w:p>
    <w:bookmarkStart w:id="103" w:name="page104"/>
    <w:bookmarkEnd w:id="103"/>
    <w:p>
      <w:pPr>
        <w:ind w:right="20"/>
        <w:spacing w:after="0" w:line="260" w:lineRule="auto"/>
        <w:rPr>
          <w:sz w:val="20"/>
          <w:szCs w:val="20"/>
          <w:color w:val="auto"/>
        </w:rPr>
      </w:pPr>
      <w:r>
        <w:rPr>
          <w:rFonts w:ascii="Arial" w:cs="Arial" w:eastAsia="Arial" w:hAnsi="Arial"/>
          <w:sz w:val="20"/>
          <w:szCs w:val="20"/>
          <w:color w:val="auto"/>
        </w:rPr>
        <w:t>have any of the rights of a stockholder with respect to the shares subject to the Option, except to the extent that Shares will have been issued upon the exercise of the Option.</w:t>
      </w:r>
    </w:p>
    <w:p>
      <w:pPr>
        <w:spacing w:after="0" w:line="82" w:lineRule="exact"/>
        <w:rPr>
          <w:sz w:val="20"/>
          <w:szCs w:val="20"/>
          <w:color w:val="auto"/>
        </w:rPr>
      </w:pPr>
    </w:p>
    <w:p>
      <w:pPr>
        <w:jc w:val="both"/>
        <w:ind w:firstLine="645"/>
        <w:spacing w:after="0" w:line="278" w:lineRule="auto"/>
        <w:tabs>
          <w:tab w:leader="none" w:pos="1522" w:val="left"/>
        </w:tabs>
        <w:numPr>
          <w:ilvl w:val="0"/>
          <w:numId w:val="87"/>
        </w:numPr>
        <w:rPr>
          <w:rFonts w:ascii="Arial" w:cs="Arial" w:eastAsia="Arial" w:hAnsi="Arial"/>
          <w:sz w:val="18"/>
          <w:szCs w:val="18"/>
          <w:color w:val="auto"/>
        </w:rPr>
      </w:pPr>
      <w:r>
        <w:rPr>
          <w:rFonts w:ascii="Arial" w:cs="Arial" w:eastAsia="Arial" w:hAnsi="Arial"/>
          <w:sz w:val="20"/>
          <w:szCs w:val="20"/>
          <w:u w:val="single" w:color="auto"/>
          <w:color w:val="auto"/>
        </w:rPr>
        <w:t>No Limitation on Rights of the Company</w:t>
      </w:r>
      <w:r>
        <w:rPr>
          <w:rFonts w:ascii="Arial" w:cs="Arial" w:eastAsia="Arial" w:hAnsi="Arial"/>
          <w:sz w:val="20"/>
          <w:szCs w:val="20"/>
          <w:color w:val="auto"/>
        </w:rPr>
        <w:t>. The granting of the Option will not in any way affect the right or power of the Company to make adjustments, reclassifications or changes in its capital or business structure or to merge, consolidate, reincorporate, dissolve, liquidate or sell or transfer all or any part of its business or assets.</w:t>
      </w:r>
    </w:p>
    <w:p>
      <w:pPr>
        <w:spacing w:after="0" w:line="78" w:lineRule="exact"/>
        <w:rPr>
          <w:rFonts w:ascii="Arial" w:cs="Arial" w:eastAsia="Arial" w:hAnsi="Arial"/>
          <w:sz w:val="18"/>
          <w:szCs w:val="18"/>
          <w:color w:val="auto"/>
        </w:rPr>
      </w:pPr>
    </w:p>
    <w:p>
      <w:pPr>
        <w:jc w:val="both"/>
        <w:ind w:firstLine="645"/>
        <w:spacing w:after="0" w:line="322" w:lineRule="auto"/>
        <w:tabs>
          <w:tab w:leader="none" w:pos="1564" w:val="left"/>
        </w:tabs>
        <w:numPr>
          <w:ilvl w:val="0"/>
          <w:numId w:val="87"/>
        </w:numPr>
        <w:rPr>
          <w:rFonts w:ascii="Arial" w:cs="Arial" w:eastAsia="Arial" w:hAnsi="Arial"/>
          <w:sz w:val="16"/>
          <w:szCs w:val="16"/>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Nothing in this Agreement or in the Plan will be construed as constituting a commitment, guarantee, agreement or understanding of any kind or nature that the Employer will continue to employ, appoint or work with the Participant, or as affecting in any way the right of the Employer to terminate the employment, appointment or service of the Participant at any time.</w:t>
      </w:r>
    </w:p>
    <w:p>
      <w:pPr>
        <w:spacing w:after="0" w:line="44" w:lineRule="exact"/>
        <w:rPr>
          <w:rFonts w:ascii="Arial" w:cs="Arial" w:eastAsia="Arial" w:hAnsi="Arial"/>
          <w:sz w:val="16"/>
          <w:szCs w:val="16"/>
          <w:color w:val="auto"/>
        </w:rPr>
      </w:pPr>
    </w:p>
    <w:p>
      <w:pPr>
        <w:jc w:val="both"/>
        <w:ind w:firstLine="645"/>
        <w:spacing w:after="0" w:line="278" w:lineRule="auto"/>
        <w:tabs>
          <w:tab w:leader="none" w:pos="1522" w:val="left"/>
        </w:tabs>
        <w:numPr>
          <w:ilvl w:val="0"/>
          <w:numId w:val="87"/>
        </w:numPr>
        <w:rPr>
          <w:rFonts w:ascii="Arial" w:cs="Arial" w:eastAsia="Arial" w:hAnsi="Arial"/>
          <w:sz w:val="18"/>
          <w:szCs w:val="18"/>
          <w:color w:val="auto"/>
        </w:rPr>
      </w:pPr>
      <w:r>
        <w:rPr>
          <w:rFonts w:ascii="Arial" w:cs="Arial" w:eastAsia="Arial" w:hAnsi="Arial"/>
          <w:sz w:val="20"/>
          <w:szCs w:val="20"/>
          <w:u w:val="single" w:color="auto"/>
          <w:color w:val="auto"/>
        </w:rPr>
        <w:t>Government Regulation</w:t>
      </w:r>
      <w:r>
        <w:rPr>
          <w:rFonts w:ascii="Arial" w:cs="Arial" w:eastAsia="Arial" w:hAnsi="Arial"/>
          <w:sz w:val="20"/>
          <w:szCs w:val="20"/>
          <w:color w:val="auto"/>
        </w:rPr>
        <w:t>. The Company’s obligation to deliver Shares upon exercise of the Option will be subject to all applicable laws, rules and regulations and to such approvals by any governmental agencies or national securities exchanges as may be required.</w:t>
      </w:r>
    </w:p>
    <w:p>
      <w:pPr>
        <w:spacing w:after="0" w:line="78" w:lineRule="exact"/>
        <w:rPr>
          <w:rFonts w:ascii="Arial" w:cs="Arial" w:eastAsia="Arial" w:hAnsi="Arial"/>
          <w:sz w:val="18"/>
          <w:szCs w:val="18"/>
          <w:color w:val="auto"/>
        </w:rPr>
      </w:pPr>
    </w:p>
    <w:p>
      <w:pPr>
        <w:ind w:firstLine="645"/>
        <w:spacing w:after="0" w:line="289" w:lineRule="auto"/>
        <w:tabs>
          <w:tab w:leader="none" w:pos="1522" w:val="left"/>
        </w:tabs>
        <w:numPr>
          <w:ilvl w:val="0"/>
          <w:numId w:val="87"/>
        </w:numPr>
        <w:rPr>
          <w:rFonts w:ascii="Arial" w:cs="Arial" w:eastAsia="Arial" w:hAnsi="Arial"/>
          <w:sz w:val="18"/>
          <w:szCs w:val="18"/>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Employer, in accordance with the terms of the Plan, will comply with all applicable withholding tax laws, and will be entitled to take any action necessary to effectuate such compliance.</w:t>
      </w:r>
    </w:p>
    <w:p>
      <w:pPr>
        <w:spacing w:after="0" w:line="67" w:lineRule="exact"/>
        <w:rPr>
          <w:rFonts w:ascii="Arial" w:cs="Arial" w:eastAsia="Arial" w:hAnsi="Arial"/>
          <w:sz w:val="18"/>
          <w:szCs w:val="18"/>
          <w:color w:val="auto"/>
        </w:rPr>
      </w:pPr>
    </w:p>
    <w:p>
      <w:pPr>
        <w:jc w:val="both"/>
        <w:ind w:firstLine="645"/>
        <w:spacing w:after="0" w:line="272" w:lineRule="auto"/>
        <w:tabs>
          <w:tab w:leader="none" w:pos="1522" w:val="left"/>
        </w:tabs>
        <w:numPr>
          <w:ilvl w:val="0"/>
          <w:numId w:val="87"/>
        </w:numPr>
        <w:rPr>
          <w:rFonts w:ascii="Arial" w:cs="Arial" w:eastAsia="Arial" w:hAnsi="Arial"/>
          <w:sz w:val="18"/>
          <w:szCs w:val="18"/>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Any notice to the Company provided for in this Agreement will be addressed to it in care of its Secretary, TechnipFMC plc, 11740 Katy Freeway, Houston, Texas 77079, and any notice to the Participant (or other person entitled to exercise the Option) will be addressed to the Participant’s address now on file with the Company, or to such other address as either may designate to the other in writing. Any notice will be deemed to be duly given when sent via email or when sent by certified mail (return receipt requested) and deposited (with prepaid postage) in a post office or branch post office regularly maintained by the United States Postal Service.</w:t>
      </w:r>
    </w:p>
    <w:p>
      <w:pPr>
        <w:spacing w:after="0" w:line="83" w:lineRule="exact"/>
        <w:rPr>
          <w:rFonts w:ascii="Arial" w:cs="Arial" w:eastAsia="Arial" w:hAnsi="Arial"/>
          <w:sz w:val="18"/>
          <w:szCs w:val="18"/>
          <w:color w:val="auto"/>
        </w:rPr>
      </w:pPr>
    </w:p>
    <w:p>
      <w:pPr>
        <w:jc w:val="both"/>
        <w:ind w:firstLine="645"/>
        <w:spacing w:after="0" w:line="322" w:lineRule="auto"/>
        <w:tabs>
          <w:tab w:leader="none" w:pos="1571" w:val="left"/>
        </w:tabs>
        <w:numPr>
          <w:ilvl w:val="0"/>
          <w:numId w:val="87"/>
        </w:numPr>
        <w:rPr>
          <w:rFonts w:ascii="Arial" w:cs="Arial" w:eastAsia="Arial" w:hAnsi="Arial"/>
          <w:sz w:val="16"/>
          <w:szCs w:val="16"/>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Committee administers the Plan and delegates certain authority in accordance with the Equity Plan Committee Grant Policy adopted by the Committee. The Participant’s rights under this Agreement are expressly subject to the terms and conditions of the Plan and any Sub-Plans, if any, a copy of which has been made available to the Participant.</w:t>
      </w:r>
    </w:p>
    <w:p>
      <w:pPr>
        <w:spacing w:after="0" w:line="44" w:lineRule="exact"/>
        <w:rPr>
          <w:rFonts w:ascii="Arial" w:cs="Arial" w:eastAsia="Arial" w:hAnsi="Arial"/>
          <w:sz w:val="16"/>
          <w:szCs w:val="16"/>
          <w:color w:val="auto"/>
        </w:rPr>
      </w:pPr>
    </w:p>
    <w:p>
      <w:pPr>
        <w:ind w:right="20" w:firstLine="645"/>
        <w:spacing w:after="0" w:line="289" w:lineRule="auto"/>
        <w:tabs>
          <w:tab w:leader="none" w:pos="1522" w:val="left"/>
        </w:tabs>
        <w:numPr>
          <w:ilvl w:val="0"/>
          <w:numId w:val="87"/>
        </w:numPr>
        <w:rPr>
          <w:rFonts w:ascii="Arial" w:cs="Arial" w:eastAsia="Arial" w:hAnsi="Arial"/>
          <w:sz w:val="18"/>
          <w:szCs w:val="18"/>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will inure to the benefit of and be binding upon the parties hereto and their respective heirs, executors, administrators, successors and permitted assigns.</w:t>
      </w:r>
    </w:p>
    <w:p>
      <w:pPr>
        <w:spacing w:after="0" w:line="67" w:lineRule="exact"/>
        <w:rPr>
          <w:rFonts w:ascii="Arial" w:cs="Arial" w:eastAsia="Arial" w:hAnsi="Arial"/>
          <w:sz w:val="18"/>
          <w:szCs w:val="18"/>
          <w:color w:val="auto"/>
        </w:rPr>
      </w:pPr>
    </w:p>
    <w:p>
      <w:pPr>
        <w:jc w:val="both"/>
        <w:ind w:firstLine="645"/>
        <w:spacing w:after="0" w:line="278" w:lineRule="auto"/>
        <w:tabs>
          <w:tab w:leader="none" w:pos="1522" w:val="left"/>
        </w:tabs>
        <w:numPr>
          <w:ilvl w:val="0"/>
          <w:numId w:val="87"/>
        </w:numPr>
        <w:rPr>
          <w:rFonts w:ascii="Arial" w:cs="Arial" w:eastAsia="Arial" w:hAnsi="Arial"/>
          <w:sz w:val="18"/>
          <w:szCs w:val="18"/>
          <w:color w:val="auto"/>
        </w:rPr>
      </w:pPr>
      <w:r>
        <w:rPr>
          <w:rFonts w:ascii="Arial" w:cs="Arial" w:eastAsia="Arial" w:hAnsi="Arial"/>
          <w:sz w:val="20"/>
          <w:szCs w:val="20"/>
          <w:u w:val="single" w:color="auto"/>
          <w:color w:val="auto"/>
        </w:rPr>
        <w:t>Sole Agreement</w:t>
      </w:r>
      <w:r>
        <w:rPr>
          <w:rFonts w:ascii="Arial" w:cs="Arial" w:eastAsia="Arial" w:hAnsi="Arial"/>
          <w:sz w:val="20"/>
          <w:szCs w:val="20"/>
          <w:color w:val="auto"/>
        </w:rPr>
        <w:t>. This Agreement is the entire agreement between the parties to it relating to the Option and supersedes any and all prior oral and written representations. This Agreement may only be amended by written agreement between the Company and the Participant.</w:t>
      </w:r>
    </w:p>
    <w:p>
      <w:pPr>
        <w:spacing w:after="0" w:line="78" w:lineRule="exact"/>
        <w:rPr>
          <w:rFonts w:ascii="Arial" w:cs="Arial" w:eastAsia="Arial" w:hAnsi="Arial"/>
          <w:sz w:val="18"/>
          <w:szCs w:val="18"/>
          <w:color w:val="auto"/>
        </w:rPr>
      </w:pPr>
    </w:p>
    <w:p>
      <w:pPr>
        <w:jc w:val="both"/>
        <w:ind w:firstLine="645"/>
        <w:spacing w:after="0" w:line="271" w:lineRule="auto"/>
        <w:tabs>
          <w:tab w:leader="none" w:pos="1522" w:val="left"/>
        </w:tabs>
        <w:numPr>
          <w:ilvl w:val="0"/>
          <w:numId w:val="87"/>
        </w:numPr>
        <w:rPr>
          <w:rFonts w:ascii="Arial" w:cs="Arial" w:eastAsia="Arial" w:hAnsi="Arial"/>
          <w:sz w:val="18"/>
          <w:szCs w:val="18"/>
          <w:color w:val="auto"/>
        </w:rPr>
      </w:pPr>
      <w:r>
        <w:rPr>
          <w:rFonts w:ascii="Arial" w:cs="Arial" w:eastAsia="Arial" w:hAnsi="Arial"/>
          <w:sz w:val="20"/>
          <w:szCs w:val="20"/>
          <w:u w:val="single" w:color="auto"/>
          <w:color w:val="auto"/>
        </w:rPr>
        <w:t>Delivery of Documents</w:t>
      </w:r>
      <w:r>
        <w:rPr>
          <w:rFonts w:ascii="Arial" w:cs="Arial" w:eastAsia="Arial" w:hAnsi="Arial"/>
          <w:sz w:val="20"/>
          <w:szCs w:val="20"/>
          <w:color w:val="auto"/>
        </w:rPr>
        <w:t>.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a government sponsored postal service, by registered or certified mail, or with an internationally recognized overnight courier service, with postage and fees prepaid, addressed to the other party at the address shown below that party’s signature hereto or at such other address as such party may designate in writing from time to time to the other party.</w:t>
      </w:r>
    </w:p>
    <w:p>
      <w:pPr>
        <w:spacing w:after="0" w:line="86" w:lineRule="exact"/>
        <w:rPr>
          <w:rFonts w:ascii="Arial" w:cs="Arial" w:eastAsia="Arial" w:hAnsi="Arial"/>
          <w:sz w:val="18"/>
          <w:szCs w:val="18"/>
          <w:color w:val="auto"/>
        </w:rPr>
      </w:pPr>
    </w:p>
    <w:p>
      <w:pPr>
        <w:jc w:val="both"/>
        <w:ind w:firstLine="1293"/>
        <w:spacing w:after="0" w:line="322" w:lineRule="auto"/>
        <w:tabs>
          <w:tab w:leader="none" w:pos="2144" w:val="left"/>
        </w:tabs>
        <w:numPr>
          <w:ilvl w:val="1"/>
          <w:numId w:val="87"/>
        </w:numPr>
        <w:rPr>
          <w:rFonts w:ascii="Arial" w:cs="Arial" w:eastAsia="Arial" w:hAnsi="Arial"/>
          <w:sz w:val="16"/>
          <w:szCs w:val="16"/>
          <w:color w:val="auto"/>
        </w:rPr>
      </w:pPr>
      <w:r>
        <w:rPr>
          <w:rFonts w:ascii="Arial" w:cs="Arial" w:eastAsia="Arial" w:hAnsi="Arial"/>
          <w:sz w:val="18"/>
          <w:szCs w:val="18"/>
          <w:u w:val="single" w:color="auto"/>
          <w:color w:val="auto"/>
        </w:rPr>
        <w:t>Description of Electronic Delivery</w:t>
      </w:r>
      <w:r>
        <w:rPr>
          <w:rFonts w:ascii="Arial" w:cs="Arial" w:eastAsia="Arial" w:hAnsi="Arial"/>
          <w:sz w:val="18"/>
          <w:szCs w:val="18"/>
          <w:color w:val="auto"/>
        </w:rPr>
        <w:t>. The Plan documents, which may include but do not necessarily include: the Plan, this Agreement, the Plan’s prospectus, and any reports of the Company provided generally to the Company’s stockholders, may be delivered to the Participant electronically. In addition, the Participant may deliver electronically the Agreement to the Company</w:t>
      </w:r>
    </w:p>
    <w:p>
      <w:pPr>
        <w:sectPr>
          <w:pgSz w:w="11900" w:h="16838" w:orient="portrait"/>
          <w:cols w:equalWidth="0" w:num="1">
            <w:col w:w="10760"/>
          </w:cols>
          <w:pgMar w:left="900" w:top="919" w:right="239" w:bottom="1440" w:gutter="0" w:footer="0" w:header="0"/>
        </w:sectPr>
      </w:pPr>
    </w:p>
    <w:bookmarkStart w:id="104" w:name="page105"/>
    <w:bookmarkEnd w:id="104"/>
    <w:p>
      <w:pPr>
        <w:jc w:val="both"/>
        <w:spacing w:after="0" w:line="272" w:lineRule="auto"/>
        <w:rPr>
          <w:sz w:val="20"/>
          <w:szCs w:val="20"/>
          <w:color w:val="auto"/>
        </w:rPr>
      </w:pPr>
      <w:r>
        <w:rPr>
          <w:rFonts w:ascii="Arial" w:cs="Arial" w:eastAsia="Arial" w:hAnsi="Arial"/>
          <w:sz w:val="18"/>
          <w:szCs w:val="18"/>
          <w:color w:val="auto"/>
        </w:rPr>
        <w:t>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The Participant may revoke his or her consent to the electronic delivery of documents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herein. Electronic execution of this Agreement shall have the same binding effect as a written or hard copy signature and accordingly, shall bind the Participant and the Company to all of the terms and conditions set forth in the Plan and this Agreement.</w:t>
      </w:r>
    </w:p>
    <w:p>
      <w:pPr>
        <w:spacing w:after="0" w:line="77" w:lineRule="exact"/>
        <w:rPr>
          <w:sz w:val="20"/>
          <w:szCs w:val="20"/>
          <w:color w:val="auto"/>
        </w:rPr>
      </w:pPr>
    </w:p>
    <w:p>
      <w:pPr>
        <w:jc w:val="both"/>
        <w:ind w:firstLine="1293"/>
        <w:spacing w:after="0" w:line="310" w:lineRule="auto"/>
        <w:tabs>
          <w:tab w:leader="none" w:pos="2155" w:val="left"/>
        </w:tabs>
        <w:numPr>
          <w:ilvl w:val="1"/>
          <w:numId w:val="88"/>
        </w:numPr>
        <w:rPr>
          <w:rFonts w:ascii="Arial" w:cs="Arial" w:eastAsia="Arial" w:hAnsi="Arial"/>
          <w:sz w:val="16"/>
          <w:szCs w:val="16"/>
          <w:color w:val="auto"/>
        </w:rPr>
      </w:pPr>
      <w:r>
        <w:rPr>
          <w:rFonts w:ascii="Arial" w:cs="Arial" w:eastAsia="Arial" w:hAnsi="Arial"/>
          <w:sz w:val="18"/>
          <w:szCs w:val="18"/>
          <w:u w:val="single" w:color="auto"/>
          <w:color w:val="auto"/>
        </w:rPr>
        <w:t>Paper Copies</w:t>
      </w:r>
      <w:r>
        <w:rPr>
          <w:rFonts w:ascii="Arial" w:cs="Arial" w:eastAsia="Arial" w:hAnsi="Arial"/>
          <w:sz w:val="18"/>
          <w:szCs w:val="18"/>
          <w:color w:val="auto"/>
        </w:rPr>
        <w:t>. Participant acknowledges that he or she may receive form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 fails.</w:t>
      </w:r>
    </w:p>
    <w:p>
      <w:pPr>
        <w:spacing w:after="0" w:line="54" w:lineRule="exact"/>
        <w:rPr>
          <w:rFonts w:ascii="Arial" w:cs="Arial" w:eastAsia="Arial" w:hAnsi="Arial"/>
          <w:sz w:val="16"/>
          <w:szCs w:val="16"/>
          <w:color w:val="auto"/>
        </w:rPr>
      </w:pPr>
    </w:p>
    <w:p>
      <w:pPr>
        <w:jc w:val="both"/>
        <w:ind w:firstLine="645"/>
        <w:spacing w:after="0" w:line="288" w:lineRule="auto"/>
        <w:tabs>
          <w:tab w:leader="none" w:pos="1522" w:val="left"/>
        </w:tabs>
        <w:numPr>
          <w:ilvl w:val="0"/>
          <w:numId w:val="89"/>
        </w:numPr>
        <w:rPr>
          <w:rFonts w:ascii="Arial" w:cs="Arial" w:eastAsia="Arial" w:hAnsi="Arial"/>
          <w:sz w:val="17"/>
          <w:szCs w:val="17"/>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This Award (including any proceeds, gains or other economic benefit actually or constructively received by Participant upon receipt or exercise of this Award or upon the receipt or resale of any Shares underlying this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the time of grant of this Award, to the extent set forth in such claw-back policy.</w:t>
      </w:r>
    </w:p>
    <w:p>
      <w:pPr>
        <w:spacing w:after="0" w:line="74" w:lineRule="exact"/>
        <w:rPr>
          <w:rFonts w:ascii="Arial" w:cs="Arial" w:eastAsia="Arial" w:hAnsi="Arial"/>
          <w:sz w:val="17"/>
          <w:szCs w:val="17"/>
          <w:color w:val="auto"/>
        </w:rPr>
      </w:pPr>
    </w:p>
    <w:p>
      <w:pPr>
        <w:ind w:firstLine="645"/>
        <w:spacing w:after="0" w:line="289" w:lineRule="auto"/>
        <w:tabs>
          <w:tab w:leader="none" w:pos="1522" w:val="left"/>
        </w:tabs>
        <w:numPr>
          <w:ilvl w:val="0"/>
          <w:numId w:val="89"/>
        </w:numPr>
        <w:rPr>
          <w:rFonts w:ascii="Arial" w:cs="Arial" w:eastAsia="Arial" w:hAnsi="Arial"/>
          <w:sz w:val="18"/>
          <w:szCs w:val="18"/>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The interpretation, performance and enforcement of this agreement will be governed by the laws of the State of Delaware.</w:t>
      </w:r>
    </w:p>
    <w:p>
      <w:pPr>
        <w:spacing w:after="0" w:line="67" w:lineRule="exact"/>
        <w:rPr>
          <w:rFonts w:ascii="Arial" w:cs="Arial" w:eastAsia="Arial" w:hAnsi="Arial"/>
          <w:sz w:val="18"/>
          <w:szCs w:val="18"/>
          <w:color w:val="auto"/>
        </w:rPr>
      </w:pPr>
    </w:p>
    <w:p>
      <w:pPr>
        <w:jc w:val="both"/>
        <w:ind w:firstLine="645"/>
        <w:spacing w:after="0" w:line="307" w:lineRule="auto"/>
        <w:tabs>
          <w:tab w:leader="none" w:pos="1522" w:val="left"/>
        </w:tabs>
        <w:numPr>
          <w:ilvl w:val="0"/>
          <w:numId w:val="89"/>
        </w:numPr>
        <w:rPr>
          <w:rFonts w:ascii="Arial" w:cs="Arial" w:eastAsia="Arial" w:hAnsi="Arial"/>
          <w:sz w:val="16"/>
          <w:szCs w:val="16"/>
          <w:color w:val="auto"/>
        </w:rPr>
      </w:pPr>
      <w:r>
        <w:rPr>
          <w:rFonts w:ascii="Arial" w:cs="Arial" w:eastAsia="Arial" w:hAnsi="Arial"/>
          <w:sz w:val="18"/>
          <w:szCs w:val="18"/>
          <w:u w:val="single" w:color="auto"/>
          <w:color w:val="auto"/>
        </w:rPr>
        <w:t>Privacy</w:t>
      </w:r>
      <w:r>
        <w:rPr>
          <w:rFonts w:ascii="Arial" w:cs="Arial" w:eastAsia="Arial" w:hAnsi="Arial"/>
          <w:sz w:val="18"/>
          <w:szCs w:val="18"/>
          <w:color w:val="auto"/>
        </w:rPr>
        <w:t>. Participant acknowledges, agrees and consents, as a condition to receipt of this Award and in accordance with Section 11.8 of the Plan, to Employer’s collection, use and transfer, in electronic or other form, of personal data of the Participant as described in Section 11.8 of the Plan by and among the Company and its Subsidiaries for the exclusive purpose of implementing, performing or administering the Plan or any related benefit. Participant expressly gives his or her consent to the Employer and the Company to receive, possess, use, retain and transfer such personal data as may be required to a broker or other third party with whom the Company or any of its Subsidiaries or the Participant may elect to deposit any Shares.</w:t>
      </w:r>
    </w:p>
    <w:p>
      <w:pPr>
        <w:spacing w:after="0" w:line="59" w:lineRule="exact"/>
        <w:rPr>
          <w:rFonts w:ascii="Arial" w:cs="Arial" w:eastAsia="Arial" w:hAnsi="Arial"/>
          <w:sz w:val="16"/>
          <w:szCs w:val="16"/>
          <w:color w:val="auto"/>
        </w:rPr>
      </w:pPr>
    </w:p>
    <w:p>
      <w:pPr>
        <w:ind w:left="1520" w:hanging="875"/>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Unless otherwise provided on </w:t>
      </w:r>
      <w:r>
        <w:rPr>
          <w:rFonts w:ascii="Arial" w:cs="Arial" w:eastAsia="Arial" w:hAnsi="Arial"/>
          <w:sz w:val="20"/>
          <w:szCs w:val="20"/>
          <w:u w:val="single" w:color="auto"/>
          <w:color w:val="auto"/>
        </w:rPr>
        <w:t>Schedule A</w:t>
      </w:r>
      <w:r>
        <w:rPr>
          <w:rFonts w:ascii="Arial" w:cs="Arial" w:eastAsia="Arial" w:hAnsi="Arial"/>
          <w:sz w:val="20"/>
          <w:szCs w:val="20"/>
          <w:color w:val="auto"/>
        </w:rPr>
        <w:t>, the Country Schedule:</w:t>
      </w:r>
    </w:p>
    <w:p>
      <w:pPr>
        <w:spacing w:after="0" w:line="134" w:lineRule="exact"/>
        <w:rPr>
          <w:rFonts w:ascii="Arial" w:cs="Arial" w:eastAsia="Arial" w:hAnsi="Arial"/>
          <w:sz w:val="18"/>
          <w:szCs w:val="18"/>
          <w:color w:val="auto"/>
        </w:rPr>
      </w:pPr>
    </w:p>
    <w:p>
      <w:pPr>
        <w:ind w:left="2140" w:hanging="847"/>
        <w:spacing w:after="0"/>
        <w:tabs>
          <w:tab w:leader="none" w:pos="2140" w:val="left"/>
        </w:tabs>
        <w:numPr>
          <w:ilvl w:val="1"/>
          <w:numId w:val="8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means</w:t>
      </w:r>
    </w:p>
    <w:p>
      <w:pPr>
        <w:spacing w:after="0" w:line="134" w:lineRule="exact"/>
        <w:rPr>
          <w:rFonts w:ascii="Arial" w:cs="Arial" w:eastAsia="Arial" w:hAnsi="Arial"/>
          <w:sz w:val="18"/>
          <w:szCs w:val="18"/>
          <w:color w:val="auto"/>
        </w:rPr>
      </w:pPr>
    </w:p>
    <w:p>
      <w:pPr>
        <w:jc w:val="both"/>
        <w:ind w:firstLine="1941"/>
        <w:spacing w:after="0" w:line="290" w:lineRule="auto"/>
        <w:tabs>
          <w:tab w:leader="none" w:pos="2763" w:val="left"/>
        </w:tabs>
        <w:numPr>
          <w:ilvl w:val="2"/>
          <w:numId w:val="89"/>
        </w:numPr>
        <w:rPr>
          <w:rFonts w:ascii="Arial" w:cs="Arial" w:eastAsia="Arial" w:hAnsi="Arial"/>
          <w:sz w:val="17"/>
          <w:szCs w:val="17"/>
          <w:color w:val="auto"/>
        </w:rPr>
      </w:pPr>
      <w:r>
        <w:rPr>
          <w:rFonts w:ascii="Arial" w:cs="Arial" w:eastAsia="Arial" w:hAnsi="Arial"/>
          <w:sz w:val="19"/>
          <w:szCs w:val="19"/>
          <w:color w:val="auto"/>
        </w:rPr>
        <w:t>the Participant’s willful and continued failure to substantially perform the Participant’s employment duties in any material respect (other than any such failure resulting from Disability), after a written demand for substantial performance is delivered to the Participant that specifically identifies the manner in which the Company believes the Participant has failed to perform the Participant’s duties, and after the Participant has failed to resume substantial performance of the Participant’s duties on a continuous basis within thirty (30) calendar days of receiving such demand;</w:t>
      </w:r>
    </w:p>
    <w:p>
      <w:pPr>
        <w:spacing w:after="0" w:line="71" w:lineRule="exact"/>
        <w:rPr>
          <w:rFonts w:ascii="Arial" w:cs="Arial" w:eastAsia="Arial" w:hAnsi="Arial"/>
          <w:sz w:val="17"/>
          <w:szCs w:val="17"/>
          <w:color w:val="auto"/>
        </w:rPr>
      </w:pPr>
    </w:p>
    <w:p>
      <w:pPr>
        <w:ind w:left="2800" w:hanging="859"/>
        <w:spacing w:after="0"/>
        <w:tabs>
          <w:tab w:leader="none" w:pos="2800" w:val="left"/>
        </w:tabs>
        <w:numPr>
          <w:ilvl w:val="2"/>
          <w:numId w:val="89"/>
        </w:numPr>
        <w:rPr>
          <w:rFonts w:ascii="Arial" w:cs="Arial" w:eastAsia="Arial" w:hAnsi="Arial"/>
          <w:sz w:val="16"/>
          <w:szCs w:val="16"/>
          <w:color w:val="auto"/>
        </w:rPr>
      </w:pPr>
      <w:r>
        <w:rPr>
          <w:rFonts w:ascii="Arial" w:cs="Arial" w:eastAsia="Arial" w:hAnsi="Arial"/>
          <w:sz w:val="18"/>
          <w:szCs w:val="18"/>
          <w:color w:val="auto"/>
        </w:rPr>
        <w:t>the Participant’s willfully engaging in other conduct which is demonstrably and materially injurious</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to the Company or an affiliate; or</w:t>
      </w:r>
    </w:p>
    <w:p>
      <w:pPr>
        <w:spacing w:after="0" w:line="134" w:lineRule="exact"/>
        <w:rPr>
          <w:rFonts w:ascii="Arial" w:cs="Arial" w:eastAsia="Arial" w:hAnsi="Arial"/>
          <w:sz w:val="16"/>
          <w:szCs w:val="16"/>
          <w:color w:val="auto"/>
        </w:rPr>
      </w:pPr>
    </w:p>
    <w:p>
      <w:pPr>
        <w:ind w:left="2860" w:hanging="919"/>
        <w:spacing w:after="0"/>
        <w:tabs>
          <w:tab w:leader="none" w:pos="2860" w:val="left"/>
        </w:tabs>
        <w:numPr>
          <w:ilvl w:val="2"/>
          <w:numId w:val="89"/>
        </w:numPr>
        <w:rPr>
          <w:rFonts w:ascii="Arial" w:cs="Arial" w:eastAsia="Arial" w:hAnsi="Arial"/>
          <w:sz w:val="16"/>
          <w:szCs w:val="16"/>
          <w:color w:val="auto"/>
        </w:rPr>
      </w:pPr>
      <w:r>
        <w:rPr>
          <w:rFonts w:ascii="Arial" w:cs="Arial" w:eastAsia="Arial" w:hAnsi="Arial"/>
          <w:sz w:val="18"/>
          <w:szCs w:val="18"/>
          <w:color w:val="auto"/>
        </w:rPr>
        <w:t>the Participant’s having been convicted of, or pleading guilty or nolo contendere to, a felony under</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federal or state law.</w:t>
      </w:r>
    </w:p>
    <w:p>
      <w:pPr>
        <w:sectPr>
          <w:pgSz w:w="11900" w:h="16838" w:orient="portrait"/>
          <w:cols w:equalWidth="0" w:num="1">
            <w:col w:w="10760"/>
          </w:cols>
          <w:pgMar w:left="900" w:top="582" w:right="239" w:bottom="1440" w:gutter="0" w:footer="0" w:header="0"/>
        </w:sectPr>
      </w:pPr>
    </w:p>
    <w:bookmarkStart w:id="105" w:name="page106"/>
    <w:bookmarkEnd w:id="105"/>
    <w:p>
      <w:pPr>
        <w:jc w:val="both"/>
        <w:ind w:left="4" w:firstLine="1293"/>
        <w:spacing w:after="0" w:line="278" w:lineRule="auto"/>
        <w:tabs>
          <w:tab w:leader="none" w:pos="2158" w:val="left"/>
        </w:tabs>
        <w:numPr>
          <w:ilvl w:val="1"/>
          <w:numId w:val="9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Participant’s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78" w:lineRule="exact"/>
        <w:rPr>
          <w:rFonts w:ascii="Arial" w:cs="Arial" w:eastAsia="Arial" w:hAnsi="Arial"/>
          <w:sz w:val="18"/>
          <w:szCs w:val="18"/>
          <w:color w:val="auto"/>
        </w:rPr>
      </w:pPr>
    </w:p>
    <w:p>
      <w:pPr>
        <w:ind w:left="4" w:firstLine="1293"/>
        <w:spacing w:after="0" w:line="289" w:lineRule="auto"/>
        <w:tabs>
          <w:tab w:leader="none" w:pos="2148" w:val="left"/>
        </w:tabs>
        <w:numPr>
          <w:ilvl w:val="1"/>
          <w:numId w:val="9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without the Participant’s express written consent, the occurrence of any one or more of the following during the Protection Period:</w:t>
      </w:r>
    </w:p>
    <w:p>
      <w:pPr>
        <w:spacing w:after="0" w:line="67" w:lineRule="exact"/>
        <w:rPr>
          <w:rFonts w:ascii="Arial" w:cs="Arial" w:eastAsia="Arial" w:hAnsi="Arial"/>
          <w:sz w:val="18"/>
          <w:szCs w:val="18"/>
          <w:color w:val="auto"/>
        </w:rPr>
      </w:pPr>
    </w:p>
    <w:p>
      <w:pPr>
        <w:jc w:val="both"/>
        <w:ind w:left="4" w:firstLine="1941"/>
        <w:spacing w:after="0" w:line="286" w:lineRule="auto"/>
        <w:tabs>
          <w:tab w:leader="none" w:pos="2767" w:val="left"/>
        </w:tabs>
        <w:numPr>
          <w:ilvl w:val="2"/>
          <w:numId w:val="90"/>
        </w:numPr>
        <w:rPr>
          <w:rFonts w:ascii="Arial" w:cs="Arial" w:eastAsia="Arial" w:hAnsi="Arial"/>
          <w:sz w:val="17"/>
          <w:szCs w:val="17"/>
          <w:color w:val="auto"/>
        </w:rPr>
      </w:pPr>
      <w:r>
        <w:rPr>
          <w:rFonts w:ascii="Arial" w:cs="Arial" w:eastAsia="Arial" w:hAnsi="Arial"/>
          <w:sz w:val="19"/>
          <w:szCs w:val="19"/>
          <w:color w:val="auto"/>
        </w:rPr>
        <w:t>the assignment of the Participant to duties materially inconsistent with the Participant’s authorities, duties, responsibilities, and status (including, without limitation, offices, titles and reporting requirements) as an employee of the Company (including, without limitation, any material adverse change in duties or status as a result of the stock of the Company ceasing to be publicly traded or of the Company becoming a subsidiary of another entity, or any material adverse change in the Participant’s reporting relationship, such as the chairman or chief executive officer ceasing to report to the Board of Directors of a publicly traded company), or a reduction or alteration in the nature or status of the Participant’s authorities, duties, or responsibilities from the greatest of those in effect (x) on the Grant Date, (y) during the fiscal year immediately preceding the year of the Change in Control, and (z) on the date immediately preceding the Change in Control;</w:t>
      </w:r>
    </w:p>
    <w:p>
      <w:pPr>
        <w:spacing w:after="0" w:line="77" w:lineRule="exact"/>
        <w:rPr>
          <w:rFonts w:ascii="Arial" w:cs="Arial" w:eastAsia="Arial" w:hAnsi="Arial"/>
          <w:sz w:val="17"/>
          <w:szCs w:val="17"/>
          <w:color w:val="auto"/>
        </w:rPr>
      </w:pPr>
    </w:p>
    <w:p>
      <w:pPr>
        <w:ind w:left="2804" w:hanging="859"/>
        <w:spacing w:after="0"/>
        <w:tabs>
          <w:tab w:leader="none" w:pos="2804" w:val="left"/>
        </w:tabs>
        <w:numPr>
          <w:ilvl w:val="2"/>
          <w:numId w:val="90"/>
        </w:numPr>
        <w:rPr>
          <w:rFonts w:ascii="Arial" w:cs="Arial" w:eastAsia="Arial" w:hAnsi="Arial"/>
          <w:sz w:val="16"/>
          <w:szCs w:val="16"/>
          <w:color w:val="auto"/>
        </w:rPr>
      </w:pPr>
      <w:r>
        <w:rPr>
          <w:rFonts w:ascii="Arial" w:cs="Arial" w:eastAsia="Arial" w:hAnsi="Arial"/>
          <w:sz w:val="18"/>
          <w:szCs w:val="18"/>
          <w:color w:val="auto"/>
        </w:rPr>
        <w:t>the Company’s requiring the Participant to be based at a location which is at least one hundred</w:t>
      </w:r>
    </w:p>
    <w:p>
      <w:pPr>
        <w:spacing w:after="0" w:line="49" w:lineRule="exact"/>
        <w:rPr>
          <w:rFonts w:ascii="Arial" w:cs="Arial" w:eastAsia="Arial" w:hAnsi="Arial"/>
          <w:sz w:val="16"/>
          <w:szCs w:val="16"/>
          <w:color w:val="auto"/>
        </w:rPr>
      </w:pPr>
    </w:p>
    <w:p>
      <w:pPr>
        <w:jc w:val="both"/>
        <w:ind w:left="4" w:hanging="4"/>
        <w:spacing w:after="0" w:line="274" w:lineRule="auto"/>
        <w:tabs>
          <w:tab w:leader="none" w:pos="487" w:val="left"/>
        </w:tabs>
        <w:numPr>
          <w:ilvl w:val="0"/>
          <w:numId w:val="91"/>
        </w:numPr>
        <w:rPr>
          <w:rFonts w:ascii="Arial" w:cs="Arial" w:eastAsia="Arial" w:hAnsi="Arial"/>
          <w:sz w:val="20"/>
          <w:szCs w:val="20"/>
          <w:color w:val="auto"/>
        </w:rPr>
      </w:pPr>
      <w:r>
        <w:rPr>
          <w:rFonts w:ascii="Arial" w:cs="Arial" w:eastAsia="Arial" w:hAnsi="Arial"/>
          <w:sz w:val="20"/>
          <w:szCs w:val="20"/>
          <w:color w:val="auto"/>
        </w:rPr>
        <w:t>miles further from the Participant’s then current primary residence than is such residence from the office where the Participant is located at the time of the Change in Control, except for required travel on the Company’s business to an extent substantially consistent with the Participant’s business obligations as of the Grant Date or as the same may be changed from time to time prior to a Change in Control;</w:t>
      </w:r>
    </w:p>
    <w:p>
      <w:pPr>
        <w:spacing w:after="0" w:line="84" w:lineRule="exact"/>
        <w:rPr>
          <w:rFonts w:ascii="Arial" w:cs="Arial" w:eastAsia="Arial" w:hAnsi="Arial"/>
          <w:sz w:val="20"/>
          <w:szCs w:val="20"/>
          <w:color w:val="auto"/>
        </w:rPr>
      </w:pPr>
    </w:p>
    <w:p>
      <w:pPr>
        <w:jc w:val="both"/>
        <w:ind w:left="4" w:firstLine="1941"/>
        <w:spacing w:after="0" w:line="278" w:lineRule="auto"/>
        <w:tabs>
          <w:tab w:leader="none" w:pos="2867" w:val="left"/>
        </w:tabs>
        <w:numPr>
          <w:ilvl w:val="2"/>
          <w:numId w:val="91"/>
        </w:numPr>
        <w:rPr>
          <w:rFonts w:ascii="Arial" w:cs="Arial" w:eastAsia="Arial" w:hAnsi="Arial"/>
          <w:sz w:val="18"/>
          <w:szCs w:val="18"/>
          <w:color w:val="auto"/>
        </w:rPr>
      </w:pPr>
      <w:r>
        <w:rPr>
          <w:rFonts w:ascii="Arial" w:cs="Arial" w:eastAsia="Arial" w:hAnsi="Arial"/>
          <w:sz w:val="20"/>
          <w:szCs w:val="20"/>
          <w:color w:val="auto"/>
        </w:rPr>
        <w:t>a material reduction by the Company in the Participant’s then current salary of record paid as annual salary (excluding amounts received under incentive or other bonus plans), as in effect on the Grant Date or as the same may be increased during the Protection Period;</w:t>
      </w:r>
    </w:p>
    <w:p>
      <w:pPr>
        <w:spacing w:after="0" w:line="78" w:lineRule="exact"/>
        <w:rPr>
          <w:rFonts w:ascii="Arial" w:cs="Arial" w:eastAsia="Arial" w:hAnsi="Arial"/>
          <w:sz w:val="18"/>
          <w:szCs w:val="18"/>
          <w:color w:val="auto"/>
        </w:rPr>
      </w:pPr>
    </w:p>
    <w:p>
      <w:pPr>
        <w:jc w:val="both"/>
        <w:ind w:left="4" w:firstLine="1941"/>
        <w:spacing w:after="0" w:line="293" w:lineRule="auto"/>
        <w:tabs>
          <w:tab w:leader="none" w:pos="2857" w:val="left"/>
        </w:tabs>
        <w:numPr>
          <w:ilvl w:val="2"/>
          <w:numId w:val="91"/>
        </w:numPr>
        <w:rPr>
          <w:rFonts w:ascii="Arial" w:cs="Arial" w:eastAsia="Arial" w:hAnsi="Arial"/>
          <w:sz w:val="17"/>
          <w:szCs w:val="17"/>
          <w:color w:val="auto"/>
        </w:rPr>
      </w:pPr>
      <w:r>
        <w:rPr>
          <w:rFonts w:ascii="Arial" w:cs="Arial" w:eastAsia="Arial" w:hAnsi="Arial"/>
          <w:sz w:val="19"/>
          <w:szCs w:val="19"/>
          <w:color w:val="auto"/>
        </w:rPr>
        <w:t>a material reduction in the Participant’s level of participation in any of the Company’s short- and/or long-term incentive compensation plans, or employee benefit or retirement plans, policies, practices, or arrangements in which the Participant participates from the greatest of the levels in place (x) on the Grant Date, (y) during the fiscal year immediately preceding the year of the Change in Control and (z) on the date immediately preceding the Change in Control; or</w:t>
      </w:r>
    </w:p>
    <w:p>
      <w:pPr>
        <w:spacing w:after="0" w:line="67" w:lineRule="exact"/>
        <w:rPr>
          <w:rFonts w:ascii="Arial" w:cs="Arial" w:eastAsia="Arial" w:hAnsi="Arial"/>
          <w:sz w:val="17"/>
          <w:szCs w:val="17"/>
          <w:color w:val="auto"/>
        </w:rPr>
      </w:pPr>
    </w:p>
    <w:p>
      <w:pPr>
        <w:jc w:val="both"/>
        <w:ind w:left="4" w:firstLine="1941"/>
        <w:spacing w:after="0" w:line="278" w:lineRule="auto"/>
        <w:tabs>
          <w:tab w:leader="none" w:pos="2807" w:val="left"/>
        </w:tabs>
        <w:numPr>
          <w:ilvl w:val="2"/>
          <w:numId w:val="91"/>
        </w:numPr>
        <w:rPr>
          <w:rFonts w:ascii="Arial" w:cs="Arial" w:eastAsia="Arial" w:hAnsi="Arial"/>
          <w:sz w:val="18"/>
          <w:szCs w:val="18"/>
          <w:color w:val="auto"/>
        </w:rPr>
      </w:pPr>
      <w:r>
        <w:rPr>
          <w:rFonts w:ascii="Arial" w:cs="Arial" w:eastAsia="Arial" w:hAnsi="Arial"/>
          <w:sz w:val="20"/>
          <w:szCs w:val="20"/>
          <w:color w:val="auto"/>
        </w:rPr>
        <w:t>any termination of Participant’s employment by the Company that is not effected pursuant to a written notice of termination which sets forth in reasonable detail the facts and circumstances claimed to provide a basis for termination of the Participant’s employment.</w:t>
      </w:r>
    </w:p>
    <w:p>
      <w:pPr>
        <w:spacing w:after="0" w:line="65" w:lineRule="exact"/>
        <w:rPr>
          <w:sz w:val="20"/>
          <w:szCs w:val="20"/>
          <w:color w:val="auto"/>
        </w:rPr>
      </w:pPr>
    </w:p>
    <w:p>
      <w:pPr>
        <w:jc w:val="both"/>
        <w:ind w:left="4" w:firstLine="648"/>
        <w:spacing w:after="0" w:line="272" w:lineRule="auto"/>
        <w:rPr>
          <w:sz w:val="20"/>
          <w:szCs w:val="20"/>
          <w:color w:val="auto"/>
        </w:rPr>
      </w:pPr>
      <w:r>
        <w:rPr>
          <w:rFonts w:ascii="Arial" w:cs="Arial" w:eastAsia="Arial" w:hAnsi="Arial"/>
          <w:sz w:val="18"/>
          <w:szCs w:val="18"/>
          <w:color w:val="auto"/>
        </w:rPr>
        <w:t>The existence of Good Reason will not be affected by the Participant’s temporary incapacity due to physical or mental illness not constituting a Disability. The Participant’s continued employment will not constitute a waiver of the Participant’s rights with respect to any circumstance constituting Good Reason; however, “Good Reason” for Participant’s separation from employment will exist only if: the Participant provides written notice to the Company within ninety (90) days of the occurrence of any of the above listed events; the Company fails to cure the event within thirty (30) days following the Company’s receipt of Participant’s written notice; and the Participant separates from employment with the Company effective not later than twenty four (24) months after the original occurrence of the “Good Reason” event. For sake of clarity, the event giving rise to a Good Reason termination must occur during the Protection Period, but Participant’s actual termination of employment for Good Reason may occur after the end of the Protection Period, and such termination will be treated as if it occurred during the Protection Period for purposes of Section 3.</w:t>
      </w:r>
    </w:p>
    <w:p>
      <w:pPr>
        <w:sectPr>
          <w:pgSz w:w="11900" w:h="16838" w:orient="portrait"/>
          <w:cols w:equalWidth="0" w:num="1">
            <w:col w:w="10764"/>
          </w:cols>
          <w:pgMar w:left="896" w:top="595" w:right="239" w:bottom="1440" w:gutter="0" w:footer="0" w:header="0"/>
        </w:sectPr>
      </w:pPr>
    </w:p>
    <w:bookmarkStart w:id="106" w:name="page107"/>
    <w:bookmarkEnd w:id="106"/>
    <w:p>
      <w:pPr>
        <w:ind w:left="2160" w:hanging="867"/>
        <w:spacing w:after="0"/>
        <w:tabs>
          <w:tab w:leader="none" w:pos="2160" w:val="left"/>
        </w:tabs>
        <w:numPr>
          <w:ilvl w:val="0"/>
          <w:numId w:val="92"/>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termination of the Participant’s employment on or after the date the Participant reaches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the age of 62.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Executed as of the Grant Date.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TechnipFMC plc</w:t>
      </w:r>
    </w:p>
    <w:p>
      <w:pPr>
        <w:spacing w:after="0" w:line="200" w:lineRule="exact"/>
        <w:rPr>
          <w:sz w:val="20"/>
          <w:szCs w:val="20"/>
          <w:color w:val="auto"/>
        </w:rPr>
      </w:pPr>
    </w:p>
    <w:p>
      <w:pPr>
        <w:spacing w:after="0" w:line="400" w:lineRule="exact"/>
        <w:rPr>
          <w:sz w:val="20"/>
          <w:szCs w:val="20"/>
          <w:color w:val="auto"/>
        </w:rPr>
      </w:pPr>
    </w:p>
    <w:p>
      <w:pPr>
        <w:ind w:left="80"/>
        <w:spacing w:after="0"/>
        <w:rPr>
          <w:sz w:val="20"/>
          <w:szCs w:val="20"/>
          <w:color w:val="auto"/>
        </w:rPr>
      </w:pPr>
      <w:r>
        <w:rPr>
          <w:rFonts w:ascii="Arial" w:cs="Arial" w:eastAsia="Arial" w:hAnsi="Arial"/>
          <w:sz w:val="20"/>
          <w:szCs w:val="20"/>
          <w:u w:val="single" w:color="auto"/>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27305</wp:posOffset>
            </wp:positionV>
            <wp:extent cx="62947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document constitutes part of a prospectus covering securities that have been registered under the Securities Act of 1933.</w:t>
      </w:r>
    </w:p>
    <w:p>
      <w:pPr>
        <w:sectPr>
          <w:pgSz w:w="11900" w:h="16838" w:orient="portrait"/>
          <w:cols w:equalWidth="0" w:num="1">
            <w:col w:w="10760"/>
          </w:cols>
          <w:pgMar w:left="900" w:top="933" w:right="239" w:bottom="1440" w:gutter="0" w:footer="0" w:header="0"/>
        </w:sectPr>
      </w:pPr>
    </w:p>
    <w:bookmarkStart w:id="107" w:name="page108"/>
    <w:bookmarkEnd w:id="107"/>
    <w:p>
      <w:pPr>
        <w:ind w:left="4424"/>
        <w:spacing w:after="0"/>
        <w:rPr>
          <w:sz w:val="20"/>
          <w:szCs w:val="20"/>
          <w:color w:val="auto"/>
        </w:rPr>
      </w:pPr>
      <w:r>
        <w:rPr>
          <w:rFonts w:ascii="Arial" w:cs="Arial" w:eastAsia="Arial" w:hAnsi="Arial"/>
          <w:sz w:val="20"/>
          <w:szCs w:val="20"/>
          <w:b w:val="1"/>
          <w:bCs w:val="1"/>
          <w:u w:val="single" w:color="auto"/>
          <w:color w:val="auto"/>
        </w:rPr>
        <w:t>SCHEDULE A</w:t>
      </w:r>
    </w:p>
    <w:p>
      <w:pPr>
        <w:spacing w:after="0" w:line="108" w:lineRule="exact"/>
        <w:rPr>
          <w:sz w:val="20"/>
          <w:szCs w:val="20"/>
          <w:color w:val="auto"/>
        </w:rPr>
      </w:pPr>
    </w:p>
    <w:p>
      <w:pPr>
        <w:ind w:left="2724"/>
        <w:spacing w:after="0"/>
        <w:rPr>
          <w:sz w:val="20"/>
          <w:szCs w:val="20"/>
          <w:color w:val="auto"/>
        </w:rPr>
      </w:pPr>
      <w:r>
        <w:rPr>
          <w:rFonts w:ascii="Arial" w:cs="Arial" w:eastAsia="Arial" w:hAnsi="Arial"/>
          <w:sz w:val="20"/>
          <w:szCs w:val="20"/>
          <w:b w:val="1"/>
          <w:bCs w:val="1"/>
          <w:color w:val="auto"/>
        </w:rPr>
        <w:t>TO TECHNIPFMC PLC INCENTIVE AWARD PLAN</w:t>
      </w:r>
    </w:p>
    <w:p>
      <w:pPr>
        <w:spacing w:after="0" w:line="22" w:lineRule="exact"/>
        <w:rPr>
          <w:sz w:val="20"/>
          <w:szCs w:val="20"/>
          <w:color w:val="auto"/>
        </w:rPr>
      </w:pPr>
    </w:p>
    <w:p>
      <w:pPr>
        <w:jc w:val="center"/>
        <w:ind w:right="636"/>
        <w:spacing w:after="0"/>
        <w:rPr>
          <w:sz w:val="20"/>
          <w:szCs w:val="20"/>
          <w:color w:val="auto"/>
        </w:rPr>
      </w:pPr>
      <w:r>
        <w:rPr>
          <w:rFonts w:ascii="Arial" w:cs="Arial" w:eastAsia="Arial" w:hAnsi="Arial"/>
          <w:sz w:val="20"/>
          <w:szCs w:val="20"/>
          <w:b w:val="1"/>
          <w:bCs w:val="1"/>
          <w:u w:val="single" w:color="auto"/>
          <w:color w:val="auto"/>
        </w:rPr>
        <w:t>STOCK OPTION AWARD AGREEMENT</w:t>
      </w:r>
    </w:p>
    <w:p>
      <w:pPr>
        <w:spacing w:after="0" w:line="86" w:lineRule="exact"/>
        <w:rPr>
          <w:sz w:val="20"/>
          <w:szCs w:val="20"/>
          <w:color w:val="auto"/>
        </w:rPr>
      </w:pPr>
    </w:p>
    <w:p>
      <w:pPr>
        <w:jc w:val="center"/>
        <w:ind w:right="636"/>
        <w:spacing w:after="0"/>
        <w:rPr>
          <w:sz w:val="20"/>
          <w:szCs w:val="20"/>
          <w:color w:val="auto"/>
        </w:rPr>
      </w:pPr>
      <w:r>
        <w:rPr>
          <w:rFonts w:ascii="Arial" w:cs="Arial" w:eastAsia="Arial" w:hAnsi="Arial"/>
          <w:sz w:val="20"/>
          <w:szCs w:val="20"/>
          <w:b w:val="1"/>
          <w:bCs w:val="1"/>
          <w:u w:val="single" w:color="auto"/>
          <w:color w:val="auto"/>
        </w:rPr>
        <w:t>COUNTRY SCHEDULE</w:t>
      </w:r>
    </w:p>
    <w:p>
      <w:pPr>
        <w:spacing w:after="0" w:line="222" w:lineRule="exact"/>
        <w:rPr>
          <w:sz w:val="20"/>
          <w:szCs w:val="20"/>
          <w:color w:val="auto"/>
        </w:rPr>
      </w:pPr>
    </w:p>
    <w:p>
      <w:pPr>
        <w:jc w:val="both"/>
        <w:ind w:left="4" w:firstLine="648"/>
        <w:spacing w:after="0" w:line="24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includes (i) additional terms and conditions applicable to all Participants providing services to the Company outside the United States, and (ii) additional terms applicable to Participants providing services to the Company in the countries identified below. These terms and conditions are in addition to those set forth in the Agreement, unless otherwise noted, and to the extent there are any inconsistencies between these terms and conditions and those set forth in the Agreement, these terms and conditions shall prevail. Any capitalized term used in this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without definition shall have the meaning ascribed to such term in the Plan or the Agreement, as applicable.</w:t>
      </w:r>
    </w:p>
    <w:p>
      <w:pPr>
        <w:spacing w:after="0" w:line="136" w:lineRule="exact"/>
        <w:rPr>
          <w:sz w:val="20"/>
          <w:szCs w:val="20"/>
          <w:color w:val="auto"/>
        </w:rPr>
      </w:pPr>
    </w:p>
    <w:p>
      <w:pPr>
        <w:jc w:val="both"/>
        <w:ind w:left="4" w:right="20" w:firstLine="648"/>
        <w:spacing w:after="0" w:line="267" w:lineRule="auto"/>
        <w:rPr>
          <w:sz w:val="20"/>
          <w:szCs w:val="20"/>
          <w:color w:val="auto"/>
        </w:rPr>
      </w:pPr>
      <w:r>
        <w:rPr>
          <w:rFonts w:ascii="Arial" w:cs="Arial" w:eastAsia="Arial" w:hAnsi="Arial"/>
          <w:sz w:val="20"/>
          <w:szCs w:val="20"/>
          <w:b w:val="1"/>
          <w:bCs w:val="1"/>
          <w:color w:val="auto"/>
        </w:rPr>
        <w:t>Participants are advised to seek appropriate professional advice as to how the relevant exchange control and tax laws in the country of residence may apply to Awards.</w:t>
      </w:r>
    </w:p>
    <w:p>
      <w:pPr>
        <w:spacing w:after="0" w:line="110" w:lineRule="exact"/>
        <w:rPr>
          <w:sz w:val="20"/>
          <w:szCs w:val="20"/>
          <w:color w:val="auto"/>
        </w:rPr>
      </w:pPr>
    </w:p>
    <w:p>
      <w:pPr>
        <w:ind w:left="644" w:hanging="644"/>
        <w:spacing w:after="0" w:line="267" w:lineRule="auto"/>
        <w:tabs>
          <w:tab w:leader="none" w:pos="644"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GLOBAL PROVISIONS APPLICABLE TO PARTICIPANTS IN ALL COUNTRIES OTHER THAN THE UNITED STATES</w:t>
      </w:r>
    </w:p>
    <w:p>
      <w:pPr>
        <w:spacing w:after="0" w:line="129" w:lineRule="exact"/>
        <w:rPr>
          <w:rFonts w:ascii="Arial" w:cs="Arial" w:eastAsia="Arial" w:hAnsi="Arial"/>
          <w:sz w:val="20"/>
          <w:szCs w:val="20"/>
          <w:b w:val="1"/>
          <w:bCs w:val="1"/>
          <w:color w:val="auto"/>
        </w:rPr>
      </w:pPr>
    </w:p>
    <w:p>
      <w:pPr>
        <w:ind w:left="1444" w:hanging="795"/>
        <w:spacing w:after="0"/>
        <w:tabs>
          <w:tab w:leader="none" w:pos="1444"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General Acknowledgements and Agreements</w:t>
      </w:r>
      <w:r>
        <w:rPr>
          <w:rFonts w:ascii="Arial" w:cs="Arial" w:eastAsia="Arial" w:hAnsi="Arial"/>
          <w:sz w:val="16"/>
          <w:szCs w:val="16"/>
          <w:color w:val="auto"/>
        </w:rPr>
        <w:t>: By acceptance of the Award, the Participant acknowledges and agrees</w:t>
      </w:r>
    </w:p>
    <w:p>
      <w:pPr>
        <w:spacing w:after="0" w:line="7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20"/>
          <w:szCs w:val="20"/>
          <w:color w:val="auto"/>
        </w:rPr>
        <w:t>that:</w:t>
      </w:r>
    </w:p>
    <w:p>
      <w:pPr>
        <w:spacing w:after="0" w:line="188" w:lineRule="exact"/>
        <w:rPr>
          <w:rFonts w:ascii="Arial" w:cs="Arial" w:eastAsia="Arial" w:hAnsi="Arial"/>
          <w:sz w:val="16"/>
          <w:szCs w:val="16"/>
          <w:color w:val="auto"/>
        </w:rPr>
      </w:pPr>
    </w:p>
    <w:p>
      <w:pPr>
        <w:jc w:val="both"/>
        <w:ind w:left="4" w:firstLine="1293"/>
        <w:spacing w:after="0" w:line="270" w:lineRule="auto"/>
        <w:tabs>
          <w:tab w:leader="none" w:pos="2168" w:val="left"/>
        </w:tabs>
        <w:numPr>
          <w:ilvl w:val="2"/>
          <w:numId w:val="93"/>
        </w:numPr>
        <w:rPr>
          <w:rFonts w:ascii="Arial" w:cs="Arial" w:eastAsia="Arial" w:hAnsi="Arial"/>
          <w:sz w:val="20"/>
          <w:szCs w:val="20"/>
          <w:color w:val="auto"/>
        </w:rPr>
      </w:pPr>
      <w:r>
        <w:rPr>
          <w:rFonts w:ascii="Arial" w:cs="Arial" w:eastAsia="Arial" w:hAnsi="Arial"/>
          <w:sz w:val="20"/>
          <w:szCs w:val="20"/>
          <w:u w:val="single" w:color="auto"/>
          <w:color w:val="auto"/>
        </w:rPr>
        <w:t>No Guarantee of Continued Service</w:t>
      </w:r>
      <w:r>
        <w:rPr>
          <w:rFonts w:ascii="Arial" w:cs="Arial" w:eastAsia="Arial" w:hAnsi="Arial"/>
          <w:sz w:val="20"/>
          <w:szCs w:val="20"/>
          <w:color w:val="auto"/>
        </w:rPr>
        <w:t>. THE VESTING OF THE STOCK OPTIONS PURSUANT TO THE VESTING SCHEDULE WILL OCCUR ONLY IF THE PARTICIPANT CONTINUES AS A DIRECTOR, CONSULTANT OR EMPLOYEE (AS APPLICABLE) OF THE COMPANY OR A SUBSIDIARY THROUGH THE APPLICABLE VESTING DATE. THE TRANSACTIONS CONTEMPLATED HEREUNDER AND THE VESTING SCHEDULE DO NOT CONSTITUTE AN EXPRESS OR IMPLIED PROMISE OF CONTINUED ENGAGEMENT AS A DIRECTOR, CONSULTANT OR EMPLOYEE FOR THE VESTING PERIOD, FOR ANY PERIOD, OR AT ALL, AND WILL NOT INTERFERE IN ANY WAY WITH THE RIGHT OF THE COMPANY OR ANY SUBSIDIARY TO EFFECT A TERMINATION OF SERVICES AT ANY TIME, WITH OR WITHOUT CAUSE, NOR SHALL IT BE CONSTRUED TO AMEND OR MODIFY THE TERMS OF ANY CONSULTANCY, DIRECTORSHIP, EMPLOYMENT OR OTHER SERVICE AGREEMENT BETWEEN A PARTICIPANT AND THE COMPANY OR ANY SUBSIDIARY.</w:t>
      </w:r>
    </w:p>
    <w:p>
      <w:pPr>
        <w:spacing w:after="0" w:line="140" w:lineRule="exact"/>
        <w:rPr>
          <w:rFonts w:ascii="Arial" w:cs="Arial" w:eastAsia="Arial" w:hAnsi="Arial"/>
          <w:sz w:val="20"/>
          <w:szCs w:val="20"/>
          <w:color w:val="auto"/>
        </w:rPr>
      </w:pPr>
    </w:p>
    <w:p>
      <w:pPr>
        <w:ind w:left="4" w:right="20" w:firstLine="1293"/>
        <w:spacing w:after="0" w:line="289" w:lineRule="auto"/>
        <w:tabs>
          <w:tab w:leader="none" w:pos="2179" w:val="left"/>
        </w:tabs>
        <w:numPr>
          <w:ilvl w:val="2"/>
          <w:numId w:val="93"/>
        </w:numPr>
        <w:rPr>
          <w:rFonts w:ascii="Arial" w:cs="Arial" w:eastAsia="Arial" w:hAnsi="Arial"/>
          <w:sz w:val="20"/>
          <w:szCs w:val="20"/>
          <w:color w:val="auto"/>
        </w:rPr>
      </w:pPr>
      <w:r>
        <w:rPr>
          <w:rFonts w:ascii="Arial" w:cs="Arial" w:eastAsia="Arial" w:hAnsi="Arial"/>
          <w:sz w:val="20"/>
          <w:szCs w:val="20"/>
          <w:color w:val="auto"/>
        </w:rPr>
        <w:t>The Plan is discretionary in nature and that, subject to the terms of the Plan, the Company can amend, cancel or terminate the Plan at any time.</w:t>
      </w:r>
    </w:p>
    <w:p>
      <w:pPr>
        <w:spacing w:after="0" w:line="121" w:lineRule="exact"/>
        <w:rPr>
          <w:rFonts w:ascii="Arial" w:cs="Arial" w:eastAsia="Arial" w:hAnsi="Arial"/>
          <w:sz w:val="20"/>
          <w:szCs w:val="20"/>
          <w:color w:val="auto"/>
        </w:rPr>
      </w:pPr>
    </w:p>
    <w:p>
      <w:pPr>
        <w:jc w:val="both"/>
        <w:ind w:left="4" w:firstLine="1293"/>
        <w:spacing w:after="0" w:line="278" w:lineRule="auto"/>
        <w:tabs>
          <w:tab w:leader="none" w:pos="2168" w:val="left"/>
        </w:tabs>
        <w:numPr>
          <w:ilvl w:val="2"/>
          <w:numId w:val="93"/>
        </w:numPr>
        <w:rPr>
          <w:rFonts w:ascii="Arial" w:cs="Arial" w:eastAsia="Arial" w:hAnsi="Arial"/>
          <w:sz w:val="20"/>
          <w:szCs w:val="20"/>
          <w:color w:val="auto"/>
        </w:rPr>
      </w:pPr>
      <w:r>
        <w:rPr>
          <w:rFonts w:ascii="Arial" w:cs="Arial" w:eastAsia="Arial" w:hAnsi="Arial"/>
          <w:sz w:val="20"/>
          <w:szCs w:val="20"/>
          <w:color w:val="auto"/>
        </w:rPr>
        <w:t>The grant of the Option under the Plan is voluntary and occasional and does not give the Participant any contractual or other right to receive Options or benefits in lieu of Options in the future, even if a Participant has received Options repeatedly in the past.</w:t>
      </w:r>
    </w:p>
    <w:p>
      <w:pPr>
        <w:spacing w:after="0" w:line="132" w:lineRule="exact"/>
        <w:rPr>
          <w:rFonts w:ascii="Arial" w:cs="Arial" w:eastAsia="Arial" w:hAnsi="Arial"/>
          <w:sz w:val="20"/>
          <w:szCs w:val="20"/>
          <w:color w:val="auto"/>
        </w:rPr>
      </w:pPr>
    </w:p>
    <w:p>
      <w:pPr>
        <w:jc w:val="both"/>
        <w:ind w:left="4" w:firstLine="1293"/>
        <w:spacing w:after="0" w:line="278" w:lineRule="auto"/>
        <w:tabs>
          <w:tab w:leader="none" w:pos="2179" w:val="left"/>
        </w:tabs>
        <w:numPr>
          <w:ilvl w:val="2"/>
          <w:numId w:val="93"/>
        </w:numPr>
        <w:rPr>
          <w:rFonts w:ascii="Arial" w:cs="Arial" w:eastAsia="Arial" w:hAnsi="Arial"/>
          <w:sz w:val="20"/>
          <w:szCs w:val="20"/>
          <w:color w:val="auto"/>
        </w:rPr>
      </w:pPr>
      <w:r>
        <w:rPr>
          <w:rFonts w:ascii="Arial" w:cs="Arial" w:eastAsia="Arial" w:hAnsi="Arial"/>
          <w:sz w:val="20"/>
          <w:szCs w:val="20"/>
          <w:color w:val="auto"/>
        </w:rPr>
        <w:t>All determinations with respect to any future awards, including, but not limited to, the times when awards under the Plan shall be granted and the terms thereof, including the time or times when any Options may vest, will be at the sole discretion of the Administrator.</w:t>
      </w:r>
    </w:p>
    <w:p>
      <w:pPr>
        <w:spacing w:after="0" w:line="132" w:lineRule="exact"/>
        <w:rPr>
          <w:rFonts w:ascii="Arial" w:cs="Arial" w:eastAsia="Arial" w:hAnsi="Arial"/>
          <w:sz w:val="20"/>
          <w:szCs w:val="20"/>
          <w:color w:val="auto"/>
        </w:rPr>
      </w:pPr>
    </w:p>
    <w:p>
      <w:pPr>
        <w:ind w:left="2164" w:hanging="867"/>
        <w:spacing w:after="0"/>
        <w:tabs>
          <w:tab w:leader="none" w:pos="2164" w:val="left"/>
        </w:tabs>
        <w:numPr>
          <w:ilvl w:val="2"/>
          <w:numId w:val="93"/>
        </w:numPr>
        <w:rPr>
          <w:rFonts w:ascii="Arial" w:cs="Arial" w:eastAsia="Arial" w:hAnsi="Arial"/>
          <w:sz w:val="20"/>
          <w:szCs w:val="20"/>
          <w:color w:val="auto"/>
        </w:rPr>
      </w:pPr>
      <w:r>
        <w:rPr>
          <w:rFonts w:ascii="Arial" w:cs="Arial" w:eastAsia="Arial" w:hAnsi="Arial"/>
          <w:sz w:val="20"/>
          <w:szCs w:val="20"/>
          <w:color w:val="auto"/>
        </w:rPr>
        <w:t>Participation in the Plan is voluntary.</w:t>
      </w:r>
    </w:p>
    <w:p>
      <w:pPr>
        <w:sectPr>
          <w:pgSz w:w="11900" w:h="16838" w:orient="portrait"/>
          <w:cols w:equalWidth="0" w:num="1">
            <w:col w:w="10764"/>
          </w:cols>
          <w:pgMar w:left="896" w:top="1184" w:right="239" w:bottom="1440" w:gutter="0" w:footer="0" w:header="0"/>
        </w:sectPr>
      </w:pPr>
    </w:p>
    <w:bookmarkStart w:id="108" w:name="page109"/>
    <w:bookmarkEnd w:id="108"/>
    <w:p>
      <w:pPr>
        <w:ind w:left="-540" w:firstLine="1293"/>
        <w:spacing w:after="0" w:line="289" w:lineRule="auto"/>
        <w:tabs>
          <w:tab w:leader="none" w:pos="1603"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value of the Options is an extraordinary item of compensation that is outside of the scope of any directorship, consultancy or employment contract or relationship.</w:t>
      </w:r>
    </w:p>
    <w:p>
      <w:pPr>
        <w:spacing w:after="0" w:line="121" w:lineRule="exact"/>
        <w:rPr>
          <w:rFonts w:ascii="Arial" w:cs="Arial" w:eastAsia="Arial" w:hAnsi="Arial"/>
          <w:sz w:val="20"/>
          <w:szCs w:val="20"/>
          <w:color w:val="auto"/>
        </w:rPr>
      </w:pPr>
    </w:p>
    <w:p>
      <w:pPr>
        <w:jc w:val="both"/>
        <w:ind w:left="-540" w:firstLine="1293"/>
        <w:spacing w:after="0" w:line="278" w:lineRule="auto"/>
        <w:tabs>
          <w:tab w:leader="none" w:pos="1635"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Options are not part of normal or expected compensation or salary for any purpose, including, without limitation, calculating severance, resignation, redundancy, end of service payments, bonuses, long-service awards, pension or retirement benefits, or similar payments.</w:t>
      </w:r>
    </w:p>
    <w:p>
      <w:pPr>
        <w:spacing w:after="0" w:line="132" w:lineRule="exact"/>
        <w:rPr>
          <w:rFonts w:ascii="Arial" w:cs="Arial" w:eastAsia="Arial" w:hAnsi="Arial"/>
          <w:sz w:val="20"/>
          <w:szCs w:val="20"/>
          <w:color w:val="auto"/>
        </w:rPr>
      </w:pPr>
    </w:p>
    <w:p>
      <w:pPr>
        <w:ind w:left="-540" w:firstLine="1293"/>
        <w:spacing w:after="0" w:line="289" w:lineRule="auto"/>
        <w:tabs>
          <w:tab w:leader="none" w:pos="1635"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Options shall expire, terminate and be forfeited upon Termination of Services for any reason, except as otherwise explicitly provided in this Agreement and/or the Plan.</w:t>
      </w:r>
    </w:p>
    <w:p>
      <w:pPr>
        <w:spacing w:after="0" w:line="121" w:lineRule="exact"/>
        <w:rPr>
          <w:rFonts w:ascii="Arial" w:cs="Arial" w:eastAsia="Arial" w:hAnsi="Arial"/>
          <w:sz w:val="20"/>
          <w:szCs w:val="20"/>
          <w:color w:val="auto"/>
        </w:rPr>
      </w:pPr>
    </w:p>
    <w:p>
      <w:pPr>
        <w:ind w:left="-540" w:firstLine="1293"/>
        <w:spacing w:after="0" w:line="289" w:lineRule="auto"/>
        <w:tabs>
          <w:tab w:leader="none" w:pos="1592"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future value of the Shares that may be issued upon vesting and exercise of the Options is unknown and cannot be predicted with any certainty.</w:t>
      </w:r>
    </w:p>
    <w:p>
      <w:pPr>
        <w:spacing w:after="0" w:line="121" w:lineRule="exact"/>
        <w:rPr>
          <w:rFonts w:ascii="Arial" w:cs="Arial" w:eastAsia="Arial" w:hAnsi="Arial"/>
          <w:sz w:val="20"/>
          <w:szCs w:val="20"/>
          <w:color w:val="auto"/>
        </w:rPr>
      </w:pPr>
    </w:p>
    <w:p>
      <w:pPr>
        <w:ind w:left="-540" w:firstLine="1293"/>
        <w:spacing w:after="0" w:line="289" w:lineRule="auto"/>
        <w:tabs>
          <w:tab w:leader="none" w:pos="1592" w:val="left"/>
        </w:tabs>
        <w:numPr>
          <w:ilvl w:val="0"/>
          <w:numId w:val="94"/>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arises from the expiration, termination or forfeiture of the Options or any portion thereof.</w:t>
      </w:r>
    </w:p>
    <w:p>
      <w:pPr>
        <w:spacing w:after="0" w:line="121" w:lineRule="exact"/>
        <w:rPr>
          <w:rFonts w:ascii="Arial" w:cs="Arial" w:eastAsia="Arial" w:hAnsi="Arial"/>
          <w:sz w:val="20"/>
          <w:szCs w:val="20"/>
          <w:color w:val="auto"/>
        </w:rPr>
      </w:pPr>
    </w:p>
    <w:p>
      <w:pPr>
        <w:jc w:val="both"/>
        <w:ind w:left="-540" w:firstLine="1293"/>
        <w:spacing w:after="0" w:line="293" w:lineRule="auto"/>
        <w:tabs>
          <w:tab w:leader="none" w:pos="1635" w:val="left"/>
        </w:tabs>
        <w:numPr>
          <w:ilvl w:val="0"/>
          <w:numId w:val="94"/>
        </w:numPr>
        <w:rPr>
          <w:rFonts w:ascii="Arial" w:cs="Arial" w:eastAsia="Arial" w:hAnsi="Arial"/>
          <w:sz w:val="19"/>
          <w:szCs w:val="19"/>
          <w:color w:val="auto"/>
        </w:rPr>
      </w:pPr>
      <w:r>
        <w:rPr>
          <w:rFonts w:ascii="Arial" w:cs="Arial" w:eastAsia="Arial" w:hAnsi="Arial"/>
          <w:sz w:val="19"/>
          <w:szCs w:val="19"/>
          <w:color w:val="auto"/>
        </w:rPr>
        <w:t>Neither the Company nor any Subsidiary has provided, nor will they provide, any Participant with specific tax, legal or financial advice with respect to the Options, the Shares issuable upon vesting and exercise of Options, this Agreement or the Plan. Neither the Company nor any Subsidiary is making, nor have they made, any recommendations relating to participation in the Plan, the receipt of the Options or the acquisition or sale of Shares upon vesting and exercise of Options.</w:t>
      </w:r>
    </w:p>
    <w:p>
      <w:pPr>
        <w:spacing w:after="0" w:line="121" w:lineRule="exact"/>
        <w:rPr>
          <w:rFonts w:ascii="Arial" w:cs="Arial" w:eastAsia="Arial" w:hAnsi="Arial"/>
          <w:sz w:val="19"/>
          <w:szCs w:val="19"/>
          <w:color w:val="auto"/>
        </w:rPr>
      </w:pPr>
    </w:p>
    <w:p>
      <w:pPr>
        <w:jc w:val="both"/>
        <w:ind w:left="-540" w:firstLine="1293"/>
        <w:spacing w:after="0" w:line="278" w:lineRule="auto"/>
        <w:tabs>
          <w:tab w:leader="none" w:pos="1592"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Participant shall bear any and all risk associated with the exchange of currency and the fluctuation of currency exchange rates in connection with this Award, including without limitation in connection with the sale of any Shares issued upon vesting and exercise of the Options.</w:t>
      </w:r>
    </w:p>
    <w:p>
      <w:pPr>
        <w:spacing w:after="0" w:line="132" w:lineRule="exact"/>
        <w:rPr>
          <w:rFonts w:ascii="Arial" w:cs="Arial" w:eastAsia="Arial" w:hAnsi="Arial"/>
          <w:sz w:val="20"/>
          <w:szCs w:val="20"/>
          <w:color w:val="auto"/>
        </w:rPr>
      </w:pPr>
    </w:p>
    <w:p>
      <w:pPr>
        <w:jc w:val="both"/>
        <w:ind w:left="-540" w:firstLine="1293"/>
        <w:spacing w:after="0" w:line="278" w:lineRule="auto"/>
        <w:tabs>
          <w:tab w:leader="none" w:pos="1691" w:val="left"/>
        </w:tabs>
        <w:numPr>
          <w:ilvl w:val="0"/>
          <w:numId w:val="94"/>
        </w:numPr>
        <w:rPr>
          <w:rFonts w:ascii="Arial" w:cs="Arial" w:eastAsia="Arial" w:hAnsi="Arial"/>
          <w:sz w:val="20"/>
          <w:szCs w:val="20"/>
          <w:color w:val="auto"/>
        </w:rPr>
      </w:pPr>
      <w:r>
        <w:rPr>
          <w:rFonts w:ascii="Arial" w:cs="Arial" w:eastAsia="Arial" w:hAnsi="Arial"/>
          <w:sz w:val="20"/>
          <w:szCs w:val="20"/>
          <w:color w:val="auto"/>
        </w:rPr>
        <w:t>It shall be the Participant’s responsibility to comply with any and all exchange control requirements applicable to the Options and the sale of Shares issued upon vesting and exercise of the Options and any resulting funds including, without limitation, reporting or repatriation requirements.</w:t>
      </w:r>
    </w:p>
    <w:p>
      <w:pPr>
        <w:spacing w:after="0" w:line="132" w:lineRule="exact"/>
        <w:rPr>
          <w:rFonts w:ascii="Arial" w:cs="Arial" w:eastAsia="Arial" w:hAnsi="Arial"/>
          <w:sz w:val="20"/>
          <w:szCs w:val="20"/>
          <w:color w:val="auto"/>
        </w:rPr>
      </w:pPr>
    </w:p>
    <w:p>
      <w:pPr>
        <w:jc w:val="both"/>
        <w:ind w:left="-540" w:firstLine="1293"/>
        <w:spacing w:after="0" w:line="274" w:lineRule="auto"/>
        <w:tabs>
          <w:tab w:leader="none" w:pos="1635"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Participant shall be responsible for legal compliance requirements relating to the Options or the ownership and possible sale of any Shares issued upon vesting and exercise of the Options, including, but not limited to, tax reporting, the exchange of U.S. dollars into or from local currency, the transfer of funds to or from the United States, and the opening and use of a U.S. brokerage account.</w:t>
      </w:r>
    </w:p>
    <w:p>
      <w:pPr>
        <w:spacing w:after="0" w:line="138" w:lineRule="exact"/>
        <w:rPr>
          <w:rFonts w:ascii="Arial" w:cs="Arial" w:eastAsia="Arial" w:hAnsi="Arial"/>
          <w:sz w:val="20"/>
          <w:szCs w:val="20"/>
          <w:color w:val="auto"/>
        </w:rPr>
      </w:pPr>
    </w:p>
    <w:p>
      <w:pPr>
        <w:jc w:val="both"/>
        <w:ind w:left="-540" w:firstLine="1293"/>
        <w:spacing w:after="0" w:line="273" w:lineRule="auto"/>
        <w:tabs>
          <w:tab w:leader="none" w:pos="1635" w:val="left"/>
        </w:tabs>
        <w:numPr>
          <w:ilvl w:val="0"/>
          <w:numId w:val="94"/>
        </w:numPr>
        <w:rPr>
          <w:rFonts w:ascii="Arial" w:cs="Arial" w:eastAsia="Arial" w:hAnsi="Arial"/>
          <w:sz w:val="20"/>
          <w:szCs w:val="20"/>
          <w:color w:val="auto"/>
        </w:rPr>
      </w:pPr>
      <w:r>
        <w:rPr>
          <w:rFonts w:ascii="Arial" w:cs="Arial" w:eastAsia="Arial" w:hAnsi="Arial"/>
          <w:sz w:val="20"/>
          <w:szCs w:val="20"/>
          <w:color w:val="auto"/>
        </w:rPr>
        <w:t>If this Agreement, the Plan, any website or any other document related to the Options is translated into a language other than English, and if the translated version is different from the English version, the English language version will take precedence. By acceptance of the Options, the Participant confirms having read and understood the documents relating to the Plan and the Options, including, without limitation, this Agreement, which were provided in English, and waives any requirement for the Company to provide these documents in any other language.</w:t>
      </w:r>
    </w:p>
    <w:p>
      <w:pPr>
        <w:spacing w:after="0" w:line="137" w:lineRule="exact"/>
        <w:rPr>
          <w:rFonts w:ascii="Arial" w:cs="Arial" w:eastAsia="Arial" w:hAnsi="Arial"/>
          <w:sz w:val="20"/>
          <w:szCs w:val="20"/>
          <w:color w:val="auto"/>
        </w:rPr>
      </w:pPr>
    </w:p>
    <w:p>
      <w:pPr>
        <w:jc w:val="both"/>
        <w:ind w:left="-540" w:firstLine="1293"/>
        <w:spacing w:after="0" w:line="290" w:lineRule="auto"/>
        <w:tabs>
          <w:tab w:leader="none" w:pos="1635"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Participant’s right to vest in and exercise the Options will terminate effective as of the date that is the earlier of (1) the effective date of the Termination of Services (whether or not in breach of local labor laws), or (2) the date he or she is no longer actively providing services, regardless of any notice period or period of pay in lieu of such notice required under applicable laws (including, but not limited to statutory law, regulatory law and/or common law); the Company shall have the exclusive discretion to determine when the Participant is no longer actively providing services for purposes of the Options.</w:t>
      </w:r>
    </w:p>
    <w:p>
      <w:pPr>
        <w:sectPr>
          <w:pgSz w:w="11900" w:h="16838" w:orient="portrait"/>
          <w:cols w:equalWidth="0" w:num="1">
            <w:col w:w="10220"/>
          </w:cols>
          <w:pgMar w:left="1440" w:top="987" w:right="239" w:bottom="1440" w:gutter="0" w:footer="0" w:header="0"/>
        </w:sectPr>
      </w:pPr>
    </w:p>
    <w:bookmarkStart w:id="109" w:name="page110"/>
    <w:bookmarkEnd w:id="109"/>
    <w:p>
      <w:pPr>
        <w:ind w:left="4" w:firstLine="1293"/>
        <w:spacing w:after="0" w:line="316" w:lineRule="auto"/>
        <w:tabs>
          <w:tab w:leader="none" w:pos="2179"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To the extent the Participant is providing services in a country identified in Section II of this </w:t>
      </w:r>
      <w:r>
        <w:rPr>
          <w:rFonts w:ascii="Arial" w:cs="Arial" w:eastAsia="Arial" w:hAnsi="Arial"/>
          <w:sz w:val="19"/>
          <w:szCs w:val="19"/>
          <w:u w:val="single" w:color="auto"/>
          <w:color w:val="auto"/>
        </w:rPr>
        <w:t>Schedule A</w:t>
      </w:r>
      <w:r>
        <w:rPr>
          <w:rFonts w:ascii="Arial" w:cs="Arial" w:eastAsia="Arial" w:hAnsi="Arial"/>
          <w:sz w:val="19"/>
          <w:szCs w:val="19"/>
          <w:color w:val="auto"/>
        </w:rPr>
        <w:t>, such Participant understands and agrees that the provisions for such country apply and are incorporated into the Agreement.</w:t>
      </w:r>
    </w:p>
    <w:p>
      <w:pPr>
        <w:spacing w:after="0" w:line="93" w:lineRule="exact"/>
        <w:rPr>
          <w:rFonts w:ascii="Arial" w:cs="Arial" w:eastAsia="Arial" w:hAnsi="Arial"/>
          <w:sz w:val="19"/>
          <w:szCs w:val="19"/>
          <w:color w:val="auto"/>
        </w:rPr>
      </w:pPr>
    </w:p>
    <w:p>
      <w:pPr>
        <w:jc w:val="both"/>
        <w:ind w:left="4" w:firstLine="645"/>
        <w:spacing w:after="0" w:line="292" w:lineRule="auto"/>
        <w:tabs>
          <w:tab w:leader="none" w:pos="1435" w:val="left"/>
        </w:tabs>
        <w:numPr>
          <w:ilvl w:val="0"/>
          <w:numId w:val="96"/>
        </w:numPr>
        <w:rPr>
          <w:rFonts w:ascii="Arial" w:cs="Arial" w:eastAsia="Arial" w:hAnsi="Arial"/>
          <w:sz w:val="17"/>
          <w:szCs w:val="17"/>
          <w:color w:val="auto"/>
        </w:rPr>
      </w:pPr>
      <w:r>
        <w:rPr>
          <w:rFonts w:ascii="Arial" w:cs="Arial" w:eastAsia="Arial" w:hAnsi="Arial"/>
          <w:sz w:val="19"/>
          <w:szCs w:val="19"/>
          <w:b w:val="1"/>
          <w:bCs w:val="1"/>
          <w:color w:val="auto"/>
        </w:rPr>
        <w:t xml:space="preserve">Consent to Personal Data Processing and Transfer. </w:t>
      </w:r>
      <w:r>
        <w:rPr>
          <w:rFonts w:ascii="Arial" w:cs="Arial" w:eastAsia="Arial" w:hAnsi="Arial"/>
          <w:sz w:val="19"/>
          <w:szCs w:val="19"/>
          <w:color w:val="auto"/>
        </w:rPr>
        <w:t>The Company may hold, and by accepting the Options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consents to their holding, personal information, including the Participant’s name, home address, telephone number, date of birth, social security number or other Employee tax identification number, national identification number, passport number, employment history and status, salary, nationality, job title, and information about any equity compensation grants or Shares awarded, cancelled, purchased, vested, unvested or outstanding in the Participant’s favor (the “</w:t>
      </w:r>
      <w:r>
        <w:rPr>
          <w:rFonts w:ascii="Arial" w:cs="Arial" w:eastAsia="Arial" w:hAnsi="Arial"/>
          <w:sz w:val="19"/>
          <w:szCs w:val="19"/>
          <w:u w:val="single" w:color="auto"/>
          <w:color w:val="auto"/>
        </w:rPr>
        <w:t>Data</w:t>
      </w:r>
      <w:r>
        <w:rPr>
          <w:rFonts w:ascii="Arial" w:cs="Arial" w:eastAsia="Arial" w:hAnsi="Arial"/>
          <w:sz w:val="19"/>
          <w:szCs w:val="19"/>
          <w:color w:val="auto"/>
        </w:rPr>
        <w:t>”).</w:t>
      </w:r>
    </w:p>
    <w:p>
      <w:pPr>
        <w:spacing w:after="0" w:line="108" w:lineRule="exact"/>
        <w:rPr>
          <w:sz w:val="20"/>
          <w:szCs w:val="20"/>
          <w:color w:val="auto"/>
        </w:rPr>
      </w:pPr>
    </w:p>
    <w:p>
      <w:pPr>
        <w:jc w:val="both"/>
        <w:ind w:left="4" w:firstLine="648"/>
        <w:spacing w:after="0" w:line="260" w:lineRule="auto"/>
        <w:rPr>
          <w:sz w:val="20"/>
          <w:szCs w:val="20"/>
          <w:color w:val="auto"/>
        </w:rPr>
      </w:pPr>
      <w:r>
        <w:rPr>
          <w:rFonts w:ascii="Arial" w:cs="Arial" w:eastAsia="Arial" w:hAnsi="Arial"/>
          <w:sz w:val="20"/>
          <w:szCs w:val="20"/>
          <w:color w:val="auto"/>
        </w:rPr>
        <w:t>The Company uses the Data for the purpose of implementing, managing and administering the Plan and for compliance and financial reporting purposes (the “</w:t>
      </w:r>
      <w:r>
        <w:rPr>
          <w:rFonts w:ascii="Arial" w:cs="Arial" w:eastAsia="Arial" w:hAnsi="Arial"/>
          <w:sz w:val="20"/>
          <w:szCs w:val="20"/>
          <w:u w:val="single" w:color="auto"/>
          <w:color w:val="auto"/>
        </w:rPr>
        <w:t>Purpose</w:t>
      </w:r>
      <w:r>
        <w:rPr>
          <w:rFonts w:ascii="Arial" w:cs="Arial" w:eastAsia="Arial" w:hAnsi="Arial"/>
          <w:sz w:val="20"/>
          <w:szCs w:val="20"/>
          <w:color w:val="auto"/>
        </w:rPr>
        <w:t>”).</w:t>
      </w:r>
    </w:p>
    <w:p>
      <w:pPr>
        <w:spacing w:after="0" w:line="123" w:lineRule="exact"/>
        <w:rPr>
          <w:sz w:val="20"/>
          <w:szCs w:val="20"/>
          <w:color w:val="auto"/>
        </w:rPr>
      </w:pPr>
    </w:p>
    <w:p>
      <w:pPr>
        <w:jc w:val="both"/>
        <w:ind w:left="4" w:firstLine="648"/>
        <w:spacing w:after="0" w:line="244" w:lineRule="auto"/>
        <w:rPr>
          <w:sz w:val="20"/>
          <w:szCs w:val="20"/>
          <w:color w:val="auto"/>
        </w:rPr>
      </w:pPr>
      <w:r>
        <w:rPr>
          <w:rFonts w:ascii="Arial" w:cs="Arial" w:eastAsia="Arial" w:hAnsi="Arial"/>
          <w:sz w:val="20"/>
          <w:szCs w:val="20"/>
          <w:color w:val="auto"/>
        </w:rPr>
        <w:t>The Company may transfer, and by accepting the Options the Participant consents to any such transfer of, the Data to the Company’s Subsidiaries or to other entities to assist the Company in the Purpose. The Company may also make the Data available to public authorities where required by law or regulation. The third parties and public authorities may be located in the United States, the European Economic Area, or elsewhere, including in territories where data protection laws may not be as protective as in the Participant’s jurisdiction of residence.</w:t>
      </w:r>
    </w:p>
    <w:p>
      <w:pPr>
        <w:spacing w:after="0" w:line="141"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8"/>
          <w:szCs w:val="18"/>
          <w:color w:val="auto"/>
        </w:rPr>
        <w:t xml:space="preserve">The Participant may, at any time, review the Data, require any necessary amendments to it or withdraw the consents given herein in writing by contacting the Company through the Participant’s local human resources representative. In order to withdraw consent, the Participant must do so by writing to the Company’s Stock Administration Department, [____________________________], or sending an email to </w:t>
      </w:r>
      <w:r>
        <w:rPr>
          <w:rFonts w:ascii="Arial" w:cs="Arial" w:eastAsia="Arial" w:hAnsi="Arial"/>
          <w:sz w:val="18"/>
          <w:szCs w:val="18"/>
          <w:u w:val="single" w:color="auto"/>
          <w:color w:val="0000FF"/>
        </w:rPr>
        <w:t>[_______________]</w:t>
      </w:r>
      <w:r>
        <w:rPr>
          <w:rFonts w:ascii="Arial" w:cs="Arial" w:eastAsia="Arial" w:hAnsi="Arial"/>
          <w:sz w:val="18"/>
          <w:szCs w:val="18"/>
          <w:color w:val="auto"/>
        </w:rPr>
        <w:t>. If the Participant withdraws consent, the Company</w:t>
      </w:r>
    </w:p>
    <w:p>
      <w:pPr>
        <w:spacing w:after="0" w:line="3" w:lineRule="exact"/>
        <w:rPr>
          <w:sz w:val="20"/>
          <w:szCs w:val="20"/>
          <w:color w:val="auto"/>
        </w:rPr>
      </w:pPr>
    </w:p>
    <w:p>
      <w:pPr>
        <w:jc w:val="both"/>
        <w:ind w:left="4"/>
        <w:spacing w:after="0" w:line="244" w:lineRule="auto"/>
        <w:rPr>
          <w:sz w:val="20"/>
          <w:szCs w:val="20"/>
          <w:color w:val="auto"/>
        </w:rPr>
      </w:pPr>
      <w:r>
        <w:rPr>
          <w:rFonts w:ascii="Arial" w:cs="Arial" w:eastAsia="Arial" w:hAnsi="Arial"/>
          <w:sz w:val="20"/>
          <w:szCs w:val="20"/>
          <w:color w:val="auto"/>
        </w:rPr>
        <w:t>will not be able to administer this award. Accordingly, upon withdrawal of such consent, this Award will be cancelled when such withdrawal is received.</w:t>
      </w:r>
    </w:p>
    <w:p>
      <w:pPr>
        <w:spacing w:after="0" w:line="132" w:lineRule="exact"/>
        <w:rPr>
          <w:sz w:val="20"/>
          <w:szCs w:val="20"/>
          <w:color w:val="auto"/>
        </w:rPr>
      </w:pPr>
    </w:p>
    <w:p>
      <w:pPr>
        <w:jc w:val="both"/>
        <w:ind w:left="4" w:firstLine="648"/>
        <w:spacing w:after="0" w:line="323" w:lineRule="auto"/>
        <w:rPr>
          <w:sz w:val="20"/>
          <w:szCs w:val="20"/>
          <w:color w:val="auto"/>
        </w:rPr>
      </w:pPr>
      <w:r>
        <w:rPr>
          <w:rFonts w:ascii="Arial" w:cs="Arial" w:eastAsia="Arial" w:hAnsi="Arial"/>
          <w:sz w:val="18"/>
          <w:szCs w:val="18"/>
          <w:b w:val="1"/>
          <w:bCs w:val="1"/>
          <w:color w:val="auto"/>
        </w:rPr>
        <w:t>Participant agrees that the Company and third parties may process Data as described above and below, including transfer to and use in countries in which data protection laws may not be as protective as in jurisdiction of residence.</w:t>
      </w:r>
    </w:p>
    <w:p>
      <w:pPr>
        <w:spacing w:after="0" w:line="64" w:lineRule="exact"/>
        <w:rPr>
          <w:sz w:val="20"/>
          <w:szCs w:val="20"/>
          <w:color w:val="auto"/>
        </w:rPr>
      </w:pPr>
    </w:p>
    <w:p>
      <w:pPr>
        <w:ind w:left="644" w:hanging="644"/>
        <w:spacing w:after="0" w:line="267" w:lineRule="auto"/>
        <w:tabs>
          <w:tab w:leader="none" w:pos="644"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COUNTRY SPECIFIC PROVISIONS APPLICABLE TO PARTICIPANTS WHO PROVIDE SERVICES IN THE IDENTIFIED COUNTRIES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u w:val="single" w:color="auto"/>
          <w:color w:val="auto"/>
        </w:rPr>
        <w:t>FRANCE</w:t>
      </w:r>
    </w:p>
    <w:p>
      <w:pPr>
        <w:spacing w:after="0" w:line="162" w:lineRule="exact"/>
        <w:rPr>
          <w:sz w:val="20"/>
          <w:szCs w:val="20"/>
          <w:color w:val="auto"/>
        </w:rPr>
      </w:pPr>
    </w:p>
    <w:p>
      <w:pPr>
        <w:jc w:val="both"/>
        <w:ind w:left="4" w:firstLine="648"/>
        <w:spacing w:after="0" w:line="246"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France</w:t>
      </w:r>
      <w:r>
        <w:rPr>
          <w:rFonts w:ascii="Arial" w:cs="Arial" w:eastAsia="Arial" w:hAnsi="Arial"/>
          <w:sz w:val="20"/>
          <w:szCs w:val="20"/>
          <w:color w:val="auto"/>
        </w:rPr>
        <w:t xml:space="preserve"> provide additional definitions and conditions for the purpose of granting Options which are intended to qualify for specific French personal income tax and social security treatment in France applicable to stock-options under Articles L. 225-177 to L. 225-186-1 of the French Commercial Code (</w:t>
      </w:r>
      <w:r>
        <w:rPr>
          <w:rFonts w:ascii="Arial" w:cs="Arial" w:eastAsia="Arial" w:hAnsi="Arial"/>
          <w:sz w:val="20"/>
          <w:szCs w:val="20"/>
          <w:i w:val="1"/>
          <w:iCs w:val="1"/>
          <w:color w:val="auto"/>
        </w:rPr>
        <w:t>Code de Commerce</w:t>
      </w:r>
      <w:r>
        <w:rPr>
          <w:rFonts w:ascii="Arial" w:cs="Arial" w:eastAsia="Arial" w:hAnsi="Arial"/>
          <w:sz w:val="20"/>
          <w:szCs w:val="20"/>
          <w:color w:val="auto"/>
        </w:rPr>
        <w:t>), for qualifying Employees and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who are resident in France for French tax purposes (“</w:t>
      </w:r>
      <w:r>
        <w:rPr>
          <w:rFonts w:ascii="Arial" w:cs="Arial" w:eastAsia="Arial" w:hAnsi="Arial"/>
          <w:sz w:val="20"/>
          <w:szCs w:val="20"/>
          <w:u w:val="single" w:color="auto"/>
          <w:color w:val="auto"/>
        </w:rPr>
        <w:t>French Qualifying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Options</w:t>
      </w:r>
      <w:r>
        <w:rPr>
          <w:rFonts w:ascii="Arial" w:cs="Arial" w:eastAsia="Arial" w:hAnsi="Arial"/>
          <w:sz w:val="20"/>
          <w:szCs w:val="20"/>
          <w:color w:val="auto"/>
        </w:rPr>
        <w:t>”).</w:t>
      </w:r>
    </w:p>
    <w:p>
      <w:pPr>
        <w:spacing w:after="0" w:line="137" w:lineRule="exact"/>
        <w:rPr>
          <w:sz w:val="20"/>
          <w:szCs w:val="20"/>
          <w:color w:val="auto"/>
        </w:rPr>
      </w:pPr>
    </w:p>
    <w:p>
      <w:pPr>
        <w:jc w:val="both"/>
        <w:ind w:left="4" w:right="20" w:firstLine="648"/>
        <w:spacing w:after="0" w:line="260" w:lineRule="auto"/>
        <w:rPr>
          <w:sz w:val="20"/>
          <w:szCs w:val="20"/>
          <w:color w:val="auto"/>
        </w:rPr>
      </w:pPr>
      <w:r>
        <w:rPr>
          <w:rFonts w:ascii="Arial" w:cs="Arial" w:eastAsia="Arial" w:hAnsi="Arial"/>
          <w:sz w:val="20"/>
          <w:szCs w:val="20"/>
          <w:color w:val="auto"/>
        </w:rPr>
        <w:t>Notwithstanding any other provisions of the Plan, Options granted under this Country Schedule France to Participants resident in France are subject to the following additional conditions:</w:t>
      </w:r>
    </w:p>
    <w:p>
      <w:pPr>
        <w:spacing w:after="0" w:line="136" w:lineRule="exact"/>
        <w:rPr>
          <w:sz w:val="20"/>
          <w:szCs w:val="20"/>
          <w:color w:val="auto"/>
        </w:rPr>
      </w:pPr>
    </w:p>
    <w:p>
      <w:pPr>
        <w:jc w:val="both"/>
        <w:ind w:left="4" w:firstLine="645"/>
        <w:spacing w:after="0" w:line="297" w:lineRule="auto"/>
        <w:tabs>
          <w:tab w:leader="none" w:pos="1435" w:val="left"/>
        </w:tabs>
        <w:numPr>
          <w:ilvl w:val="1"/>
          <w:numId w:val="98"/>
        </w:numPr>
        <w:rPr>
          <w:rFonts w:ascii="Arial" w:cs="Arial" w:eastAsia="Arial" w:hAnsi="Arial"/>
          <w:sz w:val="16"/>
          <w:szCs w:val="16"/>
          <w:color w:val="auto"/>
        </w:rPr>
      </w:pPr>
      <w:r>
        <w:rPr>
          <w:rFonts w:ascii="Arial" w:cs="Arial" w:eastAsia="Arial" w:hAnsi="Arial"/>
          <w:sz w:val="18"/>
          <w:szCs w:val="18"/>
          <w:u w:val="single" w:color="auto"/>
          <w:color w:val="auto"/>
        </w:rPr>
        <w:t>French Entity</w:t>
      </w:r>
      <w:r>
        <w:rPr>
          <w:rFonts w:ascii="Arial" w:cs="Arial" w:eastAsia="Arial" w:hAnsi="Arial"/>
          <w:sz w:val="18"/>
          <w:szCs w:val="18"/>
          <w:color w:val="auto"/>
        </w:rPr>
        <w:t>. The term “French Entity” has such meaning as is given to it under the definition of “Subsidiary” under Article L 225-180 of the French Commercial Code. A French Entity also means (a) a French permanent establishment of the Company,</w:t>
      </w:r>
    </w:p>
    <w:p>
      <w:pPr>
        <w:ind w:left="284" w:hanging="284"/>
        <w:spacing w:after="0"/>
        <w:tabs>
          <w:tab w:leader="none" w:pos="284" w:val="left"/>
        </w:tabs>
        <w:numPr>
          <w:ilvl w:val="0"/>
          <w:numId w:val="99"/>
        </w:numPr>
        <w:rPr>
          <w:rFonts w:ascii="Arial" w:cs="Arial" w:eastAsia="Arial" w:hAnsi="Arial"/>
          <w:sz w:val="20"/>
          <w:szCs w:val="20"/>
          <w:color w:val="auto"/>
        </w:rPr>
      </w:pPr>
      <w:r>
        <w:rPr>
          <w:rFonts w:ascii="Arial" w:cs="Arial" w:eastAsia="Arial" w:hAnsi="Arial"/>
          <w:sz w:val="20"/>
          <w:szCs w:val="20"/>
          <w:color w:val="auto"/>
        </w:rPr>
        <w:t>a French permanent establishment</w:t>
      </w:r>
    </w:p>
    <w:p>
      <w:pPr>
        <w:sectPr>
          <w:pgSz w:w="11900" w:h="16838" w:orient="portrait"/>
          <w:cols w:equalWidth="0" w:num="1">
            <w:col w:w="10764"/>
          </w:cols>
          <w:pgMar w:left="896" w:top="987" w:right="239" w:bottom="1440" w:gutter="0" w:footer="0" w:header="0"/>
        </w:sectPr>
      </w:pPr>
    </w:p>
    <w:bookmarkStart w:id="110" w:name="page111"/>
    <w:bookmarkEnd w:id="110"/>
    <w:p>
      <w:pPr>
        <w:spacing w:after="0" w:line="260" w:lineRule="auto"/>
        <w:rPr>
          <w:sz w:val="20"/>
          <w:szCs w:val="20"/>
          <w:color w:val="auto"/>
        </w:rPr>
      </w:pPr>
      <w:r>
        <w:rPr>
          <w:rFonts w:ascii="Arial" w:cs="Arial" w:eastAsia="Arial" w:hAnsi="Arial"/>
          <w:sz w:val="20"/>
          <w:szCs w:val="20"/>
          <w:color w:val="auto"/>
        </w:rPr>
        <w:t>of a non-French subsidiary of the Company and (c) the French permanent establishment of a non-French company of which the Company is a subsidiary.</w:t>
      </w:r>
    </w:p>
    <w:p>
      <w:pPr>
        <w:spacing w:after="0" w:line="136" w:lineRule="exact"/>
        <w:rPr>
          <w:sz w:val="20"/>
          <w:szCs w:val="20"/>
          <w:color w:val="auto"/>
        </w:rPr>
      </w:pPr>
    </w:p>
    <w:p>
      <w:pPr>
        <w:jc w:val="both"/>
        <w:ind w:firstLine="645"/>
        <w:spacing w:after="0" w:line="363" w:lineRule="auto"/>
        <w:tabs>
          <w:tab w:leader="none" w:pos="1431" w:val="left"/>
        </w:tabs>
        <w:numPr>
          <w:ilvl w:val="0"/>
          <w:numId w:val="100"/>
        </w:numPr>
        <w:rPr>
          <w:rFonts w:ascii="Arial" w:cs="Arial" w:eastAsia="Arial" w:hAnsi="Arial"/>
          <w:sz w:val="15"/>
          <w:szCs w:val="15"/>
          <w:color w:val="auto"/>
        </w:rPr>
      </w:pPr>
      <w:r>
        <w:rPr>
          <w:rFonts w:ascii="Arial" w:cs="Arial" w:eastAsia="Arial" w:hAnsi="Arial"/>
          <w:sz w:val="16"/>
          <w:szCs w:val="16"/>
          <w:u w:val="single" w:color="auto"/>
          <w:color w:val="auto"/>
        </w:rPr>
        <w:t>Eligible Individual</w:t>
      </w:r>
      <w:r>
        <w:rPr>
          <w:rFonts w:ascii="Arial" w:cs="Arial" w:eastAsia="Arial" w:hAnsi="Arial"/>
          <w:sz w:val="16"/>
          <w:szCs w:val="16"/>
          <w:color w:val="auto"/>
        </w:rPr>
        <w:t xml:space="preserve"> means any person who, on the Grant Date of the Options and to the extent required under French law, is employed by a French Entity under the terms of a written or oral employment agreement and/or any person holding an executive office with a French Entity and who might be granted Options under French law. An Eligible Individual also means any person who does not own, on the applicable Grant Date, Shares representing more than 10% of the issued share capital of the Company.</w:t>
      </w:r>
    </w:p>
    <w:p>
      <w:pPr>
        <w:spacing w:after="0" w:line="75" w:lineRule="exact"/>
        <w:rPr>
          <w:rFonts w:ascii="Arial" w:cs="Arial" w:eastAsia="Arial" w:hAnsi="Arial"/>
          <w:sz w:val="15"/>
          <w:szCs w:val="15"/>
          <w:color w:val="auto"/>
        </w:rPr>
      </w:pPr>
    </w:p>
    <w:p>
      <w:pPr>
        <w:ind w:firstLine="645"/>
        <w:spacing w:after="0" w:line="289" w:lineRule="auto"/>
        <w:tabs>
          <w:tab w:leader="none" w:pos="1431" w:val="left"/>
        </w:tabs>
        <w:numPr>
          <w:ilvl w:val="0"/>
          <w:numId w:val="100"/>
        </w:numPr>
        <w:rPr>
          <w:rFonts w:ascii="Arial" w:cs="Arial" w:eastAsia="Arial" w:hAnsi="Arial"/>
          <w:sz w:val="18"/>
          <w:szCs w:val="18"/>
          <w:color w:val="auto"/>
        </w:rPr>
      </w:pPr>
      <w:r>
        <w:rPr>
          <w:rFonts w:ascii="Arial" w:cs="Arial" w:eastAsia="Arial" w:hAnsi="Arial"/>
          <w:sz w:val="20"/>
          <w:szCs w:val="20"/>
          <w:u w:val="single" w:color="auto"/>
          <w:color w:val="auto"/>
        </w:rPr>
        <w:t>Grant Date</w:t>
      </w:r>
      <w:r>
        <w:rPr>
          <w:rFonts w:ascii="Arial" w:cs="Arial" w:eastAsia="Arial" w:hAnsi="Arial"/>
          <w:sz w:val="20"/>
          <w:szCs w:val="20"/>
          <w:color w:val="auto"/>
        </w:rPr>
        <w:t xml:space="preserve"> means the date on which the Administrator (a) makes the determination granting the Options to a Participant, (b) determines the number of Options granted to such Participant and (c) the Option Exercise Price.</w:t>
      </w:r>
    </w:p>
    <w:p>
      <w:pPr>
        <w:spacing w:after="0" w:line="121" w:lineRule="exact"/>
        <w:rPr>
          <w:rFonts w:ascii="Arial" w:cs="Arial" w:eastAsia="Arial" w:hAnsi="Arial"/>
          <w:sz w:val="18"/>
          <w:szCs w:val="18"/>
          <w:color w:val="auto"/>
        </w:rPr>
      </w:pPr>
    </w:p>
    <w:p>
      <w:pPr>
        <w:jc w:val="both"/>
        <w:ind w:firstLine="645"/>
        <w:spacing w:after="0" w:line="299" w:lineRule="auto"/>
        <w:tabs>
          <w:tab w:leader="none" w:pos="1431" w:val="left"/>
        </w:tabs>
        <w:numPr>
          <w:ilvl w:val="0"/>
          <w:numId w:val="100"/>
        </w:numPr>
        <w:rPr>
          <w:rFonts w:ascii="Arial" w:cs="Arial" w:eastAsia="Arial" w:hAnsi="Arial"/>
          <w:sz w:val="17"/>
          <w:szCs w:val="17"/>
          <w:color w:val="auto"/>
        </w:rPr>
      </w:pP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means an Eligible Individual who has been granted Options pursuant to the Plan. French Qualifying Options may only be granted to Eligible Individuals as defined above. Stock Appreciation Rights cannot be granted to Participants resident in France and cannot be substituted to Options granted to a Participant resident in France.</w:t>
      </w:r>
    </w:p>
    <w:p>
      <w:pPr>
        <w:spacing w:after="0" w:line="115" w:lineRule="exact"/>
        <w:rPr>
          <w:rFonts w:ascii="Arial" w:cs="Arial" w:eastAsia="Arial" w:hAnsi="Arial"/>
          <w:sz w:val="17"/>
          <w:szCs w:val="17"/>
          <w:color w:val="auto"/>
        </w:rPr>
      </w:pPr>
    </w:p>
    <w:p>
      <w:pPr>
        <w:ind w:right="20" w:firstLine="645"/>
        <w:spacing w:after="0" w:line="289" w:lineRule="auto"/>
        <w:tabs>
          <w:tab w:leader="none" w:pos="1431" w:val="left"/>
        </w:tabs>
        <w:numPr>
          <w:ilvl w:val="0"/>
          <w:numId w:val="100"/>
        </w:numPr>
        <w:rPr>
          <w:rFonts w:ascii="Arial" w:cs="Arial" w:eastAsia="Arial" w:hAnsi="Arial"/>
          <w:sz w:val="18"/>
          <w:szCs w:val="18"/>
          <w:color w:val="auto"/>
        </w:rPr>
      </w:pPr>
      <w:r>
        <w:rPr>
          <w:rFonts w:ascii="Arial" w:cs="Arial" w:eastAsia="Arial" w:hAnsi="Arial"/>
          <w:sz w:val="20"/>
          <w:szCs w:val="20"/>
          <w:u w:val="single" w:color="auto"/>
          <w:color w:val="auto"/>
        </w:rPr>
        <w:t>Closed Period.</w:t>
      </w:r>
      <w:r>
        <w:rPr>
          <w:rFonts w:ascii="Arial" w:cs="Arial" w:eastAsia="Arial" w:hAnsi="Arial"/>
          <w:sz w:val="20"/>
          <w:szCs w:val="20"/>
          <w:color w:val="auto"/>
        </w:rPr>
        <w:t xml:space="preserve"> As of the date of this Country Schedule France, and according to Article L. 225-197-1 of the French Commercial Code:</w:t>
      </w:r>
    </w:p>
    <w:p>
      <w:pPr>
        <w:spacing w:after="0" w:line="121" w:lineRule="exact"/>
        <w:rPr>
          <w:rFonts w:ascii="Arial" w:cs="Arial" w:eastAsia="Arial" w:hAnsi="Arial"/>
          <w:sz w:val="18"/>
          <w:szCs w:val="18"/>
          <w:color w:val="auto"/>
        </w:rPr>
      </w:pPr>
    </w:p>
    <w:p>
      <w:pPr>
        <w:jc w:val="both"/>
        <w:ind w:firstLine="1293"/>
        <w:spacing w:after="0" w:line="278" w:lineRule="auto"/>
        <w:tabs>
          <w:tab w:leader="none" w:pos="2165" w:val="left"/>
        </w:tabs>
        <w:numPr>
          <w:ilvl w:val="1"/>
          <w:numId w:val="100"/>
        </w:numPr>
        <w:rPr>
          <w:rFonts w:ascii="Arial" w:cs="Arial" w:eastAsia="Arial" w:hAnsi="Arial"/>
          <w:sz w:val="20"/>
          <w:szCs w:val="20"/>
          <w:color w:val="auto"/>
        </w:rPr>
      </w:pPr>
      <w:r>
        <w:rPr>
          <w:rFonts w:ascii="Arial" w:cs="Arial" w:eastAsia="Arial" w:hAnsi="Arial"/>
          <w:sz w:val="20"/>
          <w:szCs w:val="20"/>
          <w:color w:val="auto"/>
        </w:rPr>
        <w:t>If the Shares are listed on any established securities exchange or a national market system, no French Qualifying Option may be granted less than twenty trading days after a coupon giving a right to a dividend or to a capital increase has been detached from the Shares.</w:t>
      </w:r>
    </w:p>
    <w:p>
      <w:pPr>
        <w:spacing w:after="0" w:line="132" w:lineRule="exact"/>
        <w:rPr>
          <w:rFonts w:ascii="Arial" w:cs="Arial" w:eastAsia="Arial" w:hAnsi="Arial"/>
          <w:sz w:val="20"/>
          <w:szCs w:val="20"/>
          <w:color w:val="auto"/>
        </w:rPr>
      </w:pPr>
    </w:p>
    <w:p>
      <w:pPr>
        <w:jc w:val="both"/>
        <w:ind w:firstLine="1293"/>
        <w:spacing w:after="0" w:line="290" w:lineRule="auto"/>
        <w:tabs>
          <w:tab w:leader="none" w:pos="2175" w:val="left"/>
        </w:tabs>
        <w:numPr>
          <w:ilvl w:val="1"/>
          <w:numId w:val="100"/>
        </w:numPr>
        <w:rPr>
          <w:rFonts w:ascii="Arial" w:cs="Arial" w:eastAsia="Arial" w:hAnsi="Arial"/>
          <w:sz w:val="19"/>
          <w:szCs w:val="19"/>
          <w:color w:val="auto"/>
        </w:rPr>
      </w:pPr>
      <w:r>
        <w:rPr>
          <w:rFonts w:ascii="Arial" w:cs="Arial" w:eastAsia="Arial" w:hAnsi="Arial"/>
          <w:sz w:val="19"/>
          <w:szCs w:val="19"/>
          <w:color w:val="auto"/>
        </w:rPr>
        <w:t>If the Shares are listed on any established securities exchange or a national market system, French Qualifying Options cannot be granted (i) during the ten trading days preceding and following the date on which the consolidated accounts, quarterly or annual accounts of the Company are published and (ii) during a period (x) starting from the date on which the corporate bodies of the Company become aware of any information which, if published, could significantly affect the Company’s stock price and (y) ending at the close of the tenth trading day following the publication of such information.</w:t>
      </w:r>
    </w:p>
    <w:p>
      <w:pPr>
        <w:spacing w:after="0" w:line="1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If the French Commercial Code is amended after adoption of this Country Schedule France to modify the definition and/or applicability of the Closed Periods to French Qualifying Options, such amendments shall become applicable to any Options granted under this Country Schedule France, to the extent required or permitted under French law.</w:t>
      </w:r>
    </w:p>
    <w:p>
      <w:pPr>
        <w:spacing w:after="0" w:line="130" w:lineRule="exact"/>
        <w:rPr>
          <w:sz w:val="20"/>
          <w:szCs w:val="20"/>
          <w:color w:val="auto"/>
        </w:rPr>
      </w:pPr>
    </w:p>
    <w:p>
      <w:pPr>
        <w:jc w:val="both"/>
        <w:ind w:firstLine="645"/>
        <w:spacing w:after="0" w:line="278" w:lineRule="auto"/>
        <w:tabs>
          <w:tab w:leader="none" w:pos="1431" w:val="left"/>
        </w:tabs>
        <w:numPr>
          <w:ilvl w:val="0"/>
          <w:numId w:val="101"/>
        </w:numPr>
        <w:rPr>
          <w:rFonts w:ascii="Arial" w:cs="Arial" w:eastAsia="Arial" w:hAnsi="Arial"/>
          <w:sz w:val="18"/>
          <w:szCs w:val="18"/>
          <w:color w:val="auto"/>
        </w:rPr>
      </w:pPr>
      <w:r>
        <w:rPr>
          <w:rFonts w:ascii="Arial" w:cs="Arial" w:eastAsia="Arial" w:hAnsi="Arial"/>
          <w:sz w:val="20"/>
          <w:szCs w:val="20"/>
          <w:u w:val="single" w:color="auto"/>
          <w:color w:val="auto"/>
        </w:rPr>
        <w:t>Non-transferability of Options</w:t>
      </w:r>
      <w:r>
        <w:rPr>
          <w:rFonts w:ascii="Arial" w:cs="Arial" w:eastAsia="Arial" w:hAnsi="Arial"/>
          <w:sz w:val="20"/>
          <w:szCs w:val="20"/>
          <w:color w:val="auto"/>
        </w:rPr>
        <w:t>. The Options may neither be assigned nor transferred. The Options may nevertheless be transferred to the heirs of the Participant resident in France and exercised by them within a period of six months following the death of such Participant resident in France.</w:t>
      </w:r>
    </w:p>
    <w:p>
      <w:pPr>
        <w:spacing w:after="0" w:line="132" w:lineRule="exact"/>
        <w:rPr>
          <w:rFonts w:ascii="Arial" w:cs="Arial" w:eastAsia="Arial" w:hAnsi="Arial"/>
          <w:sz w:val="18"/>
          <w:szCs w:val="18"/>
          <w:color w:val="auto"/>
        </w:rPr>
      </w:pPr>
    </w:p>
    <w:p>
      <w:pPr>
        <w:ind w:right="20" w:firstLine="645"/>
        <w:spacing w:after="0" w:line="289" w:lineRule="auto"/>
        <w:tabs>
          <w:tab w:leader="none" w:pos="1431" w:val="left"/>
        </w:tabs>
        <w:numPr>
          <w:ilvl w:val="0"/>
          <w:numId w:val="101"/>
        </w:numPr>
        <w:rPr>
          <w:rFonts w:ascii="Arial" w:cs="Arial" w:eastAsia="Arial" w:hAnsi="Arial"/>
          <w:sz w:val="18"/>
          <w:szCs w:val="18"/>
          <w:color w:val="auto"/>
        </w:rPr>
      </w:pPr>
      <w:r>
        <w:rPr>
          <w:rFonts w:ascii="Arial" w:cs="Arial" w:eastAsia="Arial" w:hAnsi="Arial"/>
          <w:sz w:val="20"/>
          <w:szCs w:val="20"/>
          <w:u w:val="single" w:color="auto"/>
          <w:color w:val="auto"/>
        </w:rPr>
        <w:t>The Fair Market Value</w:t>
      </w:r>
      <w:r>
        <w:rPr>
          <w:rFonts w:ascii="Arial" w:cs="Arial" w:eastAsia="Arial" w:hAnsi="Arial"/>
          <w:sz w:val="20"/>
          <w:szCs w:val="20"/>
          <w:color w:val="auto"/>
        </w:rPr>
        <w:t xml:space="preserve"> of a Share shall be determined according to the provisions of the Plan, and for French Qualifying Options subject to the following limitations:</w:t>
      </w:r>
    </w:p>
    <w:p>
      <w:pPr>
        <w:spacing w:after="0" w:line="121" w:lineRule="exact"/>
        <w:rPr>
          <w:rFonts w:ascii="Arial" w:cs="Arial" w:eastAsia="Arial" w:hAnsi="Arial"/>
          <w:sz w:val="18"/>
          <w:szCs w:val="18"/>
          <w:color w:val="auto"/>
        </w:rPr>
      </w:pPr>
    </w:p>
    <w:p>
      <w:pPr>
        <w:jc w:val="both"/>
        <w:ind w:firstLine="1293"/>
        <w:spacing w:after="0" w:line="272" w:lineRule="auto"/>
        <w:tabs>
          <w:tab w:leader="none" w:pos="2165" w:val="left"/>
        </w:tabs>
        <w:numPr>
          <w:ilvl w:val="1"/>
          <w:numId w:val="101"/>
        </w:numPr>
        <w:rPr>
          <w:rFonts w:ascii="Arial" w:cs="Arial" w:eastAsia="Arial" w:hAnsi="Arial"/>
          <w:sz w:val="20"/>
          <w:szCs w:val="20"/>
          <w:color w:val="auto"/>
        </w:rPr>
      </w:pPr>
      <w:r>
        <w:rPr>
          <w:rFonts w:ascii="Arial" w:cs="Arial" w:eastAsia="Arial" w:hAnsi="Arial"/>
          <w:sz w:val="20"/>
          <w:szCs w:val="20"/>
          <w:color w:val="auto"/>
        </w:rPr>
        <w:t>(i) If the Shares are listed on any established securities exchange or a national market system, or (ii) if the Shares are regularly quoted by a recognized securities dealer but selling prices are not reported, the Fair Market Value will in no case be less than eighty per cent (80%) of the average of the closing sales price for a Share as quoted on said securities exchange market during the twenty trading market days prior to the day of the Administrator’s decision to grant the Options. In the case of French Qualifying Options to acquire existing Shares, the Fair Market Value will also not be lower than 80% of the average price of the Shares purchased by the Company for future grants. If</w:t>
      </w:r>
    </w:p>
    <w:p>
      <w:pPr>
        <w:sectPr>
          <w:pgSz w:w="11900" w:h="16838" w:orient="portrait"/>
          <w:cols w:equalWidth="0" w:num="1">
            <w:col w:w="10760"/>
          </w:cols>
          <w:pgMar w:left="900" w:top="973" w:right="239" w:bottom="1440" w:gutter="0" w:footer="0" w:header="0"/>
        </w:sectPr>
      </w:pPr>
    </w:p>
    <w:bookmarkStart w:id="111" w:name="page112"/>
    <w:bookmarkEnd w:id="111"/>
    <w:p>
      <w:pPr>
        <w:spacing w:after="0" w:line="260" w:lineRule="auto"/>
        <w:rPr>
          <w:sz w:val="20"/>
          <w:szCs w:val="20"/>
          <w:color w:val="auto"/>
        </w:rPr>
      </w:pPr>
      <w:r>
        <w:rPr>
          <w:rFonts w:ascii="Arial" w:cs="Arial" w:eastAsia="Arial" w:hAnsi="Arial"/>
          <w:sz w:val="20"/>
          <w:szCs w:val="20"/>
          <w:color w:val="auto"/>
        </w:rPr>
        <w:t>the Shares are listed on more than one securities exchange or market, then the Fair Market Value will be determined based on the highest average closing sales price determined on each such securities exchange or market; or</w:t>
      </w:r>
    </w:p>
    <w:p>
      <w:pPr>
        <w:spacing w:after="0" w:line="136" w:lineRule="exact"/>
        <w:rPr>
          <w:sz w:val="20"/>
          <w:szCs w:val="20"/>
          <w:color w:val="auto"/>
        </w:rPr>
      </w:pPr>
    </w:p>
    <w:p>
      <w:pPr>
        <w:jc w:val="both"/>
        <w:ind w:firstLine="1293"/>
        <w:spacing w:after="0" w:line="274" w:lineRule="auto"/>
        <w:tabs>
          <w:tab w:leader="none" w:pos="2175" w:val="left"/>
        </w:tabs>
        <w:numPr>
          <w:ilvl w:val="1"/>
          <w:numId w:val="102"/>
        </w:numPr>
        <w:rPr>
          <w:rFonts w:ascii="Arial" w:cs="Arial" w:eastAsia="Arial" w:hAnsi="Arial"/>
          <w:sz w:val="20"/>
          <w:szCs w:val="20"/>
          <w:color w:val="auto"/>
        </w:rPr>
      </w:pPr>
      <w:r>
        <w:rPr>
          <w:rFonts w:ascii="Arial" w:cs="Arial" w:eastAsia="Arial" w:hAnsi="Arial"/>
          <w:sz w:val="20"/>
          <w:szCs w:val="20"/>
          <w:color w:val="auto"/>
        </w:rPr>
        <w:t>In the absence of an established market for the Shares, the Fair Market Value thereof shall be determined in good faith by the Administrator in connection with the price held at the time of the last operation affecting the share capital of the Company, unless otherwise decided by the Board by a well-founded decision, and in consideration of the applicable laws and regulations applicable on this date.</w:t>
      </w:r>
    </w:p>
    <w:p>
      <w:pPr>
        <w:spacing w:after="0" w:line="138" w:lineRule="exact"/>
        <w:rPr>
          <w:rFonts w:ascii="Arial" w:cs="Arial" w:eastAsia="Arial" w:hAnsi="Arial"/>
          <w:sz w:val="20"/>
          <w:szCs w:val="20"/>
          <w:color w:val="auto"/>
        </w:rPr>
      </w:pPr>
    </w:p>
    <w:p>
      <w:pPr>
        <w:ind w:firstLine="645"/>
        <w:spacing w:after="0" w:line="347" w:lineRule="auto"/>
        <w:tabs>
          <w:tab w:leader="none" w:pos="1431" w:val="left"/>
        </w:tabs>
        <w:numPr>
          <w:ilvl w:val="0"/>
          <w:numId w:val="103"/>
        </w:numPr>
        <w:rPr>
          <w:rFonts w:ascii="Arial" w:cs="Arial" w:eastAsia="Arial" w:hAnsi="Arial"/>
          <w:sz w:val="16"/>
          <w:szCs w:val="16"/>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In the event of Participant’s death prior to the Vesting Date, the Option will fully vest and the underlying Shares shall be issued to his/her heirs, at their request made within 6 months following the Participant’s date of death.</w:t>
      </w:r>
    </w:p>
    <w:p>
      <w:pPr>
        <w:spacing w:after="0" w:line="76" w:lineRule="exact"/>
        <w:rPr>
          <w:rFonts w:ascii="Arial" w:cs="Arial" w:eastAsia="Arial" w:hAnsi="Arial"/>
          <w:sz w:val="16"/>
          <w:szCs w:val="16"/>
          <w:color w:val="auto"/>
        </w:rPr>
      </w:pPr>
    </w:p>
    <w:p>
      <w:pPr>
        <w:jc w:val="both"/>
        <w:ind w:firstLine="645"/>
        <w:spacing w:after="0" w:line="314" w:lineRule="auto"/>
        <w:tabs>
          <w:tab w:leader="none" w:pos="1431" w:val="left"/>
        </w:tabs>
        <w:numPr>
          <w:ilvl w:val="0"/>
          <w:numId w:val="103"/>
        </w:numPr>
        <w:rPr>
          <w:rFonts w:ascii="Arial" w:cs="Arial" w:eastAsia="Arial" w:hAnsi="Arial"/>
          <w:sz w:val="16"/>
          <w:szCs w:val="16"/>
          <w:color w:val="auto"/>
        </w:rPr>
      </w:pP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Option Exercise Price shall be determined on the Grant Date of the Options to the Participant resident in France. Any adjustment made to the Exercise Price and/or the number of French Qualifying Options awarded under this Country Schedule France shall not provide more advantages to the Participant than those which would result from any adjustments that would be made in accordance with the provisions of Articles L 225-181 of the French Commercial Code.</w:t>
      </w:r>
    </w:p>
    <w:p>
      <w:pPr>
        <w:spacing w:after="0" w:line="105" w:lineRule="exact"/>
        <w:rPr>
          <w:rFonts w:ascii="Arial" w:cs="Arial" w:eastAsia="Arial" w:hAnsi="Arial"/>
          <w:sz w:val="16"/>
          <w:szCs w:val="16"/>
          <w:color w:val="auto"/>
        </w:rPr>
      </w:pPr>
    </w:p>
    <w:p>
      <w:pPr>
        <w:jc w:val="both"/>
        <w:ind w:firstLine="645"/>
        <w:spacing w:after="0" w:line="293" w:lineRule="auto"/>
        <w:tabs>
          <w:tab w:leader="none" w:pos="1522" w:val="left"/>
        </w:tabs>
        <w:numPr>
          <w:ilvl w:val="0"/>
          <w:numId w:val="103"/>
        </w:numPr>
        <w:rPr>
          <w:rFonts w:ascii="Arial" w:cs="Arial" w:eastAsia="Arial" w:hAnsi="Arial"/>
          <w:sz w:val="17"/>
          <w:szCs w:val="17"/>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Notwithstanding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the Agreement, in the event of a corporate transaction or a Change in Control as set forth in Section 2.11 of the Plan, adjustments to the terms and conditions of the French Qualifying Options or underlying Shares may be made only in accordance with the Plan and the Nonqualified Stock Option Agreement, in which case such Options might no longer qualify as French Qualifying Options under the French Commercial Code.</w:t>
      </w:r>
    </w:p>
    <w:p>
      <w:pPr>
        <w:spacing w:after="0" w:line="121" w:lineRule="exact"/>
        <w:rPr>
          <w:rFonts w:ascii="Arial" w:cs="Arial" w:eastAsia="Arial" w:hAnsi="Arial"/>
          <w:sz w:val="17"/>
          <w:szCs w:val="17"/>
          <w:color w:val="auto"/>
        </w:rPr>
      </w:pPr>
    </w:p>
    <w:p>
      <w:pPr>
        <w:jc w:val="both"/>
        <w:ind w:firstLine="645"/>
        <w:spacing w:after="0" w:line="299" w:lineRule="auto"/>
        <w:tabs>
          <w:tab w:leader="none" w:pos="1515" w:val="left"/>
        </w:tabs>
        <w:numPr>
          <w:ilvl w:val="0"/>
          <w:numId w:val="103"/>
        </w:numPr>
        <w:rPr>
          <w:rFonts w:ascii="Arial" w:cs="Arial" w:eastAsia="Arial" w:hAnsi="Arial"/>
          <w:sz w:val="17"/>
          <w:szCs w:val="17"/>
          <w:color w:val="auto"/>
        </w:rPr>
      </w:pPr>
      <w:r>
        <w:rPr>
          <w:rFonts w:ascii="Arial" w:cs="Arial" w:eastAsia="Arial" w:hAnsi="Arial"/>
          <w:sz w:val="19"/>
          <w:szCs w:val="19"/>
          <w:u w:val="single" w:color="auto"/>
          <w:color w:val="auto"/>
        </w:rPr>
        <w:t>French Award Recipient’s Account.</w:t>
      </w:r>
      <w:r>
        <w:rPr>
          <w:rFonts w:ascii="Arial" w:cs="Arial" w:eastAsia="Arial" w:hAnsi="Arial"/>
          <w:sz w:val="19"/>
          <w:szCs w:val="19"/>
          <w:color w:val="auto"/>
        </w:rPr>
        <w:t xml:space="preserve"> The Shares issued or delivered to the Participant resident in France pursuant to the exercise of Options shall be recorded in an account in the name of the Participant with the Company or a broker or in such other manner as the Company may otherwise determine in order to ensure compliance with applicable law.</w:t>
      </w:r>
    </w:p>
    <w:p>
      <w:pPr>
        <w:spacing w:after="0" w:line="115" w:lineRule="exact"/>
        <w:rPr>
          <w:rFonts w:ascii="Arial" w:cs="Arial" w:eastAsia="Arial" w:hAnsi="Arial"/>
          <w:sz w:val="17"/>
          <w:szCs w:val="17"/>
          <w:color w:val="auto"/>
        </w:rPr>
      </w:pPr>
    </w:p>
    <w:p>
      <w:pPr>
        <w:ind w:firstLine="645"/>
        <w:spacing w:after="0" w:line="289" w:lineRule="auto"/>
        <w:tabs>
          <w:tab w:leader="none" w:pos="1522" w:val="left"/>
        </w:tabs>
        <w:numPr>
          <w:ilvl w:val="0"/>
          <w:numId w:val="103"/>
        </w:numPr>
        <w:rPr>
          <w:rFonts w:ascii="Arial" w:cs="Arial" w:eastAsia="Arial" w:hAnsi="Arial"/>
          <w:sz w:val="18"/>
          <w:szCs w:val="18"/>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xml:space="preserve"> Disability means Participant’s inability corresponding to the 2nd or 3rd category among the categories set forth in Article L. 341-4 of the French Social Security Code.</w:t>
      </w:r>
    </w:p>
    <w:p>
      <w:pPr>
        <w:spacing w:after="0" w:line="115" w:lineRule="exact"/>
        <w:rPr>
          <w:rFonts w:ascii="Arial" w:cs="Arial" w:eastAsia="Arial" w:hAnsi="Arial"/>
          <w:sz w:val="18"/>
          <w:szCs w:val="18"/>
          <w:color w:val="auto"/>
        </w:rPr>
      </w:pPr>
    </w:p>
    <w:p>
      <w:pPr>
        <w:jc w:val="both"/>
        <w:ind w:firstLine="645"/>
        <w:spacing w:after="0" w:line="274" w:lineRule="auto"/>
        <w:tabs>
          <w:tab w:leader="none" w:pos="1522" w:val="left"/>
        </w:tabs>
        <w:numPr>
          <w:ilvl w:val="0"/>
          <w:numId w:val="103"/>
        </w:numPr>
        <w:rPr>
          <w:rFonts w:ascii="Arial" w:cs="Arial" w:eastAsia="Arial" w:hAnsi="Arial"/>
          <w:sz w:val="18"/>
          <w:szCs w:val="18"/>
          <w:color w:val="auto"/>
        </w:rPr>
      </w:pPr>
      <w:r>
        <w:rPr>
          <w:rFonts w:ascii="Arial" w:cs="Arial" w:eastAsia="Arial" w:hAnsi="Arial"/>
          <w:sz w:val="20"/>
          <w:szCs w:val="20"/>
          <w:u w:val="single" w:color="auto"/>
          <w:color w:val="auto"/>
        </w:rPr>
        <w:t>Good Reason.</w:t>
      </w:r>
      <w:r>
        <w:rPr>
          <w:rFonts w:ascii="Arial" w:cs="Arial" w:eastAsia="Arial" w:hAnsi="Arial"/>
          <w:sz w:val="20"/>
          <w:szCs w:val="20"/>
          <w:color w:val="auto"/>
        </w:rPr>
        <w:t xml:space="preserve"> With respect to a Participant resident in France who is an Employee, </w:t>
      </w:r>
      <w:r>
        <w:rPr>
          <w:rFonts w:ascii="Arial" w:cs="Arial" w:eastAsia="Arial" w:hAnsi="Arial"/>
          <w:sz w:val="20"/>
          <w:szCs w:val="20"/>
          <w:b w:val="1"/>
          <w:bCs w:val="1"/>
          <w:color w:val="auto"/>
        </w:rPr>
        <w:t>“</w:t>
      </w:r>
      <w:r>
        <w:rPr>
          <w:rFonts w:ascii="Arial" w:cs="Arial" w:eastAsia="Arial" w:hAnsi="Arial"/>
          <w:sz w:val="20"/>
          <w:szCs w:val="20"/>
          <w:color w:val="auto"/>
        </w:rPr>
        <w:t>Good Reason” means termination for alleged economic reasons for dismissal as defined by French law (</w:t>
      </w:r>
      <w:r>
        <w:rPr>
          <w:rFonts w:ascii="Arial" w:cs="Arial" w:eastAsia="Arial" w:hAnsi="Arial"/>
          <w:sz w:val="20"/>
          <w:szCs w:val="20"/>
          <w:i w:val="1"/>
          <w:iCs w:val="1"/>
          <w:color w:val="auto"/>
        </w:rPr>
        <w:t>motif économique de licenciement</w:t>
      </w:r>
      <w:r>
        <w:rPr>
          <w:rFonts w:ascii="Arial" w:cs="Arial" w:eastAsia="Arial" w:hAnsi="Arial"/>
          <w:sz w:val="20"/>
          <w:szCs w:val="20"/>
          <w:color w:val="auto"/>
        </w:rPr>
        <w:t>). For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xml:space="preserve">), the definition of “Good Reason” shall be the same as that provided in the Agreement, adapted </w:t>
      </w:r>
      <w:r>
        <w:rPr>
          <w:rFonts w:ascii="Arial" w:cs="Arial" w:eastAsia="Arial" w:hAnsi="Arial"/>
          <w:sz w:val="20"/>
          <w:szCs w:val="20"/>
          <w:i w:val="1"/>
          <w:iCs w:val="1"/>
          <w:color w:val="auto"/>
        </w:rPr>
        <w:t>mutatis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mutandis </w:t>
      </w:r>
      <w:r>
        <w:rPr>
          <w:rFonts w:ascii="Arial" w:cs="Arial" w:eastAsia="Arial" w:hAnsi="Arial"/>
          <w:sz w:val="20"/>
          <w:szCs w:val="20"/>
          <w:color w:val="auto"/>
        </w:rPr>
        <w:t>to a corporate officer, subject to the condition that the occurrence of the item or items listed therein result from a shareholder</w:t>
      </w:r>
      <w:r>
        <w:rPr>
          <w:rFonts w:ascii="Arial" w:cs="Arial" w:eastAsia="Arial" w:hAnsi="Arial"/>
          <w:sz w:val="20"/>
          <w:szCs w:val="20"/>
          <w:i w:val="1"/>
          <w:iCs w:val="1"/>
          <w:color w:val="auto"/>
        </w:rPr>
        <w:t xml:space="preserve"> </w:t>
      </w:r>
      <w:r>
        <w:rPr>
          <w:rFonts w:ascii="Arial" w:cs="Arial" w:eastAsia="Arial" w:hAnsi="Arial"/>
          <w:sz w:val="20"/>
          <w:szCs w:val="20"/>
          <w:color w:val="auto"/>
        </w:rPr>
        <w:t>decision.</w:t>
      </w:r>
    </w:p>
    <w:p>
      <w:pPr>
        <w:spacing w:after="0" w:line="138" w:lineRule="exact"/>
        <w:rPr>
          <w:rFonts w:ascii="Arial" w:cs="Arial" w:eastAsia="Arial" w:hAnsi="Arial"/>
          <w:sz w:val="18"/>
          <w:szCs w:val="18"/>
          <w:color w:val="auto"/>
        </w:rPr>
      </w:pPr>
    </w:p>
    <w:p>
      <w:pPr>
        <w:ind w:right="20" w:firstLine="645"/>
        <w:spacing w:after="0" w:line="289" w:lineRule="auto"/>
        <w:tabs>
          <w:tab w:leader="none" w:pos="1522" w:val="left"/>
        </w:tabs>
        <w:numPr>
          <w:ilvl w:val="0"/>
          <w:numId w:val="103"/>
        </w:numPr>
        <w:rPr>
          <w:rFonts w:ascii="Arial" w:cs="Arial" w:eastAsia="Arial" w:hAnsi="Arial"/>
          <w:sz w:val="18"/>
          <w:szCs w:val="18"/>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xml:space="preserve"> Retirement means termination of the Participant’s employment contract and/or corporate officer position, by either party, at a time the Participant is entitled to benefit from full pension rights (</w:t>
      </w:r>
      <w:r>
        <w:rPr>
          <w:rFonts w:ascii="Arial" w:cs="Arial" w:eastAsia="Arial" w:hAnsi="Arial"/>
          <w:sz w:val="20"/>
          <w:szCs w:val="20"/>
          <w:i w:val="1"/>
          <w:iCs w:val="1"/>
          <w:color w:val="auto"/>
        </w:rPr>
        <w:t>retraite à taux plein</w:t>
      </w:r>
      <w:r>
        <w:rPr>
          <w:rFonts w:ascii="Arial" w:cs="Arial" w:eastAsia="Arial" w:hAnsi="Arial"/>
          <w:sz w:val="20"/>
          <w:szCs w:val="20"/>
          <w:color w:val="auto"/>
        </w:rPr>
        <w:t>).</w:t>
      </w:r>
    </w:p>
    <w:p>
      <w:pPr>
        <w:spacing w:after="0" w:line="121" w:lineRule="exact"/>
        <w:rPr>
          <w:rFonts w:ascii="Arial" w:cs="Arial" w:eastAsia="Arial" w:hAnsi="Arial"/>
          <w:sz w:val="18"/>
          <w:szCs w:val="18"/>
          <w:color w:val="auto"/>
        </w:rPr>
      </w:pPr>
    </w:p>
    <w:p>
      <w:pPr>
        <w:jc w:val="both"/>
        <w:ind w:firstLine="645"/>
        <w:spacing w:after="0" w:line="274" w:lineRule="auto"/>
        <w:tabs>
          <w:tab w:leader="none" w:pos="1522" w:val="left"/>
        </w:tabs>
        <w:numPr>
          <w:ilvl w:val="0"/>
          <w:numId w:val="103"/>
        </w:numPr>
        <w:rPr>
          <w:rFonts w:ascii="Arial" w:cs="Arial" w:eastAsia="Arial" w:hAnsi="Arial"/>
          <w:sz w:val="18"/>
          <w:szCs w:val="18"/>
          <w:color w:val="auto"/>
        </w:rPr>
      </w:pPr>
      <w:r>
        <w:rPr>
          <w:rFonts w:ascii="Arial" w:cs="Arial" w:eastAsia="Arial" w:hAnsi="Arial"/>
          <w:sz w:val="20"/>
          <w:szCs w:val="20"/>
          <w:u w:val="single" w:color="auto"/>
          <w:color w:val="auto"/>
        </w:rPr>
        <w:t>Privacy.</w:t>
      </w:r>
      <w:r>
        <w:rPr>
          <w:rFonts w:ascii="Arial" w:cs="Arial" w:eastAsia="Arial" w:hAnsi="Arial"/>
          <w:sz w:val="20"/>
          <w:szCs w:val="20"/>
          <w:color w:val="auto"/>
        </w:rPr>
        <w:t xml:space="preserve"> The Company may hold and collect personal information, including the Participant’s name, home address, telephone number, date of birth, Employee tax identification number, employment history and status, salary, nationality, job title and information about any equity compensation grants or Shares awarded, cancelled, purchased, vested, unvested or outstanding in the Participant’s favor (the “</w:t>
      </w:r>
      <w:r>
        <w:rPr>
          <w:rFonts w:ascii="Arial" w:cs="Arial" w:eastAsia="Arial" w:hAnsi="Arial"/>
          <w:sz w:val="20"/>
          <w:szCs w:val="20"/>
          <w:u w:val="single" w:color="auto"/>
          <w:color w:val="auto"/>
        </w:rPr>
        <w:t>Data</w:t>
      </w:r>
      <w:r>
        <w:rPr>
          <w:rFonts w:ascii="Arial" w:cs="Arial" w:eastAsia="Arial" w:hAnsi="Arial"/>
          <w:sz w:val="20"/>
          <w:szCs w:val="20"/>
          <w:color w:val="auto"/>
        </w:rPr>
        <w:t>”).</w:t>
      </w:r>
    </w:p>
    <w:p>
      <w:pPr>
        <w:spacing w:after="0" w:line="12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processing of the Data by the Company is necessary for the performance of the Agreement and is carried out for the purpose of implementing, managing and administering the Plan. The processing</w:t>
      </w:r>
    </w:p>
    <w:p>
      <w:pPr>
        <w:sectPr>
          <w:pgSz w:w="11900" w:h="16838" w:orient="portrait"/>
          <w:cols w:equalWidth="0" w:num="1">
            <w:col w:w="10760"/>
          </w:cols>
          <w:pgMar w:left="900" w:top="973" w:right="239" w:bottom="1440" w:gutter="0" w:footer="0" w:header="0"/>
        </w:sectPr>
      </w:pPr>
    </w:p>
    <w:bookmarkStart w:id="112" w:name="page113"/>
    <w:bookmarkEnd w:id="112"/>
    <w:p>
      <w:pPr>
        <w:jc w:val="both"/>
        <w:ind w:left="4"/>
        <w:spacing w:after="0" w:line="260" w:lineRule="auto"/>
        <w:rPr>
          <w:sz w:val="20"/>
          <w:szCs w:val="20"/>
          <w:color w:val="auto"/>
        </w:rPr>
      </w:pPr>
      <w:r>
        <w:rPr>
          <w:rFonts w:ascii="Arial" w:cs="Arial" w:eastAsia="Arial" w:hAnsi="Arial"/>
          <w:sz w:val="20"/>
          <w:szCs w:val="20"/>
          <w:color w:val="auto"/>
        </w:rPr>
        <w:t>of the Data by the Company is also necessary for compliance and financial reporting purposes so as to allow the Company to comply with legal obligations in this respect, or to pursue legitimate interests.</w:t>
      </w:r>
    </w:p>
    <w:p>
      <w:pPr>
        <w:spacing w:after="0" w:line="123" w:lineRule="exact"/>
        <w:rPr>
          <w:sz w:val="20"/>
          <w:szCs w:val="20"/>
          <w:color w:val="auto"/>
        </w:rPr>
      </w:pPr>
    </w:p>
    <w:p>
      <w:pPr>
        <w:jc w:val="both"/>
        <w:ind w:left="4" w:firstLine="648"/>
        <w:spacing w:after="0" w:line="276" w:lineRule="auto"/>
        <w:rPr>
          <w:sz w:val="20"/>
          <w:szCs w:val="20"/>
          <w:color w:val="auto"/>
        </w:rPr>
      </w:pPr>
      <w:r>
        <w:rPr>
          <w:rFonts w:ascii="Arial" w:cs="Arial" w:eastAsia="Arial" w:hAnsi="Arial"/>
          <w:sz w:val="18"/>
          <w:szCs w:val="18"/>
          <w:color w:val="auto"/>
        </w:rPr>
        <w:t>The Company may transfer the Data to the Company’s Subsidiaries or to other entities to assist the Company in the purposes mentioned above. The Company may also make the Data available to public authorities where required by law or regulation. The third parties and public authorities may be located in the United States, the European Economic Area, or elsewhere, including in territories where data protection laws may not be as protective as in the Participant’s jurisdiction of residence. Such transfer outside of the European Economic Area is necessary for the performance of the Agreement. Participant may request a list with the names and addresses of all recipients of the Data by contacting his or her local human resources representative.</w:t>
      </w:r>
    </w:p>
    <w:p>
      <w:pPr>
        <w:spacing w:after="0" w:line="11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Data will be held only as long as is necessary to implement, administer and manage Participant’s participation in the Plan.</w:t>
      </w:r>
    </w:p>
    <w:p>
      <w:pPr>
        <w:spacing w:after="0" w:line="185"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20"/>
          <w:szCs w:val="20"/>
          <w:color w:val="auto"/>
        </w:rPr>
        <w:t>The Participant may, at any time, review the Data, and/or require any necessary amendments to it by contacting the Company through the Participant’s local human resources representative. Participant may also issue directives for the purposes of deciding what should happen to his or her Data after his or her death.</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u w:val="single" w:color="auto"/>
          <w:color w:val="auto"/>
        </w:rPr>
        <w:t>NORWAY</w:t>
      </w:r>
    </w:p>
    <w:p>
      <w:pPr>
        <w:spacing w:after="0" w:line="162"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for Norway</w:t>
      </w:r>
      <w:r>
        <w:rPr>
          <w:rFonts w:ascii="Arial" w:cs="Arial" w:eastAsia="Arial" w:hAnsi="Arial"/>
          <w:sz w:val="20"/>
          <w:szCs w:val="20"/>
          <w:color w:val="auto"/>
        </w:rPr>
        <w:t xml:space="preserve"> provide additional definitions and conditions for the purpose of granting Options which are intended to be granted to Employees and corporate officers who are resident in Norway for tax, labour or securities law purposes.</w:t>
      </w:r>
    </w:p>
    <w:p>
      <w:pPr>
        <w:spacing w:after="0" w:line="130"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9"/>
          <w:szCs w:val="19"/>
          <w:u w:val="single" w:color="auto"/>
          <w:color w:val="auto"/>
        </w:rPr>
        <w:t>Acknowledgment of Nature of Plan and Option</w:t>
      </w:r>
      <w:r>
        <w:rPr>
          <w:rFonts w:ascii="Arial" w:cs="Arial" w:eastAsia="Arial" w:hAnsi="Arial"/>
          <w:sz w:val="19"/>
          <w:szCs w:val="19"/>
          <w:color w:val="auto"/>
        </w:rPr>
        <w:t>. In accepting this Agreement, Participant acknowledges that, in the event of termination of the Participant’s employment (whether or not in breach of local labor laws), Participant’s rights to unvested Options under the Plan, if any, will terminate effective as of the date that Participant is no longer actively employed and will not be extended by any notice period mandated under applicable local laws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“garden leave” or similar period pursuant to applicable local laws); the Administrator shall have the exclusive discretion to determine when Participant is no longer actively employed for purposes of Participant’s Options.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168" w:lineRule="exact"/>
        <w:rPr>
          <w:sz w:val="20"/>
          <w:szCs w:val="20"/>
          <w:color w:val="auto"/>
        </w:rPr>
      </w:pPr>
    </w:p>
    <w:p>
      <w:pPr>
        <w:jc w:val="both"/>
        <w:ind w:left="4" w:firstLine="648"/>
        <w:spacing w:after="0" w:line="260" w:lineRule="auto"/>
        <w:rPr>
          <w:sz w:val="20"/>
          <w:szCs w:val="20"/>
          <w:color w:val="auto"/>
        </w:rPr>
      </w:pPr>
      <w:r>
        <w:rPr>
          <w:rFonts w:ascii="Arial" w:cs="Arial" w:eastAsia="Arial" w:hAnsi="Arial"/>
          <w:sz w:val="19"/>
          <w:szCs w:val="19"/>
          <w:color w:val="auto"/>
        </w:rPr>
        <w:t>The Agreement together with these UK specific terms form the rules of the employee share scheme applicable to the United Kingdom based Employees of the Company and any Subsidiaries. All Awards granted to Employees of the Company or any Subsidiaries who are based in the United Kingdom will be granted on similar terms. This Agreement incorporates the terms of the Plan with the exception that in the United Kingdom only Employees of the Company or any Subsidiaries are eligible to be granted Options. Other Eligible Individuals who are not Employees are not eligible to receive Options in the United Kingdom.</w:t>
      </w:r>
    </w:p>
    <w:p>
      <w:pPr>
        <w:spacing w:after="0" w:line="140" w:lineRule="exact"/>
        <w:rPr>
          <w:sz w:val="20"/>
          <w:szCs w:val="20"/>
          <w:color w:val="auto"/>
        </w:rPr>
      </w:pPr>
    </w:p>
    <w:p>
      <w:pPr>
        <w:jc w:val="both"/>
        <w:ind w:left="4" w:firstLine="645"/>
        <w:spacing w:after="0" w:line="297" w:lineRule="auto"/>
        <w:tabs>
          <w:tab w:leader="none" w:pos="1435" w:val="left"/>
        </w:tabs>
        <w:numPr>
          <w:ilvl w:val="1"/>
          <w:numId w:val="104"/>
        </w:numPr>
        <w:rPr>
          <w:rFonts w:ascii="Arial" w:cs="Arial" w:eastAsia="Arial" w:hAnsi="Arial"/>
          <w:sz w:val="16"/>
          <w:szCs w:val="16"/>
          <w:color w:val="auto"/>
        </w:rPr>
      </w:pPr>
      <w:r>
        <w:rPr>
          <w:rFonts w:ascii="Arial" w:cs="Arial" w:eastAsia="Arial" w:hAnsi="Arial"/>
          <w:sz w:val="18"/>
          <w:szCs w:val="18"/>
          <w:u w:val="single" w:color="auto"/>
          <w:color w:val="auto"/>
        </w:rPr>
        <w:t>Tax Indemnity</w:t>
      </w:r>
      <w:r>
        <w:rPr>
          <w:rFonts w:ascii="Arial" w:cs="Arial" w:eastAsia="Arial" w:hAnsi="Arial"/>
          <w:sz w:val="18"/>
          <w:szCs w:val="18"/>
          <w:color w:val="auto"/>
        </w:rPr>
        <w:t>. Participant agrees to indemnify and keep indemnified the Company, any Subsidiary, any Parent and his/her Employer if different, from and against any liability for or obligation to pay any Tax Liability (a “</w:t>
      </w:r>
      <w:r>
        <w:rPr>
          <w:rFonts w:ascii="Arial" w:cs="Arial" w:eastAsia="Arial" w:hAnsi="Arial"/>
          <w:sz w:val="18"/>
          <w:szCs w:val="18"/>
          <w:u w:val="single" w:color="auto"/>
          <w:color w:val="auto"/>
        </w:rPr>
        <w:t>Tax Liability</w:t>
      </w:r>
      <w:r>
        <w:rPr>
          <w:rFonts w:ascii="Arial" w:cs="Arial" w:eastAsia="Arial" w:hAnsi="Arial"/>
          <w:sz w:val="18"/>
          <w:szCs w:val="18"/>
          <w:color w:val="auto"/>
        </w:rPr>
        <w:t>” being any liability for income tax, employee’s National Insurance contributions and (at the discretion of the Company) employer’s National Insurance Contributions (or other similar obligations to pay tax and social security wherever in the world arising) that is attributable to</w:t>
      </w:r>
    </w:p>
    <w:p>
      <w:pPr>
        <w:spacing w:after="0" w:line="1" w:lineRule="exact"/>
        <w:rPr>
          <w:rFonts w:ascii="Arial" w:cs="Arial" w:eastAsia="Arial" w:hAnsi="Arial"/>
          <w:sz w:val="16"/>
          <w:szCs w:val="16"/>
          <w:color w:val="auto"/>
        </w:rPr>
      </w:pPr>
    </w:p>
    <w:p>
      <w:pPr>
        <w:ind w:left="4" w:hanging="4"/>
        <w:spacing w:after="0" w:line="289" w:lineRule="auto"/>
        <w:tabs>
          <w:tab w:leader="none" w:pos="28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grant or exercise of, or any benefit derived by Participant from, the Option or the Shares which are the subject of the Option, (2) the transfer or issue of Shares to Participant on</w:t>
      </w:r>
    </w:p>
    <w:p>
      <w:pPr>
        <w:sectPr>
          <w:pgSz w:w="11900" w:h="16838" w:orient="portrait"/>
          <w:cols w:equalWidth="0" w:num="1">
            <w:col w:w="10764"/>
          </w:cols>
          <w:pgMar w:left="896" w:top="973" w:right="239" w:bottom="1440" w:gutter="0" w:footer="0" w:header="0"/>
        </w:sectPr>
      </w:pPr>
    </w:p>
    <w:bookmarkStart w:id="113" w:name="page114"/>
    <w:bookmarkEnd w:id="113"/>
    <w:p>
      <w:pPr>
        <w:spacing w:after="0" w:line="316" w:lineRule="auto"/>
        <w:rPr>
          <w:sz w:val="20"/>
          <w:szCs w:val="20"/>
          <w:color w:val="auto"/>
        </w:rPr>
      </w:pPr>
      <w:r>
        <w:rPr>
          <w:rFonts w:ascii="Arial" w:cs="Arial" w:eastAsia="Arial" w:hAnsi="Arial"/>
          <w:sz w:val="18"/>
          <w:szCs w:val="18"/>
          <w:color w:val="auto"/>
        </w:rPr>
        <w:t>satisfaction of the Option or any other benefit on exercise of the Option, (3) any restrictions applicable to the Shares held by the Participant ceasing to apply to those shares, or (4) the disposal of any Shares (each of those events referred to as a “</w:t>
      </w:r>
      <w:r>
        <w:rPr>
          <w:rFonts w:ascii="Arial" w:cs="Arial" w:eastAsia="Arial" w:hAnsi="Arial"/>
          <w:sz w:val="18"/>
          <w:szCs w:val="18"/>
          <w:u w:val="single" w:color="auto"/>
          <w:color w:val="auto"/>
        </w:rPr>
        <w:t>Taxable Event</w:t>
      </w:r>
      <w:r>
        <w:rPr>
          <w:rFonts w:ascii="Arial" w:cs="Arial" w:eastAsia="Arial" w:hAnsi="Arial"/>
          <w:sz w:val="18"/>
          <w:szCs w:val="18"/>
          <w:color w:val="auto"/>
        </w:rPr>
        <w:t>”)).</w:t>
      </w:r>
    </w:p>
    <w:p>
      <w:pPr>
        <w:spacing w:after="0" w:line="90" w:lineRule="exact"/>
        <w:rPr>
          <w:sz w:val="20"/>
          <w:szCs w:val="20"/>
          <w:color w:val="auto"/>
        </w:rPr>
      </w:pPr>
    </w:p>
    <w:p>
      <w:pPr>
        <w:jc w:val="both"/>
        <w:ind w:firstLine="645"/>
        <w:spacing w:after="0" w:line="274" w:lineRule="auto"/>
        <w:tabs>
          <w:tab w:leader="none" w:pos="1431" w:val="left"/>
        </w:tabs>
        <w:numPr>
          <w:ilvl w:val="0"/>
          <w:numId w:val="106"/>
        </w:numPr>
        <w:rPr>
          <w:rFonts w:ascii="Arial" w:cs="Arial" w:eastAsia="Arial" w:hAnsi="Arial"/>
          <w:sz w:val="18"/>
          <w:szCs w:val="18"/>
          <w:color w:val="auto"/>
        </w:rPr>
      </w:pPr>
      <w:r>
        <w:rPr>
          <w:rFonts w:ascii="Arial" w:cs="Arial" w:eastAsia="Arial" w:hAnsi="Arial"/>
          <w:sz w:val="20"/>
          <w:szCs w:val="20"/>
          <w:u w:val="single" w:color="auto"/>
          <w:color w:val="auto"/>
        </w:rPr>
        <w:t>Tax Liability.</w:t>
      </w:r>
      <w:r>
        <w:rPr>
          <w:rFonts w:ascii="Arial" w:cs="Arial" w:eastAsia="Arial" w:hAnsi="Arial"/>
          <w:sz w:val="20"/>
          <w:szCs w:val="20"/>
          <w:color w:val="auto"/>
        </w:rPr>
        <w:t xml:space="preserve"> The Option cannot be exercised until Participant has made such arrangements as the Company may require for the satisfaction of any Tax Liability that may arise in connection with the exercise of the Option and/or the acquisition of the Shares by the Participant. The Company shall not be required to issue, allot or transfer Shares until Participant has satisfied this obligation.</w:t>
      </w:r>
    </w:p>
    <w:p>
      <w:pPr>
        <w:spacing w:after="0" w:line="138" w:lineRule="exact"/>
        <w:rPr>
          <w:rFonts w:ascii="Arial" w:cs="Arial" w:eastAsia="Arial" w:hAnsi="Arial"/>
          <w:sz w:val="18"/>
          <w:szCs w:val="18"/>
          <w:color w:val="auto"/>
        </w:rPr>
      </w:pPr>
    </w:p>
    <w:p>
      <w:pPr>
        <w:jc w:val="both"/>
        <w:ind w:firstLine="645"/>
        <w:spacing w:after="0" w:line="314" w:lineRule="auto"/>
        <w:tabs>
          <w:tab w:leader="none" w:pos="1431" w:val="left"/>
        </w:tabs>
        <w:numPr>
          <w:ilvl w:val="0"/>
          <w:numId w:val="106"/>
        </w:numPr>
        <w:rPr>
          <w:rFonts w:ascii="Arial" w:cs="Arial" w:eastAsia="Arial" w:hAnsi="Arial"/>
          <w:sz w:val="16"/>
          <w:szCs w:val="16"/>
          <w:color w:val="auto"/>
        </w:rPr>
      </w:pPr>
      <w:r>
        <w:rPr>
          <w:rFonts w:ascii="Arial" w:cs="Arial" w:eastAsia="Arial" w:hAnsi="Arial"/>
          <w:sz w:val="18"/>
          <w:szCs w:val="18"/>
          <w:u w:val="single" w:color="auto"/>
          <w:color w:val="auto"/>
        </w:rPr>
        <w:t>Election.</w:t>
      </w:r>
      <w:r>
        <w:rPr>
          <w:rFonts w:ascii="Arial" w:cs="Arial" w:eastAsia="Arial" w:hAnsi="Arial"/>
          <w:sz w:val="18"/>
          <w:szCs w:val="18"/>
          <w:color w:val="auto"/>
        </w:rPr>
        <w:t xml:space="preserve"> Participant undertakes that, upon request by the Company, he/she will (on or within 14 days of acquiring the Shares) join with his/her Employer in electing, pursuant to Section 431(1) of the Income Tax (Earnings and Pensions) Act 2003 (“</w:t>
      </w:r>
      <w:r>
        <w:rPr>
          <w:rFonts w:ascii="Arial" w:cs="Arial" w:eastAsia="Arial" w:hAnsi="Arial"/>
          <w:sz w:val="18"/>
          <w:szCs w:val="18"/>
          <w:u w:val="single" w:color="auto"/>
          <w:color w:val="auto"/>
        </w:rPr>
        <w:t>ITEPA</w:t>
      </w:r>
      <w:r>
        <w:rPr>
          <w:rFonts w:ascii="Arial" w:cs="Arial" w:eastAsia="Arial" w:hAnsi="Arial"/>
          <w:sz w:val="18"/>
          <w:szCs w:val="18"/>
          <w:color w:val="auto"/>
        </w:rPr>
        <w:t>”) that, for relevant tax purposes, the market value of the Shares acquired on exercise of the Option on any occasion will be calculated as if the Shares were not restricted and Sections 425 to 430 (inclusive) of ITEPA are not to apply to such Shares.</w:t>
      </w:r>
    </w:p>
    <w:p>
      <w:pPr>
        <w:spacing w:after="0" w:line="105" w:lineRule="exact"/>
        <w:rPr>
          <w:rFonts w:ascii="Arial" w:cs="Arial" w:eastAsia="Arial" w:hAnsi="Arial"/>
          <w:sz w:val="16"/>
          <w:szCs w:val="16"/>
          <w:color w:val="auto"/>
        </w:rPr>
      </w:pPr>
    </w:p>
    <w:p>
      <w:pPr>
        <w:jc w:val="both"/>
        <w:ind w:firstLine="645"/>
        <w:spacing w:after="0" w:line="303" w:lineRule="auto"/>
        <w:tabs>
          <w:tab w:leader="none" w:pos="1431" w:val="left"/>
        </w:tabs>
        <w:numPr>
          <w:ilvl w:val="0"/>
          <w:numId w:val="106"/>
        </w:numPr>
        <w:rPr>
          <w:rFonts w:ascii="Arial" w:cs="Arial" w:eastAsia="Arial" w:hAnsi="Arial"/>
          <w:sz w:val="16"/>
          <w:szCs w:val="16"/>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xml:space="preserve"> Participant agrees that if Participant does not pay or his/her Employer or the Company does not withhold from Participant the full amount of any Tax Liability within 90 days after the end of the tax year in which the Taxable Event occurred, or such other period specified in Section 222(1)(c) of ITPEA, then the amount that should have been withheld shall constitute a loan owed by Participant to the Employer, effective 90 days after the end of the tax year in which the Taxable Event occurred. Participant agrees that the loan will bear interest at the HMRC’s official rate and will be immediately due and repayable by Participant, and the Company and/or the Employer may recover it at any time thereafter by: (i) withholding the funds from salary, bonus or any other funds due to Participant by the Employer; (ii) withholding in Shares issued upon vesting and exercise of the Option or from the cash proceeds from the sale of Shares; or (iii) demanding cash or a cheque from Participant. Participant also authorizes the Company to delay the issuance of any Shares to Participant unless and until the loan is repaid in full.</w:t>
      </w:r>
    </w:p>
    <w:p>
      <w:pPr>
        <w:spacing w:after="0" w:line="1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Notwithstanding the foregoing, if Participant is an officer or executive director (as within the meaning of Section 13(k) of the U.S. Securities and Exchange Act of 1934, as amended), the terms of the immediately foregoing provision will not apply. In the event that Participant is an officer or executive director and the Tax Liability is not collected from or paid by Participant within 90 days of the end of the tax year in which the Taxable Event occurred, the amount of any uncollected Tax Liability may constitute a benefit to Participant on which additional income tax and national insurance contributions may be payable. Participant acknowledges that the Company or the Employer may recover any such additional income tax and national insurance contributions at any time thereafter.</w:t>
      </w:r>
    </w:p>
    <w:p>
      <w:pPr>
        <w:spacing w:after="0" w:line="125" w:lineRule="exact"/>
        <w:rPr>
          <w:sz w:val="20"/>
          <w:szCs w:val="20"/>
          <w:color w:val="auto"/>
        </w:rPr>
      </w:pPr>
    </w:p>
    <w:p>
      <w:pPr>
        <w:jc w:val="both"/>
        <w:ind w:firstLine="645"/>
        <w:spacing w:after="0" w:line="288" w:lineRule="auto"/>
        <w:tabs>
          <w:tab w:leader="none" w:pos="1431" w:val="left"/>
        </w:tabs>
        <w:numPr>
          <w:ilvl w:val="0"/>
          <w:numId w:val="107"/>
        </w:numPr>
        <w:rPr>
          <w:rFonts w:ascii="Arial" w:cs="Arial" w:eastAsia="Arial" w:hAnsi="Arial"/>
          <w:sz w:val="17"/>
          <w:szCs w:val="17"/>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Participant acknowledges that neither this UK Option Agreement nor the Plan has been issued, nor has it been approved by, an authorised person within the meaning of the Financial Services and Markets Act 2000 of the United Kingdom and is being directed at the Participant because the offer to which this UK Option Agreement and the Plan relate has been determined as having regard to the Participant’s circumstances as an Employee of the Company or one of its Subsidiaries. This UK Option Agreement is strictly confidential and is not for distribution to, and may not be acted upon by, any other person other than the person to whom it has been specifically addressed.</w:t>
      </w:r>
    </w:p>
    <w:p>
      <w:pPr>
        <w:spacing w:after="0" w:line="128" w:lineRule="exact"/>
        <w:rPr>
          <w:rFonts w:ascii="Arial" w:cs="Arial" w:eastAsia="Arial" w:hAnsi="Arial"/>
          <w:sz w:val="17"/>
          <w:szCs w:val="17"/>
          <w:color w:val="auto"/>
        </w:rPr>
      </w:pPr>
    </w:p>
    <w:p>
      <w:pPr>
        <w:ind w:left="1420" w:hanging="775"/>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20"/>
          <w:szCs w:val="20"/>
          <w:color w:val="auto"/>
        </w:rPr>
        <w:t>For the purposes of this Agreement and the Plan, the following defined term applies:</w:t>
      </w:r>
    </w:p>
    <w:p>
      <w:pPr>
        <w:spacing w:after="0" w:line="175" w:lineRule="exact"/>
        <w:rPr>
          <w:rFonts w:ascii="Arial" w:cs="Arial" w:eastAsia="Arial" w:hAnsi="Arial"/>
          <w:sz w:val="18"/>
          <w:szCs w:val="18"/>
          <w:color w:val="auto"/>
        </w:rPr>
      </w:pPr>
    </w:p>
    <w:p>
      <w:pPr>
        <w:ind w:right="140" w:firstLine="1293"/>
        <w:spacing w:after="0" w:line="287" w:lineRule="auto"/>
        <w:tabs>
          <w:tab w:leader="none" w:pos="154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9"/>
          <w:szCs w:val="19"/>
          <w:color w:val="auto"/>
        </w:rPr>
        <w:t>Retirement” means the termination of the Participant’s employment at the age when he or she becomes eligible to</w:t>
      </w:r>
      <w:r>
        <w:rPr>
          <w:rFonts w:ascii="Arial" w:cs="Arial" w:eastAsia="Arial" w:hAnsi="Arial"/>
          <w:sz w:val="18"/>
          <w:szCs w:val="18"/>
          <w:color w:val="auto"/>
        </w:rPr>
        <w:t xml:space="preserve"> </w:t>
      </w:r>
      <w:r>
        <w:rPr>
          <w:rFonts w:ascii="Arial" w:cs="Arial" w:eastAsia="Arial" w:hAnsi="Arial"/>
          <w:sz w:val="19"/>
          <w:szCs w:val="19"/>
          <w:color w:val="auto"/>
        </w:rPr>
        <w:t>receive a state pension in the UK.</w:t>
      </w:r>
    </w:p>
    <w:p>
      <w:pPr>
        <w:sectPr>
          <w:pgSz w:w="11900" w:h="16838" w:orient="portrait"/>
          <w:cols w:equalWidth="0" w:num="1">
            <w:col w:w="10760"/>
          </w:cols>
          <w:pgMar w:left="900" w:top="973"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b w:val="1"/>
          <w:bCs w:val="1"/>
          <w:color w:val="auto"/>
        </w:rPr>
        <w:t>TECHNIPFMC PLC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EXECUTIVE SEVERANCE AGREEMENT</w:t>
      </w:r>
    </w:p>
    <w:p>
      <w:pPr>
        <w:spacing w:after="0" w:line="304" w:lineRule="exact"/>
        <w:rPr>
          <w:sz w:val="20"/>
          <w:szCs w:val="20"/>
          <w:color w:val="auto"/>
        </w:rPr>
      </w:pPr>
    </w:p>
    <w:p>
      <w:pPr>
        <w:ind w:right="160" w:firstLine="648"/>
        <w:spacing w:after="0" w:line="269" w:lineRule="auto"/>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is made and entered into as of the [date], by and between TechnipFMC plc (hereinafter referred</w:t>
      </w:r>
      <w:r>
        <w:rPr>
          <w:rFonts w:ascii="Arial" w:cs="Arial" w:eastAsia="Arial" w:hAnsi="Arial"/>
          <w:sz w:val="22"/>
          <w:szCs w:val="22"/>
          <w:b w:val="1"/>
          <w:bCs w:val="1"/>
          <w:color w:val="auto"/>
        </w:rPr>
        <w:t xml:space="preserve"> </w:t>
      </w:r>
      <w:r>
        <w:rPr>
          <w:rFonts w:ascii="Arial" w:cs="Arial" w:eastAsia="Arial" w:hAnsi="Arial"/>
          <w:sz w:val="22"/>
          <w:szCs w:val="22"/>
          <w:color w:val="auto"/>
        </w:rPr>
        <w:t>to as the “</w:t>
      </w:r>
      <w:r>
        <w:rPr>
          <w:rFonts w:ascii="Arial" w:cs="Arial" w:eastAsia="Arial" w:hAnsi="Arial"/>
          <w:sz w:val="22"/>
          <w:szCs w:val="22"/>
          <w:b w:val="1"/>
          <w:bCs w:val="1"/>
          <w:color w:val="auto"/>
        </w:rPr>
        <w:t>Company</w:t>
      </w:r>
      <w:r>
        <w:rPr>
          <w:rFonts w:ascii="Arial" w:cs="Arial" w:eastAsia="Arial" w:hAnsi="Arial"/>
          <w:sz w:val="22"/>
          <w:szCs w:val="22"/>
          <w:color w:val="auto"/>
        </w:rPr>
        <w:t>”) and [Executive] (hereinafter referred to as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62" w:lineRule="exact"/>
        <w:rPr>
          <w:sz w:val="20"/>
          <w:szCs w:val="20"/>
          <w:color w:val="auto"/>
        </w:rPr>
      </w:pPr>
    </w:p>
    <w:p>
      <w:pPr>
        <w:ind w:right="880"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Committee has approved the Company's entering into severance agreements with certain key</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of the Company;</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Executive is a key executive of the Company;</w:t>
      </w:r>
    </w:p>
    <w:p>
      <w:pPr>
        <w:spacing w:after="0" w:line="220" w:lineRule="exact"/>
        <w:rPr>
          <w:sz w:val="20"/>
          <w:szCs w:val="20"/>
          <w:color w:val="auto"/>
        </w:rPr>
      </w:pPr>
    </w:p>
    <w:p>
      <w:pPr>
        <w:ind w:right="180" w:firstLine="648"/>
        <w:spacing w:after="0" w:line="24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should the possibility of a Change in Control arise, the Board believes it is imperative that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Board be able to rely upon the Executive to continue in the Executive's position, and that the Company be able to receive and rely upon the Executive's advice, if requested, as to the best interests of the Company and its shareholders without concern that the Executive might be distracted by the personal uncertainties and risks created by the possibility of a Change in Control;</w:t>
      </w:r>
    </w:p>
    <w:p>
      <w:pPr>
        <w:spacing w:after="0" w:line="187"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should the possibility of a Change in Control arise, in addition to the Executive's regular duties,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may be called upon to assist in the assessment of such possible Change in Control, advise management and the Board as to whether such Change in Control would be in the best interests of the Company and its shareholders, and to take such other actions as the Board might determine to be appropriate; and</w:t>
      </w:r>
    </w:p>
    <w:p>
      <w:pPr>
        <w:spacing w:after="0" w:line="180" w:lineRule="exact"/>
        <w:rPr>
          <w:sz w:val="20"/>
          <w:szCs w:val="20"/>
          <w:color w:val="auto"/>
        </w:rPr>
      </w:pPr>
    </w:p>
    <w:p>
      <w:pPr>
        <w:ind w:right="140" w:firstLine="648"/>
        <w:spacing w:after="0" w:line="252"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to assure the Company that it will have the continued dedication of the Executive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availability of the Executive's advice and counsel notwithstanding the possibility, threat, or occurrence of a Change in Control, and to induce the Executive to remain in the employ of the Company, and for other good and valuable consideration, the Company and the Executive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ESTABLISHMENT, TERM AND PURPOSE</w:t>
      </w:r>
    </w:p>
    <w:p>
      <w:pPr>
        <w:spacing w:after="0" w:line="236"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This Agreement will commence on the [date] (the “</w:t>
      </w:r>
      <w:r>
        <w:rPr>
          <w:rFonts w:ascii="Arial" w:cs="Arial" w:eastAsia="Arial" w:hAnsi="Arial"/>
          <w:sz w:val="22"/>
          <w:szCs w:val="22"/>
          <w:b w:val="1"/>
          <w:bCs w:val="1"/>
          <w:color w:val="auto"/>
        </w:rPr>
        <w:t>Effective Date</w:t>
      </w:r>
      <w:r>
        <w:rPr>
          <w:rFonts w:ascii="Arial" w:cs="Arial" w:eastAsia="Arial" w:hAnsi="Arial"/>
          <w:sz w:val="22"/>
          <w:szCs w:val="22"/>
          <w:color w:val="auto"/>
        </w:rPr>
        <w:t>”) and will continue in effect until the earlier of [end date] or until such date when the Executive no longer holds the same executive title and position unless the Company, in its sole discretion, elects to extend the Agreement. However, in the event a Change in Control occurs during the term, this Agreement will remain in effect for the longer of: twenty-four (24) months beyond the month in which such Change in Control occurred; or until all obligations of the Company hereunder have been fulfilled, and until all benefits required hereunder have been paid to the Executive.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DEFINED TERMS</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Capitalized terms used and not defined in the body of this Agreement are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ectPr>
          <w:pgSz w:w="11900" w:h="16838" w:orient="portrait"/>
          <w:cols w:equalWidth="0" w:num="1">
            <w:col w:w="11080"/>
          </w:cols>
          <w:pgMar w:left="580" w:top="58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BENEFITS</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Right to Severance Benefits</w:t>
      </w:r>
      <w:r>
        <w:rPr>
          <w:rFonts w:ascii="Arial" w:cs="Arial" w:eastAsia="Arial" w:hAnsi="Arial"/>
          <w:sz w:val="22"/>
          <w:szCs w:val="22"/>
          <w:color w:val="auto"/>
        </w:rPr>
        <w:t>.</w:t>
      </w:r>
    </w:p>
    <w:p>
      <w:pPr>
        <w:spacing w:after="0" w:line="260" w:lineRule="exact"/>
        <w:rPr>
          <w:sz w:val="20"/>
          <w:szCs w:val="20"/>
          <w:color w:val="auto"/>
        </w:rPr>
      </w:pPr>
    </w:p>
    <w:p>
      <w:pPr>
        <w:ind w:right="60" w:firstLine="640"/>
        <w:spacing w:after="0" w:line="297" w:lineRule="auto"/>
        <w:tabs>
          <w:tab w:leader="none" w:pos="150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The Executive will be entitled to receive from the Company Severance Benefits pursuant to the terms of this Agreement, and as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if there has been a Change in Control and if during the Protection Period a Qualifying Termination of the Executive has occurred. Executive’s right to receive the Severance Benefits is conditioned upon Executive’s signing an effective general release of claims and covenant not to sue within forty-five (45) days of the Effective Date of Termination, and not revoking such release during any revocation period required by law.</w:t>
      </w:r>
    </w:p>
    <w:p>
      <w:pPr>
        <w:spacing w:after="0" w:line="181" w:lineRule="exact"/>
        <w:rPr>
          <w:rFonts w:ascii="Arial" w:cs="Arial" w:eastAsia="Arial" w:hAnsi="Arial"/>
          <w:sz w:val="19"/>
          <w:szCs w:val="19"/>
          <w:color w:val="auto"/>
        </w:rPr>
      </w:pPr>
    </w:p>
    <w:p>
      <w:pPr>
        <w:ind w:right="260" w:firstLine="640"/>
        <w:spacing w:after="0" w:line="269" w:lineRule="auto"/>
        <w:tabs>
          <w:tab w:leader="none" w:pos="149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occurrence of any one or more of the following events will constitute a “</w:t>
      </w:r>
      <w:r>
        <w:rPr>
          <w:rFonts w:ascii="Arial" w:cs="Arial" w:eastAsia="Arial" w:hAnsi="Arial"/>
          <w:sz w:val="22"/>
          <w:szCs w:val="22"/>
          <w:b w:val="1"/>
          <w:bCs w:val="1"/>
          <w:color w:val="auto"/>
        </w:rPr>
        <w:t>Qualifying Termination</w:t>
      </w:r>
      <w:r>
        <w:rPr>
          <w:rFonts w:ascii="Arial" w:cs="Arial" w:eastAsia="Arial" w:hAnsi="Arial"/>
          <w:sz w:val="22"/>
          <w:szCs w:val="22"/>
          <w:color w:val="auto"/>
        </w:rPr>
        <w:t>” and will trigger the payment of Severance Benefits to the Executive under this Agreement:</w:t>
      </w:r>
    </w:p>
    <w:p>
      <w:pPr>
        <w:spacing w:after="0" w:line="208" w:lineRule="exact"/>
        <w:rPr>
          <w:rFonts w:ascii="Arial" w:cs="Arial" w:eastAsia="Arial" w:hAnsi="Arial"/>
          <w:sz w:val="22"/>
          <w:szCs w:val="22"/>
          <w:color w:val="auto"/>
        </w:rPr>
      </w:pPr>
    </w:p>
    <w:p>
      <w:pPr>
        <w:ind w:left="640" w:right="40" w:firstLine="730"/>
        <w:spacing w:after="0" w:line="343" w:lineRule="auto"/>
        <w:tabs>
          <w:tab w:leader="none" w:pos="1774" w:val="left"/>
        </w:tabs>
        <w:numPr>
          <w:ilvl w:val="1"/>
          <w:numId w:val="108"/>
        </w:numPr>
        <w:rPr>
          <w:rFonts w:ascii="Arial" w:cs="Arial" w:eastAsia="Arial" w:hAnsi="Arial"/>
          <w:sz w:val="19"/>
          <w:szCs w:val="19"/>
          <w:color w:val="auto"/>
        </w:rPr>
      </w:pPr>
      <w:r>
        <w:rPr>
          <w:rFonts w:ascii="Arial" w:cs="Arial" w:eastAsia="Arial" w:hAnsi="Arial"/>
          <w:sz w:val="19"/>
          <w:szCs w:val="19"/>
          <w:color w:val="auto"/>
        </w:rPr>
        <w:t>an involuntary termination of the Executive's employment pursuant to a Notice of Termination delivered to the Executive by the Company for reasons other than Cause, Disability or death during the Protection Period; or</w:t>
      </w:r>
    </w:p>
    <w:p>
      <w:pPr>
        <w:spacing w:after="0" w:line="145" w:lineRule="exact"/>
        <w:rPr>
          <w:rFonts w:ascii="Arial" w:cs="Arial" w:eastAsia="Arial" w:hAnsi="Arial"/>
          <w:sz w:val="19"/>
          <w:szCs w:val="19"/>
          <w:color w:val="auto"/>
        </w:rPr>
      </w:pPr>
    </w:p>
    <w:p>
      <w:pPr>
        <w:ind w:left="640" w:right="20" w:firstLine="730"/>
        <w:spacing w:after="0" w:line="263" w:lineRule="auto"/>
        <w:tabs>
          <w:tab w:leader="none" w:pos="1774"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 voluntary termination for Good Reason pursuant to a Notice of Termination delivered to the Company by the Executive during the Protection Period.</w:t>
      </w:r>
    </w:p>
    <w:p>
      <w:pPr>
        <w:spacing w:after="0" w:line="215" w:lineRule="exact"/>
        <w:rPr>
          <w:rFonts w:ascii="Arial" w:cs="Arial" w:eastAsia="Arial" w:hAnsi="Arial"/>
          <w:sz w:val="22"/>
          <w:szCs w:val="22"/>
          <w:color w:val="auto"/>
        </w:rPr>
      </w:pPr>
    </w:p>
    <w:p>
      <w:pPr>
        <w:ind w:firstLine="640"/>
        <w:spacing w:after="0" w:line="247" w:lineRule="auto"/>
        <w:tabs>
          <w:tab w:leader="none" w:pos="149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Awards granted under the TechnipFMC Incentive Award Plan, the FMC Technologies, Inc. Incentive Compensation and Stock Plan, 2010 Technip Incentive Award Plan, 2011 Technip Incentive Award Plan, 2012 Technip Incentive Award Plan, 2013 Technip Incentive Award Plan, 2014 Technip Incentive Award Plan, 2015 Technip Incentive Award Plan, 2016 Technip Incentive Award Plan, Technip Capital 2012 Plan and Technip Capital 2015 Plan and other similar incentive arrangements adopted by the Company in the future (the “Equity Plans”) will be treated pursuant to the terms of the applicable plan.</w:t>
      </w:r>
    </w:p>
    <w:p>
      <w:pPr>
        <w:spacing w:after="0" w:line="234" w:lineRule="exact"/>
        <w:rPr>
          <w:rFonts w:ascii="Arial" w:cs="Arial" w:eastAsia="Arial" w:hAnsi="Arial"/>
          <w:sz w:val="22"/>
          <w:szCs w:val="22"/>
          <w:color w:val="auto"/>
        </w:rPr>
      </w:pPr>
    </w:p>
    <w:p>
      <w:pPr>
        <w:ind w:right="100" w:firstLine="640"/>
        <w:spacing w:after="0" w:line="250" w:lineRule="auto"/>
        <w:tabs>
          <w:tab w:leader="none" w:pos="150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restrictions imposed by Company ownership or retention guidelines applicable to the sale of the Company's ordinary shares by executive officers will not apply to any awards granted to the Executive prior to a Change in Control under the Equity Plans or other incentive arrangements adopted by the Company that vests as a result of the Change in Control in accordance with the terms of this Agreement.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Terminations Receiving no Severance Rights under this Agreement</w:t>
      </w:r>
      <w:r>
        <w:rPr>
          <w:rFonts w:ascii="Arial" w:cs="Arial" w:eastAsia="Arial" w:hAnsi="Arial"/>
          <w:sz w:val="22"/>
          <w:szCs w:val="22"/>
          <w:color w:val="auto"/>
        </w:rPr>
        <w:t>.</w:t>
      </w:r>
    </w:p>
    <w:p>
      <w:pPr>
        <w:spacing w:after="0" w:line="260"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Following a Change in Control, the Executive will not be entitled to receive Severance Benefits under this Agreement if the Executive's employment is terminated due to the following circumstances:</w:t>
      </w:r>
    </w:p>
    <w:p>
      <w:pPr>
        <w:spacing w:after="0" w:line="215" w:lineRule="exact"/>
        <w:rPr>
          <w:sz w:val="20"/>
          <w:szCs w:val="20"/>
          <w:color w:val="auto"/>
        </w:rPr>
      </w:pPr>
    </w:p>
    <w:p>
      <w:pPr>
        <w:ind w:right="180" w:firstLine="640"/>
        <w:spacing w:after="0" w:line="250" w:lineRule="auto"/>
        <w:tabs>
          <w:tab w:leader="none" w:pos="1506"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Termination upon Death</w:t>
      </w:r>
      <w:r>
        <w:rPr>
          <w:rFonts w:ascii="Arial" w:cs="Arial" w:eastAsia="Arial" w:hAnsi="Arial"/>
          <w:sz w:val="22"/>
          <w:szCs w:val="22"/>
          <w:color w:val="auto"/>
        </w:rPr>
        <w:t>. If the Executive's employment is terminated due to death, the Executive's benefits will be determined in accordance with the Company's retirement, survivor's benefits, insurance and other applicable programs of the Company then in effect. If the Executive's employment is terminated due to death, neither the Executive nor the Executive's</w:t>
      </w:r>
    </w:p>
    <w:p>
      <w:pPr>
        <w:sectPr>
          <w:pgSz w:w="11900" w:h="16838" w:orient="portrait"/>
          <w:cols w:equalWidth="0" w:num="1">
            <w:col w:w="11060"/>
          </w:cols>
          <w:pgMar w:left="580" w:top="841" w:right="259" w:bottom="1440" w:gutter="0" w:footer="0" w:header="0"/>
        </w:sectPr>
      </w:pPr>
    </w:p>
    <w:bookmarkStart w:id="116" w:name="page117"/>
    <w:bookmarkEnd w:id="116"/>
    <w:p>
      <w:pPr>
        <w:ind w:right="280"/>
        <w:spacing w:after="0" w:line="263" w:lineRule="auto"/>
        <w:rPr>
          <w:sz w:val="20"/>
          <w:szCs w:val="20"/>
          <w:color w:val="auto"/>
        </w:rPr>
      </w:pPr>
      <w:r>
        <w:rPr>
          <w:rFonts w:ascii="Arial" w:cs="Arial" w:eastAsia="Arial" w:hAnsi="Arial"/>
          <w:sz w:val="22"/>
          <w:szCs w:val="22"/>
          <w:color w:val="auto"/>
        </w:rPr>
        <w:t xml:space="preserve">Beneficiary will be entitled to the Severance Benefits referenced in Section 3.1 and described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the Company will have no further obligations to the Executive under this Agreement;</w:t>
      </w:r>
    </w:p>
    <w:p>
      <w:pPr>
        <w:spacing w:after="0" w:line="215" w:lineRule="exact"/>
        <w:rPr>
          <w:sz w:val="20"/>
          <w:szCs w:val="20"/>
          <w:color w:val="auto"/>
        </w:rPr>
      </w:pPr>
    </w:p>
    <w:p>
      <w:pPr>
        <w:ind w:right="60" w:firstLine="640"/>
        <w:spacing w:after="0" w:line="261" w:lineRule="auto"/>
        <w:tabs>
          <w:tab w:leader="none" w:pos="1495"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Termination for Disability</w:t>
      </w:r>
      <w:r>
        <w:rPr>
          <w:rFonts w:ascii="Arial" w:cs="Arial" w:eastAsia="Arial" w:hAnsi="Arial"/>
          <w:sz w:val="21"/>
          <w:szCs w:val="21"/>
          <w:color w:val="auto"/>
        </w:rPr>
        <w:t xml:space="preserve">. If the Executive's employment is terminated due to Disability, the Executive will receive the Executive's Base Salary through the Effective Date of Termination, and the Executive's benefits will be determined in accordance with the Company's disability, retirement, survivor's benefits, insurance and other applicable plans and programs then in effect. If the Executive's employment is terminated due to Disability, neither the Executive nor the Executive's Beneficiary will be entitled to the Severance Benefits referenced in Section 3.1 and described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and the Company will have no further obligations to the Executive under this Agreement;</w:t>
      </w:r>
    </w:p>
    <w:p>
      <w:pPr>
        <w:spacing w:after="0" w:line="220" w:lineRule="exact"/>
        <w:rPr>
          <w:rFonts w:ascii="Arial" w:cs="Arial" w:eastAsia="Arial" w:hAnsi="Arial"/>
          <w:sz w:val="21"/>
          <w:szCs w:val="21"/>
          <w:color w:val="auto"/>
        </w:rPr>
      </w:pPr>
    </w:p>
    <w:p>
      <w:pPr>
        <w:ind w:firstLine="640"/>
        <w:spacing w:after="0" w:line="294" w:lineRule="auto"/>
        <w:tabs>
          <w:tab w:leader="none" w:pos="1495"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xml:space="preserve">. If the Executive's employment is terminated either: by the Company for Cause; or by the Executive other than for Good Reason, the Company will pay the Executive an amount equal to the Executive's Base Salary and earned but unused vacation through the Effective Date of Termination, at the rate then in effect, plus all other amounts to which the Executive is entitled under any plans of the Company, at the time such payments are due. In such event, neither the Executive nor the Executive's Beneficiary will be entitled to the Severance Benefits referenced in Section 3.1 and described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the Company will have no further obligations to the Executive under this Agreement.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OF TIMING AND SEVERANE BENEFITS</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Form and Timing of Severance Benefits</w:t>
      </w:r>
      <w:r>
        <w:rPr>
          <w:rFonts w:ascii="Arial" w:cs="Arial" w:eastAsia="Arial" w:hAnsi="Arial"/>
          <w:sz w:val="22"/>
          <w:szCs w:val="22"/>
          <w:color w:val="auto"/>
        </w:rPr>
        <w:t>.</w:t>
      </w:r>
    </w:p>
    <w:p>
      <w:pPr>
        <w:spacing w:after="0" w:line="260" w:lineRule="exact"/>
        <w:rPr>
          <w:sz w:val="20"/>
          <w:szCs w:val="20"/>
          <w:color w:val="auto"/>
        </w:rPr>
      </w:pPr>
    </w:p>
    <w:p>
      <w:pPr>
        <w:ind w:right="100" w:firstLine="648"/>
        <w:spacing w:after="0" w:line="263" w:lineRule="auto"/>
        <w:rPr>
          <w:sz w:val="20"/>
          <w:szCs w:val="20"/>
          <w:color w:val="auto"/>
        </w:rPr>
      </w:pPr>
      <w:r>
        <w:rPr>
          <w:rFonts w:ascii="Arial" w:cs="Arial" w:eastAsia="Arial" w:hAnsi="Arial"/>
          <w:sz w:val="21"/>
          <w:szCs w:val="21"/>
          <w:color w:val="auto"/>
        </w:rPr>
        <w:t xml:space="preserve">The Severance Benefits described in subparagraph (a) under the Description of Severance Benefits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will be paid in cash to the Executive (or the Executive's Beneficiary, if applicable) in a single lump sum as soon as practicable following the effective date of the Release, but in no event beyond sixty (60) days from such date. If the time period during which the Executive may sign the Release spans more than one taxable year, then payment of the Severance Benefits will not be made until the later taxable year, no matter when the Executive signs the Release.</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Withholding of Taxes</w:t>
      </w:r>
      <w:r>
        <w:rPr>
          <w:rFonts w:ascii="Arial" w:cs="Arial" w:eastAsia="Arial" w:hAnsi="Arial"/>
          <w:sz w:val="22"/>
          <w:szCs w:val="22"/>
          <w:color w:val="auto"/>
        </w:rPr>
        <w:t>.</w:t>
      </w:r>
    </w:p>
    <w:p>
      <w:pPr>
        <w:spacing w:after="0" w:line="220"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The Company will be entitled to withhold from any amounts payable under this Agreement all taxes as may be legally required in the applicable jurisdiction (including, without limitation, any federal, state, city, or local income, employment or social insurance taxes).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Cut-Back Provision</w:t>
      </w:r>
      <w:r>
        <w:rPr>
          <w:rFonts w:ascii="Arial" w:cs="Arial" w:eastAsia="Arial" w:hAnsi="Arial"/>
          <w:sz w:val="22"/>
          <w:szCs w:val="22"/>
          <w:color w:val="auto"/>
        </w:rPr>
        <w:t>.</w:t>
      </w:r>
    </w:p>
    <w:p>
      <w:pPr>
        <w:spacing w:after="0" w:line="220" w:lineRule="exact"/>
        <w:rPr>
          <w:sz w:val="20"/>
          <w:szCs w:val="20"/>
          <w:color w:val="auto"/>
        </w:rPr>
      </w:pPr>
    </w:p>
    <w:p>
      <w:pPr>
        <w:ind w:right="220" w:firstLine="640"/>
        <w:spacing w:after="0" w:line="302" w:lineRule="auto"/>
        <w:tabs>
          <w:tab w:leader="none" w:pos="150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If a Change in Control occurs during the original or extended term of this Agreement, then to the extent any Total Payments received by the Executive would be subject (in whole or in part), to an Excise Tax, then, after taking into account any reduction in the Total Payments provided by reason of section 280G of the Code, the Total Payments shall be reduced, to the extent necessary, so that no portion of the Total Payments is subject to the Excise Tax;</w:t>
      </w:r>
    </w:p>
    <w:p>
      <w:pPr>
        <w:sectPr>
          <w:pgSz w:w="11900" w:h="16838" w:orient="portrait"/>
          <w:cols w:equalWidth="0" w:num="1">
            <w:col w:w="11040"/>
          </w:cols>
          <w:pgMar w:left="580" w:top="847" w:right="279" w:bottom="1440" w:gutter="0" w:footer="0" w:header="0"/>
        </w:sectPr>
      </w:pPr>
    </w:p>
    <w:bookmarkStart w:id="117" w:name="page118"/>
    <w:bookmarkEnd w:id="117"/>
    <w:p>
      <w:pPr>
        <w:ind w:right="100"/>
        <w:spacing w:after="0" w:line="263" w:lineRule="auto"/>
        <w:rPr>
          <w:sz w:val="20"/>
          <w:szCs w:val="20"/>
          <w:color w:val="auto"/>
        </w:rPr>
      </w:pPr>
      <w:r>
        <w:rPr>
          <w:rFonts w:ascii="Arial" w:cs="Arial" w:eastAsia="Arial" w:hAnsi="Arial"/>
          <w:sz w:val="21"/>
          <w:szCs w:val="21"/>
          <w:color w:val="auto"/>
        </w:rPr>
        <w:t>provided, however, that such reduction shall occur only if the net amount of such Total Payments, as so reduced, and after subtracting the net amount of federal, state and local income and employment taxes on such reduced Total Payments, is greater than or equal to the net amount of such Total Payments without such reduction, but after subtracting the net amount of federal, state and local income and employment taxes on such Total Payments and the amount of Excise Tax to which the Executive would be subject in respect of such unreduced Total Payments.</w:t>
      </w:r>
    </w:p>
    <w:p>
      <w:pPr>
        <w:spacing w:after="0" w:line="216" w:lineRule="exact"/>
        <w:rPr>
          <w:sz w:val="20"/>
          <w:szCs w:val="20"/>
          <w:color w:val="auto"/>
        </w:rPr>
      </w:pPr>
    </w:p>
    <w:p>
      <w:pPr>
        <w:ind w:left="1480" w:hanging="840"/>
        <w:spacing w:after="0"/>
        <w:tabs>
          <w:tab w:leader="none" w:pos="148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For purposes of determining whether and the extent to which the Total Payments will be subject to the Excise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Tax;</w:t>
      </w:r>
    </w:p>
    <w:p>
      <w:pPr>
        <w:spacing w:after="0" w:line="242" w:lineRule="exact"/>
        <w:rPr>
          <w:sz w:val="20"/>
          <w:szCs w:val="20"/>
          <w:color w:val="auto"/>
        </w:rPr>
      </w:pPr>
    </w:p>
    <w:p>
      <w:pPr>
        <w:ind w:left="640" w:right="120" w:firstLine="730"/>
        <w:spacing w:after="0" w:line="253" w:lineRule="auto"/>
        <w:tabs>
          <w:tab w:leader="none" w:pos="1774" w:val="left"/>
        </w:tabs>
        <w:numPr>
          <w:ilvl w:val="1"/>
          <w:numId w:val="113"/>
        </w:numPr>
        <w:rPr>
          <w:rFonts w:ascii="Arial" w:cs="Arial" w:eastAsia="Arial" w:hAnsi="Arial"/>
          <w:sz w:val="22"/>
          <w:szCs w:val="22"/>
          <w:color w:val="auto"/>
        </w:rPr>
      </w:pPr>
      <w:r>
        <w:rPr>
          <w:rFonts w:ascii="Arial" w:cs="Arial" w:eastAsia="Arial" w:hAnsi="Arial"/>
          <w:sz w:val="22"/>
          <w:szCs w:val="22"/>
          <w:color w:val="auto"/>
        </w:rPr>
        <w:t>no portion of the Total Payments that the Executive has waived the receipt or enjoyment of, at such a time and in such a manner so as not to constitute a “payment” within the meaning of section 280G(b) of the Code, shall be taken into account;</w:t>
      </w:r>
    </w:p>
    <w:p>
      <w:pPr>
        <w:spacing w:after="0" w:line="226" w:lineRule="exact"/>
        <w:rPr>
          <w:rFonts w:ascii="Arial" w:cs="Arial" w:eastAsia="Arial" w:hAnsi="Arial"/>
          <w:sz w:val="22"/>
          <w:szCs w:val="22"/>
          <w:color w:val="auto"/>
        </w:rPr>
      </w:pPr>
    </w:p>
    <w:p>
      <w:pPr>
        <w:ind w:left="640" w:right="40" w:firstLine="730"/>
        <w:spacing w:after="0" w:line="265" w:lineRule="auto"/>
        <w:tabs>
          <w:tab w:leader="none" w:pos="1774" w:val="left"/>
        </w:tabs>
        <w:numPr>
          <w:ilvl w:val="1"/>
          <w:numId w:val="113"/>
        </w:numPr>
        <w:rPr>
          <w:rFonts w:ascii="Arial" w:cs="Arial" w:eastAsia="Arial" w:hAnsi="Arial"/>
          <w:sz w:val="21"/>
          <w:szCs w:val="21"/>
          <w:color w:val="auto"/>
        </w:rPr>
      </w:pPr>
      <w:r>
        <w:rPr>
          <w:rFonts w:ascii="Arial" w:cs="Arial" w:eastAsia="Arial" w:hAnsi="Arial"/>
          <w:sz w:val="21"/>
          <w:szCs w:val="21"/>
          <w:color w:val="auto"/>
        </w:rPr>
        <w:t>no portion of the Total Payments shall be taken into account which, in the opinion of tax counsel reasonably acceptable to the Executive and selected by the Auditor, does not constitute a “parachute payment” within the meaning of section 280G(b)(2) of the Code, in excess of the “Base Amount” (within the meaning set forth in section 280G(b)(3) of the Code) allocable to such reasonable compensation; and</w:t>
      </w:r>
    </w:p>
    <w:p>
      <w:pPr>
        <w:spacing w:after="0" w:line="216" w:lineRule="exact"/>
        <w:rPr>
          <w:rFonts w:ascii="Arial" w:cs="Arial" w:eastAsia="Arial" w:hAnsi="Arial"/>
          <w:sz w:val="21"/>
          <w:szCs w:val="21"/>
          <w:color w:val="auto"/>
        </w:rPr>
      </w:pPr>
    </w:p>
    <w:p>
      <w:pPr>
        <w:jc w:val="both"/>
        <w:ind w:left="640" w:right="100" w:firstLine="730"/>
        <w:spacing w:after="0" w:line="312" w:lineRule="auto"/>
        <w:tabs>
          <w:tab w:leader="none" w:pos="1774"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 value of any non-cash benefit or any deferred payment or benefit included in the Total Payments shall be determined by the Auditor in accordance with the principles of section 280G(d)(3) and (4) of the Code and based on reasonable good faith interpretations of section 280G and the Treasury Regulations issued thereunder.</w:t>
      </w:r>
    </w:p>
    <w:p>
      <w:pPr>
        <w:spacing w:after="0" w:line="174" w:lineRule="exact"/>
        <w:rPr>
          <w:rFonts w:ascii="Arial" w:cs="Arial" w:eastAsia="Arial" w:hAnsi="Arial"/>
          <w:sz w:val="19"/>
          <w:szCs w:val="19"/>
          <w:color w:val="auto"/>
        </w:rPr>
      </w:pPr>
    </w:p>
    <w:p>
      <w:pPr>
        <w:ind w:right="400" w:firstLine="640"/>
        <w:spacing w:after="0" w:line="312" w:lineRule="auto"/>
        <w:tabs>
          <w:tab w:leader="none" w:pos="149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Should the Total Payments be reduced by applying the provisions of this Section 4.3, then such reductions shall be made in the following order: (1) by reducing any cash payments under Section 4.1 of this Agreement, and (2) by reducing any other non-cash Total Payments to be received, as determined by the Committee.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ESTABLISHMENT OF TRUST</w:t>
      </w:r>
    </w:p>
    <w:p>
      <w:pPr>
        <w:spacing w:after="0" w:line="242"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Section 5.1 As soon as practicable following the Effective Date hereof, the Company will create a Trust (which will be a grantor trust within the meaning of Sections 671-678 of the Code) for the benefit of the Executive and Beneficiaries, as appropriate. The Trust will have a trustee as selected by the Company, and will have certain restrictions as to the Company's ability to amend the Trust or cancel benefits provided thereunder. Any assets contained in the Trust will, at all times, be specifically subject to the claims of the Company's general creditors in the event of bankruptcy or insolvency pursuant to the terms of the Trust, along with the required procedure for notifying the trustee of any bankruptcy or insolvency.</w:t>
      </w:r>
    </w:p>
    <w:p>
      <w:pPr>
        <w:spacing w:after="0" w:line="190"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 xml:space="preserve">Section 5.2 At any time following the Effective Date hereof, the Company may, but is not obligated to, deposit assets in the Trust in an amount equal to or less than the aggregate Severance Benefits which may become due to the Executive under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ectPr>
          <w:pgSz w:w="11900" w:h="16838" w:orient="portrait"/>
          <w:cols w:equalWidth="0" w:num="1">
            <w:col w:w="11060"/>
          </w:cols>
          <w:pgMar w:left="580" w:top="847" w:right="259" w:bottom="1440" w:gutter="0" w:footer="0" w:header="0"/>
        </w:sectPr>
      </w:pPr>
    </w:p>
    <w:bookmarkStart w:id="118" w:name="page119"/>
    <w:bookmarkEnd w:id="118"/>
    <w:p>
      <w:pPr>
        <w:ind w:left="305" w:right="120" w:firstLine="648"/>
        <w:spacing w:after="0" w:line="297" w:lineRule="auto"/>
        <w:rPr>
          <w:sz w:val="20"/>
          <w:szCs w:val="20"/>
          <w:color w:val="auto"/>
        </w:rPr>
      </w:pPr>
      <w:r>
        <w:rPr>
          <w:rFonts w:ascii="Arial" w:cs="Arial" w:eastAsia="Arial" w:hAnsi="Arial"/>
          <w:sz w:val="19"/>
          <w:szCs w:val="19"/>
          <w:color w:val="auto"/>
        </w:rPr>
        <w:t xml:space="preserve">Section 5.3 As soon as practicable after the Company has knowledge that a Change in Control is imminent, but no later than the day immediately preceding the date of the Change in Control, the Company will deposit assets in such Trust in an amount equal to the estimated aggregate Severance Benefits which may become due to the Executive under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Article VII of this Agreement. Such deposited amounts will be reviewed and increased, if necessary, every six (6) months following a Change in Control to reflect the Executive's estimated aggregate Severance Benefits at such time.</w:t>
      </w:r>
    </w:p>
    <w:p>
      <w:pPr>
        <w:spacing w:after="0" w:line="141"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THE COMPANY'S PAYMENT OBLIGATION</w:t>
      </w:r>
    </w:p>
    <w:p>
      <w:pPr>
        <w:spacing w:after="0" w:line="242" w:lineRule="exact"/>
        <w:rPr>
          <w:sz w:val="20"/>
          <w:szCs w:val="20"/>
          <w:color w:val="auto"/>
        </w:rPr>
      </w:pPr>
    </w:p>
    <w:p>
      <w:pPr>
        <w:ind w:left="305" w:firstLine="648"/>
        <w:spacing w:after="0" w:line="261" w:lineRule="auto"/>
        <w:rPr>
          <w:sz w:val="20"/>
          <w:szCs w:val="20"/>
          <w:color w:val="auto"/>
        </w:rPr>
      </w:pPr>
      <w:r>
        <w:rPr>
          <w:rFonts w:ascii="Arial" w:cs="Arial" w:eastAsia="Arial" w:hAnsi="Arial"/>
          <w:sz w:val="21"/>
          <w:szCs w:val="21"/>
          <w:color w:val="auto"/>
        </w:rPr>
        <w:t>Section 6.1 The Company's obligation to make the payments and the arrangements provided for herein will be absolute and unconditional, and will not be affected by any circumstances, including, without limitation, any offset, counterclaim, recoupment, defense, or other right which the Company may have against the Executive or anyone else. All amounts payable by the Company hereunder will be paid without notice or demand. Each and every payment made hereunder by the Company will be final, and the Company will not seek to recover all or any part of such payment from the Executive or from whomsoever may be entitled thereto, for any reasons whatsoever.</w:t>
      </w:r>
    </w:p>
    <w:p>
      <w:pPr>
        <w:spacing w:after="0" w:line="221" w:lineRule="exact"/>
        <w:rPr>
          <w:sz w:val="20"/>
          <w:szCs w:val="20"/>
          <w:color w:val="auto"/>
        </w:rPr>
      </w:pPr>
    </w:p>
    <w:p>
      <w:pPr>
        <w:ind w:left="305" w:right="300" w:firstLine="648"/>
        <w:spacing w:after="0" w:line="250" w:lineRule="auto"/>
        <w:rPr>
          <w:sz w:val="20"/>
          <w:szCs w:val="20"/>
          <w:color w:val="auto"/>
        </w:rPr>
      </w:pPr>
      <w:r>
        <w:rPr>
          <w:rFonts w:ascii="Arial" w:cs="Arial" w:eastAsia="Arial" w:hAnsi="Arial"/>
          <w:sz w:val="22"/>
          <w:szCs w:val="22"/>
          <w:color w:val="auto"/>
        </w:rPr>
        <w:t>Section 6.2 The Executive will not be obligated to seek other employment in mitigation of the amounts payable or arrangements made under any provision of this Agreement, and the obtaining of any such other employment will in no event effect any reduction of the Company's obligations to make the payments and arrangements required to be made under this Agreement.</w:t>
      </w:r>
    </w:p>
    <w:p>
      <w:pPr>
        <w:spacing w:after="0" w:line="229" w:lineRule="exact"/>
        <w:rPr>
          <w:sz w:val="20"/>
          <w:szCs w:val="20"/>
          <w:color w:val="auto"/>
        </w:rPr>
      </w:pPr>
    </w:p>
    <w:p>
      <w:pPr>
        <w:ind w:left="305" w:right="100" w:firstLine="648"/>
        <w:spacing w:after="0" w:line="302" w:lineRule="auto"/>
        <w:rPr>
          <w:sz w:val="20"/>
          <w:szCs w:val="20"/>
          <w:color w:val="auto"/>
        </w:rPr>
      </w:pPr>
      <w:r>
        <w:rPr>
          <w:rFonts w:ascii="Arial" w:cs="Arial" w:eastAsia="Arial" w:hAnsi="Arial"/>
          <w:sz w:val="19"/>
          <w:szCs w:val="19"/>
          <w:color w:val="auto"/>
        </w:rPr>
        <w:t>Section 6.3 If Severance Benefits are paid under this Agreement, no severance benefits under any program of the Company, other than benefits described in this Agreement, will be paid to the Executive. The Severance Benefits will be in full and final settlement of all and any rights and claims that the Executive may have against the Company arising out of the termination of employment (including both contractual and statutory employment claims wherever in the world arising).</w:t>
      </w:r>
    </w:p>
    <w:p>
      <w:pPr>
        <w:spacing w:after="0" w:line="183" w:lineRule="exact"/>
        <w:rPr>
          <w:sz w:val="20"/>
          <w:szCs w:val="20"/>
          <w:color w:val="auto"/>
        </w:rPr>
      </w:pPr>
    </w:p>
    <w:p>
      <w:pPr>
        <w:ind w:left="305" w:right="20" w:firstLine="648"/>
        <w:spacing w:after="0" w:line="255" w:lineRule="auto"/>
        <w:rPr>
          <w:sz w:val="20"/>
          <w:szCs w:val="20"/>
          <w:color w:val="auto"/>
        </w:rPr>
      </w:pPr>
      <w:r>
        <w:rPr>
          <w:rFonts w:ascii="Arial" w:cs="Arial" w:eastAsia="Arial" w:hAnsi="Arial"/>
          <w:sz w:val="22"/>
          <w:szCs w:val="22"/>
          <w:color w:val="auto"/>
        </w:rPr>
        <w:t>This Agreement shall supersede and replace the terms of the Legacy Agreement following a Change in Control of the Company. Prior to a Change in Control of the Company the Legacy Agreement shall remain in full force and effect and nothing contained in this Agreement shall supersede any provision thereof. The Legacy Agreement will terminate on [January 16, 2019] [July 16, 2018]</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385"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FEES AND EXPENSES</w:t>
      </w:r>
    </w:p>
    <w:p>
      <w:pPr>
        <w:spacing w:after="0" w:line="242" w:lineRule="exact"/>
        <w:rPr>
          <w:sz w:val="20"/>
          <w:szCs w:val="20"/>
          <w:color w:val="auto"/>
        </w:rPr>
      </w:pPr>
    </w:p>
    <w:p>
      <w:pPr>
        <w:ind w:left="305" w:right="280" w:firstLine="648"/>
        <w:spacing w:after="0" w:line="263" w:lineRule="auto"/>
        <w:rPr>
          <w:sz w:val="20"/>
          <w:szCs w:val="20"/>
          <w:color w:val="auto"/>
        </w:rPr>
      </w:pPr>
      <w:r>
        <w:rPr>
          <w:rFonts w:ascii="Arial" w:cs="Arial" w:eastAsia="Arial" w:hAnsi="Arial"/>
          <w:sz w:val="22"/>
          <w:szCs w:val="22"/>
          <w:color w:val="auto"/>
        </w:rPr>
        <w:t>To the extent permitted by law, the Company will pay as incurred within ten (10) days following receipt of an invoice from the Executive, which invoice shall be submitted no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227330</wp:posOffset>
            </wp:positionV>
            <wp:extent cx="21869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5" w:hanging="85"/>
        <w:spacing w:after="0"/>
        <w:tabs>
          <w:tab w:leader="none" w:pos="85" w:val="left"/>
        </w:tabs>
        <w:numPr>
          <w:ilvl w:val="0"/>
          <w:numId w:val="115"/>
        </w:numPr>
        <w:rPr>
          <w:rFonts w:ascii="Arial" w:cs="Arial" w:eastAsia="Arial" w:hAnsi="Arial"/>
          <w:sz w:val="22"/>
          <w:szCs w:val="22"/>
          <w:color w:val="auto"/>
          <w:vertAlign w:val="superscript"/>
        </w:rPr>
      </w:pPr>
      <w:r>
        <w:rPr>
          <w:rFonts w:ascii="Arial" w:cs="Arial" w:eastAsia="Arial" w:hAnsi="Arial"/>
          <w:sz w:val="16"/>
          <w:szCs w:val="16"/>
          <w:color w:val="auto"/>
        </w:rPr>
        <w:t>As applicable based on applicable Legacy Agreement.</w:t>
      </w:r>
    </w:p>
    <w:p>
      <w:pPr>
        <w:sectPr>
          <w:pgSz w:w="11900" w:h="16838" w:orient="portrait"/>
          <w:cols w:equalWidth="0" w:num="1">
            <w:col w:w="11385"/>
          </w:cols>
          <w:pgMar w:left="275" w:top="847" w:right="239" w:bottom="1440" w:gutter="0" w:footer="0" w:header="0"/>
        </w:sectPr>
      </w:pPr>
    </w:p>
    <w:bookmarkStart w:id="119" w:name="page120"/>
    <w:bookmarkEnd w:id="119"/>
    <w:p>
      <w:pPr>
        <w:spacing w:after="0" w:line="289" w:lineRule="auto"/>
        <w:rPr>
          <w:sz w:val="20"/>
          <w:szCs w:val="20"/>
          <w:color w:val="auto"/>
        </w:rPr>
      </w:pPr>
      <w:r>
        <w:rPr>
          <w:rFonts w:ascii="Arial" w:cs="Arial" w:eastAsia="Arial" w:hAnsi="Arial"/>
          <w:sz w:val="19"/>
          <w:szCs w:val="19"/>
          <w:color w:val="auto"/>
        </w:rPr>
        <w:t>than ninety (90) days following the date Executive incurs liability for the relevant item, legal fees, costs of litigation, prejudgment interest, and other expenses incurred in good faith by the Executive as a result of the Company's refusal to provide the Severance Benefits to which the Executive becomes entitled under this Agreement, or as a result of the Company's contesting the validity, enforceability, or interpretation of this Agreement, or as a result of any conflict between the parties pertaining to this Agreement. The Company's obligations under this Article VI: shall apply only to legal fees, costs of litigation, prejudgment interest, and other expenses that are reasonable and incurred on or before the date that is ten (10) years after Executive's death; may not be exchanged for or paid in lieu of any other benefit or portion thereof; and shall not affect Executive's right to reimbursement of any expenses or in-kind benefits to which Executive is entitled under this Agreement or any other agreement to which the Executive and the Company are parties.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OUTPLACEMENT ASSISTANCE</w:t>
      </w:r>
    </w:p>
    <w:p>
      <w:pPr>
        <w:spacing w:after="0" w:line="242"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color w:val="auto"/>
        </w:rPr>
        <w:t>Following a Qualifying Termination, the Executive will be reimbursed by the Company for the reasonable costs of all outplacement services obtained by the Executive within the eighteen (18) month period after the Effective Date of Termination. The total reimbursement for such outplacement services will be limited to an amount equal to the lesser of fifteen percent (15%) of the Executive's Base Salary as of the Effective Date of Termination or $50,000. The invoice for such services must be submitted no later than ninety (90) days following the date the Executive incurs such costs.</w:t>
      </w:r>
    </w:p>
    <w:p>
      <w:pPr>
        <w:spacing w:after="0" w:line="216"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The Company's obligations under this Article VII: shall apply only to costs for outplacement services obtained by the Executive; may not be exchanged for or paid in lieu of another benefit or portion thereof; and shall not affect Executive's right to reimbursement of any expenses or in-kind benefits to which the Executive is entitled under this Agreement or any other agreement to which the Executive and the Company are parties.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SUCCESORS AND ASSIGNMENT</w:t>
      </w:r>
    </w:p>
    <w:p>
      <w:pPr>
        <w:spacing w:after="0" w:line="242"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Successors to the Company</w:t>
      </w:r>
      <w:r>
        <w:rPr>
          <w:rFonts w:ascii="Arial" w:cs="Arial" w:eastAsia="Arial" w:hAnsi="Arial"/>
          <w:sz w:val="22"/>
          <w:szCs w:val="22"/>
          <w:color w:val="auto"/>
        </w:rPr>
        <w:t>. The Company will require any successor (whether direct or indirect, by purchase, merger, consolidation, or otherwise) of all or substantially all of the business and/or assets of the Company or of any division or subsidiary thereof to expressly assume and agree to perform the Company's obligations under this Agreement in the same manner and to the same extent that the Company would be required to perform them if no such succession had taken place.</w:t>
      </w:r>
    </w:p>
    <w:p>
      <w:pPr>
        <w:spacing w:after="0" w:line="233"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u w:val="single" w:color="auto"/>
          <w:color w:val="auto"/>
        </w:rPr>
        <w:t>Assignment by the Executive</w:t>
      </w:r>
      <w:r>
        <w:rPr>
          <w:rFonts w:ascii="Arial" w:cs="Arial" w:eastAsia="Arial" w:hAnsi="Arial"/>
          <w:sz w:val="22"/>
          <w:szCs w:val="22"/>
          <w:color w:val="auto"/>
        </w:rPr>
        <w:t>. This Agreement will inure to the benefit of and be enforceable by the Executive's personal or legal representatives, executors, administrators, successors, heirs, distributees, devisees, and legatees. If the Executive dies while any amount would still be payable under this Agreement, all such amounts, unless otherwise provided herein, will be paid in accordance with the terms of this Agreement to the Executive's Beneficiary. If the Executive has not named a Beneficiary, then such amounts will be paid to the Executive's devisee, legatee, or other designee, or if there is no such designee, to the Executive's</w:t>
      </w:r>
    </w:p>
    <w:p>
      <w:pPr>
        <w:sectPr>
          <w:pgSz w:w="11900" w:h="16838" w:orient="portrait"/>
          <w:cols w:equalWidth="0" w:num="1">
            <w:col w:w="11060"/>
          </w:cols>
          <w:pgMar w:left="580" w:top="847" w:right="259" w:bottom="1440" w:gutter="0" w:footer="0" w:header="0"/>
        </w:sectPr>
      </w:pPr>
    </w:p>
    <w:bookmarkStart w:id="120" w:name="page121"/>
    <w:bookmarkEnd w:id="120"/>
    <w:p>
      <w:pPr>
        <w:ind w:left="305"/>
        <w:spacing w:after="0"/>
        <w:rPr>
          <w:sz w:val="20"/>
          <w:szCs w:val="20"/>
          <w:color w:val="auto"/>
        </w:rPr>
      </w:pPr>
      <w:r>
        <w:rPr>
          <w:rFonts w:ascii="Arial" w:cs="Arial" w:eastAsia="Arial" w:hAnsi="Arial"/>
          <w:sz w:val="22"/>
          <w:szCs w:val="22"/>
          <w:color w:val="auto"/>
        </w:rPr>
        <w:t>estate, and such designee, or the Executive's estate will be treated as the Beneficiary under this Agreement.</w:t>
      </w:r>
    </w:p>
    <w:p>
      <w:pPr>
        <w:spacing w:after="0" w:line="254"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MISCELLANEOUS</w:t>
      </w:r>
    </w:p>
    <w:p>
      <w:pPr>
        <w:spacing w:after="0" w:line="242" w:lineRule="exact"/>
        <w:rPr>
          <w:sz w:val="20"/>
          <w:szCs w:val="20"/>
          <w:color w:val="auto"/>
        </w:rPr>
      </w:pPr>
    </w:p>
    <w:p>
      <w:pPr>
        <w:jc w:val="both"/>
        <w:ind w:left="305" w:right="80" w:firstLine="648"/>
        <w:spacing w:after="0" w:line="253"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Employment Status</w:t>
      </w:r>
      <w:r>
        <w:rPr>
          <w:rFonts w:ascii="Arial" w:cs="Arial" w:eastAsia="Arial" w:hAnsi="Arial"/>
          <w:sz w:val="22"/>
          <w:szCs w:val="22"/>
          <w:color w:val="auto"/>
        </w:rPr>
        <w:t>. Except as may be provided under any other agreement between the Executive and the Company, the employment of the Executive by the Company is “at will,” and may be terminated by either the Executive or the Company at any time, subject to applicable law.</w:t>
      </w:r>
    </w:p>
    <w:p>
      <w:pPr>
        <w:spacing w:after="0" w:line="226" w:lineRule="exact"/>
        <w:rPr>
          <w:sz w:val="20"/>
          <w:szCs w:val="20"/>
          <w:color w:val="auto"/>
        </w:rPr>
      </w:pPr>
    </w:p>
    <w:p>
      <w:pPr>
        <w:ind w:left="305" w:right="120" w:firstLine="648"/>
        <w:spacing w:after="0" w:line="312"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Beneficiaries</w:t>
      </w:r>
      <w:r>
        <w:rPr>
          <w:rFonts w:ascii="Arial" w:cs="Arial" w:eastAsia="Arial" w:hAnsi="Arial"/>
          <w:sz w:val="19"/>
          <w:szCs w:val="19"/>
          <w:color w:val="auto"/>
        </w:rPr>
        <w:t>. The Executive may designate one or more persons or entities as the primary and/or contingent Beneficiaries of any Severance Benefits owing to the Executive under this Agreement. Such designation must be in the form of a signed writing acceptable to the Committee. The Executive may make or change such designations at any time.</w:t>
      </w:r>
    </w:p>
    <w:p>
      <w:pPr>
        <w:spacing w:after="0" w:line="174" w:lineRule="exact"/>
        <w:rPr>
          <w:sz w:val="20"/>
          <w:szCs w:val="20"/>
          <w:color w:val="auto"/>
        </w:rPr>
      </w:pPr>
    </w:p>
    <w:p>
      <w:pPr>
        <w:ind w:left="305" w:right="40" w:firstLine="648"/>
        <w:spacing w:after="0" w:line="250"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any provision of this Agreement will be held illegal or invalid for any reason, the illegality or invalidity will not affect the remaining parts of the Agreement, and the Agreement will be construed and enforced as if the illegal or invalid provision had not been included. Further, the captions of this Agreement are not part of the provisions hereof and will have no force and effect.</w:t>
      </w:r>
    </w:p>
    <w:p>
      <w:pPr>
        <w:spacing w:after="0" w:line="229" w:lineRule="exact"/>
        <w:rPr>
          <w:sz w:val="20"/>
          <w:szCs w:val="20"/>
          <w:color w:val="auto"/>
        </w:rPr>
      </w:pPr>
    </w:p>
    <w:p>
      <w:pPr>
        <w:ind w:left="305" w:right="500" w:firstLine="648"/>
        <w:spacing w:after="0" w:line="253" w:lineRule="auto"/>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Agreement may be modified, waived, or discharged unless such modification, waiver, or discharge is agreed to in writing and signed by the Executive and by an authorized member of the Committee, or by the respective parties' legal representatives and successors.</w:t>
      </w:r>
    </w:p>
    <w:p>
      <w:pPr>
        <w:spacing w:after="0" w:line="226" w:lineRule="exact"/>
        <w:rPr>
          <w:sz w:val="20"/>
          <w:szCs w:val="20"/>
          <w:color w:val="auto"/>
        </w:rPr>
      </w:pPr>
    </w:p>
    <w:p>
      <w:pPr>
        <w:ind w:left="305" w:firstLine="648"/>
        <w:spacing w:after="0" w:line="245"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u w:val="single" w:color="auto"/>
          <w:color w:val="auto"/>
        </w:rPr>
        <w:t>Applicable Law</w:t>
      </w:r>
      <w:r>
        <w:rPr>
          <w:rFonts w:ascii="Arial" w:cs="Arial" w:eastAsia="Arial" w:hAnsi="Arial"/>
          <w:sz w:val="21"/>
          <w:szCs w:val="21"/>
          <w:color w:val="auto"/>
        </w:rPr>
        <w:t>. Interpretations regarding the definition of Change in Control and whether or not a Change in Control has occurred shall be determined by applying the laws of the United Kingdom. The remainder of this Agreement shall be governed by and construed in accordance with the laws of [the State of Texas][France]</w:t>
      </w:r>
      <w:r>
        <w:rPr>
          <w:rFonts w:ascii="Arial" w:cs="Arial" w:eastAsia="Arial" w:hAnsi="Arial"/>
          <w:sz w:val="27"/>
          <w:szCs w:val="27"/>
          <w:color w:val="auto"/>
          <w:vertAlign w:val="superscript"/>
        </w:rPr>
        <w:t>2</w:t>
      </w:r>
      <w:r>
        <w:rPr>
          <w:rFonts w:ascii="Arial" w:cs="Arial" w:eastAsia="Arial" w:hAnsi="Arial"/>
          <w:sz w:val="21"/>
          <w:szCs w:val="21"/>
          <w:color w:val="auto"/>
        </w:rPr>
        <w:t>, without giving effect to any choice or conflict of law provision or rule (whether of [the State of Texas][France] or any other jurisdiction) that would cause the application of the laws of any jurisdiction other than [the State of Texas][France].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1870710</wp:posOffset>
            </wp:positionV>
            <wp:extent cx="21869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5" w:hanging="85"/>
        <w:spacing w:after="0"/>
        <w:tabs>
          <w:tab w:leader="none" w:pos="85" w:val="left"/>
        </w:tabs>
        <w:numPr>
          <w:ilvl w:val="0"/>
          <w:numId w:val="116"/>
        </w:numPr>
        <w:rPr>
          <w:rFonts w:ascii="Arial" w:cs="Arial" w:eastAsia="Arial" w:hAnsi="Arial"/>
          <w:sz w:val="22"/>
          <w:szCs w:val="22"/>
          <w:color w:val="auto"/>
          <w:vertAlign w:val="superscript"/>
        </w:rPr>
      </w:pPr>
      <w:r>
        <w:rPr>
          <w:rFonts w:ascii="Arial" w:cs="Arial" w:eastAsia="Arial" w:hAnsi="Arial"/>
          <w:sz w:val="16"/>
          <w:szCs w:val="16"/>
          <w:color w:val="auto"/>
        </w:rPr>
        <w:t>Local law of each jurisdiction in which the executive is located.</w:t>
      </w:r>
    </w:p>
    <w:p>
      <w:pPr>
        <w:sectPr>
          <w:pgSz w:w="11900" w:h="16838" w:orient="portrait"/>
          <w:cols w:equalWidth="0" w:num="1">
            <w:col w:w="11365"/>
          </w:cols>
          <w:pgMar w:left="275" w:top="847" w:right="259" w:bottom="1440" w:gutter="0" w:footer="0" w:header="0"/>
        </w:sectPr>
      </w:pPr>
    </w:p>
    <w:bookmarkStart w:id="121" w:name="page122"/>
    <w:bookmarkEnd w:id="121"/>
    <w:p>
      <w:pPr>
        <w:ind w:firstLine="648"/>
        <w:spacing w:after="0" w:line="294"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Indemnification</w:t>
      </w:r>
      <w:r>
        <w:rPr>
          <w:rFonts w:ascii="Arial" w:cs="Arial" w:eastAsia="Arial" w:hAnsi="Arial"/>
          <w:sz w:val="19"/>
          <w:szCs w:val="19"/>
          <w:color w:val="auto"/>
        </w:rPr>
        <w:t>. To the full extent permitted by law, the Company will, both during and after the period of the Executive's employment, indemnify the Executive (including by advancing him expenses) for any judgments, fines, amounts paid in settlement and reasonable expenses, including any attorneys' fees, incurred by the Executive in connection with the defense of any lawsuit or other claim to which he is made a party by reason of being (or having been) an officer, director or employee of the Company or any of its subsidiaries. The Executive will be covered by director and officer liability insurance to the maximum extent that that insurance covers any officer or director (or former officer or director) of the Company.</w:t>
      </w:r>
    </w:p>
    <w:p>
      <w:pPr>
        <w:spacing w:after="0" w:line="190" w:lineRule="exact"/>
        <w:rPr>
          <w:sz w:val="20"/>
          <w:szCs w:val="20"/>
          <w:color w:val="auto"/>
        </w:rPr>
      </w:pPr>
    </w:p>
    <w:p>
      <w:pPr>
        <w:ind w:right="120" w:firstLine="648"/>
        <w:spacing w:after="0" w:line="259" w:lineRule="auto"/>
        <w:rPr>
          <w:sz w:val="20"/>
          <w:szCs w:val="20"/>
          <w:color w:val="auto"/>
        </w:rPr>
      </w:pPr>
      <w:r>
        <w:rPr>
          <w:rFonts w:ascii="Arial" w:cs="Arial" w:eastAsia="Arial" w:hAnsi="Arial"/>
          <w:sz w:val="21"/>
          <w:szCs w:val="21"/>
          <w:color w:val="auto"/>
        </w:rPr>
        <w:t xml:space="preserve">Section 10.7 </w:t>
      </w:r>
      <w:r>
        <w:rPr>
          <w:rFonts w:ascii="Arial" w:cs="Arial" w:eastAsia="Arial" w:hAnsi="Arial"/>
          <w:sz w:val="21"/>
          <w:szCs w:val="21"/>
          <w:u w:val="single" w:color="auto"/>
          <w:color w:val="auto"/>
        </w:rPr>
        <w:t>409A</w:t>
      </w:r>
      <w:r>
        <w:rPr>
          <w:rFonts w:ascii="Arial" w:cs="Arial" w:eastAsia="Arial" w:hAnsi="Arial"/>
          <w:sz w:val="21"/>
          <w:szCs w:val="21"/>
          <w:color w:val="auto"/>
        </w:rPr>
        <w:t>. To the extent the Executive is subject to taxation in the United States, then the Severance Benefits payable under this Agreement are intended to be exempt from section 409A of the Code as short-term deferrals. However, to the extent that any Severance Benefits payable under this Agreement are considered deferred compensation subject to and not otherwise exempt from section 409A of the Code, then (a) the Severance Benefits will only be payable pursuant to this Agreement upon Executive’s “separation from service” within the meaning of Section 409A, and (b) if the Company (or any affiliate of the Company) is a publicly traded company, and Executive is considered a “specified employee” for purposes of section 409A of the Code at such time of his or her separation from service, then the payments of any such Severance Benefits shall be delayed until the earlier of six months following the Effective Date of Termination or Executive’s death, to the extent required by section 409A of the Code.</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24765</wp:posOffset>
            </wp:positionV>
            <wp:extent cx="61829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38"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[named executive]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24765</wp:posOffset>
            </wp:positionV>
            <wp:extent cx="23583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6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24765</wp:posOffset>
            </wp:positionV>
            <wp:extent cx="23583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62" w:lineRule="exact"/>
        <w:rPr>
          <w:sz w:val="20"/>
          <w:szCs w:val="20"/>
          <w:color w:val="auto"/>
        </w:rPr>
      </w:pPr>
    </w:p>
    <w:p>
      <w:pPr>
        <w:ind w:left="260"/>
        <w:spacing w:after="0"/>
        <w:tabs>
          <w:tab w:leader="none" w:pos="52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24765</wp:posOffset>
            </wp:positionV>
            <wp:extent cx="61829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ectPr>
          <w:pgSz w:w="11900" w:h="16838" w:orient="portrait"/>
          <w:cols w:equalWidth="0" w:num="1">
            <w:col w:w="11060"/>
          </w:cols>
          <w:pgMar w:left="580" w:top="591" w:right="259" w:bottom="1440" w:gutter="0" w:footer="0" w:header="0"/>
        </w:sectPr>
      </w:pPr>
    </w:p>
    <w:bookmarkStart w:id="122" w:name="page123"/>
    <w:bookmarkEnd w:id="122"/>
    <w:p>
      <w:pPr>
        <w:ind w:left="4960"/>
        <w:spacing w:after="0"/>
        <w:rPr>
          <w:sz w:val="20"/>
          <w:szCs w:val="20"/>
          <w:color w:val="auto"/>
        </w:rPr>
      </w:pPr>
      <w:r>
        <w:rPr>
          <w:rFonts w:ascii="Arial" w:cs="Arial" w:eastAsia="Arial" w:hAnsi="Arial"/>
          <w:sz w:val="22"/>
          <w:szCs w:val="22"/>
          <w:b w:val="1"/>
          <w:bCs w:val="1"/>
          <w:color w:val="auto"/>
        </w:rPr>
        <w:t>EXHIBIT A</w:t>
      </w:r>
    </w:p>
    <w:p>
      <w:pPr>
        <w:spacing w:after="0" w:line="193" w:lineRule="exact"/>
        <w:rPr>
          <w:sz w:val="20"/>
          <w:szCs w:val="20"/>
          <w:color w:val="auto"/>
        </w:rPr>
      </w:pPr>
    </w:p>
    <w:p>
      <w:pPr>
        <w:ind w:left="4640"/>
        <w:spacing w:after="0"/>
        <w:rPr>
          <w:sz w:val="20"/>
          <w:szCs w:val="20"/>
          <w:color w:val="auto"/>
        </w:rPr>
      </w:pPr>
      <w:r>
        <w:rPr>
          <w:rFonts w:ascii="Arial" w:cs="Arial" w:eastAsia="Arial" w:hAnsi="Arial"/>
          <w:sz w:val="22"/>
          <w:szCs w:val="22"/>
          <w:b w:val="1"/>
          <w:bCs w:val="1"/>
          <w:u w:val="single" w:color="auto"/>
          <w:color w:val="auto"/>
        </w:rPr>
        <w:t>DEFINED TERMS</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means the Executive Severance Agreement between the Company and the Executive.</w:t>
      </w:r>
    </w:p>
    <w:p>
      <w:pPr>
        <w:spacing w:after="0" w:line="220"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u w:val="single" w:color="auto"/>
          <w:color w:val="auto"/>
        </w:rPr>
        <w:t>Auditor</w:t>
      </w:r>
      <w:r>
        <w:rPr>
          <w:rFonts w:ascii="Arial" w:cs="Arial" w:eastAsia="Arial" w:hAnsi="Arial"/>
          <w:sz w:val="22"/>
          <w:szCs w:val="22"/>
          <w:color w:val="auto"/>
        </w:rPr>
        <w:t xml:space="preserve"> means the accounting firm that was the Company's independent auditor immediately prior to the Change in Control.</w:t>
      </w:r>
    </w:p>
    <w:p>
      <w:pPr>
        <w:spacing w:after="0" w:line="175"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means the then current salary of record paid to an Executive as annual salary, excluding amounts received under incentive or other bonus plans, whether or not deferred.</w:t>
      </w:r>
    </w:p>
    <w:p>
      <w:pPr>
        <w:spacing w:after="0" w:line="175"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u w:val="single" w:color="auto"/>
          <w:color w:val="auto"/>
        </w:rPr>
        <w:t>Beneficiary</w:t>
      </w:r>
      <w:r>
        <w:rPr>
          <w:rFonts w:ascii="Arial" w:cs="Arial" w:eastAsia="Arial" w:hAnsi="Arial"/>
          <w:sz w:val="22"/>
          <w:szCs w:val="22"/>
          <w:color w:val="auto"/>
        </w:rPr>
        <w:t xml:space="preserve"> means the persons or entities designated or deemed designated by the Executive pursuant to Section 10.2 of the Agreement.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Board</w:t>
      </w:r>
      <w:r>
        <w:rPr>
          <w:rFonts w:ascii="Arial" w:cs="Arial" w:eastAsia="Arial" w:hAnsi="Arial"/>
          <w:sz w:val="22"/>
          <w:szCs w:val="22"/>
          <w:color w:val="auto"/>
        </w:rPr>
        <w:t xml:space="preserve"> means the Board of Directors of the Company.</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xml:space="preserve"> means:</w:t>
      </w:r>
    </w:p>
    <w:p>
      <w:pPr>
        <w:spacing w:after="0" w:line="220" w:lineRule="exact"/>
        <w:rPr>
          <w:sz w:val="20"/>
          <w:szCs w:val="20"/>
          <w:color w:val="auto"/>
        </w:rPr>
      </w:pPr>
    </w:p>
    <w:p>
      <w:pPr>
        <w:ind w:left="640" w:right="40" w:firstLine="649"/>
        <w:spacing w:after="0" w:line="297" w:lineRule="auto"/>
        <w:tabs>
          <w:tab w:leader="none" w:pos="1708"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Executive's willful and continued failure to substantially perform the Executive's employment duties in any material respect (other than any such failure resulting from physical or mental incapacity or occurring after issuance by the Executive of a Notice of Termination for Good Reason), after a written demand for substantial performance is delivered to the Executive that specifically identifies the manner in which the Company believes the Executive has failed to perform the Executive's duties, and after the Executive has failed to resume substantial performance of the Executive's duties on a continuous basis within thirty (30) calendar days of receiving such demand;</w:t>
      </w:r>
    </w:p>
    <w:p>
      <w:pPr>
        <w:spacing w:after="0" w:line="146" w:lineRule="exact"/>
        <w:rPr>
          <w:rFonts w:ascii="Arial" w:cs="Arial" w:eastAsia="Arial" w:hAnsi="Arial"/>
          <w:sz w:val="19"/>
          <w:szCs w:val="19"/>
          <w:color w:val="auto"/>
        </w:rPr>
      </w:pPr>
    </w:p>
    <w:p>
      <w:pPr>
        <w:ind w:left="640" w:right="280" w:firstLine="649"/>
        <w:spacing w:after="0" w:line="276" w:lineRule="auto"/>
        <w:tabs>
          <w:tab w:leader="none" w:pos="17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Executive's willfully engaging in other conduct which is demonstrably and materially injurious to the Company or an affiliate; or</w:t>
      </w:r>
    </w:p>
    <w:p>
      <w:pPr>
        <w:spacing w:after="0" w:line="160" w:lineRule="exact"/>
        <w:rPr>
          <w:rFonts w:ascii="Arial" w:cs="Arial" w:eastAsia="Arial" w:hAnsi="Arial"/>
          <w:sz w:val="22"/>
          <w:szCs w:val="22"/>
          <w:color w:val="auto"/>
        </w:rPr>
      </w:pPr>
    </w:p>
    <w:p>
      <w:pPr>
        <w:ind w:left="640" w:right="940" w:firstLine="649"/>
        <w:spacing w:after="0" w:line="276" w:lineRule="auto"/>
        <w:tabs>
          <w:tab w:leader="none" w:pos="170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Executive's having been convicted of, or pleading guilty or nolo contendere to, a felony under applicable law.</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xml:space="preserve"> means and includes each of the following:</w:t>
      </w:r>
    </w:p>
    <w:p>
      <w:pPr>
        <w:spacing w:after="0" w:line="220" w:lineRule="exact"/>
        <w:rPr>
          <w:sz w:val="20"/>
          <w:szCs w:val="20"/>
          <w:color w:val="auto"/>
        </w:rPr>
      </w:pPr>
    </w:p>
    <w:p>
      <w:pPr>
        <w:ind w:left="1700" w:hanging="411"/>
        <w:spacing w:after="0"/>
        <w:tabs>
          <w:tab w:leader="none" w:pos="17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 Takeover;</w:t>
      </w:r>
    </w:p>
    <w:p>
      <w:pPr>
        <w:spacing w:after="0" w:line="233" w:lineRule="exact"/>
        <w:rPr>
          <w:rFonts w:ascii="Arial" w:cs="Arial" w:eastAsia="Arial" w:hAnsi="Arial"/>
          <w:sz w:val="22"/>
          <w:szCs w:val="22"/>
          <w:color w:val="auto"/>
        </w:rPr>
      </w:pPr>
    </w:p>
    <w:p>
      <w:pPr>
        <w:ind w:left="1720" w:hanging="431"/>
        <w:spacing w:after="0"/>
        <w:tabs>
          <w:tab w:leader="none" w:pos="172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 Change in Effective Control; or</w:t>
      </w:r>
    </w:p>
    <w:p>
      <w:pPr>
        <w:spacing w:after="0" w:line="233" w:lineRule="exact"/>
        <w:rPr>
          <w:rFonts w:ascii="Arial" w:cs="Arial" w:eastAsia="Arial" w:hAnsi="Arial"/>
          <w:sz w:val="22"/>
          <w:szCs w:val="22"/>
          <w:color w:val="auto"/>
        </w:rPr>
      </w:pPr>
    </w:p>
    <w:p>
      <w:pPr>
        <w:ind w:left="1700" w:hanging="411"/>
        <w:spacing w:after="0"/>
        <w:tabs>
          <w:tab w:leader="none" w:pos="17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 Change in Ownership of a Substantial Portion of Assets.</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There is no Change in Control when there is a transfer to an entity that is controlled by the shareholders of the Company immediately after the transfer. The Committee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w:t>
      </w:r>
    </w:p>
    <w:p>
      <w:pPr>
        <w:sectPr>
          <w:pgSz w:w="11900" w:h="16838" w:orient="portrait"/>
          <w:cols w:equalWidth="0" w:num="1">
            <w:col w:w="11080"/>
          </w:cols>
          <w:pgMar w:left="580" w:top="585" w:right="23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control event” as defined in Treasury Regulation Section 1.409A-3(i)(5) shall be consistent with such regulation.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Change in Effective Control</w:t>
      </w:r>
      <w:r>
        <w:rPr>
          <w:rFonts w:ascii="Arial" w:cs="Arial" w:eastAsia="Arial" w:hAnsi="Arial"/>
          <w:sz w:val="22"/>
          <w:szCs w:val="22"/>
          <w:color w:val="auto"/>
        </w:rPr>
        <w:t>: A Change in Effective Control of the Company occurs on the date that either:</w:t>
      </w:r>
    </w:p>
    <w:p>
      <w:pPr>
        <w:spacing w:after="0" w:line="220" w:lineRule="exact"/>
        <w:rPr>
          <w:sz w:val="20"/>
          <w:szCs w:val="20"/>
          <w:color w:val="auto"/>
        </w:rPr>
      </w:pPr>
    </w:p>
    <w:p>
      <w:pPr>
        <w:jc w:val="both"/>
        <w:ind w:left="640" w:right="40" w:firstLine="649"/>
        <w:spacing w:after="0" w:line="278" w:lineRule="auto"/>
        <w:tabs>
          <w:tab w:leader="none" w:pos="1708" w:val="left"/>
        </w:tabs>
        <w:numPr>
          <w:ilvl w:val="0"/>
          <w:numId w:val="119"/>
        </w:numPr>
        <w:rPr>
          <w:rFonts w:ascii="Arial" w:cs="Arial" w:eastAsia="Arial" w:hAnsi="Arial"/>
          <w:sz w:val="21"/>
          <w:szCs w:val="21"/>
          <w:color w:val="auto"/>
        </w:rPr>
      </w:pPr>
      <w:r>
        <w:rPr>
          <w:rFonts w:ascii="Arial" w:cs="Arial" w:eastAsia="Arial" w:hAnsi="Arial"/>
          <w:sz w:val="21"/>
          <w:szCs w:val="21"/>
          <w:color w:val="auto"/>
        </w:rPr>
        <w:t>Any one person, or more than one Person Acting as a Group, acquires (or has acquired during the 12-month period ending on the date of the most recent acquisition by such person or persons) ownership of stock of the Company possessing 30% or more of the total voting power of the stock of the Company; or</w:t>
      </w:r>
    </w:p>
    <w:p>
      <w:pPr>
        <w:spacing w:after="0" w:line="160" w:lineRule="exact"/>
        <w:rPr>
          <w:rFonts w:ascii="Arial" w:cs="Arial" w:eastAsia="Arial" w:hAnsi="Arial"/>
          <w:sz w:val="21"/>
          <w:szCs w:val="21"/>
          <w:color w:val="auto"/>
        </w:rPr>
      </w:pPr>
    </w:p>
    <w:p>
      <w:pPr>
        <w:ind w:left="640" w:right="180" w:firstLine="649"/>
        <w:spacing w:after="0" w:line="260" w:lineRule="auto"/>
        <w:tabs>
          <w:tab w:leader="none" w:pos="17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 majority of members of the Board is replaced during any 12-month period by directors whose appointment or election is not endorsed by a majority of the members of the Board prior to the date of the appointment or election.</w:t>
      </w:r>
    </w:p>
    <w:p>
      <w:pPr>
        <w:spacing w:after="0" w:line="177" w:lineRule="exact"/>
        <w:rPr>
          <w:sz w:val="20"/>
          <w:szCs w:val="20"/>
          <w:color w:val="auto"/>
        </w:rPr>
      </w:pPr>
    </w:p>
    <w:p>
      <w:pPr>
        <w:jc w:val="both"/>
        <w:ind w:right="120" w:firstLine="648"/>
        <w:spacing w:after="0" w:line="250" w:lineRule="auto"/>
        <w:rPr>
          <w:sz w:val="20"/>
          <w:szCs w:val="20"/>
          <w:color w:val="auto"/>
        </w:rPr>
      </w:pPr>
      <w:r>
        <w:rPr>
          <w:rFonts w:ascii="Arial" w:cs="Arial" w:eastAsia="Arial" w:hAnsi="Arial"/>
          <w:sz w:val="22"/>
          <w:szCs w:val="22"/>
          <w:color w:val="auto"/>
        </w:rPr>
        <w:t>A Change in Effective Control will have occurred only if the Executive is employed by the Company upon the date of the Change in Effective Control or the Company is liable for the payment of the benefits hereunder and no other corporation is a majority shareholder of the Company. Further, in the absence of an event described in clause (a) or (b), a Change in Effective Control of the Company will not have occurred.</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If any one person, or more than one Person Acting as a Group, is considered to effectively control the Company, the acquisition of additional control of the Company by the same person or persons is not considered to cause a Change in Effective Control of the Company (or to cause a change in ownership of the Company).</w:t>
      </w:r>
    </w:p>
    <w:p>
      <w:pPr>
        <w:spacing w:after="0" w:line="186" w:lineRule="exact"/>
        <w:rPr>
          <w:sz w:val="20"/>
          <w:szCs w:val="20"/>
          <w:color w:val="auto"/>
        </w:rPr>
      </w:pPr>
    </w:p>
    <w:p>
      <w:pPr>
        <w:ind w:right="60" w:firstLine="648"/>
        <w:spacing w:after="0" w:line="246" w:lineRule="auto"/>
        <w:rPr>
          <w:sz w:val="20"/>
          <w:szCs w:val="20"/>
          <w:color w:val="auto"/>
        </w:rPr>
      </w:pPr>
      <w:r>
        <w:rPr>
          <w:rFonts w:ascii="Arial" w:cs="Arial" w:eastAsia="Arial" w:hAnsi="Arial"/>
          <w:sz w:val="22"/>
          <w:szCs w:val="22"/>
          <w:u w:val="single" w:color="auto"/>
          <w:color w:val="auto"/>
        </w:rPr>
        <w:t>Change in Ownership of a Substantial Portion of Assets</w:t>
      </w:r>
      <w:r>
        <w:rPr>
          <w:rFonts w:ascii="Arial" w:cs="Arial" w:eastAsia="Arial" w:hAnsi="Arial"/>
          <w:sz w:val="22"/>
          <w:szCs w:val="22"/>
          <w:color w:val="auto"/>
        </w:rPr>
        <w:t>: A Change in Ownership of a Substantial Portion of Assets occurs on the date that any one person, or more than one Person Acting as a Group, acquires (or has acquired during the 12-month period ending on the date of the most recent acquisition by such person or persons) assets from the Company that have a total gross fair market value equal to or more than 40% of the total gross fair market value of all of the assets of the Company immediately prior to such acquisition or acquisitions. For this purpose, gross fair market value means the value of the assets of the Company, or the value of the assets being disposed of, determined without regard to any liabilities associated with such assets.</w:t>
      </w:r>
    </w:p>
    <w:p>
      <w:pPr>
        <w:spacing w:after="0" w:line="197"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A transfer of assets by the Company is not treated as a Change of Ownership of a Substantial Portion of Assets if the assets are transferred to:</w:t>
      </w:r>
    </w:p>
    <w:p>
      <w:pPr>
        <w:spacing w:after="0" w:line="175" w:lineRule="exact"/>
        <w:rPr>
          <w:sz w:val="20"/>
          <w:szCs w:val="20"/>
          <w:color w:val="auto"/>
        </w:rPr>
      </w:pPr>
    </w:p>
    <w:p>
      <w:pPr>
        <w:ind w:left="1280"/>
        <w:spacing w:after="0"/>
        <w:tabs>
          <w:tab w:leader="none" w:pos="16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A shareholder of the Company (immediately before the asset transfer) in exchange for or with respect to its</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stock;</w:t>
      </w:r>
    </w:p>
    <w:p>
      <w:pPr>
        <w:spacing w:after="0" w:line="215" w:lineRule="exact"/>
        <w:rPr>
          <w:sz w:val="20"/>
          <w:szCs w:val="20"/>
          <w:color w:val="auto"/>
        </w:rPr>
      </w:pPr>
    </w:p>
    <w:p>
      <w:pPr>
        <w:ind w:left="1720" w:hanging="431"/>
        <w:spacing w:after="0"/>
        <w:tabs>
          <w:tab w:leader="none" w:pos="172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An entity, 50% or more of the total value or voting power of which is owned, directly or indirectly, by the</w:t>
      </w:r>
    </w:p>
    <w:p>
      <w:pPr>
        <w:spacing w:after="0" w:line="56"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15" w:lineRule="exact"/>
        <w:rPr>
          <w:rFonts w:ascii="Arial" w:cs="Arial" w:eastAsia="Arial" w:hAnsi="Arial"/>
          <w:sz w:val="19"/>
          <w:szCs w:val="19"/>
          <w:color w:val="auto"/>
        </w:rPr>
      </w:pPr>
    </w:p>
    <w:p>
      <w:pPr>
        <w:ind w:left="640" w:right="140" w:firstLine="649"/>
        <w:spacing w:after="0" w:line="276" w:lineRule="auto"/>
        <w:tabs>
          <w:tab w:leader="none" w:pos="170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 person, or more than one Person Acting as a Group, that owns, directly or indirectly, 50% or more of the total value or voting power of all the outstanding stock of the Company; or</w:t>
      </w:r>
    </w:p>
    <w:p>
      <w:pPr>
        <w:sectPr>
          <w:pgSz w:w="11900" w:h="16838" w:orient="portrait"/>
          <w:cols w:equalWidth="0" w:num="1">
            <w:col w:w="11080"/>
          </w:cols>
          <w:pgMar w:left="580" w:top="591" w:right="239" w:bottom="1440" w:gutter="0" w:footer="0" w:header="0"/>
        </w:sectPr>
      </w:pPr>
    </w:p>
    <w:bookmarkStart w:id="124" w:name="page125"/>
    <w:bookmarkEnd w:id="124"/>
    <w:p>
      <w:pPr>
        <w:ind w:left="640" w:right="440" w:firstLine="649"/>
        <w:spacing w:after="0" w:line="276" w:lineRule="auto"/>
        <w:tabs>
          <w:tab w:leader="none" w:pos="172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 entity, at least 50% of the total value or voting power of which is owned, directly or indirectly, by a person described in clause (c).</w:t>
      </w:r>
    </w:p>
    <w:p>
      <w:pPr>
        <w:spacing w:after="0" w:line="161"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A person's status is determined immediately after the transfer of the assets. For example, a transfer to a corporation in which the Company has no ownership interest before the transaction, but which is a majority-owned subsidiary of the Company after the transaction is not treated as a Change in Ownership of a Substantial Portion of Assets of the Company.</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xml:space="preserve"> means the United States Internal Revenue Code of 1986, as amended from time to time.</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u w:val="single" w:color="auto"/>
          <w:color w:val="auto"/>
        </w:rPr>
        <w:t>Committee</w:t>
      </w:r>
      <w:r>
        <w:rPr>
          <w:rFonts w:ascii="Arial" w:cs="Arial" w:eastAsia="Arial" w:hAnsi="Arial"/>
          <w:sz w:val="22"/>
          <w:szCs w:val="22"/>
          <w:color w:val="auto"/>
        </w:rPr>
        <w:t xml:space="preserve"> means the Compensation Committee of the Board or any other committee of the Board appointed to perform the functions of the Compensation Committee.</w:t>
      </w:r>
    </w:p>
    <w:p>
      <w:pPr>
        <w:spacing w:after="0" w:line="175"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means TechnipFMC plan, a public limited company incorporated under the laws of England &amp; Wales (registered number 09909709) whose registered office is at One St. Paul's Churchyard, London, EC4M 8AP, United Kingdom, or any successor thereto as provided in Article VIII of the Agreement.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Control</w:t>
      </w:r>
      <w:r>
        <w:rPr>
          <w:rFonts w:ascii="Arial" w:cs="Arial" w:eastAsia="Arial" w:hAnsi="Arial"/>
          <w:sz w:val="22"/>
          <w:szCs w:val="22"/>
          <w:color w:val="auto"/>
        </w:rPr>
        <w:t xml:space="preserve"> shall have the meaning given in section 995 (2) of the UK Income Tax Act 2007.</w:t>
      </w:r>
    </w:p>
    <w:p>
      <w:pPr>
        <w:spacing w:after="0" w:line="220" w:lineRule="exact"/>
        <w:rPr>
          <w:sz w:val="20"/>
          <w:szCs w:val="20"/>
          <w:color w:val="auto"/>
        </w:rPr>
      </w:pPr>
    </w:p>
    <w:p>
      <w:pPr>
        <w:ind w:right="860" w:firstLine="648"/>
        <w:spacing w:after="0" w:line="263" w:lineRule="auto"/>
        <w:rPr>
          <w:sz w:val="20"/>
          <w:szCs w:val="20"/>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means complete and permanent inability by reason of illness or accident to perform the duties of the occupation at which the Executive was employed when such disability commenced.</w:t>
      </w:r>
    </w:p>
    <w:p>
      <w:pPr>
        <w:spacing w:after="0" w:line="175"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u w:val="single" w:color="auto"/>
          <w:color w:val="auto"/>
        </w:rPr>
        <w:t>Effective Date of Termination</w:t>
      </w:r>
      <w:r>
        <w:rPr>
          <w:rFonts w:ascii="Arial" w:cs="Arial" w:eastAsia="Arial" w:hAnsi="Arial"/>
          <w:sz w:val="22"/>
          <w:szCs w:val="22"/>
          <w:color w:val="auto"/>
        </w:rPr>
        <w:t xml:space="preserve"> means the date on which a Qualifying Termination occurs which triggers the payment of Severance Benefits under the Agreement.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u w:val="single" w:color="auto"/>
          <w:color w:val="auto"/>
        </w:rPr>
        <w:t>Exchange Act</w:t>
      </w:r>
      <w:r>
        <w:rPr>
          <w:rFonts w:ascii="Arial" w:cs="Arial" w:eastAsia="Arial" w:hAnsi="Arial"/>
          <w:sz w:val="19"/>
          <w:szCs w:val="19"/>
          <w:color w:val="auto"/>
        </w:rPr>
        <w:t xml:space="preserve"> means the Securities Exchange Act of 1934, as amended from time to time, and any successor thereto.</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Excise Tax</w:t>
      </w:r>
      <w:r>
        <w:rPr>
          <w:rFonts w:ascii="Arial" w:cs="Arial" w:eastAsia="Arial" w:hAnsi="Arial"/>
          <w:sz w:val="22"/>
          <w:szCs w:val="22"/>
          <w:color w:val="auto"/>
        </w:rPr>
        <w:t xml:space="preserve"> means a tax imposed by section 4999 of the Code.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Executive</w:t>
      </w:r>
      <w:r>
        <w:rPr>
          <w:rFonts w:ascii="Arial" w:cs="Arial" w:eastAsia="Arial" w:hAnsi="Arial"/>
          <w:sz w:val="22"/>
          <w:szCs w:val="22"/>
          <w:color w:val="auto"/>
        </w:rPr>
        <w:t xml:space="preserve"> has the meaning as set forth in the introduction to this Agreement.</w:t>
      </w:r>
    </w:p>
    <w:p>
      <w:pPr>
        <w:spacing w:after="0" w:line="220" w:lineRule="exact"/>
        <w:rPr>
          <w:sz w:val="20"/>
          <w:szCs w:val="20"/>
          <w:color w:val="auto"/>
        </w:rPr>
      </w:pPr>
    </w:p>
    <w:p>
      <w:pPr>
        <w:ind w:right="800" w:firstLine="648"/>
        <w:spacing w:after="0" w:line="263" w:lineRule="auto"/>
        <w:rPr>
          <w:sz w:val="20"/>
          <w:szCs w:val="20"/>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xml:space="preserve"> means, without the Executive's express written consent, the occurrence of any one or more of the following:</w:t>
      </w:r>
    </w:p>
    <w:p>
      <w:pPr>
        <w:spacing w:after="0" w:line="175" w:lineRule="exact"/>
        <w:rPr>
          <w:sz w:val="20"/>
          <w:szCs w:val="20"/>
          <w:color w:val="auto"/>
        </w:rPr>
      </w:pPr>
    </w:p>
    <w:p>
      <w:pPr>
        <w:ind w:left="640" w:right="120" w:firstLine="649"/>
        <w:spacing w:after="0" w:line="297" w:lineRule="auto"/>
        <w:tabs>
          <w:tab w:leader="none" w:pos="170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 material reduction or alteration in the Executive's primary authorities, duties, or responsibilities or in Executive’s status as an employee of the Company (including, without limitation, offices, titles and reporting requirements) from the greatest of those in effect: on the Effective Date; during the fiscal year immediately preceding the year of the Change in Control; and on the date immediately preceding the Change in Control, (including, without limitation, any material adverse change in such primary duties or status as a result of the equity capital of the Company ceasing to be publicly traded or of the Company becoming a subsidiary of another entity, or any material</w:t>
      </w:r>
    </w:p>
    <w:p>
      <w:pPr>
        <w:sectPr>
          <w:pgSz w:w="11900" w:h="16838" w:orient="portrait"/>
          <w:cols w:equalWidth="0" w:num="1">
            <w:col w:w="11060"/>
          </w:cols>
          <w:pgMar w:left="580" w:top="1063" w:right="259" w:bottom="1440" w:gutter="0" w:footer="0" w:header="0"/>
        </w:sectPr>
      </w:pPr>
    </w:p>
    <w:bookmarkStart w:id="125" w:name="page126"/>
    <w:bookmarkEnd w:id="125"/>
    <w:p>
      <w:pPr>
        <w:ind w:left="945" w:right="540"/>
        <w:spacing w:after="0" w:line="263" w:lineRule="auto"/>
        <w:rPr>
          <w:sz w:val="20"/>
          <w:szCs w:val="20"/>
          <w:color w:val="auto"/>
        </w:rPr>
      </w:pPr>
      <w:r>
        <w:rPr>
          <w:rFonts w:ascii="Arial" w:cs="Arial" w:eastAsia="Arial" w:hAnsi="Arial"/>
          <w:sz w:val="22"/>
          <w:szCs w:val="22"/>
          <w:color w:val="auto"/>
        </w:rPr>
        <w:t>adverse change in the Executive's reporting relationship, such as the chairman or chief executive officer ceasing to report to the Board of Directors);</w:t>
      </w:r>
    </w:p>
    <w:p>
      <w:pPr>
        <w:spacing w:after="0" w:line="175" w:lineRule="exact"/>
        <w:rPr>
          <w:sz w:val="20"/>
          <w:szCs w:val="20"/>
          <w:color w:val="auto"/>
        </w:rPr>
      </w:pPr>
    </w:p>
    <w:p>
      <w:pPr>
        <w:ind w:left="945" w:right="200" w:firstLine="649"/>
        <w:spacing w:after="0" w:line="266" w:lineRule="auto"/>
        <w:tabs>
          <w:tab w:leader="none" w:pos="2025"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Company's requiring the Executive to be based at a location which is at least one hundred fifty (150) miles further from the Executive's then current primary residence than is such residence from the office where the Executive is located at the time of the Change in Control, except for required travel on the Company's business to an extent substantially consistent with the Executive's business obligations as of the Effective Date or as the same may be changed from time to time prior to a Change in Control;</w:t>
      </w:r>
    </w:p>
    <w:p>
      <w:pPr>
        <w:spacing w:after="0" w:line="174" w:lineRule="exact"/>
        <w:rPr>
          <w:rFonts w:ascii="Arial" w:cs="Arial" w:eastAsia="Arial" w:hAnsi="Arial"/>
          <w:sz w:val="21"/>
          <w:szCs w:val="21"/>
          <w:color w:val="auto"/>
        </w:rPr>
      </w:pPr>
    </w:p>
    <w:p>
      <w:pPr>
        <w:ind w:left="945" w:right="140" w:firstLine="649"/>
        <w:spacing w:after="0" w:line="276" w:lineRule="auto"/>
        <w:tabs>
          <w:tab w:leader="none" w:pos="2013"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 material reduction by the Company in the Executive's Base Salary as in effect on the Effective Date or as the same may be increased from time to time;</w:t>
      </w:r>
    </w:p>
    <w:p>
      <w:pPr>
        <w:spacing w:after="0" w:line="160" w:lineRule="exact"/>
        <w:rPr>
          <w:rFonts w:ascii="Arial" w:cs="Arial" w:eastAsia="Arial" w:hAnsi="Arial"/>
          <w:sz w:val="22"/>
          <w:szCs w:val="22"/>
          <w:color w:val="auto"/>
        </w:rPr>
      </w:pPr>
    </w:p>
    <w:p>
      <w:pPr>
        <w:ind w:left="945" w:firstLine="649"/>
        <w:spacing w:after="0" w:line="307" w:lineRule="auto"/>
        <w:tabs>
          <w:tab w:leader="none" w:pos="202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 material reduction in the Executive's level of participation in any of the Company's short- and/or long-term incentive compensation plans, or employee benefit or retirement plans, policies, practices, or arrangements in which the Executive participates from the greatest of the levels in place: on the Effective Date; during the fiscal year immediately preceding the year of the Change in Control; and on the date immediately preceding the Change in Control;</w:t>
      </w:r>
    </w:p>
    <w:p>
      <w:pPr>
        <w:spacing w:after="0" w:line="138" w:lineRule="exact"/>
        <w:rPr>
          <w:rFonts w:ascii="Arial" w:cs="Arial" w:eastAsia="Arial" w:hAnsi="Arial"/>
          <w:sz w:val="19"/>
          <w:szCs w:val="19"/>
          <w:color w:val="auto"/>
        </w:rPr>
      </w:pPr>
    </w:p>
    <w:p>
      <w:pPr>
        <w:ind w:left="945" w:right="600" w:firstLine="649"/>
        <w:spacing w:after="0" w:line="276" w:lineRule="auto"/>
        <w:tabs>
          <w:tab w:leader="none" w:pos="2013"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failure of the Company to assume and agree to perform this Agreement in all material respects, as contemplated in Article IX of the Agreement; or</w:t>
      </w:r>
    </w:p>
    <w:p>
      <w:pPr>
        <w:spacing w:after="0" w:line="160" w:lineRule="exact"/>
        <w:rPr>
          <w:rFonts w:ascii="Arial" w:cs="Arial" w:eastAsia="Arial" w:hAnsi="Arial"/>
          <w:sz w:val="22"/>
          <w:szCs w:val="22"/>
          <w:color w:val="auto"/>
        </w:rPr>
      </w:pPr>
    </w:p>
    <w:p>
      <w:pPr>
        <w:ind w:left="945" w:right="460" w:firstLine="649"/>
        <w:spacing w:after="0" w:line="276" w:lineRule="auto"/>
        <w:tabs>
          <w:tab w:leader="none" w:pos="198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any termination of Executive's employment by the Company that is not effected pursuant to a Notice of Termination.</w:t>
      </w:r>
    </w:p>
    <w:p>
      <w:pPr>
        <w:spacing w:after="0" w:line="161" w:lineRule="exact"/>
        <w:rPr>
          <w:sz w:val="20"/>
          <w:szCs w:val="20"/>
          <w:color w:val="auto"/>
        </w:rPr>
      </w:pPr>
    </w:p>
    <w:p>
      <w:pPr>
        <w:ind w:left="305" w:firstLine="648"/>
        <w:spacing w:after="0" w:line="285" w:lineRule="auto"/>
        <w:rPr>
          <w:sz w:val="20"/>
          <w:szCs w:val="20"/>
          <w:color w:val="auto"/>
        </w:rPr>
      </w:pPr>
      <w:r>
        <w:rPr>
          <w:rFonts w:ascii="Arial" w:cs="Arial" w:eastAsia="Arial" w:hAnsi="Arial"/>
          <w:sz w:val="19"/>
          <w:szCs w:val="19"/>
          <w:color w:val="auto"/>
        </w:rPr>
        <w:t>The existence of Good Reason will not be affected by the Executive's temporary incapacity due to physical or mental illness not constituting a Disability. The Executive's continued employment will not constitute a waiver of the Executive's rights with respect to any circumstance constituting Good Reason; however, “Good Reason” for Executive's separation from employment will exist only if: the Executive provides written notice to the Company within ninety (90) days of the occurrence of any of the above listed events; the Company fails to cure the event within thirty (30) days following the Company's receipt of Executive's written notice; and the Executive separates from employment with the Company effective not later than twenty four</w:t>
      </w:r>
    </w:p>
    <w:p>
      <w:pPr>
        <w:spacing w:after="0" w:line="1" w:lineRule="exact"/>
        <w:rPr>
          <w:sz w:val="20"/>
          <w:szCs w:val="20"/>
          <w:color w:val="auto"/>
        </w:rPr>
      </w:pPr>
    </w:p>
    <w:p>
      <w:pPr>
        <w:jc w:val="both"/>
        <w:ind w:left="305" w:right="540" w:hanging="8"/>
        <w:spacing w:after="0" w:line="244" w:lineRule="auto"/>
        <w:tabs>
          <w:tab w:leader="none" w:pos="71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months after the original occurrence of the “Good Reason” event. For sake of clarity, the event giving rise to a Good Reason termination must occur during the Protection Period, but Participant’s actual termination of employment for Good Reason may occur after the end of the Protection Period, and such termination will be treated as if it occurred during the Protection Period.</w:t>
      </w:r>
    </w:p>
    <w:p>
      <w:pPr>
        <w:spacing w:after="0" w:line="185" w:lineRule="exact"/>
        <w:rPr>
          <w:sz w:val="20"/>
          <w:szCs w:val="20"/>
          <w:color w:val="auto"/>
        </w:rPr>
      </w:pPr>
    </w:p>
    <w:p>
      <w:pPr>
        <w:ind w:left="305" w:right="640" w:firstLine="648"/>
        <w:spacing w:after="0" w:line="231" w:lineRule="auto"/>
        <w:rPr>
          <w:sz w:val="20"/>
          <w:szCs w:val="20"/>
          <w:color w:val="auto"/>
        </w:rPr>
      </w:pPr>
      <w:r>
        <w:rPr>
          <w:rFonts w:ascii="Arial" w:cs="Arial" w:eastAsia="Arial" w:hAnsi="Arial"/>
          <w:sz w:val="22"/>
          <w:szCs w:val="22"/>
          <w:u w:val="single" w:color="auto"/>
          <w:color w:val="auto"/>
        </w:rPr>
        <w:t>Legacy Agreement</w:t>
      </w:r>
      <w:r>
        <w:rPr>
          <w:rFonts w:ascii="Arial" w:cs="Arial" w:eastAsia="Arial" w:hAnsi="Arial"/>
          <w:sz w:val="22"/>
          <w:szCs w:val="22"/>
          <w:color w:val="auto"/>
        </w:rPr>
        <w:t xml:space="preserve"> means the [Executive Severance Agreement][Appendix to the Employment Contract]</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by and between Executive and [FMC Technologies, Inc.][Technip]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381000</wp:posOffset>
            </wp:positionV>
            <wp:extent cx="21869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5" w:hanging="85"/>
        <w:spacing w:after="0"/>
        <w:tabs>
          <w:tab w:leader="none" w:pos="85" w:val="left"/>
        </w:tabs>
        <w:numPr>
          <w:ilvl w:val="0"/>
          <w:numId w:val="125"/>
        </w:numPr>
        <w:rPr>
          <w:rFonts w:ascii="Arial" w:cs="Arial" w:eastAsia="Arial" w:hAnsi="Arial"/>
          <w:sz w:val="22"/>
          <w:szCs w:val="22"/>
          <w:color w:val="auto"/>
          <w:vertAlign w:val="superscript"/>
        </w:rPr>
      </w:pPr>
      <w:r>
        <w:rPr>
          <w:rFonts w:ascii="Arial" w:cs="Arial" w:eastAsia="Arial" w:hAnsi="Arial"/>
          <w:sz w:val="16"/>
          <w:szCs w:val="16"/>
          <w:color w:val="auto"/>
        </w:rPr>
        <w:t>As applicable based on Executive’s prior agreement.</w:t>
      </w:r>
    </w:p>
    <w:p>
      <w:pPr>
        <w:sectPr>
          <w:pgSz w:w="11900" w:h="16838" w:orient="portrait"/>
          <w:cols w:equalWidth="0" w:num="1">
            <w:col w:w="11385"/>
          </w:cols>
          <w:pgMar w:left="275" w:top="1063" w:right="23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regarding severance benefits following a change in control of [FMC Technologies, Inc.] Technip].</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xml:space="preserve"> means a written notice which indicates the specific termination provision in this Agreement relied upon, and sets forth in reasonable detail the facts and circumstances claimed to provide a basis for termination of the Executive's employment under the provision so indicated.</w:t>
      </w:r>
    </w:p>
    <w:p>
      <w:pPr>
        <w:spacing w:after="0" w:line="186" w:lineRule="exact"/>
        <w:rPr>
          <w:sz w:val="20"/>
          <w:szCs w:val="20"/>
          <w:color w:val="auto"/>
        </w:rPr>
      </w:pPr>
    </w:p>
    <w:p>
      <w:pPr>
        <w:ind w:right="80" w:firstLine="648"/>
        <w:spacing w:after="0" w:line="290" w:lineRule="auto"/>
        <w:rPr>
          <w:sz w:val="20"/>
          <w:szCs w:val="20"/>
          <w:color w:val="auto"/>
        </w:rPr>
      </w:pPr>
      <w:r>
        <w:rPr>
          <w:rFonts w:ascii="Arial" w:cs="Arial" w:eastAsia="Arial" w:hAnsi="Arial"/>
          <w:sz w:val="19"/>
          <w:szCs w:val="19"/>
          <w:u w:val="single" w:color="auto"/>
          <w:color w:val="auto"/>
        </w:rPr>
        <w:t>Persons Acting as a Group</w:t>
      </w:r>
      <w:r>
        <w:rPr>
          <w:rFonts w:ascii="Arial" w:cs="Arial" w:eastAsia="Arial" w:hAnsi="Arial"/>
          <w:sz w:val="19"/>
          <w:szCs w:val="19"/>
          <w:color w:val="auto"/>
        </w:rPr>
        <w:t>: Persons will not be considered to be acting as a group solely because they either: purchase or own stock of the same corporation at the same time, or as a result of the same public offering; or purchase assets of the same corporation at the same time. However, persons will be considered to be acting as a group if they are owners of a corporation that enters into a merger, consolidation, purchase or acquisition of stock or assets, or similar business transaction with the Company. If a person, including an entity, owns stock in both corporations that enter into a merger, consolidation, purchase or acquisition of stock or assets, or similar transaction, such shareholder is considered to be acting as a group with other shareholders in a corporation only with respect to the ownership in that corporation prior to the transaction giving rise to the change and not with respect to the ownership interest in the other corporation.</w:t>
      </w:r>
    </w:p>
    <w:p>
      <w:pPr>
        <w:spacing w:after="0" w:line="157"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u w:val="single" w:color="auto"/>
          <w:color w:val="auto"/>
        </w:rPr>
        <w:t>Protection Period</w:t>
      </w:r>
      <w:r>
        <w:rPr>
          <w:rFonts w:ascii="Arial" w:cs="Arial" w:eastAsia="Arial" w:hAnsi="Arial"/>
          <w:sz w:val="22"/>
          <w:szCs w:val="22"/>
          <w:color w:val="auto"/>
        </w:rPr>
        <w:t xml:space="preserve"> means the period beginning on the date of the Change in Control and ending on the twenty-four (24) calendar month anniversary of the Change in Control.</w:t>
      </w:r>
    </w:p>
    <w:p>
      <w:pPr>
        <w:spacing w:after="0" w:line="175"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u w:val="single" w:color="auto"/>
          <w:color w:val="auto"/>
        </w:rPr>
        <w:t>Qualifying Termination</w:t>
      </w:r>
      <w:r>
        <w:rPr>
          <w:rFonts w:ascii="Arial" w:cs="Arial" w:eastAsia="Arial" w:hAnsi="Arial"/>
          <w:sz w:val="22"/>
          <w:szCs w:val="22"/>
          <w:color w:val="auto"/>
        </w:rPr>
        <w:t xml:space="preserve"> means any of the events described in Section 3.1 of the Agreement, the occurrence of which triggers the payment of Severance Benefits under the Agreement.</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 xml:space="preserve"> means the payment of severance compensation as provided in Sections 3.1 and 4.1 of the Agreement and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Takeover</w:t>
      </w:r>
      <w:r>
        <w:rPr>
          <w:rFonts w:ascii="Arial" w:cs="Arial" w:eastAsia="Arial" w:hAnsi="Arial"/>
          <w:sz w:val="22"/>
          <w:szCs w:val="22"/>
          <w:color w:val="auto"/>
        </w:rPr>
        <w:t xml:space="preserve"> shall mean if any person (or a group of persons acting in concert) (the “</w:t>
      </w:r>
      <w:r>
        <w:rPr>
          <w:rFonts w:ascii="Arial" w:cs="Arial" w:eastAsia="Arial" w:hAnsi="Arial"/>
          <w:sz w:val="22"/>
          <w:szCs w:val="22"/>
          <w:u w:val="single" w:color="auto"/>
          <w:color w:val="auto"/>
        </w:rPr>
        <w:t>Acquiring Person</w:t>
      </w:r>
      <w:r>
        <w:rPr>
          <w:rFonts w:ascii="Arial" w:cs="Arial" w:eastAsia="Arial" w:hAnsi="Arial"/>
          <w:sz w:val="22"/>
          <w:szCs w:val="22"/>
          <w:color w:val="auto"/>
        </w:rPr>
        <w:t>”):</w:t>
      </w:r>
    </w:p>
    <w:p>
      <w:pPr>
        <w:spacing w:after="0" w:line="220" w:lineRule="exact"/>
        <w:rPr>
          <w:sz w:val="20"/>
          <w:szCs w:val="20"/>
          <w:color w:val="auto"/>
        </w:rPr>
      </w:pPr>
    </w:p>
    <w:p>
      <w:pPr>
        <w:ind w:left="640" w:firstLine="649"/>
        <w:spacing w:after="0" w:line="260" w:lineRule="auto"/>
        <w:tabs>
          <w:tab w:leader="none" w:pos="170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obtains Control of the Company as the result of making a general offer to acquire all of the issued ordinary share capital of the Company, which is made on a condition that, if it is satisfied, the Acquiring Person will have Control of the Company; or</w:t>
      </w:r>
    </w:p>
    <w:p>
      <w:pPr>
        <w:spacing w:after="0" w:line="177" w:lineRule="exact"/>
        <w:rPr>
          <w:rFonts w:ascii="Arial" w:cs="Arial" w:eastAsia="Arial" w:hAnsi="Arial"/>
          <w:sz w:val="22"/>
          <w:szCs w:val="22"/>
          <w:color w:val="auto"/>
        </w:rPr>
      </w:pPr>
    </w:p>
    <w:p>
      <w:pPr>
        <w:ind w:left="640" w:right="340" w:firstLine="649"/>
        <w:spacing w:after="0" w:line="358" w:lineRule="auto"/>
        <w:tabs>
          <w:tab w:leader="none" w:pos="172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obtains Control of the Company as a result of a compromise or arrangement sanctioned by a court under Section 899 of the Companies Act 2006, or sanctioned under any other similar law of another jurisdiction;</w:t>
      </w:r>
    </w:p>
    <w:p>
      <w:pPr>
        <w:spacing w:after="0" w:line="90" w:lineRule="exact"/>
        <w:rPr>
          <w:rFonts w:ascii="Arial" w:cs="Arial" w:eastAsia="Arial" w:hAnsi="Arial"/>
          <w:sz w:val="19"/>
          <w:szCs w:val="19"/>
          <w:color w:val="auto"/>
        </w:rPr>
      </w:pPr>
    </w:p>
    <w:p>
      <w:pPr>
        <w:ind w:left="640" w:right="80" w:firstLine="649"/>
        <w:spacing w:after="0" w:line="276" w:lineRule="auto"/>
        <w:tabs>
          <w:tab w:leader="none" w:pos="170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becomes bound or entitled under Sections 979 to 985 of the Companies Act 2006 (or similar law of another jurisdiction) to acquire the ordinary share capital of the Company; or</w:t>
      </w:r>
    </w:p>
    <w:p>
      <w:pPr>
        <w:sectPr>
          <w:pgSz w:w="11900" w:h="16838" w:orient="portrait"/>
          <w:cols w:equalWidth="0" w:num="1">
            <w:col w:w="11080"/>
          </w:cols>
          <w:pgMar w:left="580" w:top="1063" w:right="239" w:bottom="1440" w:gutter="0" w:footer="0" w:header="0"/>
        </w:sectPr>
      </w:pPr>
    </w:p>
    <w:bookmarkStart w:id="127" w:name="page128"/>
    <w:bookmarkEnd w:id="127"/>
    <w:p>
      <w:pPr>
        <w:ind w:left="1280"/>
        <w:spacing w:after="0"/>
        <w:tabs>
          <w:tab w:leader="none" w:pos="17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obtains Control of the Company in any other way.</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Total Payments</w:t>
      </w:r>
      <w:r>
        <w:rPr>
          <w:rFonts w:ascii="Arial" w:cs="Arial" w:eastAsia="Arial" w:hAnsi="Arial"/>
          <w:sz w:val="22"/>
          <w:szCs w:val="22"/>
          <w:color w:val="auto"/>
        </w:rPr>
        <w:t xml:space="preserve"> means payments or benefits received or to be received by the Executive in connection with a Change in Control (within the meaning of Section 280G of the Code) whether pursuant to this Agreement or any other plan, arrangement or agreement with the Company.</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Trust</w:t>
      </w:r>
      <w:r>
        <w:rPr>
          <w:rFonts w:ascii="Arial" w:cs="Arial" w:eastAsia="Arial" w:hAnsi="Arial"/>
          <w:sz w:val="22"/>
          <w:szCs w:val="22"/>
          <w:color w:val="auto"/>
        </w:rPr>
        <w:t xml:space="preserve"> means the Company grantor trust to be created pursuant to Article V of the Agreement.</w:t>
      </w:r>
    </w:p>
    <w:p>
      <w:pPr>
        <w:sectPr>
          <w:pgSz w:w="11900" w:h="16838" w:orient="portrait"/>
          <w:cols w:equalWidth="0" w:num="1">
            <w:col w:w="10980"/>
          </w:cols>
          <w:pgMar w:left="580" w:top="1063" w:right="339" w:bottom="1440" w:gutter="0" w:footer="0" w:header="0"/>
        </w:sectPr>
      </w:pPr>
    </w:p>
    <w:bookmarkStart w:id="128" w:name="page129"/>
    <w:bookmarkEnd w:id="128"/>
    <w:p>
      <w:pPr>
        <w:ind w:left="5285"/>
        <w:spacing w:after="0"/>
        <w:rPr>
          <w:sz w:val="20"/>
          <w:szCs w:val="20"/>
          <w:color w:val="auto"/>
        </w:rPr>
      </w:pPr>
      <w:r>
        <w:rPr>
          <w:rFonts w:ascii="Arial" w:cs="Arial" w:eastAsia="Arial" w:hAnsi="Arial"/>
          <w:sz w:val="22"/>
          <w:szCs w:val="22"/>
          <w:b w:val="1"/>
          <w:bCs w:val="1"/>
          <w:color w:val="auto"/>
        </w:rPr>
        <w:t>EXHIBIT B</w:t>
      </w:r>
    </w:p>
    <w:p>
      <w:pPr>
        <w:spacing w:after="0" w:line="193" w:lineRule="exact"/>
        <w:rPr>
          <w:sz w:val="20"/>
          <w:szCs w:val="20"/>
          <w:color w:val="auto"/>
        </w:rPr>
      </w:pPr>
    </w:p>
    <w:p>
      <w:pPr>
        <w:ind w:left="4345"/>
        <w:spacing w:after="0"/>
        <w:rPr>
          <w:sz w:val="20"/>
          <w:szCs w:val="20"/>
          <w:color w:val="auto"/>
        </w:rPr>
      </w:pPr>
      <w:r>
        <w:rPr>
          <w:rFonts w:ascii="Arial" w:cs="Arial" w:eastAsia="Arial" w:hAnsi="Arial"/>
          <w:sz w:val="22"/>
          <w:szCs w:val="22"/>
          <w:b w:val="1"/>
          <w:bCs w:val="1"/>
          <w:u w:val="single" w:color="auto"/>
          <w:color w:val="auto"/>
        </w:rPr>
        <w:t>DESCRIPTION OF BENEFITS</w:t>
      </w:r>
    </w:p>
    <w:p>
      <w:pPr>
        <w:spacing w:after="0" w:line="199" w:lineRule="exact"/>
        <w:rPr>
          <w:sz w:val="20"/>
          <w:szCs w:val="20"/>
          <w:color w:val="auto"/>
        </w:rPr>
      </w:pPr>
    </w:p>
    <w:p>
      <w:pPr>
        <w:ind w:left="945"/>
        <w:spacing w:after="0"/>
        <w:rPr>
          <w:sz w:val="20"/>
          <w:szCs w:val="20"/>
          <w:color w:val="auto"/>
        </w:rPr>
      </w:pPr>
      <w:r>
        <w:rPr>
          <w:rFonts w:ascii="Arial" w:cs="Arial" w:eastAsia="Arial" w:hAnsi="Arial"/>
          <w:sz w:val="22"/>
          <w:szCs w:val="22"/>
          <w:color w:val="auto"/>
        </w:rPr>
        <w:t>Capitalized terms used and not defined in this Exhibit B are defined in Exhibit A to the Agreement.</w:t>
      </w:r>
    </w:p>
    <w:p>
      <w:pPr>
        <w:spacing w:after="0" w:line="274" w:lineRule="exact"/>
        <w:rPr>
          <w:sz w:val="20"/>
          <w:szCs w:val="20"/>
          <w:color w:val="auto"/>
        </w:rPr>
      </w:pPr>
    </w:p>
    <w:p>
      <w:pPr>
        <w:ind w:left="305"/>
        <w:spacing w:after="0"/>
        <w:rPr>
          <w:sz w:val="20"/>
          <w:szCs w:val="20"/>
          <w:color w:val="auto"/>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274" w:lineRule="exact"/>
        <w:rPr>
          <w:sz w:val="20"/>
          <w:szCs w:val="20"/>
          <w:color w:val="auto"/>
        </w:rPr>
      </w:pPr>
    </w:p>
    <w:p>
      <w:pPr>
        <w:ind w:left="305" w:right="720" w:firstLine="640"/>
        <w:spacing w:after="0" w:line="276" w:lineRule="auto"/>
        <w:tabs>
          <w:tab w:leader="none" w:pos="1373"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In the event the Executive becomes entitled to receive Severance Benefits, as provided in Section 3.1 of the Agreement, the Company will provide to the Executive as follows:</w:t>
      </w:r>
    </w:p>
    <w:p>
      <w:pPr>
        <w:spacing w:after="0" w:line="160" w:lineRule="exact"/>
        <w:rPr>
          <w:rFonts w:ascii="Arial" w:cs="Arial" w:eastAsia="Arial" w:hAnsi="Arial"/>
          <w:sz w:val="22"/>
          <w:szCs w:val="22"/>
          <w:color w:val="auto"/>
        </w:rPr>
      </w:pPr>
    </w:p>
    <w:p>
      <w:pPr>
        <w:ind w:left="945" w:right="560" w:firstLine="649"/>
        <w:spacing w:after="0" w:line="276" w:lineRule="auto"/>
        <w:tabs>
          <w:tab w:leader="none" w:pos="1977" w:val="left"/>
        </w:tabs>
        <w:numPr>
          <w:ilvl w:val="1"/>
          <w:numId w:val="127"/>
        </w:numPr>
        <w:rPr>
          <w:rFonts w:ascii="Arial" w:cs="Arial" w:eastAsia="Arial" w:hAnsi="Arial"/>
          <w:sz w:val="22"/>
          <w:szCs w:val="22"/>
          <w:color w:val="auto"/>
        </w:rPr>
      </w:pPr>
      <w:r>
        <w:rPr>
          <w:rFonts w:ascii="Arial" w:cs="Arial" w:eastAsia="Arial" w:hAnsi="Arial"/>
          <w:sz w:val="22"/>
          <w:szCs w:val="22"/>
          <w:color w:val="auto"/>
        </w:rPr>
        <w:t xml:space="preserve">an amount equal to </w:t>
      </w:r>
      <w:r>
        <w:rPr>
          <w:rFonts w:ascii="Arial" w:cs="Arial" w:eastAsia="Arial" w:hAnsi="Arial"/>
          <w:sz w:val="22"/>
          <w:szCs w:val="22"/>
          <w:u w:val="single" w:color="auto"/>
          <w:color w:val="auto"/>
        </w:rPr>
        <w:t>[two][three]</w:t>
      </w:r>
      <w:r>
        <w:rPr>
          <w:rFonts w:ascii="Arial" w:cs="Arial" w:eastAsia="Arial" w:hAnsi="Arial"/>
          <w:sz w:val="22"/>
          <w:szCs w:val="22"/>
          <w:color w:val="auto"/>
        </w:rPr>
        <w:t xml:space="preserve"> times the greater of (A) the Executive's Base Salary as in effect on the Effective Date or (B) the Executive’s Base Salary on the Effective Date of Termination;</w:t>
      </w:r>
    </w:p>
    <w:p>
      <w:pPr>
        <w:spacing w:after="0" w:line="160" w:lineRule="exact"/>
        <w:rPr>
          <w:rFonts w:ascii="Arial" w:cs="Arial" w:eastAsia="Arial" w:hAnsi="Arial"/>
          <w:sz w:val="22"/>
          <w:szCs w:val="22"/>
          <w:color w:val="auto"/>
        </w:rPr>
      </w:pPr>
    </w:p>
    <w:p>
      <w:pPr>
        <w:jc w:val="both"/>
        <w:ind w:left="945" w:right="60" w:firstLine="649"/>
        <w:spacing w:after="0" w:line="270" w:lineRule="auto"/>
        <w:tabs>
          <w:tab w:leader="none" w:pos="2037" w:val="left"/>
        </w:tabs>
        <w:numPr>
          <w:ilvl w:val="1"/>
          <w:numId w:val="127"/>
        </w:numPr>
        <w:rPr>
          <w:rFonts w:ascii="Arial" w:cs="Arial" w:eastAsia="Arial" w:hAnsi="Arial"/>
          <w:sz w:val="21"/>
          <w:szCs w:val="21"/>
          <w:color w:val="auto"/>
        </w:rPr>
      </w:pPr>
      <w:r>
        <w:rPr>
          <w:rFonts w:ascii="Arial" w:cs="Arial" w:eastAsia="Arial" w:hAnsi="Arial"/>
          <w:sz w:val="21"/>
          <w:szCs w:val="21"/>
          <w:color w:val="auto"/>
        </w:rPr>
        <w:t xml:space="preserve">an amount equal to </w:t>
      </w:r>
      <w:r>
        <w:rPr>
          <w:rFonts w:ascii="Arial" w:cs="Arial" w:eastAsia="Arial" w:hAnsi="Arial"/>
          <w:sz w:val="21"/>
          <w:szCs w:val="21"/>
          <w:u w:val="single" w:color="auto"/>
          <w:color w:val="auto"/>
        </w:rPr>
        <w:t>[two][three]</w:t>
      </w:r>
      <w:r>
        <w:rPr>
          <w:rFonts w:ascii="Arial" w:cs="Arial" w:eastAsia="Arial" w:hAnsi="Arial"/>
          <w:sz w:val="21"/>
          <w:szCs w:val="21"/>
          <w:color w:val="auto"/>
        </w:rPr>
        <w:t xml:space="preserve"> times the greater of (A) Executive's average cash incentive bonus payable in the three years prior to the Effective Date of Termination, or (B) the Executive’s target annual cash incentive for the year of the Effective Date of Termination (or if Executive’s termination is for Good Reason due to a reduction in his/her annual cash incentive the target annual cash incentive prior to such reduction).</w:t>
      </w:r>
    </w:p>
    <w:p>
      <w:pPr>
        <w:spacing w:after="0" w:line="169" w:lineRule="exact"/>
        <w:rPr>
          <w:rFonts w:ascii="Arial" w:cs="Arial" w:eastAsia="Arial" w:hAnsi="Arial"/>
          <w:sz w:val="21"/>
          <w:szCs w:val="21"/>
          <w:color w:val="auto"/>
        </w:rPr>
      </w:pPr>
    </w:p>
    <w:p>
      <w:pPr>
        <w:ind w:left="945" w:right="340" w:firstLine="649"/>
        <w:spacing w:after="0" w:line="276" w:lineRule="auto"/>
        <w:tabs>
          <w:tab w:leader="none" w:pos="2097"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an amount equal to the Executive's unpaid Base Salary, and unused and accrued vacation pay, earned or accrued through the Effective Date of Termination;</w:t>
      </w:r>
    </w:p>
    <w:p>
      <w:pPr>
        <w:spacing w:after="0" w:line="160" w:lineRule="exact"/>
        <w:rPr>
          <w:rFonts w:ascii="Arial" w:cs="Arial" w:eastAsia="Arial" w:hAnsi="Arial"/>
          <w:sz w:val="22"/>
          <w:szCs w:val="22"/>
          <w:color w:val="auto"/>
        </w:rPr>
      </w:pPr>
    </w:p>
    <w:p>
      <w:pPr>
        <w:ind w:left="945" w:firstLine="649"/>
        <w:spacing w:after="0" w:line="254" w:lineRule="auto"/>
        <w:tabs>
          <w:tab w:leader="none" w:pos="2085"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an amount equal to the target cash annual cash incentive for the year in which the Executive's Effective Date of Termination occurred (or if Executive’s termination is for Good Reason due to a reduction in his/her annual cash incentive the target annual cash incentive prior to such reduction), prorated through the Effective Date of Termination; and</w:t>
      </w:r>
    </w:p>
    <w:p>
      <w:pPr>
        <w:spacing w:after="0" w:line="185" w:lineRule="exact"/>
        <w:rPr>
          <w:rFonts w:ascii="Arial" w:cs="Arial" w:eastAsia="Arial" w:hAnsi="Arial"/>
          <w:sz w:val="22"/>
          <w:szCs w:val="22"/>
          <w:color w:val="auto"/>
        </w:rPr>
      </w:pPr>
    </w:p>
    <w:p>
      <w:pPr>
        <w:ind w:left="945" w:right="180" w:firstLine="649"/>
        <w:spacing w:after="0" w:line="254" w:lineRule="auto"/>
        <w:tabs>
          <w:tab w:leader="none" w:pos="2025" w:val="left"/>
        </w:tabs>
        <w:numPr>
          <w:ilvl w:val="1"/>
          <w:numId w:val="127"/>
        </w:numPr>
        <w:rPr>
          <w:rFonts w:ascii="Arial" w:cs="Arial" w:eastAsia="Arial" w:hAnsi="Arial"/>
          <w:sz w:val="22"/>
          <w:szCs w:val="22"/>
          <w:color w:val="auto"/>
        </w:rPr>
      </w:pPr>
      <w:r>
        <w:rPr>
          <w:rFonts w:ascii="Arial" w:cs="Arial" w:eastAsia="Arial" w:hAnsi="Arial"/>
          <w:sz w:val="22"/>
          <w:szCs w:val="22"/>
          <w:color w:val="auto"/>
        </w:rPr>
        <w:t xml:space="preserve">an amount equal to the sum of (A) the total monthly premium payable for coverage for the Executive (and if applicable spouse and dependent coverage) under the Company’s health, dental, vision, prescription drug, life and accidental death and dismemberment, and disability insurance plans as in effect on the Effective Date of Termination, and (B) </w:t>
      </w:r>
      <w:r>
        <w:rPr>
          <w:rFonts w:ascii="Arial" w:cs="Arial" w:eastAsia="Arial" w:hAnsi="Arial"/>
          <w:sz w:val="22"/>
          <w:szCs w:val="22"/>
          <w:u w:val="single" w:color="auto"/>
          <w:color w:val="auto"/>
        </w:rPr>
        <w:t>[twenty-four (24)] [thirty-six (36)]</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305" w:right="180" w:firstLine="640"/>
        <w:spacing w:after="0" w:line="236" w:lineRule="auto"/>
        <w:tabs>
          <w:tab w:leader="none" w:pos="138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Notwithstanding anything in (a) above, should the Executive incur a Qualifying Termination prior to [January 16, 2019] [July 16, 2018]</w:t>
      </w:r>
      <w:r>
        <w:rPr>
          <w:rFonts w:ascii="Arial" w:cs="Arial" w:eastAsia="Arial" w:hAnsi="Arial"/>
          <w:sz w:val="28"/>
          <w:szCs w:val="28"/>
          <w:color w:val="auto"/>
          <w:vertAlign w:val="superscript"/>
        </w:rPr>
        <w:t>4</w:t>
      </w:r>
      <w:r>
        <w:rPr>
          <w:rFonts w:ascii="Arial" w:cs="Arial" w:eastAsia="Arial" w:hAnsi="Arial"/>
          <w:sz w:val="22"/>
          <w:szCs w:val="22"/>
          <w:color w:val="auto"/>
        </w:rPr>
        <w:t xml:space="preserve"> then Executive’s Severance Benefits under Section 3.1 shall not be less than the severance benefits that he/she would have received pursuant to the Legacy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980440</wp:posOffset>
            </wp:positionV>
            <wp:extent cx="21869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5" w:hanging="85"/>
        <w:spacing w:after="0"/>
        <w:tabs>
          <w:tab w:leader="none" w:pos="85" w:val="left"/>
        </w:tabs>
        <w:numPr>
          <w:ilvl w:val="0"/>
          <w:numId w:val="128"/>
        </w:numPr>
        <w:rPr>
          <w:rFonts w:ascii="Arial" w:cs="Arial" w:eastAsia="Arial" w:hAnsi="Arial"/>
          <w:sz w:val="22"/>
          <w:szCs w:val="22"/>
          <w:color w:val="auto"/>
          <w:vertAlign w:val="superscript"/>
        </w:rPr>
      </w:pPr>
      <w:r>
        <w:rPr>
          <w:rFonts w:ascii="Arial" w:cs="Arial" w:eastAsia="Arial" w:hAnsi="Arial"/>
          <w:sz w:val="16"/>
          <w:szCs w:val="16"/>
          <w:color w:val="auto"/>
        </w:rPr>
        <w:t>As applicable based on applicable Legacy Agreement.</w:t>
      </w:r>
    </w:p>
    <w:p>
      <w:pPr>
        <w:sectPr>
          <w:pgSz w:w="11900" w:h="16838" w:orient="portrait"/>
          <w:cols w:equalWidth="0" w:num="1">
            <w:col w:w="11385"/>
          </w:cols>
          <w:pgMar w:left="275" w:top="58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TechnipFMC plc (the “registrant”);</w:t>
      </w:r>
    </w:p>
    <w:p>
      <w:pPr>
        <w:spacing w:after="0" w:line="167"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6"/>
          <w:szCs w:val="16"/>
          <w:color w:val="auto"/>
        </w:rPr>
      </w:pPr>
    </w:p>
    <w:p>
      <w:pPr>
        <w:ind w:left="660" w:hanging="328"/>
        <w:spacing w:after="0"/>
        <w:tabs>
          <w:tab w:leader="none" w:pos="66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64" w:lineRule="exact"/>
        <w:rPr>
          <w:rFonts w:ascii="Arial" w:cs="Arial" w:eastAsia="Arial" w:hAnsi="Arial"/>
          <w:sz w:val="14"/>
          <w:szCs w:val="14"/>
          <w:color w:val="auto"/>
        </w:rPr>
      </w:pPr>
    </w:p>
    <w:p>
      <w:pPr>
        <w:ind w:left="1300" w:right="280" w:hanging="320"/>
        <w:spacing w:after="0" w:line="261" w:lineRule="auto"/>
        <w:tabs>
          <w:tab w:leader="none" w:pos="1196" w:val="left"/>
        </w:tabs>
        <w:numPr>
          <w:ilvl w:val="1"/>
          <w:numId w:val="1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300" w:right="80" w:hanging="320"/>
        <w:spacing w:after="0" w:line="261" w:lineRule="auto"/>
        <w:tabs>
          <w:tab w:leader="none" w:pos="1205" w:val="left"/>
        </w:tabs>
        <w:numPr>
          <w:ilvl w:val="1"/>
          <w:numId w:val="1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6"/>
          <w:szCs w:val="16"/>
          <w:color w:val="auto"/>
        </w:rPr>
      </w:pPr>
    </w:p>
    <w:p>
      <w:pPr>
        <w:ind w:left="1300" w:right="180" w:hanging="320"/>
        <w:spacing w:after="0" w:line="275" w:lineRule="auto"/>
        <w:tabs>
          <w:tab w:leader="none" w:pos="1196"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6"/>
          <w:szCs w:val="16"/>
          <w:color w:val="auto"/>
        </w:rPr>
      </w:pPr>
    </w:p>
    <w:p>
      <w:pPr>
        <w:ind w:left="1300" w:right="100" w:hanging="320"/>
        <w:spacing w:after="0" w:line="261" w:lineRule="auto"/>
        <w:tabs>
          <w:tab w:leader="none" w:pos="1205" w:val="left"/>
        </w:tabs>
        <w:numPr>
          <w:ilvl w:val="1"/>
          <w:numId w:val="1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6"/>
          <w:szCs w:val="16"/>
          <w:color w:val="auto"/>
        </w:rPr>
      </w:pPr>
    </w:p>
    <w:p>
      <w:pPr>
        <w:ind w:left="1300" w:right="360" w:hanging="320"/>
        <w:spacing w:after="0" w:line="275" w:lineRule="auto"/>
        <w:tabs>
          <w:tab w:leader="none" w:pos="1196"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6"/>
          <w:szCs w:val="16"/>
          <w:color w:val="auto"/>
        </w:rPr>
      </w:pPr>
    </w:p>
    <w:p>
      <w:pPr>
        <w:ind w:left="1300" w:right="560" w:hanging="320"/>
        <w:spacing w:after="0" w:line="275" w:lineRule="auto"/>
        <w:tabs>
          <w:tab w:leader="none" w:pos="1205"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2017</w:t>
      </w:r>
    </w:p>
    <w:p>
      <w:pPr>
        <w:spacing w:after="0" w:line="397"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certify that:</w:t>
      </w:r>
    </w:p>
    <w:p>
      <w:pPr>
        <w:spacing w:after="0" w:line="180"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TechnipFMC plc (the “registrant”);</w:t>
      </w:r>
    </w:p>
    <w:p>
      <w:pPr>
        <w:spacing w:after="0" w:line="171" w:lineRule="exact"/>
        <w:rPr>
          <w:rFonts w:ascii="Arial" w:cs="Arial" w:eastAsia="Arial" w:hAnsi="Arial"/>
          <w:sz w:val="18"/>
          <w:szCs w:val="18"/>
          <w:color w:val="auto"/>
        </w:rPr>
      </w:pPr>
    </w:p>
    <w:p>
      <w:pPr>
        <w:ind w:left="660" w:right="20" w:hanging="328"/>
        <w:spacing w:after="0" w:line="315" w:lineRule="auto"/>
        <w:tabs>
          <w:tab w:leader="none" w:pos="660" w:val="left"/>
        </w:tabs>
        <w:numPr>
          <w:ilvl w:val="0"/>
          <w:numId w:val="130"/>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7"/>
          <w:szCs w:val="17"/>
          <w:color w:val="auto"/>
        </w:rPr>
      </w:pPr>
    </w:p>
    <w:p>
      <w:pPr>
        <w:ind w:left="660" w:hanging="328"/>
        <w:spacing w:after="0" w:line="281"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6"/>
          <w:szCs w:val="16"/>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2" w:lineRule="exact"/>
        <w:rPr>
          <w:rFonts w:ascii="Arial" w:cs="Arial" w:eastAsia="Arial" w:hAnsi="Arial"/>
          <w:sz w:val="16"/>
          <w:szCs w:val="16"/>
          <w:color w:val="auto"/>
        </w:rPr>
      </w:pPr>
    </w:p>
    <w:p>
      <w:pPr>
        <w:ind w:left="1300" w:right="280" w:hanging="320"/>
        <w:spacing w:after="0" w:line="261" w:lineRule="auto"/>
        <w:tabs>
          <w:tab w:leader="none" w:pos="1196" w:val="left"/>
        </w:tabs>
        <w:numPr>
          <w:ilvl w:val="1"/>
          <w:numId w:val="1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300" w:right="80" w:hanging="320"/>
        <w:spacing w:after="0" w:line="261" w:lineRule="auto"/>
        <w:tabs>
          <w:tab w:leader="none" w:pos="1205" w:val="left"/>
        </w:tabs>
        <w:numPr>
          <w:ilvl w:val="1"/>
          <w:numId w:val="1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6"/>
          <w:szCs w:val="16"/>
          <w:color w:val="auto"/>
        </w:rPr>
      </w:pPr>
    </w:p>
    <w:p>
      <w:pPr>
        <w:ind w:left="1300" w:right="180" w:hanging="320"/>
        <w:spacing w:after="0" w:line="275" w:lineRule="auto"/>
        <w:tabs>
          <w:tab w:leader="none" w:pos="1196" w:val="left"/>
        </w:tabs>
        <w:numPr>
          <w:ilvl w:val="1"/>
          <w:numId w:val="1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6"/>
          <w:szCs w:val="16"/>
          <w:color w:val="auto"/>
        </w:rPr>
      </w:pPr>
    </w:p>
    <w:p>
      <w:pPr>
        <w:ind w:left="1300" w:right="100" w:hanging="320"/>
        <w:spacing w:after="0" w:line="261" w:lineRule="auto"/>
        <w:tabs>
          <w:tab w:leader="none" w:pos="1205" w:val="left"/>
        </w:tabs>
        <w:numPr>
          <w:ilvl w:val="1"/>
          <w:numId w:val="1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6"/>
          <w:szCs w:val="16"/>
          <w:color w:val="auto"/>
        </w:rPr>
      </w:pPr>
    </w:p>
    <w:p>
      <w:pPr>
        <w:ind w:left="660" w:right="480" w:hanging="328"/>
        <w:spacing w:after="0" w:line="281"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0" w:right="360" w:hanging="320"/>
        <w:spacing w:after="0" w:line="275" w:lineRule="auto"/>
        <w:tabs>
          <w:tab w:leader="none" w:pos="1196"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6"/>
          <w:szCs w:val="16"/>
          <w:color w:val="auto"/>
        </w:rPr>
      </w:pPr>
    </w:p>
    <w:p>
      <w:pPr>
        <w:ind w:left="1300" w:right="560" w:hanging="320"/>
        <w:spacing w:after="0" w:line="275" w:lineRule="auto"/>
        <w:tabs>
          <w:tab w:leader="none" w:pos="1205"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2017</w:t>
      </w:r>
    </w:p>
    <w:p>
      <w:pPr>
        <w:spacing w:after="0" w:line="181"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58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auto"/>
        </w:rPr>
        <w:t>I, Douglas J. Pferdehirt, Chief Executive Officer of TechnipFMC plc (the “Company”), do hereby certify, pursuant to 18 U.S.C. Section 1350, as adopted pursuant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Section 906 of the Sarbanes-Oxley Act of 2002, that, to my knowledge:</w:t>
      </w:r>
    </w:p>
    <w:p>
      <w:pPr>
        <w:spacing w:after="0" w:line="153" w:lineRule="exact"/>
        <w:rPr>
          <w:sz w:val="20"/>
          <w:szCs w:val="20"/>
          <w:color w:val="auto"/>
        </w:rPr>
      </w:pPr>
    </w:p>
    <w:p>
      <w:pPr>
        <w:ind w:right="440" w:firstLine="8"/>
        <w:spacing w:after="0" w:line="275" w:lineRule="auto"/>
        <w:tabs>
          <w:tab w:leader="none" w:pos="2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2017, as filed with the Securities and Exchange Commission (the “Report”), fully complies with the requirements of Section 13(a) or 15(d) of the Securities Exchange Act of 1934, as amended; and</w:t>
      </w:r>
    </w:p>
    <w:p>
      <w:pPr>
        <w:spacing w:after="0" w:line="118" w:lineRule="exact"/>
        <w:rPr>
          <w:rFonts w:ascii="Arial" w:cs="Arial" w:eastAsia="Arial" w:hAnsi="Arial"/>
          <w:sz w:val="16"/>
          <w:szCs w:val="16"/>
          <w:color w:val="auto"/>
        </w:rPr>
      </w:pPr>
    </w:p>
    <w:p>
      <w:pPr>
        <w:ind w:left="240" w:hanging="232"/>
        <w:spacing w:after="0"/>
        <w:tabs>
          <w:tab w:leader="none" w:pos="2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2017</w:t>
      </w:r>
    </w:p>
    <w:p>
      <w:pPr>
        <w:spacing w:after="0" w:line="397"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 Section 1350, as adopted pursuant to Section 906 of the Sarbanes-Oxley Act of 2002, that, to my knowledge:</w:t>
      </w:r>
    </w:p>
    <w:p>
      <w:pPr>
        <w:spacing w:after="0" w:line="119" w:lineRule="exact"/>
        <w:rPr>
          <w:sz w:val="20"/>
          <w:szCs w:val="20"/>
          <w:color w:val="auto"/>
        </w:rPr>
      </w:pPr>
    </w:p>
    <w:p>
      <w:pPr>
        <w:ind w:right="440" w:firstLine="8"/>
        <w:spacing w:after="0" w:line="275" w:lineRule="auto"/>
        <w:tabs>
          <w:tab w:leader="none" w:pos="2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2017, as filed with the Securities and Exchange Commission (the “Report”), fully complies with the requirements of Section 13(a) or 15(d) of the Securities Exchange Act of 1934, as amended; and</w:t>
      </w:r>
    </w:p>
    <w:p>
      <w:pPr>
        <w:spacing w:after="0" w:line="118" w:lineRule="exact"/>
        <w:rPr>
          <w:rFonts w:ascii="Arial" w:cs="Arial" w:eastAsia="Arial" w:hAnsi="Arial"/>
          <w:sz w:val="16"/>
          <w:szCs w:val="16"/>
          <w:color w:val="auto"/>
        </w:rPr>
      </w:pPr>
    </w:p>
    <w:p>
      <w:pPr>
        <w:ind w:left="240" w:hanging="232"/>
        <w:spacing w:after="0"/>
        <w:tabs>
          <w:tab w:leader="none" w:pos="2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2017</w:t>
      </w:r>
    </w:p>
    <w:p>
      <w:pPr>
        <w:spacing w:after="0" w:line="397"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78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78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78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x"/>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1)"/>
      <w:numFmt w:val="decimal"/>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1)"/>
      <w:numFmt w:val="decimal"/>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1)"/>
      <w:numFmt w:val="decimal"/>
      <w:start w:val="1"/>
    </w:lvl>
  </w:abstractNum>
  <w:abstractNum w:abstractNumId="10">
    <w:nsid w:val="6B94764"/>
    <w:multiLevelType w:val="hybridMultilevel"/>
    <w:lvl w:ilvl="0">
      <w:lvlJc w:val="left"/>
      <w:lvlText w:val="(%1)"/>
      <w:numFmt w:val="lowerLetter"/>
      <w:start w:val="1"/>
    </w:lvl>
  </w:abstractNum>
  <w:abstractNum w:abstractNumId="11">
    <w:nsid w:val="42C296BD"/>
    <w:multiLevelType w:val="hybridMultilevel"/>
    <w:lvl w:ilvl="0">
      <w:lvlJc w:val="left"/>
      <w:lvlText w:val="(%1)"/>
      <w:numFmt w:val="decimal"/>
      <w:start w:val="1"/>
    </w:lvl>
  </w:abstractNum>
  <w:abstractNum w:abstractNumId="12">
    <w:nsid w:val="168E121F"/>
    <w:multiLevelType w:val="hybridMultilevel"/>
    <w:lvl w:ilvl="0">
      <w:lvlJc w:val="left"/>
      <w:lvlText w:val="(%1)"/>
      <w:numFmt w:val="decimal"/>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1)"/>
      <w:numFmt w:val="decimal"/>
      <w:start w:val="1"/>
    </w:lvl>
  </w:abstractNum>
  <w:abstractNum w:abstractNumId="16">
    <w:nsid w:val="540A471C"/>
    <w:multiLevelType w:val="hybridMultilevel"/>
    <w:lvl w:ilvl="0">
      <w:lvlJc w:val="left"/>
      <w:lvlText w:val="(%1)"/>
      <w:numFmt w:val="decimal"/>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1)"/>
      <w:numFmt w:val="decimal"/>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1)"/>
      <w:numFmt w:val="lowerLetter"/>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1)"/>
      <w:numFmt w:val="lowerLetter"/>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1."/>
      <w:numFmt w:val="decimal"/>
      <w:start w:val="1"/>
    </w:lvl>
    <w:lvl w:ilvl="1">
      <w:lvlJc w:val="left"/>
      <w:lvlText w:val="(%2)"/>
      <w:numFmt w:val="lowerLetter"/>
      <w:start w:val="1"/>
    </w:lvl>
  </w:abstractNum>
  <w:abstractNum w:abstractNumId="38">
    <w:nsid w:val="6F6DD9AC"/>
    <w:multiLevelType w:val="hybridMultilevel"/>
    <w:lvl w:ilvl="0">
      <w:lvlJc w:val="left"/>
      <w:lvlText w:val="%1"/>
      <w:numFmt w:val="decimal"/>
      <w:start w:val="1"/>
    </w:lvl>
    <w:lvl w:ilvl="1">
      <w:lvlJc w:val="left"/>
      <w:lvlText w:val="(%2)"/>
      <w:numFmt w:val="lowerLetter"/>
      <w:start w:val="2"/>
    </w:lvl>
  </w:abstractNum>
  <w:abstractNum w:abstractNumId="39">
    <w:nsid w:val="94211F2"/>
    <w:multiLevelType w:val="hybridMultilevel"/>
    <w:lvl w:ilvl="0">
      <w:lvlJc w:val="left"/>
      <w:lvlText w:val="%1."/>
      <w:numFmt w:val="decimal"/>
      <w:start w:val="4"/>
    </w:lvl>
    <w:lvl w:ilvl="1">
      <w:lvlJc w:val="left"/>
      <w:lvlText w:val="(%2)"/>
      <w:numFmt w:val="lowerLetter"/>
      <w:start w:val="1"/>
    </w:lvl>
  </w:abstractNum>
  <w:abstractNum w:abstractNumId="40">
    <w:nsid w:val="885E1B"/>
    <w:multiLevelType w:val="hybridMultilevel"/>
    <w:lvl w:ilvl="0">
      <w:lvlJc w:val="left"/>
      <w:lvlText w:val="%1."/>
      <w:numFmt w:val="decimal"/>
      <w:start w:val="11"/>
    </w:lvl>
    <w:lvl w:ilvl="1">
      <w:lvlJc w:val="left"/>
      <w:lvlText w:val="(%2)"/>
      <w:numFmt w:val="lowerLetter"/>
      <w:start w:val="1"/>
    </w:lvl>
  </w:abstractNum>
  <w:abstractNum w:abstractNumId="41">
    <w:nsid w:val="76272110"/>
    <w:multiLevelType w:val="hybridMultilevel"/>
    <w:lvl w:ilvl="0">
      <w:lvlJc w:val="left"/>
      <w:lvlText w:val="%1."/>
      <w:numFmt w:val="decimal"/>
      <w:start w:val="15"/>
    </w:lvl>
  </w:abstractNum>
  <w:abstractNum w:abstractNumId="42">
    <w:nsid w:val="4C04A8AF"/>
    <w:multiLevelType w:val="hybridMultilevel"/>
    <w:lvl w:ilvl="0">
      <w:lvlJc w:val="left"/>
      <w:lvlText w:val="(%1)"/>
      <w:numFmt w:val="lowerLetter"/>
      <w:start w:val="1"/>
    </w:lvl>
    <w:lvl w:ilvl="1">
      <w:lvlJc w:val="left"/>
      <w:lvlText w:val="(%2)"/>
      <w:numFmt w:val="lowerRoman"/>
      <w:start w:val="1"/>
    </w:lvl>
  </w:abstractNum>
  <w:abstractNum w:abstractNumId="43">
    <w:nsid w:val="1716703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4">
    <w:nsid w:val="14E17E33"/>
    <w:multiLevelType w:val="hybridMultilevel"/>
    <w:lvl w:ilvl="0">
      <w:lvlJc w:val="left"/>
      <w:lvlText w:val="(%1)"/>
      <w:numFmt w:val="decimal"/>
      <w:start w:val="100"/>
    </w:lvl>
    <w:lvl w:ilvl="1">
      <w:lvlJc w:val="left"/>
      <w:lvlText w:val="%2"/>
      <w:numFmt w:val="lowerLetter"/>
      <w:start w:val="1"/>
    </w:lvl>
    <w:lvl w:ilvl="2">
      <w:lvlJc w:val="left"/>
      <w:lvlText w:val="(%3)"/>
      <w:numFmt w:val="lowerRoman"/>
      <w:start w:val="3"/>
    </w:lvl>
  </w:abstractNum>
  <w:abstractNum w:abstractNumId="45">
    <w:nsid w:val="3222E7CD"/>
    <w:multiLevelType w:val="hybridMultilevel"/>
    <w:lvl w:ilvl="0">
      <w:lvlJc w:val="left"/>
      <w:lvlText w:val="(%1)"/>
      <w:numFmt w:val="lowerLetter"/>
      <w:start w:val="4"/>
    </w:lvl>
  </w:abstractNum>
  <w:abstractNum w:abstractNumId="46">
    <w:nsid w:val="74DE0EE3"/>
    <w:multiLevelType w:val="hybridMultilevel"/>
    <w:lvl w:ilvl="0">
      <w:lvlJc w:val="left"/>
      <w:lvlText w:val="%1."/>
      <w:numFmt w:val="upperLetter"/>
      <w:start w:val="9"/>
    </w:lvl>
  </w:abstractNum>
  <w:abstractNum w:abstractNumId="47">
    <w:nsid w:val="68EBC550"/>
    <w:multiLevelType w:val="hybridMultilevel"/>
    <w:lvl w:ilvl="0">
      <w:lvlJc w:val="left"/>
      <w:lvlText w:val="%1."/>
      <w:numFmt w:val="decimal"/>
      <w:start w:val="1"/>
    </w:lvl>
    <w:lvl w:ilvl="1">
      <w:lvlJc w:val="left"/>
      <w:lvlText w:val="(%2)"/>
      <w:numFmt w:val="lowerLetter"/>
      <w:start w:val="1"/>
    </w:lvl>
  </w:abstractNum>
  <w:abstractNum w:abstractNumId="48">
    <w:nsid w:val="2DF6D648"/>
    <w:multiLevelType w:val="hybridMultilevel"/>
    <w:lvl w:ilvl="0">
      <w:lvlJc w:val="left"/>
      <w:lvlText w:val="%1"/>
      <w:numFmt w:val="decimal"/>
      <w:start w:val="1"/>
    </w:lvl>
    <w:lvl w:ilvl="1">
      <w:lvlJc w:val="left"/>
      <w:lvlText w:val="(%2)"/>
      <w:numFmt w:val="lowerLetter"/>
      <w:start w:val="8"/>
    </w:lvl>
  </w:abstractNum>
  <w:abstractNum w:abstractNumId="49">
    <w:nsid w:val="46B7D447"/>
    <w:multiLevelType w:val="hybridMultilevel"/>
    <w:lvl w:ilvl="0">
      <w:lvlJc w:val="left"/>
      <w:lvlText w:val="%1."/>
      <w:numFmt w:val="decimal"/>
      <w:start w:val="2"/>
    </w:lvl>
    <w:lvl w:ilvl="1">
      <w:lvlJc w:val="left"/>
      <w:lvlText w:val="%2"/>
      <w:numFmt w:val="lowerLetter"/>
      <w:start w:val="1"/>
    </w:lvl>
  </w:abstractNum>
  <w:abstractNum w:abstractNumId="50">
    <w:nsid w:val="4A2AC315"/>
    <w:multiLevelType w:val="hybridMultilevel"/>
    <w:lvl w:ilvl="0">
      <w:lvlJc w:val="left"/>
      <w:lvlText w:val="%1."/>
      <w:numFmt w:val="upperLetter"/>
      <w:start w:val="35"/>
    </w:lvl>
  </w:abstractNum>
  <w:abstractNum w:abstractNumId="51">
    <w:nsid w:val="39EE015C"/>
    <w:multiLevelType w:val="hybridMultilevel"/>
    <w:lvl w:ilvl="0">
      <w:lvlJc w:val="left"/>
      <w:lvlText w:val="%1."/>
      <w:numFmt w:val="decimal"/>
      <w:start w:val="1"/>
    </w:lvl>
  </w:abstractNum>
  <w:abstractNum w:abstractNumId="52">
    <w:nsid w:val="57FC4FBB"/>
    <w:multiLevelType w:val="hybridMultilevel"/>
    <w:lvl w:ilvl="0">
      <w:lvlJc w:val="left"/>
      <w:lvlText w:val="%1."/>
      <w:numFmt w:val="decimal"/>
      <w:start w:val="5"/>
    </w:lvl>
    <w:lvl w:ilvl="1">
      <w:lvlJc w:val="left"/>
      <w:lvlText w:val="(%2)"/>
      <w:numFmt w:val="lowerLetter"/>
      <w:start w:val="1"/>
    </w:lvl>
  </w:abstractNum>
  <w:abstractNum w:abstractNumId="53">
    <w:nsid w:val="CC1016F"/>
    <w:multiLevelType w:val="hybridMultilevel"/>
    <w:lvl w:ilvl="0">
      <w:lvlJc w:val="left"/>
      <w:lvlText w:val="%1."/>
      <w:numFmt w:val="decimal"/>
      <w:start w:val="1"/>
    </w:lvl>
  </w:abstractNum>
  <w:abstractNum w:abstractNumId="54">
    <w:nsid w:val="43F18422"/>
    <w:multiLevelType w:val="hybridMultilevel"/>
    <w:lvl w:ilvl="0">
      <w:lvlJc w:val="left"/>
      <w:lvlText w:val="%1."/>
      <w:numFmt w:val="decimal"/>
      <w:start w:val="2"/>
    </w:lvl>
  </w:abstractNum>
  <w:abstractNum w:abstractNumId="55">
    <w:nsid w:val="60EF0119"/>
    <w:multiLevelType w:val="hybridMultilevel"/>
    <w:lvl w:ilvl="0">
      <w:lvlJc w:val="left"/>
      <w:lvlText w:val="%1."/>
      <w:numFmt w:val="decimal"/>
      <w:start w:val="5"/>
    </w:lvl>
  </w:abstractNum>
  <w:abstractNum w:abstractNumId="56">
    <w:nsid w:val="26F324BA"/>
    <w:multiLevelType w:val="hybridMultilevel"/>
    <w:lvl w:ilvl="0">
      <w:lvlJc w:val="left"/>
      <w:lvlText w:val="%1."/>
      <w:numFmt w:val="lowerLetter"/>
      <w:start w:val="1"/>
    </w:lvl>
  </w:abstractNum>
  <w:abstractNum w:abstractNumId="57">
    <w:nsid w:val="7F01579B"/>
    <w:multiLevelType w:val="hybridMultilevel"/>
    <w:lvl w:ilvl="0">
      <w:lvlJc w:val="left"/>
      <w:lvlText w:val="%1."/>
      <w:numFmt w:val="decimal"/>
      <w:start w:val="1"/>
    </w:lvl>
    <w:lvl w:ilvl="1">
      <w:lvlJc w:val="left"/>
      <w:lvlText w:val="(%2)"/>
      <w:numFmt w:val="lowerLetter"/>
      <w:start w:val="1"/>
    </w:lvl>
  </w:abstractNum>
  <w:abstractNum w:abstractNumId="58">
    <w:nsid w:val="49DA307D"/>
    <w:multiLevelType w:val="hybridMultilevel"/>
    <w:lvl w:ilvl="0">
      <w:lvlJc w:val="left"/>
      <w:lvlText w:val="%1"/>
      <w:numFmt w:val="decimal"/>
      <w:start w:val="1"/>
    </w:lvl>
    <w:lvl w:ilvl="1">
      <w:lvlJc w:val="left"/>
      <w:lvlText w:val="(%2)"/>
      <w:numFmt w:val="lowerLetter"/>
      <w:start w:val="2"/>
    </w:lvl>
  </w:abstractNum>
  <w:abstractNum w:abstractNumId="59">
    <w:nsid w:val="7055A5F5"/>
    <w:multiLevelType w:val="hybridMultilevel"/>
    <w:lvl w:ilvl="0">
      <w:lvlJc w:val="left"/>
      <w:lvlText w:val="%1."/>
      <w:numFmt w:val="decimal"/>
      <w:start w:val="5"/>
    </w:lvl>
    <w:lvl w:ilvl="1">
      <w:lvlJc w:val="left"/>
      <w:lvlText w:val="%2"/>
      <w:numFmt w:val="lowerLetter"/>
      <w:start w:val="1"/>
    </w:lvl>
  </w:abstractNum>
  <w:abstractNum w:abstractNumId="60">
    <w:nsid w:val="5FB8370B"/>
    <w:multiLevelType w:val="hybridMultilevel"/>
    <w:lvl w:ilvl="0">
      <w:lvlJc w:val="left"/>
      <w:lvlText w:val="%1"/>
      <w:numFmt w:val="decimal"/>
      <w:start w:val="1"/>
    </w:lvl>
    <w:lvl w:ilvl="1">
      <w:lvlJc w:val="left"/>
      <w:lvlText w:val="(%2)"/>
      <w:numFmt w:val="lowerLetter"/>
      <w:start w:val="1"/>
    </w:lvl>
  </w:abstractNum>
  <w:abstractNum w:abstractNumId="61">
    <w:nsid w:val="50801EE1"/>
    <w:multiLevelType w:val="hybridMultilevel"/>
    <w:lvl w:ilvl="0">
      <w:lvlJc w:val="left"/>
      <w:lvlText w:val="%1."/>
      <w:numFmt w:val="decimal"/>
      <w:start w:val="14"/>
    </w:lvl>
    <w:lvl w:ilvl="1">
      <w:lvlJc w:val="left"/>
      <w:lvlText w:val="%2"/>
      <w:numFmt w:val="lowerLetter"/>
      <w:start w:val="1"/>
    </w:lvl>
  </w:abstractNum>
  <w:abstractNum w:abstractNumId="62">
    <w:nsid w:val="488AC1A"/>
    <w:multiLevelType w:val="hybridMultilevel"/>
    <w:lvl w:ilvl="0">
      <w:lvlJc w:val="left"/>
      <w:lvlText w:val="%1."/>
      <w:numFmt w:val="decimal"/>
      <w:start w:val="1"/>
    </w:lvl>
    <w:lvl w:ilvl="1">
      <w:lvlJc w:val="left"/>
      <w:lvlText w:val="(%2)"/>
      <w:numFmt w:val="lowerLetter"/>
      <w:start w:val="1"/>
    </w:lvl>
  </w:abstractNum>
  <w:abstractNum w:abstractNumId="63">
    <w:nsid w:val="5FB8011C"/>
    <w:multiLevelType w:val="hybridMultilevel"/>
    <w:lvl w:ilvl="0">
      <w:lvlJc w:val="left"/>
      <w:lvlText w:val="%1"/>
      <w:numFmt w:val="decimal"/>
      <w:start w:val="1"/>
    </w:lvl>
    <w:lvl w:ilvl="1">
      <w:lvlJc w:val="left"/>
      <w:lvlText w:val="(%2)"/>
      <w:numFmt w:val="lowerLetter"/>
      <w:start w:val="3"/>
    </w:lvl>
  </w:abstractNum>
  <w:abstractNum w:abstractNumId="64">
    <w:nsid w:val="6AA78F7F"/>
    <w:multiLevelType w:val="hybridMultilevel"/>
    <w:lvl w:ilvl="0">
      <w:lvlJc w:val="left"/>
      <w:lvlText w:val="%1."/>
      <w:numFmt w:val="decimal"/>
      <w:start w:val="2"/>
    </w:lvl>
    <w:lvl w:ilvl="1">
      <w:lvlJc w:val="left"/>
      <w:lvlText w:val="(%2)"/>
      <w:numFmt w:val="lowerLetter"/>
      <w:start w:val="1"/>
    </w:lvl>
  </w:abstractNum>
  <w:abstractNum w:abstractNumId="65">
    <w:nsid w:val="7672BD23"/>
    <w:multiLevelType w:val="hybridMultilevel"/>
    <w:lvl w:ilvl="0">
      <w:lvlJc w:val="left"/>
      <w:lvlText w:val="%1."/>
      <w:numFmt w:val="decimal"/>
      <w:start w:val="7"/>
    </w:lvl>
    <w:lvl w:ilvl="1">
      <w:lvlJc w:val="left"/>
      <w:lvlText w:val="(%2)"/>
      <w:numFmt w:val="lowerLetter"/>
      <w:start w:val="1"/>
    </w:lvl>
  </w:abstractNum>
  <w:abstractNum w:abstractNumId="66">
    <w:nsid w:val="6FC75AF8"/>
    <w:multiLevelType w:val="hybridMultilevel"/>
    <w:lvl w:ilvl="0">
      <w:lvlJc w:val="left"/>
      <w:lvlText w:val="%1"/>
      <w:numFmt w:val="decimal"/>
      <w:start w:val="1"/>
    </w:lvl>
    <w:lvl w:ilvl="1">
      <w:lvlJc w:val="left"/>
      <w:lvlText w:val="(%2)"/>
      <w:numFmt w:val="lowerLetter"/>
      <w:start w:val="2"/>
    </w:lvl>
  </w:abstractNum>
  <w:abstractNum w:abstractNumId="67">
    <w:nsid w:val="6A5F7029"/>
    <w:multiLevelType w:val="hybridMultilevel"/>
    <w:lvl w:ilvl="0">
      <w:lvlJc w:val="left"/>
      <w:lvlText w:val="%1."/>
      <w:numFmt w:val="decimal"/>
      <w:start w:val="14"/>
    </w:lvl>
    <w:lvl w:ilvl="1">
      <w:lvlJc w:val="left"/>
      <w:lvlText w:val="%2"/>
      <w:numFmt w:val="lowerLetter"/>
      <w:start w:val="1"/>
    </w:lvl>
  </w:abstractNum>
  <w:abstractNum w:abstractNumId="68">
    <w:nsid w:val="7D5E18F8"/>
    <w:multiLevelType w:val="hybridMultilevel"/>
    <w:lvl w:ilvl="0">
      <w:lvlJc w:val="left"/>
      <w:lvlText w:val="%1."/>
      <w:numFmt w:val="decimal"/>
      <w:start w:val="19"/>
    </w:lvl>
  </w:abstractNum>
  <w:abstractNum w:abstractNumId="69">
    <w:nsid w:val="5F3534A4"/>
    <w:multiLevelType w:val="hybridMultilevel"/>
    <w:lvl w:ilvl="0">
      <w:lvlJc w:val="left"/>
      <w:lvlText w:val="(%1)"/>
      <w:numFmt w:val="lowerLetter"/>
      <w:start w:val="1"/>
    </w:lvl>
    <w:lvl w:ilvl="1">
      <w:lvlJc w:val="left"/>
      <w:lvlText w:val="(%2)"/>
      <w:numFmt w:val="lowerRoman"/>
      <w:start w:val="1"/>
    </w:lvl>
  </w:abstractNum>
  <w:abstractNum w:abstractNumId="70">
    <w:nsid w:val="73A1821B"/>
    <w:multiLevelType w:val="hybridMultilevel"/>
    <w:lvl w:ilvl="0">
      <w:lvlJc w:val="left"/>
      <w:lvlText w:val="(%1)"/>
      <w:numFmt w:val="lowerRoman"/>
      <w:start w:val="4"/>
    </w:lvl>
  </w:abstractNum>
  <w:abstractNum w:abstractNumId="71">
    <w:nsid w:val="7DE67713"/>
    <w:multiLevelType w:val="hybridMultilevel"/>
    <w:lvl w:ilvl="0">
      <w:lvlJc w:val="left"/>
      <w:lvlText w:val="(%1)"/>
      <w:numFmt w:val="lowerLetter"/>
      <w:start w:val="4"/>
    </w:lvl>
  </w:abstractNum>
  <w:abstractNum w:abstractNumId="72">
    <w:nsid w:val="555C55B5"/>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73">
    <w:nsid w:val="3FA62ACA"/>
    <w:multiLevelType w:val="hybridMultilevel"/>
    <w:lvl w:ilvl="0">
      <w:lvlJc w:val="left"/>
      <w:lvlText w:val="(%1)"/>
      <w:numFmt w:val="lowerLetter"/>
      <w:start w:val="7"/>
    </w:lvl>
  </w:abstractNum>
  <w:abstractNum w:abstractNumId="74">
    <w:nsid w:val="14FCE74E"/>
    <w:multiLevelType w:val="hybridMultilevel"/>
    <w:lvl w:ilvl="0">
      <w:lvlJc w:val="left"/>
      <w:lvlText w:val="%1."/>
      <w:numFmt w:val="decimal"/>
      <w:start w:val="2"/>
    </w:lvl>
  </w:abstractNum>
  <w:abstractNum w:abstractNumId="75">
    <w:nsid w:val="6A3DD3E8"/>
    <w:multiLevelType w:val="hybridMultilevel"/>
    <w:lvl w:ilvl="0">
      <w:lvlJc w:val="left"/>
      <w:lvlText w:val="%1."/>
      <w:numFmt w:val="upperLetter"/>
      <w:start w:val="35"/>
    </w:lvl>
  </w:abstractNum>
  <w:abstractNum w:abstractNumId="76">
    <w:nsid w:val="71C91298"/>
    <w:multiLevelType w:val="hybridMultilevel"/>
    <w:lvl w:ilvl="0">
      <w:lvlJc w:val="left"/>
      <w:lvlText w:val="%1."/>
      <w:numFmt w:val="decimal"/>
      <w:start w:val="1"/>
    </w:lvl>
  </w:abstractNum>
  <w:abstractNum w:abstractNumId="77">
    <w:nsid w:val="9DAF632"/>
    <w:multiLevelType w:val="hybridMultilevel"/>
    <w:lvl w:ilvl="0">
      <w:lvlJc w:val="left"/>
      <w:lvlText w:val="%1."/>
      <w:numFmt w:val="decimal"/>
      <w:start w:val="2"/>
    </w:lvl>
  </w:abstractNum>
  <w:abstractNum w:abstractNumId="78">
    <w:nsid w:val="53299938"/>
    <w:multiLevelType w:val="hybridMultilevel"/>
    <w:lvl w:ilvl="0">
      <w:lvlJc w:val="left"/>
      <w:lvlText w:val="%1."/>
      <w:numFmt w:val="decimal"/>
      <w:start w:val="3"/>
    </w:lvl>
  </w:abstractNum>
  <w:abstractNum w:abstractNumId="79">
    <w:nsid w:val="1FBFE8E0"/>
    <w:multiLevelType w:val="hybridMultilevel"/>
    <w:lvl w:ilvl="0">
      <w:lvlJc w:val="left"/>
      <w:lvlText w:val="%1."/>
      <w:numFmt w:val="decimal"/>
      <w:start w:val="4"/>
    </w:lvl>
    <w:lvl w:ilvl="1">
      <w:lvlJc w:val="left"/>
      <w:lvlText w:val="(%2)"/>
      <w:numFmt w:val="lowerLetter"/>
      <w:start w:val="1"/>
    </w:lvl>
  </w:abstractNum>
  <w:abstractNum w:abstractNumId="80">
    <w:nsid w:val="5092CA79"/>
    <w:multiLevelType w:val="hybridMultilevel"/>
    <w:lvl w:ilvl="0">
      <w:lvlJc w:val="left"/>
      <w:lvlText w:val="%1"/>
      <w:numFmt w:val="decimal"/>
      <w:start w:val="1"/>
    </w:lvl>
    <w:lvl w:ilvl="1">
      <w:lvlJc w:val="left"/>
      <w:lvlText w:val="%2."/>
      <w:numFmt w:val="decimal"/>
      <w:start w:val="1"/>
    </w:lvl>
  </w:abstractNum>
  <w:abstractNum w:abstractNumId="81">
    <w:nsid w:val="1D545C4D"/>
    <w:multiLevelType w:val="hybridMultilevel"/>
    <w:lvl w:ilvl="0">
      <w:lvlJc w:val="left"/>
      <w:lvlText w:val="(%1)"/>
      <w:numFmt w:val="decimal"/>
      <w:start w:val="2"/>
    </w:lvl>
    <w:lvl w:ilvl="1">
      <w:lvlJc w:val="left"/>
      <w:lvlText w:val="%2."/>
      <w:numFmt w:val="decimal"/>
      <w:start w:val="2"/>
    </w:lvl>
  </w:abstractNum>
  <w:abstractNum w:abstractNumId="82">
    <w:nsid w:val="59ADEA3D"/>
    <w:multiLevelType w:val="hybridMultilevel"/>
    <w:lvl w:ilvl="0">
      <w:lvlJc w:val="left"/>
      <w:lvlText w:val="%1."/>
      <w:numFmt w:val="decimal"/>
      <w:start w:val="5"/>
    </w:lvl>
    <w:lvl w:ilvl="1">
      <w:lvlJc w:val="left"/>
      <w:lvlText w:val="%2"/>
      <w:numFmt w:val="lowerLetter"/>
      <w:start w:val="1"/>
    </w:lvl>
  </w:abstractNum>
  <w:abstractNum w:abstractNumId="83">
    <w:nsid w:val="288F1A34"/>
    <w:multiLevelType w:val="hybridMultilevel"/>
    <w:lvl w:ilvl="0">
      <w:lvlJc w:val="left"/>
      <w:lvlText w:val="%1."/>
      <w:numFmt w:val="decimal"/>
      <w:start w:val="1"/>
    </w:lvl>
    <w:lvl w:ilvl="1">
      <w:lvlJc w:val="left"/>
      <w:lvlText w:val="(%2)"/>
      <w:numFmt w:val="lowerLetter"/>
      <w:start w:val="1"/>
    </w:lvl>
  </w:abstractNum>
  <w:abstractNum w:abstractNumId="84">
    <w:nsid w:val="2A155DBC"/>
    <w:multiLevelType w:val="hybridMultilevel"/>
    <w:lvl w:ilvl="0">
      <w:lvlJc w:val="left"/>
      <w:lvlText w:val="%1"/>
      <w:numFmt w:val="lowerLetter"/>
      <w:start w:val="1"/>
    </w:lvl>
    <w:lvl w:ilvl="1">
      <w:lvlJc w:val="left"/>
      <w:lvlText w:val="%2."/>
      <w:numFmt w:val="decimal"/>
      <w:start w:val="5"/>
    </w:lvl>
  </w:abstractNum>
  <w:abstractNum w:abstractNumId="85">
    <w:nsid w:val="1D9F6E5F"/>
    <w:multiLevelType w:val="hybridMultilevel"/>
    <w:lvl w:ilvl="0">
      <w:lvlJc w:val="left"/>
      <w:lvlText w:val="(%1)"/>
      <w:numFmt w:val="lowerLetter"/>
      <w:start w:val="5"/>
    </w:lvl>
    <w:lvl w:ilvl="1">
      <w:lvlJc w:val="left"/>
      <w:lvlText w:val="%2."/>
      <w:numFmt w:val="decimal"/>
      <w:start w:val="8"/>
    </w:lvl>
  </w:abstractNum>
  <w:abstractNum w:abstractNumId="86">
    <w:nsid w:val="97E1B4E"/>
    <w:multiLevelType w:val="hybridMultilevel"/>
    <w:lvl w:ilvl="0">
      <w:lvlJc w:val="left"/>
      <w:lvlText w:val="%1."/>
      <w:numFmt w:val="decimal"/>
      <w:start w:val="10"/>
    </w:lvl>
    <w:lvl w:ilvl="1">
      <w:lvlJc w:val="left"/>
      <w:lvlText w:val="(%2)"/>
      <w:numFmt w:val="lowerLetter"/>
      <w:start w:val="1"/>
    </w:lvl>
  </w:abstractNum>
  <w:abstractNum w:abstractNumId="87">
    <w:nsid w:val="5108827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8">
    <w:nsid w:val="1CA0C5FA"/>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89">
    <w:nsid w:val="53584BC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0">
    <w:nsid w:val="415E286C"/>
    <w:multiLevelType w:val="hybridMultilevel"/>
    <w:lvl w:ilvl="0">
      <w:lvlJc w:val="left"/>
      <w:lvlText w:val="(%1)"/>
      <w:numFmt w:val="decimal"/>
      <w:start w:val="100"/>
    </w:lvl>
    <w:lvl w:ilvl="1">
      <w:lvlJc w:val="left"/>
      <w:lvlText w:val="%2"/>
      <w:numFmt w:val="lowerLetter"/>
      <w:start w:val="1"/>
    </w:lvl>
    <w:lvl w:ilvl="2">
      <w:lvlJc w:val="left"/>
      <w:lvlText w:val="(%3)"/>
      <w:numFmt w:val="lowerRoman"/>
      <w:start w:val="3"/>
    </w:lvl>
  </w:abstractNum>
  <w:abstractNum w:abstractNumId="91">
    <w:nsid w:val="7C58FD05"/>
    <w:multiLevelType w:val="hybridMultilevel"/>
    <w:lvl w:ilvl="0">
      <w:lvlJc w:val="left"/>
      <w:lvlText w:val="(%1)"/>
      <w:numFmt w:val="lowerLetter"/>
      <w:start w:val="4"/>
    </w:lvl>
  </w:abstractNum>
  <w:abstractNum w:abstractNumId="92">
    <w:nsid w:val="23D86AA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93">
    <w:nsid w:val="45E6D486"/>
    <w:multiLevelType w:val="hybridMultilevel"/>
    <w:lvl w:ilvl="0">
      <w:lvlJc w:val="left"/>
      <w:lvlText w:val="(%1)"/>
      <w:numFmt w:val="lowerLetter"/>
      <w:start w:val="6"/>
    </w:lvl>
  </w:abstractNum>
  <w:abstractNum w:abstractNumId="94">
    <w:nsid w:val="5C10FE21"/>
    <w:multiLevelType w:val="hybridMultilevel"/>
    <w:lvl w:ilvl="0">
      <w:lvlJc w:val="left"/>
      <w:lvlText w:val="%1"/>
      <w:numFmt w:val="decimal"/>
      <w:start w:val="1"/>
    </w:lvl>
    <w:lvl w:ilvl="1">
      <w:lvlJc w:val="left"/>
      <w:lvlText w:val="(%2)"/>
      <w:numFmt w:val="lowerLetter"/>
      <w:start w:val="17"/>
    </w:lvl>
  </w:abstractNum>
  <w:abstractNum w:abstractNumId="95">
    <w:nsid w:val="E7FFA2B"/>
    <w:multiLevelType w:val="hybridMultilevel"/>
    <w:lvl w:ilvl="0">
      <w:lvlJc w:val="left"/>
      <w:lvlText w:val="%1."/>
      <w:numFmt w:val="decimal"/>
      <w:start w:val="2"/>
    </w:lvl>
    <w:lvl w:ilvl="1">
      <w:lvlJc w:val="left"/>
      <w:lvlText w:val="%2"/>
      <w:numFmt w:val="lowerLetter"/>
      <w:start w:val="1"/>
    </w:lvl>
  </w:abstractNum>
  <w:abstractNum w:abstractNumId="96">
    <w:nsid w:val="3C5991AA"/>
    <w:multiLevelType w:val="hybridMultilevel"/>
    <w:lvl w:ilvl="0">
      <w:lvlJc w:val="left"/>
      <w:lvlText w:val="%1."/>
      <w:numFmt w:val="upperLetter"/>
      <w:start w:val="35"/>
    </w:lvl>
  </w:abstractNum>
  <w:abstractNum w:abstractNumId="97">
    <w:nsid w:val="4BD8591A"/>
    <w:multiLevelType w:val="hybridMultilevel"/>
    <w:lvl w:ilvl="0">
      <w:lvlJc w:val="left"/>
      <w:lvlText w:val="%1"/>
      <w:numFmt w:val="lowerLetter"/>
      <w:start w:val="1"/>
    </w:lvl>
    <w:lvl w:ilvl="1">
      <w:lvlJc w:val="left"/>
      <w:lvlText w:val="%2."/>
      <w:numFmt w:val="decimal"/>
      <w:start w:val="1"/>
    </w:lvl>
  </w:abstractNum>
  <w:abstractNum w:abstractNumId="98">
    <w:nsid w:val="78DF6A55"/>
    <w:multiLevelType w:val="hybridMultilevel"/>
    <w:lvl w:ilvl="0">
      <w:lvlJc w:val="left"/>
      <w:lvlText w:val="(%1)"/>
      <w:numFmt w:val="lowerLetter"/>
      <w:start w:val="2"/>
    </w:lvl>
    <w:lvl w:ilvl="1">
      <w:lvlJc w:val="left"/>
      <w:lvlText w:val="%2"/>
      <w:numFmt w:val="decimal"/>
      <w:start w:val="1"/>
    </w:lvl>
  </w:abstractNum>
  <w:abstractNum w:abstractNumId="99">
    <w:nsid w:val="39B7AAA2"/>
    <w:multiLevelType w:val="hybridMultilevel"/>
    <w:lvl w:ilvl="0">
      <w:lvlJc w:val="left"/>
      <w:lvlText w:val="%1."/>
      <w:numFmt w:val="decimal"/>
      <w:start w:val="2"/>
    </w:lvl>
    <w:lvl w:ilvl="1">
      <w:lvlJc w:val="left"/>
      <w:lvlText w:val="(%2)"/>
      <w:numFmt w:val="lowerLetter"/>
      <w:start w:val="1"/>
    </w:lvl>
  </w:abstractNum>
  <w:abstractNum w:abstractNumId="100">
    <w:nsid w:val="2B0D8DBE"/>
    <w:multiLevelType w:val="hybridMultilevel"/>
    <w:lvl w:ilvl="0">
      <w:lvlJc w:val="left"/>
      <w:lvlText w:val="%1."/>
      <w:numFmt w:val="decimal"/>
      <w:start w:val="6"/>
    </w:lvl>
    <w:lvl w:ilvl="1">
      <w:lvlJc w:val="left"/>
      <w:lvlText w:val="(%2)"/>
      <w:numFmt w:val="lowerLetter"/>
      <w:start w:val="1"/>
    </w:lvl>
  </w:abstractNum>
  <w:abstractNum w:abstractNumId="101">
    <w:nsid w:val="6C80EC70"/>
    <w:multiLevelType w:val="hybridMultilevel"/>
    <w:lvl w:ilvl="0">
      <w:lvlJc w:val="left"/>
      <w:lvlText w:val="%1"/>
      <w:numFmt w:val="decimal"/>
      <w:start w:val="1"/>
    </w:lvl>
    <w:lvl w:ilvl="1">
      <w:lvlJc w:val="left"/>
      <w:lvlText w:val="(%2)"/>
      <w:numFmt w:val="lowerLetter"/>
      <w:start w:val="2"/>
    </w:lvl>
  </w:abstractNum>
  <w:abstractNum w:abstractNumId="102">
    <w:nsid w:val="379E21B5"/>
    <w:multiLevelType w:val="hybridMultilevel"/>
    <w:lvl w:ilvl="0">
      <w:lvlJc w:val="left"/>
      <w:lvlText w:val="%1."/>
      <w:numFmt w:val="decimal"/>
      <w:start w:val="8"/>
    </w:lvl>
    <w:lvl w:ilvl="1">
      <w:lvlJc w:val="left"/>
      <w:lvlText w:val="%2"/>
      <w:numFmt w:val="lowerLetter"/>
      <w:start w:val="1"/>
    </w:lvl>
  </w:abstractNum>
  <w:abstractNum w:abstractNumId="103">
    <w:nsid w:val="69E373"/>
    <w:multiLevelType w:val="hybridMultilevel"/>
    <w:lvl w:ilvl="0">
      <w:lvlJc w:val="left"/>
      <w:lvlText w:val="%1"/>
      <w:numFmt w:val="decimal"/>
      <w:start w:val="1"/>
    </w:lvl>
    <w:lvl w:ilvl="1">
      <w:lvlJc w:val="left"/>
      <w:lvlText w:val="%2."/>
      <w:numFmt w:val="decimal"/>
      <w:start w:val="1"/>
    </w:lvl>
  </w:abstractNum>
  <w:abstractNum w:abstractNumId="104">
    <w:nsid w:val="2C27173B"/>
    <w:multiLevelType w:val="hybridMultilevel"/>
    <w:lvl w:ilvl="0">
      <w:lvlJc w:val="left"/>
      <w:lvlText w:val="(%1)"/>
      <w:numFmt w:val="decimal"/>
      <w:start w:val="1"/>
    </w:lvl>
    <w:lvl w:ilvl="1">
      <w:lvlJc w:val="left"/>
      <w:lvlText w:val="%2"/>
      <w:numFmt w:val="decimal"/>
      <w:start w:val="1"/>
    </w:lvl>
  </w:abstractNum>
  <w:abstractNum w:abstractNumId="105">
    <w:nsid w:val="4C9B0904"/>
    <w:multiLevelType w:val="hybridMultilevel"/>
    <w:lvl w:ilvl="0">
      <w:lvlJc w:val="left"/>
      <w:lvlText w:val="%1."/>
      <w:numFmt w:val="decimal"/>
      <w:start w:val="2"/>
    </w:lvl>
  </w:abstractNum>
  <w:abstractNum w:abstractNumId="106">
    <w:nsid w:val="6AA7B75C"/>
    <w:multiLevelType w:val="hybridMultilevel"/>
    <w:lvl w:ilvl="0">
      <w:lvlJc w:val="left"/>
      <w:lvlText w:val="%1."/>
      <w:numFmt w:val="decimal"/>
      <w:start w:val="5"/>
    </w:lvl>
    <w:lvl w:ilvl="1">
      <w:lvlJc w:val="left"/>
      <w:lvlText w:val="(%2)"/>
      <w:numFmt w:val="lowerLetter"/>
      <w:start w:val="1"/>
    </w:lvl>
  </w:abstractNum>
  <w:abstractNum w:abstractNumId="107">
    <w:nsid w:val="1DF029D3"/>
    <w:multiLevelType w:val="hybridMultilevel"/>
    <w:lvl w:ilvl="0">
      <w:lvlJc w:val="left"/>
      <w:lvlText w:val="%1."/>
      <w:numFmt w:val="upperLetter"/>
      <w:start w:val="1"/>
    </w:lvl>
    <w:lvl w:ilvl="1">
      <w:lvlJc w:val="left"/>
      <w:lvlText w:val="%2."/>
      <w:numFmt w:val="decimal"/>
      <w:start w:val="1"/>
    </w:lvl>
  </w:abstractNum>
  <w:abstractNum w:abstractNumId="108">
    <w:nsid w:val="5675FF36"/>
    <w:multiLevelType w:val="hybridMultilevel"/>
    <w:lvl w:ilvl="0">
      <w:lvlJc w:val="left"/>
      <w:lvlText w:val="%1."/>
      <w:numFmt w:val="upperLetter"/>
      <w:start w:val="1"/>
    </w:lvl>
  </w:abstractNum>
  <w:abstractNum w:abstractNumId="109">
    <w:nsid w:val="3DD15094"/>
    <w:multiLevelType w:val="hybridMultilevel"/>
    <w:lvl w:ilvl="0">
      <w:lvlJc w:val="left"/>
      <w:lvlText w:val="%1."/>
      <w:numFmt w:val="upperLetter"/>
      <w:start w:val="2"/>
    </w:lvl>
  </w:abstractNum>
  <w:abstractNum w:abstractNumId="110">
    <w:nsid w:val="3DB012B3"/>
    <w:multiLevelType w:val="hybridMultilevel"/>
    <w:lvl w:ilvl="0">
      <w:lvlJc w:val="left"/>
      <w:lvlText w:val="%1."/>
      <w:numFmt w:val="upperLetter"/>
      <w:start w:val="1"/>
    </w:lvl>
  </w:abstractNum>
  <w:abstractNum w:abstractNumId="111">
    <w:nsid w:val="2708C9AF"/>
    <w:multiLevelType w:val="hybridMultilevel"/>
    <w:lvl w:ilvl="0">
      <w:lvlJc w:val="left"/>
      <w:lvlText w:val="%1."/>
      <w:numFmt w:val="upperLetter"/>
      <w:start w:val="2"/>
    </w:lvl>
  </w:abstractNum>
  <w:abstractNum w:abstractNumId="112">
    <w:nsid w:val="5B25ACE2"/>
    <w:multiLevelType w:val="hybridMultilevel"/>
    <w:lvl w:ilvl="0">
      <w:lvlJc w:val="left"/>
      <w:lvlText w:val="%1"/>
      <w:numFmt w:val="upperLetter"/>
      <w:start w:val="1"/>
    </w:lvl>
    <w:lvl w:ilvl="1">
      <w:lvlJc w:val="left"/>
      <w:lvlText w:val="%2."/>
      <w:numFmt w:val="decimal"/>
      <w:start w:val="1"/>
    </w:lvl>
  </w:abstractNum>
  <w:abstractNum w:abstractNumId="113">
    <w:nsid w:val="175DFCF0"/>
    <w:multiLevelType w:val="hybridMultilevel"/>
    <w:lvl w:ilvl="0">
      <w:lvlJc w:val="left"/>
      <w:lvlText w:val="%1."/>
      <w:numFmt w:val="upperLetter"/>
      <w:start w:val="3"/>
    </w:lvl>
    <w:lvl w:ilvl="1">
      <w:lvlJc w:val="left"/>
      <w:lvlText w:val="%2"/>
      <w:numFmt w:val="decimal"/>
      <w:start w:val="1"/>
    </w:lvl>
  </w:abstractNum>
  <w:abstractNum w:abstractNumId="114">
    <w:nsid w:val="4F97E3E4"/>
    <w:multiLevelType w:val="hybridMultilevel"/>
    <w:lvl w:ilvl="0">
      <w:lvlJc w:val="left"/>
      <w:lvlText w:val="1"/>
      <w:numFmt w:val="bullet"/>
      <w:start w:val="1"/>
    </w:lvl>
  </w:abstractNum>
  <w:abstractNum w:abstractNumId="115">
    <w:nsid w:val="53B0A9E"/>
    <w:multiLevelType w:val="hybridMultilevel"/>
    <w:lvl w:ilvl="0">
      <w:lvlJc w:val="left"/>
      <w:lvlText w:val="2"/>
      <w:numFmt w:val="bullet"/>
      <w:start w:val="1"/>
    </w:lvl>
  </w:abstractNum>
  <w:abstractNum w:abstractNumId="116">
    <w:nsid w:val="34FD6B4F"/>
    <w:multiLevelType w:val="hybridMultilevel"/>
    <w:lvl w:ilvl="0">
      <w:lvlJc w:val="left"/>
      <w:lvlText w:val="(%1)"/>
      <w:numFmt w:val="lowerLetter"/>
      <w:start w:val="1"/>
    </w:lvl>
  </w:abstractNum>
  <w:abstractNum w:abstractNumId="117">
    <w:nsid w:val="5915FF32"/>
    <w:multiLevelType w:val="hybridMultilevel"/>
    <w:lvl w:ilvl="0">
      <w:lvlJc w:val="left"/>
      <w:lvlText w:val="(%1)"/>
      <w:numFmt w:val="lowerLetter"/>
      <w:start w:val="1"/>
    </w:lvl>
  </w:abstractNum>
  <w:abstractNum w:abstractNumId="118">
    <w:nsid w:val="56438D15"/>
    <w:multiLevelType w:val="hybridMultilevel"/>
    <w:lvl w:ilvl="0">
      <w:lvlJc w:val="left"/>
      <w:lvlText w:val="(%1)"/>
      <w:numFmt w:val="lowerLetter"/>
      <w:start w:val="1"/>
    </w:lvl>
  </w:abstractNum>
  <w:abstractNum w:abstractNumId="119">
    <w:nsid w:val="519E3149"/>
    <w:multiLevelType w:val="hybridMultilevel"/>
    <w:lvl w:ilvl="0">
      <w:lvlJc w:val="left"/>
      <w:lvlText w:val="(%1)"/>
      <w:numFmt w:val="lowerLetter"/>
      <w:start w:val="2"/>
    </w:lvl>
  </w:abstractNum>
  <w:abstractNum w:abstractNumId="120">
    <w:nsid w:val="2C6E4AFD"/>
    <w:multiLevelType w:val="hybridMultilevel"/>
    <w:lvl w:ilvl="0">
      <w:lvlJc w:val="left"/>
      <w:lvlText w:val="(%1)"/>
      <w:numFmt w:val="lowerLetter"/>
      <w:start w:val="4"/>
    </w:lvl>
  </w:abstractNum>
  <w:abstractNum w:abstractNumId="121">
    <w:nsid w:val="17A1B582"/>
    <w:multiLevelType w:val="hybridMultilevel"/>
    <w:lvl w:ilvl="0">
      <w:lvlJc w:val="left"/>
      <w:lvlText w:val="(%1)"/>
      <w:numFmt w:val="lowerLetter"/>
      <w:start w:val="1"/>
    </w:lvl>
  </w:abstractNum>
  <w:abstractNum w:abstractNumId="122">
    <w:nsid w:val="4DF72E4E"/>
    <w:multiLevelType w:val="hybridMultilevel"/>
    <w:lvl w:ilvl="0">
      <w:lvlJc w:val="left"/>
      <w:lvlText w:val="(%1)"/>
      <w:numFmt w:val="lowerLetter"/>
      <w:start w:val="2"/>
    </w:lvl>
  </w:abstractNum>
  <w:abstractNum w:abstractNumId="123">
    <w:nsid w:val="5046B5A9"/>
    <w:multiLevelType w:val="hybridMultilevel"/>
    <w:lvl w:ilvl="0">
      <w:lvlJc w:val="left"/>
      <w:lvlText w:val="(%1)"/>
      <w:numFmt w:val="decimal"/>
      <w:start w:val="24"/>
    </w:lvl>
  </w:abstractNum>
  <w:abstractNum w:abstractNumId="124">
    <w:nsid w:val="5D888A08"/>
    <w:multiLevelType w:val="hybridMultilevel"/>
    <w:lvl w:ilvl="0">
      <w:lvlJc w:val="left"/>
      <w:lvlText w:val="3"/>
      <w:numFmt w:val="bullet"/>
      <w:start w:val="1"/>
    </w:lvl>
  </w:abstractNum>
  <w:abstractNum w:abstractNumId="125">
    <w:nsid w:val="2A082C70"/>
    <w:multiLevelType w:val="hybridMultilevel"/>
    <w:lvl w:ilvl="0">
      <w:lvlJc w:val="left"/>
      <w:lvlText w:val="(%1)"/>
      <w:numFmt w:val="lowerLetter"/>
      <w:start w:val="1"/>
    </w:lvl>
  </w:abstractNum>
  <w:abstractNum w:abstractNumId="126">
    <w:nsid w:val="5EC6AFD4"/>
    <w:multiLevelType w:val="hybridMultilevel"/>
    <w:lvl w:ilvl="0">
      <w:lvlJc w:val="left"/>
      <w:lvlText w:val="(%1)"/>
      <w:numFmt w:val="lowerLetter"/>
      <w:start w:val="1"/>
    </w:lvl>
    <w:lvl w:ilvl="1">
      <w:lvlJc w:val="left"/>
      <w:lvlText w:val="(%2)"/>
      <w:numFmt w:val="lowerRoman"/>
      <w:start w:val="1"/>
    </w:lvl>
  </w:abstractNum>
  <w:abstractNum w:abstractNumId="127">
    <w:nsid w:val="19E21BB2"/>
    <w:multiLevelType w:val="hybridMultilevel"/>
    <w:lvl w:ilvl="0">
      <w:lvlJc w:val="left"/>
      <w:lvlText w:val="4"/>
      <w:numFmt w:val="bullet"/>
      <w:start w:val="1"/>
    </w:lvl>
  </w:abstractNum>
  <w:abstractNum w:abstractNumId="128">
    <w:nsid w:val="75E0858A"/>
    <w:multiLevelType w:val="hybridMultilevel"/>
    <w:lvl w:ilvl="0">
      <w:lvlJc w:val="left"/>
      <w:lvlText w:val="%1."/>
      <w:numFmt w:val="decimal"/>
      <w:start w:val="1"/>
    </w:lvl>
    <w:lvl w:ilvl="1">
      <w:lvlJc w:val="left"/>
      <w:lvlText w:val="(%2)"/>
      <w:numFmt w:val="lowerLetter"/>
      <w:start w:val="1"/>
    </w:lvl>
  </w:abstractNum>
  <w:abstractNum w:abstractNumId="129">
    <w:nsid w:val="57A61A29"/>
    <w:multiLevelType w:val="hybridMultilevel"/>
    <w:lvl w:ilvl="0">
      <w:lvlJc w:val="left"/>
      <w:lvlText w:val="%1."/>
      <w:numFmt w:val="decimal"/>
      <w:start w:val="1"/>
    </w:lvl>
    <w:lvl w:ilvl="1">
      <w:lvlJc w:val="left"/>
      <w:lvlText w:val="(%2)"/>
      <w:numFmt w:val="lowerLetter"/>
      <w:start w:val="1"/>
    </w:lvl>
  </w:abstractNum>
  <w:abstractNum w:abstractNumId="130">
    <w:nsid w:val="5399C654"/>
    <w:multiLevelType w:val="hybridMultilevel"/>
    <w:lvl w:ilvl="0">
      <w:lvlJc w:val="left"/>
      <w:lvlText w:val="(%1)"/>
      <w:numFmt w:val="lowerLetter"/>
      <w:start w:val="1"/>
    </w:lvl>
  </w:abstractNum>
  <w:abstractNum w:abstractNumId="131">
    <w:nsid w:val="20EE134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2019-12-29T04:42:11Z</dcterms:created>
  <dcterms:modified xsi:type="dcterms:W3CDTF">2019-12-29T04:42:11Z</dcterms:modified>
</cp:coreProperties>
</file>